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AAE7A" w14:textId="77777777" w:rsidR="00C00DD1" w:rsidRDefault="00C00DD1">
      <w:pPr>
        <w:widowControl w:val="0"/>
        <w:tabs>
          <w:tab w:val="clear" w:pos="567"/>
        </w:tabs>
        <w:spacing w:line="240" w:lineRule="auto"/>
        <w:ind w:left="567" w:hanging="567"/>
        <w:rPr>
          <w:snapToGrid/>
          <w:szCs w:val="22"/>
          <w:lang w:val="lt-LT"/>
        </w:rPr>
      </w:pPr>
    </w:p>
    <w:p w14:paraId="5BA45144" w14:textId="77777777" w:rsidR="00C00DD1" w:rsidRDefault="00C00DD1">
      <w:pPr>
        <w:widowControl w:val="0"/>
        <w:tabs>
          <w:tab w:val="clear" w:pos="567"/>
        </w:tabs>
        <w:spacing w:line="240" w:lineRule="auto"/>
        <w:ind w:left="567" w:hanging="567"/>
        <w:rPr>
          <w:snapToGrid/>
          <w:szCs w:val="22"/>
          <w:lang w:val="lt-LT"/>
        </w:rPr>
      </w:pPr>
    </w:p>
    <w:p w14:paraId="49CE7A77" w14:textId="77777777" w:rsidR="00C00DD1" w:rsidRDefault="00C00DD1">
      <w:pPr>
        <w:widowControl w:val="0"/>
        <w:tabs>
          <w:tab w:val="clear" w:pos="567"/>
        </w:tabs>
        <w:spacing w:line="240" w:lineRule="auto"/>
        <w:ind w:left="567" w:hanging="567"/>
        <w:rPr>
          <w:snapToGrid/>
          <w:szCs w:val="22"/>
          <w:lang w:val="lt-LT"/>
        </w:rPr>
      </w:pPr>
    </w:p>
    <w:p w14:paraId="113CFC21" w14:textId="77777777" w:rsidR="00C00DD1" w:rsidRDefault="00C00DD1">
      <w:pPr>
        <w:widowControl w:val="0"/>
        <w:tabs>
          <w:tab w:val="clear" w:pos="567"/>
        </w:tabs>
        <w:spacing w:line="240" w:lineRule="auto"/>
        <w:ind w:left="567" w:hanging="567"/>
        <w:rPr>
          <w:snapToGrid/>
          <w:szCs w:val="22"/>
          <w:lang w:val="lt-LT"/>
        </w:rPr>
      </w:pPr>
    </w:p>
    <w:p w14:paraId="6BA129BE" w14:textId="77777777" w:rsidR="00C00DD1" w:rsidRDefault="00C00DD1">
      <w:pPr>
        <w:widowControl w:val="0"/>
        <w:tabs>
          <w:tab w:val="clear" w:pos="567"/>
        </w:tabs>
        <w:spacing w:line="240" w:lineRule="auto"/>
        <w:ind w:left="567" w:hanging="567"/>
        <w:rPr>
          <w:snapToGrid/>
          <w:szCs w:val="22"/>
          <w:lang w:val="lt-LT"/>
        </w:rPr>
      </w:pPr>
    </w:p>
    <w:p w14:paraId="20CB613A" w14:textId="77777777" w:rsidR="00C00DD1" w:rsidRDefault="00C00DD1">
      <w:pPr>
        <w:widowControl w:val="0"/>
        <w:tabs>
          <w:tab w:val="clear" w:pos="567"/>
        </w:tabs>
        <w:spacing w:line="240" w:lineRule="auto"/>
        <w:ind w:left="567" w:hanging="567"/>
        <w:rPr>
          <w:snapToGrid/>
          <w:szCs w:val="22"/>
          <w:lang w:val="lt-LT"/>
        </w:rPr>
      </w:pPr>
    </w:p>
    <w:p w14:paraId="355DA3A5" w14:textId="77777777" w:rsidR="00C00DD1" w:rsidRDefault="00C00DD1">
      <w:pPr>
        <w:widowControl w:val="0"/>
        <w:tabs>
          <w:tab w:val="clear" w:pos="567"/>
        </w:tabs>
        <w:spacing w:line="240" w:lineRule="auto"/>
        <w:ind w:left="567" w:hanging="567"/>
        <w:rPr>
          <w:snapToGrid/>
          <w:szCs w:val="22"/>
          <w:lang w:val="lt-LT"/>
        </w:rPr>
      </w:pPr>
    </w:p>
    <w:p w14:paraId="645BC5E8" w14:textId="77777777" w:rsidR="00C00DD1" w:rsidRDefault="00C00DD1">
      <w:pPr>
        <w:widowControl w:val="0"/>
        <w:tabs>
          <w:tab w:val="clear" w:pos="567"/>
        </w:tabs>
        <w:spacing w:line="240" w:lineRule="auto"/>
        <w:ind w:left="567" w:hanging="567"/>
        <w:rPr>
          <w:snapToGrid/>
          <w:szCs w:val="22"/>
          <w:lang w:val="lt-LT"/>
        </w:rPr>
      </w:pPr>
    </w:p>
    <w:p w14:paraId="2FC454BC" w14:textId="77777777" w:rsidR="00C00DD1" w:rsidRDefault="00C00DD1">
      <w:pPr>
        <w:widowControl w:val="0"/>
        <w:tabs>
          <w:tab w:val="clear" w:pos="567"/>
        </w:tabs>
        <w:spacing w:line="240" w:lineRule="auto"/>
        <w:ind w:left="567" w:hanging="567"/>
        <w:rPr>
          <w:snapToGrid/>
          <w:szCs w:val="22"/>
          <w:lang w:val="lt-LT"/>
        </w:rPr>
      </w:pPr>
    </w:p>
    <w:p w14:paraId="19F38904" w14:textId="77777777" w:rsidR="00C00DD1" w:rsidRDefault="00C00DD1">
      <w:pPr>
        <w:widowControl w:val="0"/>
        <w:tabs>
          <w:tab w:val="clear" w:pos="567"/>
        </w:tabs>
        <w:spacing w:line="240" w:lineRule="auto"/>
        <w:ind w:left="567" w:hanging="567"/>
        <w:rPr>
          <w:snapToGrid/>
          <w:szCs w:val="22"/>
          <w:lang w:val="lt-LT"/>
        </w:rPr>
      </w:pPr>
    </w:p>
    <w:p w14:paraId="2EDC1454" w14:textId="77777777" w:rsidR="00C00DD1" w:rsidRDefault="00C00DD1">
      <w:pPr>
        <w:widowControl w:val="0"/>
        <w:tabs>
          <w:tab w:val="clear" w:pos="567"/>
        </w:tabs>
        <w:spacing w:line="240" w:lineRule="auto"/>
        <w:ind w:left="567" w:hanging="567"/>
        <w:rPr>
          <w:snapToGrid/>
          <w:szCs w:val="22"/>
          <w:lang w:val="lt-LT"/>
        </w:rPr>
      </w:pPr>
    </w:p>
    <w:p w14:paraId="4C04A4FE" w14:textId="77777777" w:rsidR="00C00DD1" w:rsidRDefault="00C00DD1">
      <w:pPr>
        <w:widowControl w:val="0"/>
        <w:tabs>
          <w:tab w:val="clear" w:pos="567"/>
        </w:tabs>
        <w:spacing w:line="240" w:lineRule="auto"/>
        <w:ind w:left="567" w:hanging="567"/>
        <w:rPr>
          <w:snapToGrid/>
          <w:szCs w:val="22"/>
          <w:lang w:val="lt-LT"/>
        </w:rPr>
      </w:pPr>
    </w:p>
    <w:p w14:paraId="693A933D" w14:textId="77777777" w:rsidR="00C00DD1" w:rsidRDefault="00C00DD1">
      <w:pPr>
        <w:widowControl w:val="0"/>
        <w:tabs>
          <w:tab w:val="clear" w:pos="567"/>
        </w:tabs>
        <w:spacing w:line="240" w:lineRule="auto"/>
        <w:ind w:left="567" w:hanging="567"/>
        <w:rPr>
          <w:snapToGrid/>
          <w:szCs w:val="22"/>
          <w:lang w:val="lt-LT"/>
        </w:rPr>
      </w:pPr>
    </w:p>
    <w:p w14:paraId="072F8BBE" w14:textId="77777777" w:rsidR="00C00DD1" w:rsidRDefault="00C00DD1">
      <w:pPr>
        <w:widowControl w:val="0"/>
        <w:tabs>
          <w:tab w:val="clear" w:pos="567"/>
        </w:tabs>
        <w:spacing w:line="240" w:lineRule="auto"/>
        <w:ind w:left="567" w:hanging="567"/>
        <w:rPr>
          <w:snapToGrid/>
          <w:szCs w:val="22"/>
          <w:lang w:val="lt-LT"/>
        </w:rPr>
      </w:pPr>
    </w:p>
    <w:p w14:paraId="46109FCF" w14:textId="77777777" w:rsidR="00C00DD1" w:rsidRDefault="00C00DD1">
      <w:pPr>
        <w:widowControl w:val="0"/>
        <w:tabs>
          <w:tab w:val="clear" w:pos="567"/>
        </w:tabs>
        <w:spacing w:line="240" w:lineRule="auto"/>
        <w:ind w:left="567" w:hanging="567"/>
        <w:rPr>
          <w:snapToGrid/>
          <w:szCs w:val="22"/>
          <w:lang w:val="lt-LT"/>
        </w:rPr>
      </w:pPr>
    </w:p>
    <w:p w14:paraId="06CFB35A" w14:textId="77777777" w:rsidR="00C00DD1" w:rsidRDefault="00C00DD1">
      <w:pPr>
        <w:widowControl w:val="0"/>
        <w:tabs>
          <w:tab w:val="clear" w:pos="567"/>
        </w:tabs>
        <w:spacing w:line="240" w:lineRule="auto"/>
        <w:ind w:left="567" w:hanging="567"/>
        <w:rPr>
          <w:snapToGrid/>
          <w:szCs w:val="22"/>
          <w:lang w:val="lt-LT"/>
        </w:rPr>
      </w:pPr>
    </w:p>
    <w:p w14:paraId="69202D6E" w14:textId="77777777" w:rsidR="00C00DD1" w:rsidRDefault="00C00DD1">
      <w:pPr>
        <w:widowControl w:val="0"/>
        <w:tabs>
          <w:tab w:val="clear" w:pos="567"/>
        </w:tabs>
        <w:spacing w:line="240" w:lineRule="auto"/>
        <w:ind w:left="567" w:hanging="567"/>
        <w:rPr>
          <w:snapToGrid/>
          <w:szCs w:val="22"/>
          <w:lang w:val="lt-LT"/>
        </w:rPr>
      </w:pPr>
    </w:p>
    <w:p w14:paraId="127BB579" w14:textId="77777777" w:rsidR="00C00DD1" w:rsidRDefault="00C00DD1">
      <w:pPr>
        <w:widowControl w:val="0"/>
        <w:tabs>
          <w:tab w:val="clear" w:pos="567"/>
        </w:tabs>
        <w:spacing w:line="240" w:lineRule="auto"/>
        <w:ind w:left="567" w:hanging="567"/>
        <w:rPr>
          <w:snapToGrid/>
          <w:szCs w:val="22"/>
          <w:lang w:val="lt-LT"/>
        </w:rPr>
      </w:pPr>
    </w:p>
    <w:p w14:paraId="2EED94A3" w14:textId="77777777" w:rsidR="00C00DD1" w:rsidRDefault="00C00DD1">
      <w:pPr>
        <w:widowControl w:val="0"/>
        <w:tabs>
          <w:tab w:val="clear" w:pos="567"/>
        </w:tabs>
        <w:spacing w:line="240" w:lineRule="auto"/>
        <w:ind w:left="567" w:hanging="567"/>
        <w:rPr>
          <w:snapToGrid/>
          <w:szCs w:val="22"/>
          <w:lang w:val="lt-LT"/>
        </w:rPr>
      </w:pPr>
    </w:p>
    <w:p w14:paraId="6B6BF519" w14:textId="77777777" w:rsidR="00C00DD1" w:rsidRDefault="00C00DD1">
      <w:pPr>
        <w:widowControl w:val="0"/>
        <w:tabs>
          <w:tab w:val="clear" w:pos="567"/>
        </w:tabs>
        <w:spacing w:line="240" w:lineRule="auto"/>
        <w:ind w:left="567" w:hanging="567"/>
        <w:rPr>
          <w:snapToGrid/>
          <w:szCs w:val="22"/>
          <w:lang w:val="lt-LT"/>
        </w:rPr>
      </w:pPr>
    </w:p>
    <w:p w14:paraId="27A6AFA7" w14:textId="77777777" w:rsidR="00C00DD1" w:rsidRDefault="00C00DD1">
      <w:pPr>
        <w:widowControl w:val="0"/>
        <w:tabs>
          <w:tab w:val="clear" w:pos="567"/>
        </w:tabs>
        <w:spacing w:line="240" w:lineRule="auto"/>
        <w:ind w:left="567" w:hanging="567"/>
        <w:rPr>
          <w:snapToGrid/>
          <w:szCs w:val="22"/>
          <w:lang w:val="lt-LT"/>
        </w:rPr>
      </w:pPr>
    </w:p>
    <w:p w14:paraId="40AD5EFA" w14:textId="77777777" w:rsidR="00C00DD1" w:rsidRDefault="00C00DD1">
      <w:pPr>
        <w:widowControl w:val="0"/>
        <w:tabs>
          <w:tab w:val="clear" w:pos="567"/>
        </w:tabs>
        <w:spacing w:line="240" w:lineRule="auto"/>
        <w:ind w:left="567" w:hanging="567"/>
        <w:rPr>
          <w:snapToGrid/>
          <w:szCs w:val="22"/>
          <w:lang w:val="lt-LT"/>
        </w:rPr>
      </w:pPr>
    </w:p>
    <w:p w14:paraId="56217755" w14:textId="77777777" w:rsidR="00C00DD1" w:rsidRDefault="00C00DD1">
      <w:pPr>
        <w:widowControl w:val="0"/>
        <w:tabs>
          <w:tab w:val="clear" w:pos="567"/>
        </w:tabs>
        <w:spacing w:line="240" w:lineRule="auto"/>
        <w:ind w:left="567" w:hanging="567"/>
        <w:rPr>
          <w:snapToGrid/>
          <w:szCs w:val="22"/>
          <w:lang w:val="lt-LT"/>
        </w:rPr>
      </w:pPr>
    </w:p>
    <w:p w14:paraId="5CEBE1E7" w14:textId="77777777" w:rsidR="00C00DD1" w:rsidRDefault="00C260EB">
      <w:pPr>
        <w:widowControl w:val="0"/>
        <w:spacing w:line="240" w:lineRule="auto"/>
        <w:ind w:left="567" w:hanging="567"/>
        <w:jc w:val="center"/>
        <w:outlineLvl w:val="0"/>
        <w:rPr>
          <w:b/>
          <w:snapToGrid/>
          <w:szCs w:val="22"/>
          <w:lang w:val="lt-LT"/>
        </w:rPr>
      </w:pPr>
      <w:r>
        <w:rPr>
          <w:b/>
          <w:caps/>
          <w:snapToGrid/>
          <w:szCs w:val="22"/>
          <w:lang w:val="lt-LT"/>
        </w:rPr>
        <w:t>I</w:t>
      </w:r>
      <w:r>
        <w:rPr>
          <w:b/>
          <w:snapToGrid/>
          <w:szCs w:val="22"/>
          <w:lang w:val="lt-LT"/>
        </w:rPr>
        <w:t> PRIEDAS</w:t>
      </w:r>
    </w:p>
    <w:p w14:paraId="60463594" w14:textId="77777777" w:rsidR="00C00DD1" w:rsidRDefault="00C00DD1">
      <w:pPr>
        <w:widowControl w:val="0"/>
        <w:tabs>
          <w:tab w:val="clear" w:pos="567"/>
        </w:tabs>
        <w:spacing w:line="240" w:lineRule="auto"/>
        <w:ind w:left="567" w:hanging="567"/>
        <w:jc w:val="center"/>
        <w:rPr>
          <w:snapToGrid/>
          <w:szCs w:val="22"/>
          <w:lang w:val="lt-LT"/>
        </w:rPr>
      </w:pPr>
    </w:p>
    <w:p w14:paraId="008266BB" w14:textId="77777777" w:rsidR="00C00DD1" w:rsidRDefault="00C260EB">
      <w:pPr>
        <w:widowControl w:val="0"/>
        <w:spacing w:line="240" w:lineRule="auto"/>
        <w:ind w:left="567" w:hanging="567"/>
        <w:jc w:val="center"/>
        <w:outlineLvl w:val="0"/>
        <w:rPr>
          <w:b/>
          <w:caps/>
          <w:snapToGrid/>
          <w:szCs w:val="22"/>
          <w:lang w:val="lt-LT"/>
        </w:rPr>
      </w:pPr>
      <w:r>
        <w:rPr>
          <w:b/>
          <w:caps/>
          <w:snapToGrid/>
          <w:szCs w:val="22"/>
          <w:lang w:val="lt-LT"/>
        </w:rPr>
        <w:t>PREPARATO CHARAKTERISTIKŲ SANTRAUKA</w:t>
      </w:r>
    </w:p>
    <w:p w14:paraId="25ABBFFE" w14:textId="77777777" w:rsidR="00C00DD1" w:rsidRDefault="00C260EB">
      <w:pPr>
        <w:widowControl w:val="0"/>
        <w:spacing w:line="240" w:lineRule="auto"/>
        <w:ind w:left="567" w:hanging="567"/>
        <w:outlineLvl w:val="1"/>
        <w:rPr>
          <w:b/>
          <w:snapToGrid/>
          <w:szCs w:val="22"/>
          <w:lang w:val="lt-LT"/>
        </w:rPr>
      </w:pPr>
      <w:r>
        <w:rPr>
          <w:snapToGrid/>
          <w:szCs w:val="22"/>
          <w:lang w:val="lt-LT"/>
        </w:rPr>
        <w:br w:type="page"/>
      </w:r>
      <w:r>
        <w:rPr>
          <w:b/>
          <w:snapToGrid/>
          <w:szCs w:val="22"/>
          <w:lang w:val="lt-LT"/>
        </w:rPr>
        <w:lastRenderedPageBreak/>
        <w:t>1.</w:t>
      </w:r>
      <w:r>
        <w:rPr>
          <w:b/>
          <w:snapToGrid/>
          <w:szCs w:val="22"/>
          <w:lang w:val="lt-LT"/>
        </w:rPr>
        <w:tab/>
        <w:t>VAISTINIO PREPARATO PAVADINIMAS</w:t>
      </w:r>
    </w:p>
    <w:p w14:paraId="48F1459F" w14:textId="77777777" w:rsidR="00C00DD1" w:rsidRDefault="00C00DD1">
      <w:pPr>
        <w:widowControl w:val="0"/>
        <w:tabs>
          <w:tab w:val="clear" w:pos="567"/>
        </w:tabs>
        <w:spacing w:line="240" w:lineRule="auto"/>
        <w:ind w:left="567" w:hanging="567"/>
        <w:rPr>
          <w:snapToGrid/>
          <w:szCs w:val="22"/>
          <w:lang w:val="lt-LT"/>
        </w:rPr>
      </w:pPr>
    </w:p>
    <w:p w14:paraId="6B08BBA4"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proofErr w:type="spellStart"/>
      <w:r>
        <w:rPr>
          <w:snapToGrid/>
          <w:color w:val="000000"/>
          <w:szCs w:val="22"/>
          <w:lang w:val="lt-LT"/>
        </w:rPr>
        <w:t>Perindopril</w:t>
      </w:r>
      <w:proofErr w:type="spellEnd"/>
      <w:r>
        <w:rPr>
          <w:snapToGrid/>
          <w:color w:val="000000"/>
          <w:szCs w:val="22"/>
          <w:lang w:val="lt-LT"/>
        </w:rPr>
        <w:t xml:space="preserve"> </w:t>
      </w:r>
      <w:proofErr w:type="spellStart"/>
      <w:r>
        <w:rPr>
          <w:snapToGrid/>
          <w:color w:val="000000"/>
          <w:szCs w:val="22"/>
          <w:lang w:val="lt-LT"/>
        </w:rPr>
        <w:t>arginine</w:t>
      </w:r>
      <w:proofErr w:type="spellEnd"/>
      <w:r>
        <w:rPr>
          <w:snapToGrid/>
          <w:color w:val="000000"/>
          <w:szCs w:val="22"/>
          <w:lang w:val="lt-LT"/>
        </w:rPr>
        <w:t>/</w:t>
      </w:r>
      <w:proofErr w:type="spellStart"/>
      <w:r>
        <w:rPr>
          <w:snapToGrid/>
          <w:color w:val="000000"/>
          <w:szCs w:val="22"/>
          <w:lang w:val="lt-LT"/>
        </w:rPr>
        <w:t>indapamide</w:t>
      </w:r>
      <w:proofErr w:type="spellEnd"/>
      <w:r>
        <w:rPr>
          <w:snapToGrid/>
          <w:color w:val="000000"/>
          <w:szCs w:val="22"/>
          <w:lang w:val="lt-LT"/>
        </w:rPr>
        <w:t xml:space="preserve"> </w:t>
      </w:r>
      <w:proofErr w:type="spellStart"/>
      <w:r>
        <w:rPr>
          <w:snapToGrid/>
          <w:color w:val="000000"/>
          <w:szCs w:val="22"/>
          <w:lang w:val="lt-LT"/>
        </w:rPr>
        <w:t>Krka</w:t>
      </w:r>
      <w:proofErr w:type="spellEnd"/>
      <w:r>
        <w:rPr>
          <w:snapToGrid/>
          <w:color w:val="000000"/>
          <w:szCs w:val="22"/>
          <w:lang w:val="lt-LT"/>
        </w:rPr>
        <w:t xml:space="preserve"> 5 mg/1,25 mg tabletės</w:t>
      </w:r>
    </w:p>
    <w:p w14:paraId="491360B0" w14:textId="77777777" w:rsidR="00C00DD1" w:rsidRDefault="00C00DD1">
      <w:pPr>
        <w:widowControl w:val="0"/>
        <w:tabs>
          <w:tab w:val="clear" w:pos="567"/>
        </w:tabs>
        <w:spacing w:line="240" w:lineRule="auto"/>
        <w:ind w:left="567" w:hanging="567"/>
        <w:rPr>
          <w:snapToGrid/>
          <w:szCs w:val="22"/>
          <w:lang w:val="lt-LT"/>
        </w:rPr>
      </w:pPr>
    </w:p>
    <w:p w14:paraId="07711F2D" w14:textId="77777777" w:rsidR="00C00DD1" w:rsidRDefault="00C00DD1">
      <w:pPr>
        <w:widowControl w:val="0"/>
        <w:tabs>
          <w:tab w:val="clear" w:pos="567"/>
        </w:tabs>
        <w:spacing w:line="240" w:lineRule="auto"/>
        <w:ind w:left="567" w:hanging="567"/>
        <w:rPr>
          <w:snapToGrid/>
          <w:szCs w:val="22"/>
          <w:lang w:val="lt-LT"/>
        </w:rPr>
      </w:pPr>
    </w:p>
    <w:p w14:paraId="19C5AFA8" w14:textId="77777777" w:rsidR="00C00DD1" w:rsidRDefault="00C260EB">
      <w:pPr>
        <w:widowControl w:val="0"/>
        <w:spacing w:line="240" w:lineRule="auto"/>
        <w:ind w:left="567" w:hanging="567"/>
        <w:outlineLvl w:val="1"/>
        <w:rPr>
          <w:b/>
          <w:caps/>
          <w:snapToGrid/>
          <w:szCs w:val="22"/>
          <w:lang w:val="lt-LT"/>
        </w:rPr>
      </w:pPr>
      <w:r>
        <w:rPr>
          <w:b/>
          <w:snapToGrid/>
          <w:szCs w:val="22"/>
          <w:lang w:val="lt-LT"/>
        </w:rPr>
        <w:t>2.</w:t>
      </w:r>
      <w:r>
        <w:rPr>
          <w:b/>
          <w:snapToGrid/>
          <w:szCs w:val="22"/>
          <w:lang w:val="lt-LT"/>
        </w:rPr>
        <w:tab/>
        <w:t>KOKYBINĖ IR KIEKYBINĖ SUDĖTIS</w:t>
      </w:r>
    </w:p>
    <w:p w14:paraId="4FF07D3F" w14:textId="77777777" w:rsidR="00C00DD1" w:rsidRDefault="00C00DD1">
      <w:pPr>
        <w:widowControl w:val="0"/>
        <w:tabs>
          <w:tab w:val="clear" w:pos="567"/>
        </w:tabs>
        <w:spacing w:line="240" w:lineRule="auto"/>
        <w:rPr>
          <w:snapToGrid/>
          <w:szCs w:val="22"/>
          <w:lang w:val="lt-LT"/>
        </w:rPr>
      </w:pPr>
    </w:p>
    <w:p w14:paraId="5801C316"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Kiekvienoje tabletėje yra 5 mg </w:t>
      </w:r>
      <w:proofErr w:type="spellStart"/>
      <w:r>
        <w:rPr>
          <w:rFonts w:eastAsia="TimesNewRoman"/>
          <w:snapToGrid/>
          <w:szCs w:val="22"/>
          <w:lang w:val="lt-LT"/>
        </w:rPr>
        <w:t>perindoprilio</w:t>
      </w:r>
      <w:proofErr w:type="spellEnd"/>
      <w:r>
        <w:rPr>
          <w:rFonts w:eastAsia="TimesNewRoman"/>
          <w:snapToGrid/>
          <w:szCs w:val="22"/>
          <w:lang w:val="lt-LT"/>
        </w:rPr>
        <w:t xml:space="preserve"> </w:t>
      </w:r>
      <w:proofErr w:type="spellStart"/>
      <w:r>
        <w:rPr>
          <w:rFonts w:eastAsia="TimesNewRoman"/>
          <w:snapToGrid/>
          <w:szCs w:val="22"/>
          <w:lang w:val="lt-LT"/>
        </w:rPr>
        <w:t>arginino</w:t>
      </w:r>
      <w:proofErr w:type="spellEnd"/>
      <w:r>
        <w:rPr>
          <w:rFonts w:eastAsia="TimesNewRoman"/>
          <w:snapToGrid/>
          <w:szCs w:val="22"/>
          <w:lang w:val="lt-LT"/>
        </w:rPr>
        <w:t xml:space="preserve"> (atitinka 3,395 mg </w:t>
      </w:r>
      <w:proofErr w:type="spellStart"/>
      <w:r>
        <w:rPr>
          <w:rFonts w:eastAsia="TimesNewRoman"/>
          <w:snapToGrid/>
          <w:szCs w:val="22"/>
          <w:lang w:val="lt-LT"/>
        </w:rPr>
        <w:t>perindoprilio</w:t>
      </w:r>
      <w:proofErr w:type="spellEnd"/>
      <w:r>
        <w:rPr>
          <w:rFonts w:eastAsia="TimesNewRoman"/>
          <w:snapToGrid/>
          <w:szCs w:val="22"/>
          <w:lang w:val="lt-LT"/>
        </w:rPr>
        <w:t xml:space="preserve">) ir 1,25 mg </w:t>
      </w:r>
      <w:proofErr w:type="spellStart"/>
      <w:r>
        <w:rPr>
          <w:rFonts w:eastAsia="TimesNewRoman"/>
          <w:snapToGrid/>
          <w:szCs w:val="22"/>
          <w:lang w:val="lt-LT"/>
        </w:rPr>
        <w:t>indapamido</w:t>
      </w:r>
      <w:proofErr w:type="spellEnd"/>
      <w:r>
        <w:rPr>
          <w:rFonts w:eastAsia="TimesNewRoman"/>
          <w:snapToGrid/>
          <w:szCs w:val="22"/>
          <w:lang w:val="lt-LT"/>
        </w:rPr>
        <w:t>.</w:t>
      </w:r>
    </w:p>
    <w:p w14:paraId="56A5FDBB" w14:textId="77777777" w:rsidR="00C00DD1" w:rsidRDefault="00C00DD1">
      <w:pPr>
        <w:widowControl w:val="0"/>
        <w:tabs>
          <w:tab w:val="clear" w:pos="567"/>
        </w:tabs>
        <w:spacing w:line="240" w:lineRule="auto"/>
        <w:rPr>
          <w:rFonts w:eastAsia="TimesNewRoman"/>
          <w:snapToGrid/>
          <w:szCs w:val="22"/>
          <w:lang w:val="lt-LT"/>
        </w:rPr>
      </w:pPr>
    </w:p>
    <w:p w14:paraId="3903C780" w14:textId="77777777" w:rsidR="00C00DD1" w:rsidRDefault="00C260EB">
      <w:pPr>
        <w:widowControl w:val="0"/>
        <w:tabs>
          <w:tab w:val="clear" w:pos="567"/>
        </w:tabs>
        <w:spacing w:line="240" w:lineRule="auto"/>
        <w:rPr>
          <w:snapToGrid/>
          <w:szCs w:val="22"/>
          <w:lang w:val="lt-LT"/>
        </w:rPr>
      </w:pPr>
      <w:r>
        <w:rPr>
          <w:snapToGrid/>
          <w:szCs w:val="22"/>
          <w:lang w:val="lt-LT"/>
        </w:rPr>
        <w:t>Visos pagalbinės medžiagos išvardytos 6.1</w:t>
      </w:r>
      <w:r>
        <w:rPr>
          <w:snapToGrid/>
          <w:szCs w:val="24"/>
          <w:lang w:val="lt-LT"/>
        </w:rPr>
        <w:t> </w:t>
      </w:r>
      <w:r>
        <w:rPr>
          <w:snapToGrid/>
          <w:szCs w:val="22"/>
          <w:lang w:val="lt-LT"/>
        </w:rPr>
        <w:t>skyriuje.</w:t>
      </w:r>
    </w:p>
    <w:p w14:paraId="610947CC" w14:textId="77777777" w:rsidR="00C00DD1" w:rsidRDefault="00C00DD1">
      <w:pPr>
        <w:widowControl w:val="0"/>
        <w:tabs>
          <w:tab w:val="clear" w:pos="567"/>
        </w:tabs>
        <w:spacing w:line="240" w:lineRule="auto"/>
        <w:ind w:left="567" w:hanging="567"/>
        <w:rPr>
          <w:snapToGrid/>
          <w:szCs w:val="22"/>
          <w:lang w:val="lt-LT"/>
        </w:rPr>
      </w:pPr>
    </w:p>
    <w:p w14:paraId="3C145632" w14:textId="77777777" w:rsidR="00C00DD1" w:rsidRDefault="00C00DD1">
      <w:pPr>
        <w:widowControl w:val="0"/>
        <w:tabs>
          <w:tab w:val="clear" w:pos="567"/>
        </w:tabs>
        <w:spacing w:line="240" w:lineRule="auto"/>
        <w:ind w:left="567" w:hanging="567"/>
        <w:rPr>
          <w:snapToGrid/>
          <w:szCs w:val="22"/>
          <w:lang w:val="lt-LT"/>
        </w:rPr>
      </w:pPr>
    </w:p>
    <w:p w14:paraId="733B8404" w14:textId="77777777" w:rsidR="00C00DD1" w:rsidRDefault="00C260EB">
      <w:pPr>
        <w:widowControl w:val="0"/>
        <w:spacing w:line="240" w:lineRule="auto"/>
        <w:ind w:left="567" w:hanging="567"/>
        <w:outlineLvl w:val="1"/>
        <w:rPr>
          <w:b/>
          <w:snapToGrid/>
          <w:szCs w:val="22"/>
          <w:lang w:val="lt-LT"/>
        </w:rPr>
      </w:pPr>
      <w:r>
        <w:rPr>
          <w:b/>
          <w:snapToGrid/>
          <w:szCs w:val="22"/>
          <w:lang w:val="lt-LT"/>
        </w:rPr>
        <w:t>3.</w:t>
      </w:r>
      <w:r>
        <w:rPr>
          <w:b/>
          <w:snapToGrid/>
          <w:szCs w:val="22"/>
          <w:lang w:val="lt-LT"/>
        </w:rPr>
        <w:tab/>
        <w:t>FARMACINĖ FORMA</w:t>
      </w:r>
    </w:p>
    <w:p w14:paraId="4D449513" w14:textId="77777777" w:rsidR="00C00DD1" w:rsidRDefault="00C00DD1">
      <w:pPr>
        <w:widowControl w:val="0"/>
        <w:tabs>
          <w:tab w:val="clear" w:pos="567"/>
        </w:tabs>
        <w:spacing w:line="240" w:lineRule="auto"/>
        <w:rPr>
          <w:snapToGrid/>
          <w:szCs w:val="22"/>
          <w:highlight w:val="yellow"/>
          <w:lang w:val="lt-LT"/>
        </w:rPr>
      </w:pPr>
    </w:p>
    <w:p w14:paraId="5B17CB0C" w14:textId="77777777" w:rsidR="00C00DD1" w:rsidRDefault="00C260EB">
      <w:pPr>
        <w:widowControl w:val="0"/>
        <w:tabs>
          <w:tab w:val="clear" w:pos="567"/>
        </w:tabs>
        <w:spacing w:line="240" w:lineRule="auto"/>
        <w:rPr>
          <w:snapToGrid/>
          <w:szCs w:val="22"/>
          <w:lang w:val="lt-LT"/>
        </w:rPr>
      </w:pPr>
      <w:r>
        <w:rPr>
          <w:snapToGrid/>
          <w:szCs w:val="22"/>
          <w:lang w:val="lt-LT"/>
        </w:rPr>
        <w:t>Tabletė</w:t>
      </w:r>
    </w:p>
    <w:p w14:paraId="3AD580B3" w14:textId="77777777" w:rsidR="00C00DD1" w:rsidRDefault="00C00DD1">
      <w:pPr>
        <w:widowControl w:val="0"/>
        <w:tabs>
          <w:tab w:val="clear" w:pos="567"/>
        </w:tabs>
        <w:spacing w:line="240" w:lineRule="auto"/>
        <w:rPr>
          <w:snapToGrid/>
          <w:szCs w:val="22"/>
          <w:lang w:val="lt-LT"/>
        </w:rPr>
      </w:pPr>
    </w:p>
    <w:p w14:paraId="2BB717BD" w14:textId="77777777" w:rsidR="00C00DD1" w:rsidRDefault="00C260EB">
      <w:pPr>
        <w:widowControl w:val="0"/>
        <w:tabs>
          <w:tab w:val="clear" w:pos="567"/>
        </w:tabs>
        <w:spacing w:line="240" w:lineRule="auto"/>
        <w:rPr>
          <w:snapToGrid/>
          <w:color w:val="000000"/>
          <w:szCs w:val="22"/>
          <w:lang w:val="lt-LT"/>
        </w:rPr>
      </w:pPr>
      <w:r>
        <w:rPr>
          <w:snapToGrid/>
          <w:color w:val="000000"/>
          <w:szCs w:val="22"/>
          <w:lang w:val="lt-LT"/>
        </w:rPr>
        <w:t>Balta arba beveik balta kapsulės formos tabletė su vagele abiejose pusėse. Vienoje vagelės pusėje yra įspausta žyma „A“, kitoje – „1“. Tabletės matmenys: maždaug 8 mm x 5 mm.</w:t>
      </w:r>
    </w:p>
    <w:p w14:paraId="2A1676CB" w14:textId="77777777" w:rsidR="00C00DD1" w:rsidRDefault="00C260EB">
      <w:pPr>
        <w:widowControl w:val="0"/>
        <w:tabs>
          <w:tab w:val="clear" w:pos="567"/>
        </w:tabs>
        <w:spacing w:line="240" w:lineRule="auto"/>
        <w:rPr>
          <w:snapToGrid/>
          <w:szCs w:val="22"/>
          <w:lang w:val="lt-LT"/>
        </w:rPr>
      </w:pPr>
      <w:r>
        <w:rPr>
          <w:snapToGrid/>
          <w:szCs w:val="22"/>
          <w:lang w:val="lt-LT"/>
        </w:rPr>
        <w:t>Tabletę galima padalyti į lygias dozes.</w:t>
      </w:r>
    </w:p>
    <w:p w14:paraId="3AD80803" w14:textId="77777777" w:rsidR="00C00DD1" w:rsidRDefault="00C00DD1">
      <w:pPr>
        <w:widowControl w:val="0"/>
        <w:tabs>
          <w:tab w:val="clear" w:pos="567"/>
        </w:tabs>
        <w:spacing w:line="240" w:lineRule="auto"/>
        <w:ind w:left="567" w:hanging="567"/>
        <w:rPr>
          <w:snapToGrid/>
          <w:szCs w:val="22"/>
          <w:lang w:val="lt-LT"/>
        </w:rPr>
      </w:pPr>
    </w:p>
    <w:p w14:paraId="0CB832C2" w14:textId="77777777" w:rsidR="00C00DD1" w:rsidRDefault="00C00DD1">
      <w:pPr>
        <w:widowControl w:val="0"/>
        <w:tabs>
          <w:tab w:val="clear" w:pos="567"/>
        </w:tabs>
        <w:spacing w:line="240" w:lineRule="auto"/>
        <w:ind w:left="567" w:hanging="567"/>
        <w:rPr>
          <w:snapToGrid/>
          <w:szCs w:val="22"/>
          <w:lang w:val="lt-LT"/>
        </w:rPr>
      </w:pPr>
    </w:p>
    <w:p w14:paraId="118003E3" w14:textId="77777777" w:rsidR="00C00DD1" w:rsidRDefault="00C260EB">
      <w:pPr>
        <w:widowControl w:val="0"/>
        <w:spacing w:line="240" w:lineRule="auto"/>
        <w:ind w:left="567" w:hanging="567"/>
        <w:outlineLvl w:val="1"/>
        <w:rPr>
          <w:b/>
          <w:snapToGrid/>
          <w:szCs w:val="22"/>
          <w:lang w:val="lt-LT"/>
        </w:rPr>
      </w:pPr>
      <w:r>
        <w:rPr>
          <w:b/>
          <w:snapToGrid/>
          <w:szCs w:val="22"/>
          <w:lang w:val="lt-LT"/>
        </w:rPr>
        <w:t>4.</w:t>
      </w:r>
      <w:r>
        <w:rPr>
          <w:b/>
          <w:snapToGrid/>
          <w:szCs w:val="22"/>
          <w:lang w:val="lt-LT"/>
        </w:rPr>
        <w:tab/>
        <w:t>KLINIKINĖ INFORMACIJA</w:t>
      </w:r>
    </w:p>
    <w:p w14:paraId="7721D2E9" w14:textId="77777777" w:rsidR="00C00DD1" w:rsidRDefault="00C00DD1">
      <w:pPr>
        <w:widowControl w:val="0"/>
        <w:tabs>
          <w:tab w:val="clear" w:pos="567"/>
        </w:tabs>
        <w:spacing w:line="240" w:lineRule="auto"/>
        <w:ind w:left="567" w:hanging="567"/>
        <w:rPr>
          <w:snapToGrid/>
          <w:szCs w:val="22"/>
          <w:lang w:val="lt-LT"/>
        </w:rPr>
      </w:pPr>
    </w:p>
    <w:p w14:paraId="67A51E5E"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4.1</w:t>
      </w:r>
      <w:r>
        <w:rPr>
          <w:b/>
          <w:snapToGrid/>
          <w:kern w:val="28"/>
          <w:szCs w:val="22"/>
          <w:lang w:val="lt-LT"/>
        </w:rPr>
        <w:tab/>
        <w:t>Terapinės indikacijos</w:t>
      </w:r>
    </w:p>
    <w:p w14:paraId="448AE160" w14:textId="77777777" w:rsidR="00C00DD1" w:rsidRDefault="00C00DD1">
      <w:pPr>
        <w:widowControl w:val="0"/>
        <w:tabs>
          <w:tab w:val="clear" w:pos="567"/>
        </w:tabs>
        <w:spacing w:line="240" w:lineRule="auto"/>
        <w:ind w:left="567" w:hanging="567"/>
        <w:rPr>
          <w:snapToGrid/>
          <w:szCs w:val="22"/>
          <w:lang w:val="lt-LT"/>
        </w:rPr>
      </w:pPr>
    </w:p>
    <w:p w14:paraId="1EF508ED" w14:textId="77777777" w:rsidR="00C00DD1" w:rsidRDefault="00C260EB">
      <w:pPr>
        <w:widowControl w:val="0"/>
        <w:tabs>
          <w:tab w:val="clear" w:pos="567"/>
        </w:tabs>
        <w:autoSpaceDE w:val="0"/>
        <w:autoSpaceDN w:val="0"/>
        <w:adjustRightInd w:val="0"/>
        <w:spacing w:line="240" w:lineRule="auto"/>
        <w:rPr>
          <w:snapToGrid/>
          <w:szCs w:val="22"/>
          <w:lang w:val="lt-LT"/>
        </w:rPr>
      </w:pPr>
      <w:r>
        <w:rPr>
          <w:rFonts w:eastAsia="TimesNewRoman"/>
          <w:snapToGrid/>
          <w:szCs w:val="22"/>
          <w:lang w:val="lt-LT"/>
        </w:rPr>
        <w:t>Pirminės arterinės hipertenzijos gydymas suaugusiesiems. Perindopril arginine/indapamide Krka 5 mg/1,25 mg tablečių vartojama tuo atveju, jeigu vien perindopriliu kraujospūdis sureguliuojamas nepakankamai.</w:t>
      </w:r>
    </w:p>
    <w:p w14:paraId="396438E6" w14:textId="77777777" w:rsidR="00C00DD1" w:rsidRDefault="00C00DD1">
      <w:pPr>
        <w:widowControl w:val="0"/>
        <w:tabs>
          <w:tab w:val="clear" w:pos="567"/>
        </w:tabs>
        <w:autoSpaceDE w:val="0"/>
        <w:autoSpaceDN w:val="0"/>
        <w:adjustRightInd w:val="0"/>
        <w:spacing w:line="240" w:lineRule="auto"/>
        <w:rPr>
          <w:snapToGrid/>
          <w:szCs w:val="22"/>
          <w:lang w:val="lt-LT"/>
        </w:rPr>
      </w:pPr>
    </w:p>
    <w:p w14:paraId="54E7B05C" w14:textId="77777777" w:rsidR="00C00DD1" w:rsidRDefault="00C260EB">
      <w:pPr>
        <w:widowControl w:val="0"/>
        <w:spacing w:line="240" w:lineRule="auto"/>
        <w:ind w:left="567" w:hanging="567"/>
        <w:outlineLvl w:val="2"/>
        <w:rPr>
          <w:b/>
          <w:snapToGrid/>
          <w:szCs w:val="22"/>
          <w:lang w:val="lt-LT"/>
        </w:rPr>
      </w:pPr>
      <w:r>
        <w:rPr>
          <w:b/>
          <w:snapToGrid/>
          <w:kern w:val="28"/>
          <w:szCs w:val="22"/>
          <w:lang w:val="lt-LT"/>
        </w:rPr>
        <w:t>4.2</w:t>
      </w:r>
      <w:r>
        <w:rPr>
          <w:b/>
          <w:snapToGrid/>
          <w:kern w:val="28"/>
          <w:szCs w:val="22"/>
          <w:lang w:val="lt-LT"/>
        </w:rPr>
        <w:tab/>
        <w:t>Dozavimas ir vartojimo metodas</w:t>
      </w:r>
    </w:p>
    <w:p w14:paraId="5765AD56" w14:textId="77777777" w:rsidR="00C00DD1" w:rsidRDefault="00C00DD1">
      <w:pPr>
        <w:widowControl w:val="0"/>
        <w:tabs>
          <w:tab w:val="clear" w:pos="567"/>
        </w:tabs>
        <w:spacing w:line="240" w:lineRule="auto"/>
        <w:rPr>
          <w:bCs/>
          <w:snapToGrid/>
          <w:szCs w:val="22"/>
          <w:lang w:val="lt-LT"/>
        </w:rPr>
      </w:pPr>
    </w:p>
    <w:p w14:paraId="72B79601" w14:textId="77777777" w:rsidR="00C00DD1" w:rsidRDefault="00C260EB">
      <w:pPr>
        <w:widowControl w:val="0"/>
        <w:tabs>
          <w:tab w:val="clear" w:pos="567"/>
        </w:tabs>
        <w:spacing w:line="240" w:lineRule="auto"/>
        <w:rPr>
          <w:snapToGrid/>
          <w:szCs w:val="22"/>
          <w:u w:val="single"/>
          <w:lang w:val="lt-LT"/>
        </w:rPr>
      </w:pPr>
      <w:r>
        <w:rPr>
          <w:snapToGrid/>
          <w:szCs w:val="22"/>
          <w:u w:val="single"/>
          <w:lang w:val="lt-LT"/>
        </w:rPr>
        <w:t>Dozavimas</w:t>
      </w:r>
    </w:p>
    <w:p w14:paraId="0802956F" w14:textId="77777777" w:rsidR="00C00DD1" w:rsidRDefault="00C260EB">
      <w:pPr>
        <w:widowControl w:val="0"/>
        <w:tabs>
          <w:tab w:val="clear" w:pos="567"/>
        </w:tabs>
        <w:spacing w:line="240" w:lineRule="auto"/>
        <w:rPr>
          <w:snapToGrid/>
          <w:szCs w:val="22"/>
          <w:lang w:val="lt-LT"/>
        </w:rPr>
      </w:pPr>
      <w:r>
        <w:rPr>
          <w:snapToGrid/>
          <w:szCs w:val="22"/>
          <w:lang w:val="lt-LT"/>
        </w:rPr>
        <w:t>Viena Perindopril arginine/indapamide Krka 5 mg/1,25 mg tabletė geriama kartą per parą, geriausia ryte prieš pusryčius. Jeigu įmanoma, rekomenduojama nustatyti atskirų veikliųjų medžiagų dozes. Perindopril arginine/indapamide Krka 5 mg/1,25 mg tablečių reikia vartoti tuo atveju, jeigu kraujospūdžio nepavyksta tinkamai kontroliuoti 2,5 mg perindoprilio arginino ir 0,625 mg indapamido doze (puse Perindopril arginine/indapamide Krka 5 mg/1,25 mg tabletės).</w:t>
      </w:r>
    </w:p>
    <w:p w14:paraId="662B7A8B" w14:textId="77777777" w:rsidR="00C00DD1" w:rsidRDefault="00C260EB">
      <w:pPr>
        <w:widowControl w:val="0"/>
        <w:tabs>
          <w:tab w:val="clear" w:pos="567"/>
        </w:tabs>
        <w:spacing w:line="240" w:lineRule="auto"/>
        <w:rPr>
          <w:snapToGrid/>
          <w:szCs w:val="22"/>
          <w:lang w:val="lt-LT"/>
        </w:rPr>
      </w:pPr>
      <w:r>
        <w:rPr>
          <w:snapToGrid/>
          <w:szCs w:val="22"/>
          <w:lang w:val="lt-LT"/>
        </w:rPr>
        <w:t>Jeigu kliniškai tikslinga, galima apsvarstyti galimybę vieną vaistinį preparatą vartojantį pacientą iš karto pradėti gydyti Perindopril arginine/indapamide Krka 5 mg/1,25 mg tabletėmis.</w:t>
      </w:r>
    </w:p>
    <w:p w14:paraId="2D0921AE" w14:textId="77777777" w:rsidR="00C00DD1" w:rsidRDefault="00C00DD1">
      <w:pPr>
        <w:widowControl w:val="0"/>
        <w:tabs>
          <w:tab w:val="clear" w:pos="567"/>
        </w:tabs>
        <w:spacing w:line="240" w:lineRule="auto"/>
        <w:rPr>
          <w:snapToGrid/>
          <w:szCs w:val="22"/>
          <w:lang w:val="lt-LT"/>
        </w:rPr>
      </w:pPr>
    </w:p>
    <w:p w14:paraId="525DDB5D" w14:textId="77777777" w:rsidR="00C00DD1" w:rsidRDefault="00C260EB">
      <w:pPr>
        <w:widowControl w:val="0"/>
        <w:tabs>
          <w:tab w:val="clear" w:pos="567"/>
        </w:tabs>
        <w:spacing w:line="240" w:lineRule="auto"/>
        <w:rPr>
          <w:i/>
          <w:iCs/>
          <w:snapToGrid/>
          <w:szCs w:val="22"/>
          <w:lang w:val="lt-LT"/>
        </w:rPr>
      </w:pPr>
      <w:r>
        <w:rPr>
          <w:i/>
          <w:iCs/>
          <w:snapToGrid/>
          <w:szCs w:val="22"/>
          <w:lang w:val="lt-LT"/>
        </w:rPr>
        <w:t>Senyviems pacientams (žr. 4.4 skyrių)</w:t>
      </w:r>
    </w:p>
    <w:p w14:paraId="75B55FBD" w14:textId="77777777" w:rsidR="00C00DD1" w:rsidRDefault="00C260EB">
      <w:pPr>
        <w:widowControl w:val="0"/>
        <w:tabs>
          <w:tab w:val="clear" w:pos="567"/>
        </w:tabs>
        <w:spacing w:line="240" w:lineRule="auto"/>
        <w:rPr>
          <w:snapToGrid/>
          <w:szCs w:val="22"/>
          <w:lang w:val="lt-LT"/>
        </w:rPr>
      </w:pPr>
      <w:r>
        <w:rPr>
          <w:snapToGrid/>
          <w:szCs w:val="22"/>
          <w:lang w:val="lt-LT"/>
        </w:rPr>
        <w:t>Senyvus pacientus Perindopril arginine/indapamide Krka 5 mg/1,25 mg tabletėmis galima pradėti gydyti tik įvertinus kraujospūdžio reakciją ir inkstų funkciją.</w:t>
      </w:r>
    </w:p>
    <w:p w14:paraId="4A26D783" w14:textId="77777777" w:rsidR="00C00DD1" w:rsidRDefault="00C00DD1">
      <w:pPr>
        <w:widowControl w:val="0"/>
        <w:tabs>
          <w:tab w:val="clear" w:pos="567"/>
        </w:tabs>
        <w:spacing w:line="240" w:lineRule="auto"/>
        <w:rPr>
          <w:snapToGrid/>
          <w:szCs w:val="22"/>
          <w:lang w:val="lt-LT"/>
        </w:rPr>
      </w:pPr>
    </w:p>
    <w:p w14:paraId="4F268E30" w14:textId="77777777" w:rsidR="00C00DD1" w:rsidRDefault="00C260EB">
      <w:pPr>
        <w:widowControl w:val="0"/>
        <w:tabs>
          <w:tab w:val="clear" w:pos="567"/>
        </w:tabs>
        <w:spacing w:line="240" w:lineRule="auto"/>
        <w:rPr>
          <w:i/>
          <w:iCs/>
          <w:snapToGrid/>
          <w:szCs w:val="22"/>
          <w:lang w:val="lt-LT"/>
        </w:rPr>
      </w:pPr>
      <w:r>
        <w:rPr>
          <w:i/>
          <w:iCs/>
          <w:snapToGrid/>
          <w:szCs w:val="22"/>
          <w:lang w:val="lt-LT"/>
        </w:rPr>
        <w:t>Sutrikusi inkstų funkcija (žr. 4.4 skyrių)</w:t>
      </w:r>
    </w:p>
    <w:p w14:paraId="152999DD" w14:textId="77777777" w:rsidR="00C00DD1" w:rsidRDefault="00C260EB">
      <w:pPr>
        <w:widowControl w:val="0"/>
        <w:tabs>
          <w:tab w:val="clear" w:pos="567"/>
        </w:tabs>
        <w:spacing w:line="240" w:lineRule="auto"/>
        <w:rPr>
          <w:snapToGrid/>
          <w:szCs w:val="22"/>
          <w:lang w:val="lt-LT"/>
        </w:rPr>
      </w:pPr>
      <w:r>
        <w:rPr>
          <w:snapToGrid/>
          <w:szCs w:val="22"/>
          <w:lang w:val="lt-LT"/>
        </w:rPr>
        <w:t>Jeigu yra sunkus inkstų funkcijos sutrikimas (kreatinino klirensas yra mažesnis kaip 30 ml/min.), Perindopril arginine/indapamide Krka vartoti draudžiama.</w:t>
      </w:r>
    </w:p>
    <w:p w14:paraId="78005F44" w14:textId="77777777" w:rsidR="00C00DD1" w:rsidRDefault="00C260EB">
      <w:pPr>
        <w:widowControl w:val="0"/>
        <w:tabs>
          <w:tab w:val="clear" w:pos="567"/>
        </w:tabs>
        <w:spacing w:line="240" w:lineRule="auto"/>
        <w:rPr>
          <w:snapToGrid/>
          <w:szCs w:val="22"/>
          <w:lang w:val="lt-LT"/>
        </w:rPr>
      </w:pPr>
      <w:r>
        <w:rPr>
          <w:snapToGrid/>
          <w:szCs w:val="22"/>
          <w:lang w:val="lt-LT"/>
        </w:rPr>
        <w:t>Jeigu yra vidutinio sunkumo inkstų funkcijos sutrikimas (kreatinino klirensas yra 30–60 ml/min.), rekomenduojama pradėti gydymą tinkamomis atskirų veikliųjų medžiagų vaistinių preparatų dozėmis.</w:t>
      </w:r>
    </w:p>
    <w:p w14:paraId="4153A572" w14:textId="77777777" w:rsidR="00C00DD1" w:rsidRDefault="00C260EB">
      <w:pPr>
        <w:widowControl w:val="0"/>
        <w:tabs>
          <w:tab w:val="clear" w:pos="567"/>
        </w:tabs>
        <w:spacing w:line="240" w:lineRule="auto"/>
        <w:rPr>
          <w:snapToGrid/>
          <w:szCs w:val="22"/>
          <w:lang w:val="lt-LT"/>
        </w:rPr>
      </w:pPr>
      <w:r>
        <w:rPr>
          <w:snapToGrid/>
          <w:szCs w:val="22"/>
          <w:lang w:val="lt-LT"/>
        </w:rPr>
        <w:t>Jeigu kreatinino klirensas yra 60 ml/min. arba didesnis, dozės keisti nereikia.</w:t>
      </w:r>
    </w:p>
    <w:p w14:paraId="40FED610" w14:textId="77777777" w:rsidR="00C00DD1" w:rsidRDefault="00C00DD1">
      <w:pPr>
        <w:widowControl w:val="0"/>
        <w:tabs>
          <w:tab w:val="clear" w:pos="567"/>
        </w:tabs>
        <w:spacing w:line="240" w:lineRule="auto"/>
        <w:rPr>
          <w:snapToGrid/>
          <w:szCs w:val="22"/>
          <w:lang w:val="lt-LT"/>
        </w:rPr>
      </w:pPr>
    </w:p>
    <w:p w14:paraId="0B6700E1" w14:textId="77777777" w:rsidR="00C00DD1" w:rsidRDefault="00C260EB">
      <w:pPr>
        <w:widowControl w:val="0"/>
        <w:tabs>
          <w:tab w:val="clear" w:pos="567"/>
        </w:tabs>
        <w:spacing w:line="240" w:lineRule="auto"/>
        <w:rPr>
          <w:snapToGrid/>
          <w:szCs w:val="22"/>
          <w:lang w:val="lt-LT"/>
        </w:rPr>
      </w:pPr>
      <w:r>
        <w:rPr>
          <w:snapToGrid/>
          <w:szCs w:val="22"/>
          <w:lang w:val="lt-LT"/>
        </w:rPr>
        <w:t>Tokiems pacientams, be įprastinio medicininio stebėjimo, būtina dažnai tirti kreatinino ir kalio koncentraciją kraujyje.</w:t>
      </w:r>
    </w:p>
    <w:p w14:paraId="09995BC8" w14:textId="77777777" w:rsidR="00C00DD1" w:rsidRDefault="00C00DD1">
      <w:pPr>
        <w:widowControl w:val="0"/>
        <w:tabs>
          <w:tab w:val="clear" w:pos="567"/>
        </w:tabs>
        <w:spacing w:line="240" w:lineRule="auto"/>
        <w:rPr>
          <w:snapToGrid/>
          <w:szCs w:val="22"/>
          <w:lang w:val="lt-LT"/>
        </w:rPr>
      </w:pPr>
    </w:p>
    <w:p w14:paraId="5B62C94B" w14:textId="77777777" w:rsidR="00C00DD1" w:rsidRDefault="00C260EB">
      <w:pPr>
        <w:widowControl w:val="0"/>
        <w:tabs>
          <w:tab w:val="clear" w:pos="567"/>
        </w:tabs>
        <w:spacing w:line="240" w:lineRule="auto"/>
        <w:rPr>
          <w:i/>
          <w:iCs/>
          <w:snapToGrid/>
          <w:szCs w:val="22"/>
          <w:lang w:val="lt-LT"/>
        </w:rPr>
      </w:pPr>
      <w:r>
        <w:rPr>
          <w:i/>
          <w:iCs/>
          <w:snapToGrid/>
          <w:szCs w:val="22"/>
          <w:lang w:val="lt-LT"/>
        </w:rPr>
        <w:t>Sutrikusi kepenų funkcija (žr. 4.3, 4.4 ir 5.2 skyrius)</w:t>
      </w:r>
    </w:p>
    <w:p w14:paraId="77D12094" w14:textId="77777777" w:rsidR="00C00DD1" w:rsidRDefault="00C260EB">
      <w:pPr>
        <w:widowControl w:val="0"/>
        <w:tabs>
          <w:tab w:val="clear" w:pos="567"/>
        </w:tabs>
        <w:spacing w:line="240" w:lineRule="auto"/>
        <w:rPr>
          <w:snapToGrid/>
          <w:szCs w:val="22"/>
          <w:lang w:val="lt-LT"/>
        </w:rPr>
      </w:pPr>
      <w:r>
        <w:rPr>
          <w:snapToGrid/>
          <w:szCs w:val="22"/>
          <w:lang w:val="lt-LT"/>
        </w:rPr>
        <w:t xml:space="preserve">Jeigu yra sunkus kepenų funkcijos sutrikimas, Perindopril arginine/indapamide Krka vartoti </w:t>
      </w:r>
      <w:r>
        <w:rPr>
          <w:snapToGrid/>
          <w:szCs w:val="22"/>
          <w:lang w:val="lt-LT"/>
        </w:rPr>
        <w:lastRenderedPageBreak/>
        <w:t>draudžiama.</w:t>
      </w:r>
    </w:p>
    <w:p w14:paraId="2CDBC1E8" w14:textId="77777777" w:rsidR="00C00DD1" w:rsidRDefault="00C260EB">
      <w:pPr>
        <w:widowControl w:val="0"/>
        <w:tabs>
          <w:tab w:val="clear" w:pos="567"/>
        </w:tabs>
        <w:spacing w:line="240" w:lineRule="auto"/>
        <w:rPr>
          <w:snapToGrid/>
          <w:szCs w:val="22"/>
          <w:lang w:val="lt-LT"/>
        </w:rPr>
      </w:pPr>
      <w:r>
        <w:rPr>
          <w:snapToGrid/>
          <w:szCs w:val="22"/>
          <w:lang w:val="lt-LT"/>
        </w:rPr>
        <w:t>Jeigu yra vidutinio sunkumo kepenų funkcijos sutrikimas, dozės keisti nereikia.</w:t>
      </w:r>
    </w:p>
    <w:p w14:paraId="05AAA9BE" w14:textId="77777777" w:rsidR="00C00DD1" w:rsidRDefault="00C00DD1">
      <w:pPr>
        <w:widowControl w:val="0"/>
        <w:tabs>
          <w:tab w:val="clear" w:pos="567"/>
        </w:tabs>
        <w:spacing w:line="240" w:lineRule="auto"/>
        <w:rPr>
          <w:snapToGrid/>
          <w:szCs w:val="22"/>
          <w:lang w:val="lt-LT"/>
        </w:rPr>
      </w:pPr>
    </w:p>
    <w:p w14:paraId="7F3E83EF" w14:textId="77777777" w:rsidR="00C00DD1" w:rsidRDefault="00C260EB">
      <w:pPr>
        <w:widowControl w:val="0"/>
        <w:tabs>
          <w:tab w:val="clear" w:pos="567"/>
        </w:tabs>
        <w:spacing w:line="240" w:lineRule="auto"/>
        <w:rPr>
          <w:i/>
          <w:iCs/>
          <w:snapToGrid/>
          <w:szCs w:val="22"/>
          <w:lang w:val="lt-LT"/>
        </w:rPr>
      </w:pPr>
      <w:r>
        <w:rPr>
          <w:i/>
          <w:iCs/>
          <w:snapToGrid/>
          <w:szCs w:val="22"/>
          <w:lang w:val="lt-LT"/>
        </w:rPr>
        <w:t>Vaikų populiacija</w:t>
      </w:r>
    </w:p>
    <w:p w14:paraId="1C586495" w14:textId="77777777" w:rsidR="00C00DD1" w:rsidRDefault="00C260EB">
      <w:pPr>
        <w:widowControl w:val="0"/>
        <w:tabs>
          <w:tab w:val="clear" w:pos="567"/>
        </w:tabs>
        <w:spacing w:line="240" w:lineRule="auto"/>
        <w:rPr>
          <w:snapToGrid/>
          <w:szCs w:val="22"/>
          <w:lang w:val="lt-LT"/>
        </w:rPr>
      </w:pPr>
      <w:r>
        <w:rPr>
          <w:snapToGrid/>
          <w:szCs w:val="22"/>
          <w:lang w:val="lt-LT"/>
        </w:rPr>
        <w:t>Perindoprilio arginino/indapamido</w:t>
      </w:r>
      <w:r>
        <w:rPr>
          <w:lang w:val="lt-LT"/>
        </w:rPr>
        <w:t xml:space="preserve"> </w:t>
      </w:r>
      <w:r>
        <w:rPr>
          <w:snapToGrid/>
          <w:szCs w:val="22"/>
          <w:lang w:val="lt-LT"/>
        </w:rPr>
        <w:t>saugumas ir veiksmingumas vaikams dar neištirti. Duomenų nėra.</w:t>
      </w:r>
    </w:p>
    <w:p w14:paraId="06176C3E" w14:textId="77777777" w:rsidR="00C00DD1" w:rsidRDefault="00C260EB">
      <w:pPr>
        <w:widowControl w:val="0"/>
        <w:tabs>
          <w:tab w:val="clear" w:pos="567"/>
        </w:tabs>
        <w:spacing w:line="240" w:lineRule="auto"/>
        <w:rPr>
          <w:snapToGrid/>
          <w:szCs w:val="22"/>
          <w:lang w:val="lt-LT"/>
        </w:rPr>
      </w:pPr>
      <w:r>
        <w:rPr>
          <w:snapToGrid/>
          <w:szCs w:val="22"/>
          <w:lang w:val="lt-LT"/>
        </w:rPr>
        <w:t>Perindopril arginine/indapamide Krka negalima vartoti vaikams ir paaugliams.</w:t>
      </w:r>
    </w:p>
    <w:p w14:paraId="4BA03E45" w14:textId="77777777" w:rsidR="00C00DD1" w:rsidRDefault="00C00DD1">
      <w:pPr>
        <w:widowControl w:val="0"/>
        <w:tabs>
          <w:tab w:val="clear" w:pos="567"/>
        </w:tabs>
        <w:spacing w:line="240" w:lineRule="auto"/>
        <w:rPr>
          <w:snapToGrid/>
          <w:szCs w:val="22"/>
          <w:lang w:val="lt-LT"/>
        </w:rPr>
      </w:pPr>
    </w:p>
    <w:p w14:paraId="5D81BC4C" w14:textId="77777777" w:rsidR="00C00DD1" w:rsidRDefault="00C260EB">
      <w:pPr>
        <w:widowControl w:val="0"/>
        <w:tabs>
          <w:tab w:val="clear" w:pos="567"/>
        </w:tabs>
        <w:spacing w:line="240" w:lineRule="auto"/>
        <w:rPr>
          <w:snapToGrid/>
          <w:szCs w:val="22"/>
          <w:u w:val="single"/>
          <w:lang w:val="lt-LT"/>
        </w:rPr>
      </w:pPr>
      <w:r>
        <w:rPr>
          <w:snapToGrid/>
          <w:szCs w:val="22"/>
          <w:u w:val="single"/>
          <w:lang w:val="lt-LT"/>
        </w:rPr>
        <w:t>Vartojimo metodas</w:t>
      </w:r>
    </w:p>
    <w:p w14:paraId="5521AAA4" w14:textId="77777777" w:rsidR="00C00DD1" w:rsidRDefault="00C00DD1">
      <w:pPr>
        <w:widowControl w:val="0"/>
        <w:tabs>
          <w:tab w:val="clear" w:pos="567"/>
        </w:tabs>
        <w:spacing w:line="240" w:lineRule="auto"/>
        <w:rPr>
          <w:snapToGrid/>
          <w:szCs w:val="22"/>
          <w:lang w:val="lt-LT"/>
        </w:rPr>
      </w:pPr>
    </w:p>
    <w:p w14:paraId="079C3929" w14:textId="77777777" w:rsidR="00C00DD1" w:rsidRDefault="00C260EB">
      <w:pPr>
        <w:widowControl w:val="0"/>
        <w:tabs>
          <w:tab w:val="clear" w:pos="567"/>
        </w:tabs>
        <w:spacing w:line="240" w:lineRule="auto"/>
        <w:rPr>
          <w:snapToGrid/>
          <w:szCs w:val="22"/>
          <w:lang w:val="lt-LT"/>
        </w:rPr>
      </w:pPr>
      <w:r>
        <w:rPr>
          <w:snapToGrid/>
          <w:szCs w:val="22"/>
          <w:lang w:val="lt-LT"/>
        </w:rPr>
        <w:t>Vartoti per burną.</w:t>
      </w:r>
    </w:p>
    <w:p w14:paraId="0F499CBC" w14:textId="77777777" w:rsidR="00C00DD1" w:rsidRDefault="00C00DD1">
      <w:pPr>
        <w:widowControl w:val="0"/>
        <w:tabs>
          <w:tab w:val="clear" w:pos="567"/>
        </w:tabs>
        <w:spacing w:line="240" w:lineRule="auto"/>
        <w:ind w:left="567" w:hanging="567"/>
        <w:rPr>
          <w:snapToGrid/>
          <w:szCs w:val="22"/>
          <w:lang w:val="lt-LT"/>
        </w:rPr>
      </w:pPr>
    </w:p>
    <w:p w14:paraId="160E8CAD"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4.3</w:t>
      </w:r>
      <w:r>
        <w:rPr>
          <w:b/>
          <w:snapToGrid/>
          <w:kern w:val="28"/>
          <w:szCs w:val="22"/>
          <w:lang w:val="lt-LT"/>
        </w:rPr>
        <w:tab/>
        <w:t>Kontraindikacijos</w:t>
      </w:r>
    </w:p>
    <w:p w14:paraId="47377B0D" w14:textId="77777777" w:rsidR="00C00DD1" w:rsidRDefault="00C00DD1">
      <w:pPr>
        <w:widowControl w:val="0"/>
        <w:tabs>
          <w:tab w:val="clear" w:pos="567"/>
        </w:tabs>
        <w:spacing w:line="240" w:lineRule="auto"/>
        <w:ind w:left="567" w:hanging="567"/>
        <w:rPr>
          <w:snapToGrid/>
          <w:szCs w:val="22"/>
          <w:lang w:val="lt-LT"/>
        </w:rPr>
      </w:pPr>
    </w:p>
    <w:p w14:paraId="36787006"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perindopriliu:</w:t>
      </w:r>
    </w:p>
    <w:p w14:paraId="456E68E7"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Padidėjęs jautrumas veikliajai medžiagai arba bet kuriam kitam angiotenziną konvertuojančio fermento (AKF) inhibitoriui.</w:t>
      </w:r>
    </w:p>
    <w:p w14:paraId="37BB2DC6"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Buvusi angioneurozinė edema (Kvinkės edema), susijusi su ankstesniu gydymu AKF inhibitoriais (žr. 4.4 skyrių).</w:t>
      </w:r>
    </w:p>
    <w:p w14:paraId="22D7E630"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Įgimta ar idiopatinė angioneurozinė edema.</w:t>
      </w:r>
    </w:p>
    <w:p w14:paraId="4FA6906F" w14:textId="77777777" w:rsidR="00C00DD1" w:rsidRDefault="00C260EB">
      <w:pPr>
        <w:widowControl w:val="0"/>
        <w:numPr>
          <w:ilvl w:val="0"/>
          <w:numId w:val="14"/>
        </w:numPr>
        <w:tabs>
          <w:tab w:val="clear" w:pos="567"/>
        </w:tabs>
        <w:spacing w:line="240" w:lineRule="auto"/>
        <w:jc w:val="both"/>
        <w:rPr>
          <w:snapToGrid/>
          <w:szCs w:val="22"/>
          <w:lang w:val="lt-LT" w:eastAsia="sl-SI"/>
        </w:rPr>
      </w:pPr>
      <w:r>
        <w:rPr>
          <w:snapToGrid/>
          <w:szCs w:val="22"/>
          <w:lang w:val="lt-LT" w:eastAsia="sl-SI"/>
        </w:rPr>
        <w:t>Antras ir trečias nėštumo trimestrai (žr. 4.4 ir 4.6 skyrius).</w:t>
      </w:r>
    </w:p>
    <w:p w14:paraId="43FFD9BA" w14:textId="77777777" w:rsidR="00C00DD1" w:rsidRDefault="00C260EB">
      <w:pPr>
        <w:widowControl w:val="0"/>
        <w:numPr>
          <w:ilvl w:val="0"/>
          <w:numId w:val="14"/>
        </w:numPr>
        <w:tabs>
          <w:tab w:val="clear" w:pos="567"/>
        </w:tabs>
        <w:spacing w:line="240" w:lineRule="auto"/>
        <w:contextualSpacing/>
        <w:rPr>
          <w:iCs/>
          <w:snapToGrid/>
          <w:szCs w:val="22"/>
          <w:lang w:val="lt-LT"/>
        </w:rPr>
      </w:pPr>
      <w:r>
        <w:rPr>
          <w:rFonts w:eastAsia="Calibri"/>
          <w:iCs/>
          <w:snapToGrid/>
          <w:szCs w:val="22"/>
          <w:lang w:val="lt-LT"/>
        </w:rPr>
        <w:t>Pacientams, kurie serga cukriniu diabetu arba kurių inkstų funkcija sutrikusi (GFG &lt; 60 ml/min./1,73 m</w:t>
      </w:r>
      <w:r>
        <w:rPr>
          <w:rFonts w:eastAsia="Calibri"/>
          <w:iCs/>
          <w:snapToGrid/>
          <w:szCs w:val="22"/>
          <w:vertAlign w:val="superscript"/>
          <w:lang w:val="lt-LT"/>
        </w:rPr>
        <w:t>2</w:t>
      </w:r>
      <w:r>
        <w:rPr>
          <w:rFonts w:eastAsia="Calibri"/>
          <w:iCs/>
          <w:snapToGrid/>
          <w:szCs w:val="22"/>
          <w:lang w:val="lt-LT"/>
        </w:rPr>
        <w:t>), Perindopril arginine/indapamide Krka draudžiama vartoti kartu su vaistiniais preparatais, kurių sudėtyje yra aliskireno (žr. 4.5 ir 5.1 skyrius).</w:t>
      </w:r>
    </w:p>
    <w:p w14:paraId="49508185" w14:textId="77777777" w:rsidR="00C00DD1" w:rsidRDefault="00C260EB">
      <w:pPr>
        <w:widowControl w:val="0"/>
        <w:numPr>
          <w:ilvl w:val="0"/>
          <w:numId w:val="14"/>
        </w:numPr>
        <w:spacing w:line="240" w:lineRule="auto"/>
        <w:contextualSpacing/>
        <w:rPr>
          <w:snapToGrid/>
          <w:szCs w:val="22"/>
          <w:lang w:val="lt-LT" w:eastAsia="sl-SI"/>
        </w:rPr>
      </w:pPr>
      <w:r>
        <w:rPr>
          <w:snapToGrid/>
          <w:szCs w:val="22"/>
          <w:lang w:val="lt-LT" w:eastAsia="sl-SI"/>
        </w:rPr>
        <w:t>Vartojimas kartu su sakubitrilu/valsartanu (žr. 4.4 ir 4.5 skyrius).</w:t>
      </w:r>
    </w:p>
    <w:p w14:paraId="3085BA10" w14:textId="77777777" w:rsidR="00C00DD1" w:rsidRDefault="00C260EB">
      <w:pPr>
        <w:widowControl w:val="0"/>
        <w:numPr>
          <w:ilvl w:val="0"/>
          <w:numId w:val="14"/>
        </w:numPr>
        <w:spacing w:line="240" w:lineRule="auto"/>
        <w:contextualSpacing/>
        <w:rPr>
          <w:snapToGrid/>
          <w:szCs w:val="22"/>
          <w:lang w:val="lt-LT" w:eastAsia="sl-SI"/>
        </w:rPr>
      </w:pPr>
      <w:r>
        <w:rPr>
          <w:snapToGrid/>
          <w:szCs w:val="22"/>
          <w:lang w:val="lt-LT" w:eastAsia="sl-SI"/>
        </w:rPr>
        <w:t>Ekstrakorporinis gydymas, dėl kurio kraujas sąveikauja su neigiamą krūvį turinčiais paviršiais (žr. 4.5 skyrių).</w:t>
      </w:r>
    </w:p>
    <w:p w14:paraId="153FBD20" w14:textId="77777777" w:rsidR="00C00DD1" w:rsidRDefault="00C260EB">
      <w:pPr>
        <w:widowControl w:val="0"/>
        <w:numPr>
          <w:ilvl w:val="0"/>
          <w:numId w:val="14"/>
        </w:numPr>
        <w:spacing w:line="240" w:lineRule="auto"/>
        <w:contextualSpacing/>
        <w:rPr>
          <w:snapToGrid/>
          <w:szCs w:val="22"/>
          <w:lang w:val="lt-LT" w:eastAsia="sl-SI"/>
        </w:rPr>
      </w:pPr>
      <w:r>
        <w:rPr>
          <w:snapToGrid/>
          <w:szCs w:val="22"/>
          <w:lang w:val="lt-LT" w:eastAsia="sl-SI"/>
        </w:rPr>
        <w:t>Reikšminga abiejų inkstų arterijų stenozė arba vienintelio funkcionuojančio inksto arterijos stenozė (žr. 4.4 skyrių).</w:t>
      </w:r>
    </w:p>
    <w:p w14:paraId="494728C6" w14:textId="77777777" w:rsidR="00C00DD1" w:rsidRDefault="00C00DD1">
      <w:pPr>
        <w:widowControl w:val="0"/>
        <w:tabs>
          <w:tab w:val="clear" w:pos="567"/>
        </w:tabs>
        <w:spacing w:line="240" w:lineRule="auto"/>
        <w:rPr>
          <w:snapToGrid/>
          <w:szCs w:val="22"/>
          <w:lang w:val="lt-LT" w:eastAsia="sl-SI"/>
        </w:rPr>
      </w:pPr>
    </w:p>
    <w:p w14:paraId="49F41DF4"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indapamidu:</w:t>
      </w:r>
    </w:p>
    <w:p w14:paraId="352DF44E"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Padidėjęs jautrumas veikliajai medžiagai arba bet kuriam kitam sulfonamidui.</w:t>
      </w:r>
    </w:p>
    <w:p w14:paraId="3F0225EF"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Sunkus inkstų funkcijos sutrikimas (kreatinino klirensas mažesnis kaip 30 ml/min.).</w:t>
      </w:r>
    </w:p>
    <w:p w14:paraId="5076143F"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Hepatinė encefalopatija.</w:t>
      </w:r>
    </w:p>
    <w:p w14:paraId="5CF3873B"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Sunkus kepenų funkcijos sutrikimas.</w:t>
      </w:r>
    </w:p>
    <w:p w14:paraId="0597D42E"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Hipokalemija.</w:t>
      </w:r>
    </w:p>
    <w:p w14:paraId="2CB391D9" w14:textId="77777777" w:rsidR="00C00DD1" w:rsidRDefault="00C00DD1">
      <w:pPr>
        <w:widowControl w:val="0"/>
        <w:tabs>
          <w:tab w:val="clear" w:pos="567"/>
        </w:tabs>
        <w:spacing w:line="240" w:lineRule="auto"/>
        <w:rPr>
          <w:snapToGrid/>
          <w:szCs w:val="22"/>
          <w:lang w:val="lt-LT" w:eastAsia="sl-SI"/>
        </w:rPr>
      </w:pPr>
    </w:p>
    <w:p w14:paraId="7FEF00F4"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 arginine/indapamide Krka:</w:t>
      </w:r>
    </w:p>
    <w:p w14:paraId="0F0489A7"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Padidėjęs jautrumas bet kuriai 6.1 skyriuje nurodytai pagalbinei medžiagai.</w:t>
      </w:r>
    </w:p>
    <w:p w14:paraId="3C218CA2" w14:textId="77777777" w:rsidR="00C00DD1" w:rsidRDefault="00C00DD1">
      <w:pPr>
        <w:widowControl w:val="0"/>
        <w:tabs>
          <w:tab w:val="clear" w:pos="567"/>
        </w:tabs>
        <w:spacing w:line="240" w:lineRule="auto"/>
        <w:rPr>
          <w:snapToGrid/>
          <w:szCs w:val="22"/>
          <w:lang w:val="lt-LT" w:eastAsia="sl-SI"/>
        </w:rPr>
      </w:pPr>
    </w:p>
    <w:p w14:paraId="6E1CE8D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Kadangi trūksta gydymo patirties, Perindopril arginine/indapamide Krka tablečių draudžiama vartoti:</w:t>
      </w:r>
    </w:p>
    <w:p w14:paraId="661D263E"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dializėmis gydomiems pacientams;</w:t>
      </w:r>
    </w:p>
    <w:p w14:paraId="075103E6"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pacientams, sergantiems negydytu dekompensuotu širdies nepakankamumu.</w:t>
      </w:r>
    </w:p>
    <w:p w14:paraId="4A0F4D32"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48114B4F" w14:textId="77777777" w:rsidR="00C00DD1" w:rsidRDefault="00C260EB">
      <w:pPr>
        <w:widowControl w:val="0"/>
        <w:spacing w:line="240" w:lineRule="auto"/>
        <w:ind w:left="567" w:hanging="567"/>
        <w:outlineLvl w:val="2"/>
        <w:rPr>
          <w:b/>
          <w:snapToGrid/>
          <w:szCs w:val="22"/>
          <w:lang w:val="lt-LT"/>
        </w:rPr>
      </w:pPr>
      <w:r>
        <w:rPr>
          <w:b/>
          <w:snapToGrid/>
          <w:kern w:val="28"/>
          <w:szCs w:val="22"/>
          <w:lang w:val="lt-LT"/>
        </w:rPr>
        <w:t>4.4</w:t>
      </w:r>
      <w:r>
        <w:rPr>
          <w:b/>
          <w:snapToGrid/>
          <w:kern w:val="28"/>
          <w:szCs w:val="22"/>
          <w:lang w:val="lt-LT"/>
        </w:rPr>
        <w:tab/>
        <w:t>Specialūs įspėjimai ir atsargumo priemonės</w:t>
      </w:r>
    </w:p>
    <w:p w14:paraId="5A82EEDD" w14:textId="77777777" w:rsidR="00C00DD1" w:rsidRDefault="00C00DD1">
      <w:pPr>
        <w:widowControl w:val="0"/>
        <w:tabs>
          <w:tab w:val="clear" w:pos="567"/>
        </w:tabs>
        <w:spacing w:line="240" w:lineRule="auto"/>
        <w:ind w:left="567" w:hanging="567"/>
        <w:rPr>
          <w:bCs/>
          <w:snapToGrid/>
          <w:szCs w:val="22"/>
          <w:lang w:val="lt-LT"/>
        </w:rPr>
      </w:pPr>
    </w:p>
    <w:p w14:paraId="6C1273F7"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Specialūs įspėjimai</w:t>
      </w:r>
    </w:p>
    <w:p w14:paraId="1AF7C936" w14:textId="77777777" w:rsidR="00C00DD1" w:rsidRDefault="00C00DD1">
      <w:pPr>
        <w:widowControl w:val="0"/>
        <w:tabs>
          <w:tab w:val="clear" w:pos="567"/>
        </w:tabs>
        <w:spacing w:line="240" w:lineRule="auto"/>
        <w:rPr>
          <w:snapToGrid/>
          <w:szCs w:val="22"/>
          <w:lang w:val="lt-LT" w:eastAsia="sl-SI"/>
        </w:rPr>
      </w:pPr>
    </w:p>
    <w:p w14:paraId="2EEEE779" w14:textId="77777777" w:rsidR="00C00DD1" w:rsidRDefault="00C260EB">
      <w:pPr>
        <w:widowControl w:val="0"/>
        <w:tabs>
          <w:tab w:val="clear" w:pos="567"/>
        </w:tabs>
        <w:spacing w:line="240" w:lineRule="auto"/>
        <w:rPr>
          <w:i/>
          <w:iCs/>
          <w:snapToGrid/>
          <w:szCs w:val="22"/>
          <w:u w:val="single"/>
          <w:lang w:val="lt-LT" w:eastAsia="sl-SI"/>
        </w:rPr>
      </w:pPr>
      <w:r>
        <w:rPr>
          <w:i/>
          <w:iCs/>
          <w:snapToGrid/>
          <w:szCs w:val="22"/>
          <w:u w:val="single"/>
          <w:lang w:val="lt-LT" w:eastAsia="sl-SI"/>
        </w:rPr>
        <w:t>Bendrieji įspėjimai, susiję su perindopriliu ir indapamidu:</w:t>
      </w:r>
    </w:p>
    <w:p w14:paraId="1E32D20B" w14:textId="77777777" w:rsidR="00C00DD1" w:rsidRDefault="00C00DD1">
      <w:pPr>
        <w:widowControl w:val="0"/>
        <w:tabs>
          <w:tab w:val="clear" w:pos="567"/>
        </w:tabs>
        <w:spacing w:line="240" w:lineRule="auto"/>
        <w:rPr>
          <w:snapToGrid/>
          <w:szCs w:val="22"/>
          <w:lang w:val="lt-LT" w:eastAsia="sl-SI"/>
        </w:rPr>
      </w:pPr>
    </w:p>
    <w:p w14:paraId="1EB0B59B"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Litis</w:t>
      </w:r>
    </w:p>
    <w:p w14:paraId="7C33CB5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Paprastai ličio vaistinių preparatų nerekomenduojama vartoti kartu su kombinuotuoju perindoprilio ir indapamido vaistiniu preparatu (žr. 4.5 skyrių).</w:t>
      </w:r>
    </w:p>
    <w:p w14:paraId="6A0C556A" w14:textId="77777777" w:rsidR="00C00DD1" w:rsidRDefault="00C00DD1">
      <w:pPr>
        <w:widowControl w:val="0"/>
        <w:tabs>
          <w:tab w:val="clear" w:pos="567"/>
        </w:tabs>
        <w:spacing w:line="240" w:lineRule="auto"/>
        <w:rPr>
          <w:snapToGrid/>
          <w:szCs w:val="22"/>
          <w:lang w:val="lt-LT" w:eastAsia="sl-SI"/>
        </w:rPr>
      </w:pPr>
    </w:p>
    <w:p w14:paraId="7635C61B"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 su perindopriliu:</w:t>
      </w:r>
    </w:p>
    <w:p w14:paraId="07FDEAA8" w14:textId="77777777" w:rsidR="00C00DD1" w:rsidRDefault="00C00DD1">
      <w:pPr>
        <w:widowControl w:val="0"/>
        <w:tabs>
          <w:tab w:val="clear" w:pos="567"/>
        </w:tabs>
        <w:spacing w:line="240" w:lineRule="auto"/>
        <w:rPr>
          <w:i/>
          <w:snapToGrid/>
          <w:szCs w:val="22"/>
          <w:u w:val="single"/>
          <w:lang w:val="lt-LT" w:eastAsia="sl-SI"/>
        </w:rPr>
      </w:pPr>
    </w:p>
    <w:p w14:paraId="331FD16D" w14:textId="77777777" w:rsidR="00C00DD1" w:rsidRDefault="00C260EB">
      <w:pPr>
        <w:widowControl w:val="0"/>
        <w:spacing w:line="240" w:lineRule="auto"/>
        <w:rPr>
          <w:i/>
          <w:snapToGrid/>
          <w:szCs w:val="22"/>
          <w:lang w:val="lt-LT" w:eastAsia="sl-SI"/>
        </w:rPr>
      </w:pPr>
      <w:r>
        <w:rPr>
          <w:i/>
          <w:snapToGrid/>
          <w:szCs w:val="22"/>
          <w:lang w:val="lt-LT" w:eastAsia="sl-SI"/>
        </w:rPr>
        <w:t>Dvigubas renino, angiotenzino ir aldosterono sistemos (RAAS) nuslopinimas</w:t>
      </w:r>
    </w:p>
    <w:p w14:paraId="66B20462" w14:textId="77777777" w:rsidR="00C00DD1" w:rsidRDefault="00C260EB">
      <w:pPr>
        <w:widowControl w:val="0"/>
        <w:spacing w:line="240" w:lineRule="auto"/>
        <w:rPr>
          <w:snapToGrid/>
          <w:szCs w:val="22"/>
          <w:lang w:val="lt-LT" w:eastAsia="sl-SI"/>
        </w:rPr>
      </w:pPr>
      <w:r>
        <w:rPr>
          <w:snapToGrid/>
          <w:szCs w:val="22"/>
          <w:lang w:val="lt-LT" w:eastAsia="sl-SI"/>
        </w:rPr>
        <w:t xml:space="preserve">Turima įrodymų, kad kartu vartojant AKF inhibitorių, angiotenzino II receptorių blokatorių ar </w:t>
      </w:r>
      <w:r>
        <w:rPr>
          <w:snapToGrid/>
          <w:szCs w:val="22"/>
          <w:lang w:val="lt-LT" w:eastAsia="sl-SI"/>
        </w:rPr>
        <w:lastRenderedPageBreak/>
        <w:t>aliskireną padidėja hipotenzijos, hiperkalemijos ir inkstų funkcijos susilpnėjimo (įskaitant ūminį inkstų nepakankamumą) rizika. Todėl nerekomenduojama dvigubai nuslopinti RAAS, vartojant AKF inhibitorių, angiotenzino II receptorių blokatorių ar aliskireno derinį (žr. 4.5 ir 5.1 skyrius).</w:t>
      </w:r>
    </w:p>
    <w:p w14:paraId="565F0FDF" w14:textId="77777777" w:rsidR="00C00DD1" w:rsidRDefault="00C260EB">
      <w:pPr>
        <w:widowControl w:val="0"/>
        <w:spacing w:line="240" w:lineRule="auto"/>
        <w:rPr>
          <w:snapToGrid/>
          <w:szCs w:val="22"/>
          <w:lang w:val="lt-LT" w:eastAsia="sl-SI"/>
        </w:rPr>
      </w:pPr>
      <w:r>
        <w:rPr>
          <w:snapToGrid/>
          <w:szCs w:val="22"/>
          <w:lang w:val="lt-LT" w:eastAsia="sl-SI"/>
        </w:rPr>
        <w:t>Vis dėlto, jeigu dvigubas nuslopinimas laikomas absoliučiai būtinu, šis gydymas turi būti atliekamas tik prižiūrint specialistams ir dažnai bei atidžiai tiriant inkstų funkciją, elektrolitų koncentraciją bei kraujospūdį.</w:t>
      </w:r>
    </w:p>
    <w:p w14:paraId="17F0C9E9" w14:textId="77777777" w:rsidR="00C00DD1" w:rsidRDefault="00C260EB">
      <w:pPr>
        <w:widowControl w:val="0"/>
        <w:spacing w:line="240" w:lineRule="auto"/>
        <w:rPr>
          <w:snapToGrid/>
          <w:szCs w:val="22"/>
          <w:lang w:val="lt-LT" w:eastAsia="sl-SI"/>
        </w:rPr>
      </w:pPr>
      <w:r>
        <w:rPr>
          <w:snapToGrid/>
          <w:szCs w:val="22"/>
          <w:lang w:val="lt-LT" w:eastAsia="sl-SI"/>
        </w:rPr>
        <w:t>Pacientams, sergantiems diabetine nefropatija, negalima kartu vartoti AKF inhibitorių ir angiotenzino II receptorių blokatorių.</w:t>
      </w:r>
    </w:p>
    <w:p w14:paraId="0B7EB8B4" w14:textId="77777777" w:rsidR="00C00DD1" w:rsidRDefault="00C00DD1">
      <w:pPr>
        <w:widowControl w:val="0"/>
        <w:tabs>
          <w:tab w:val="clear" w:pos="567"/>
        </w:tabs>
        <w:spacing w:line="240" w:lineRule="auto"/>
        <w:rPr>
          <w:i/>
          <w:snapToGrid/>
          <w:szCs w:val="22"/>
          <w:u w:val="single"/>
          <w:lang w:val="lt-LT" w:eastAsia="sl-SI"/>
        </w:rPr>
      </w:pPr>
    </w:p>
    <w:p w14:paraId="178088B1"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Kalį organizme sulaikantys vaistiniai preparatai, kalio papildai arba druskų papildai, kurių sudėtyje yra kalio</w:t>
      </w:r>
    </w:p>
    <w:p w14:paraId="3908A3BA" w14:textId="77777777" w:rsidR="00C00DD1" w:rsidRDefault="00C260EB">
      <w:pPr>
        <w:widowControl w:val="0"/>
        <w:tabs>
          <w:tab w:val="clear" w:pos="567"/>
        </w:tabs>
        <w:spacing w:line="240" w:lineRule="auto"/>
        <w:rPr>
          <w:iCs/>
          <w:snapToGrid/>
          <w:szCs w:val="22"/>
          <w:lang w:val="lt-LT" w:eastAsia="sl-SI"/>
        </w:rPr>
      </w:pPr>
      <w:r>
        <w:rPr>
          <w:iCs/>
          <w:snapToGrid/>
          <w:szCs w:val="22"/>
          <w:lang w:val="lt-LT" w:eastAsia="sl-SI"/>
        </w:rPr>
        <w:t>Perindoprilio paprastai nerekomenduojama vartoti kartu su kalį organizme sulaikančiais vaistiniais preparatais, kalio papildais ar druskų papildais, kuriuose yra kalio (žr. 4.5 skyrių).</w:t>
      </w:r>
    </w:p>
    <w:p w14:paraId="1B7DDD9B" w14:textId="77777777" w:rsidR="00C00DD1" w:rsidRDefault="00C00DD1">
      <w:pPr>
        <w:widowControl w:val="0"/>
        <w:tabs>
          <w:tab w:val="clear" w:pos="567"/>
        </w:tabs>
        <w:spacing w:line="240" w:lineRule="auto"/>
        <w:rPr>
          <w:i/>
          <w:snapToGrid/>
          <w:szCs w:val="22"/>
          <w:lang w:val="lt-LT" w:eastAsia="sl-SI"/>
        </w:rPr>
      </w:pPr>
    </w:p>
    <w:p w14:paraId="46AB3E47"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Neutropenija, agranulocitozė,</w:t>
      </w:r>
      <w:r>
        <w:rPr>
          <w:rFonts w:eastAsia="Calibri"/>
          <w:i/>
          <w:snapToGrid/>
          <w:szCs w:val="22"/>
          <w:lang w:val="lt-LT" w:eastAsia="sl-SI"/>
        </w:rPr>
        <w:t xml:space="preserve"> trombocitopenija, anemija</w:t>
      </w:r>
    </w:p>
    <w:p w14:paraId="328101C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Kai kuriems AKF inhibitoriais gydomiems pacientams pasireiškė neutropenija, agranulocitozė, trombocitopenija bei anemija. Jeigu inkstų funkcija normali ir nėra kitokių rizikos veiksnių, neutropenija atsiranda retai. Pacientus, kuriems yra kolageno (kraujagyslių) liga, kurie gydomi imuninę sistemą slopinančiais vaistiniais preparatais, kurie vartoja alopurinolio ar prokainamido, arba kuriems yra keli minėti rizikos veiksniai (ypač tuo atveju, jeigu prieš gydymą jau buvo sutrikusi inkstų funkcija), perindopriliu reikia gydyti itin atsargiai. Kai kuriems iš minėtų pacientų gydymo metu pasireiškė sunki infekcinė liga, kurios intensyvus gydymas antibiotikais keliais atvejais buvo neveiksmingas. Tokius pacientus gydant perindopriliu, reikia periodiškai tirti leukocitų kiekį kraujyje ir pacientus įspėti, kad atsiradus bet kokių infekcijos požymių, pvz., gerklės skausmui ar karščiavimui, apie tai informuotų gydytoją </w:t>
      </w:r>
      <w:r>
        <w:rPr>
          <w:rFonts w:eastAsia="Calibri"/>
          <w:snapToGrid/>
          <w:szCs w:val="22"/>
          <w:lang w:val="lt-LT"/>
        </w:rPr>
        <w:t>(žr. 4.5 ir 4.8 skyrius)</w:t>
      </w:r>
      <w:r>
        <w:rPr>
          <w:snapToGrid/>
          <w:szCs w:val="22"/>
          <w:lang w:val="lt-LT" w:eastAsia="sl-SI"/>
        </w:rPr>
        <w:t>.</w:t>
      </w:r>
    </w:p>
    <w:p w14:paraId="1A2D52C2" w14:textId="77777777" w:rsidR="00C00DD1" w:rsidRDefault="00C00DD1">
      <w:pPr>
        <w:widowControl w:val="0"/>
        <w:tabs>
          <w:tab w:val="clear" w:pos="567"/>
        </w:tabs>
        <w:spacing w:line="240" w:lineRule="auto"/>
        <w:rPr>
          <w:snapToGrid/>
          <w:szCs w:val="22"/>
          <w:lang w:val="lt-LT" w:eastAsia="sl-SI"/>
        </w:rPr>
      </w:pPr>
    </w:p>
    <w:p w14:paraId="57CCA9C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Renovaskulinė hipertenzija</w:t>
      </w:r>
    </w:p>
    <w:p w14:paraId="619B08B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Padidėjusi hipotenzijos ir inkstų nepakankamumo rizika yra pacientams, sergantiems abipuse inkstų arterijos stenoze ar vieno funkcionuojančio inksto arterijos stenoze, jeigu jie gydomi AKF inhibitoriais (žr. 4.3 skyrių). Gydymas diuretikais gali būti riziką didinantis veiksnys. Inkstų funkcijos pablogėjimas gali pasireikšti tik nedideliais kreatinino koncentracijos kraujo serume pokyčiais net pacientams, sergantiems vienpuse inkstų arterijos stenoze.</w:t>
      </w:r>
    </w:p>
    <w:p w14:paraId="13A96BBC" w14:textId="77777777" w:rsidR="00C00DD1" w:rsidRDefault="00C00DD1">
      <w:pPr>
        <w:widowControl w:val="0"/>
        <w:tabs>
          <w:tab w:val="clear" w:pos="567"/>
        </w:tabs>
        <w:spacing w:line="240" w:lineRule="auto"/>
        <w:rPr>
          <w:snapToGrid/>
          <w:szCs w:val="22"/>
          <w:lang w:val="lt-LT" w:eastAsia="sl-SI"/>
        </w:rPr>
      </w:pPr>
    </w:p>
    <w:p w14:paraId="6596C151"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Padidėjęs jautrumas/angioneurozinė edema</w:t>
      </w:r>
    </w:p>
    <w:p w14:paraId="63833F34" w14:textId="77777777" w:rsidR="00C00DD1" w:rsidRDefault="00C260EB">
      <w:pPr>
        <w:widowControl w:val="0"/>
        <w:spacing w:line="240" w:lineRule="auto"/>
        <w:rPr>
          <w:snapToGrid/>
          <w:szCs w:val="22"/>
          <w:lang w:val="lt-LT" w:eastAsia="sl-SI"/>
        </w:rPr>
      </w:pPr>
      <w:r>
        <w:rPr>
          <w:snapToGrid/>
          <w:szCs w:val="22"/>
          <w:lang w:val="lt-LT" w:eastAsia="sl-SI"/>
        </w:rPr>
        <w:t>Kai kuriems pacientams, gydytiems angiotenziną konvertuojančio fermento inhibitoriais, įskaitant perindoprilį, retais atvejais atsirado veido, galūnių, lūpų, liežuvio, tikrojo balso aparato ir (arba) gerklų angioneurozinė edema (žr. 4.8 skyrių). Ji gali atsirasti bet kuriuo gydymo metu. Tokiai edemai pasireiškus, perindoprilio vartojimą būtina tuoj pat nutraukti, pacientą būtina tinkamai stebėti tol, kol išnyks visi simptomai. Nors veidą ir lūpas apimanti edema paprastai išnykdavo savaime, simptomai buvo sėkmingai šalinami vartojant antihistamininių vaistinių preparatų.</w:t>
      </w:r>
    </w:p>
    <w:p w14:paraId="3D1C949E" w14:textId="77777777" w:rsidR="00C00DD1" w:rsidRDefault="00C00DD1">
      <w:pPr>
        <w:widowControl w:val="0"/>
        <w:spacing w:line="240" w:lineRule="auto"/>
        <w:rPr>
          <w:snapToGrid/>
          <w:szCs w:val="22"/>
          <w:lang w:val="lt-LT" w:eastAsia="sl-SI"/>
        </w:rPr>
      </w:pPr>
    </w:p>
    <w:p w14:paraId="0C7E4C5D" w14:textId="77777777" w:rsidR="00C00DD1" w:rsidRDefault="00C260EB">
      <w:pPr>
        <w:widowControl w:val="0"/>
        <w:spacing w:line="240" w:lineRule="auto"/>
        <w:rPr>
          <w:snapToGrid/>
          <w:szCs w:val="22"/>
          <w:lang w:val="lt-LT" w:eastAsia="sl-SI"/>
        </w:rPr>
      </w:pPr>
      <w:r>
        <w:rPr>
          <w:snapToGrid/>
          <w:szCs w:val="22"/>
          <w:lang w:val="lt-LT" w:eastAsia="sl-SI"/>
        </w:rPr>
        <w:t>Su gerklų edema susijusi angioneurozinė edema gali būti mirtina. Jeigu edema apima liežuvį, tikrąjį balso aparatą ar gerklas, galima kvėpavimo takų obstrukcija, todėl tokiam pacientui būtina skubiai skirti tinkamą gydymą: reikia tuoj pat po oda suleisti 0,3–0,5 ml epinefrino tirpalo (1:1000) ir (arba) imtis priemonių kvėpavimo takų praeinamumui palaikyti.</w:t>
      </w:r>
    </w:p>
    <w:p w14:paraId="644452E4" w14:textId="77777777" w:rsidR="00C00DD1" w:rsidRDefault="00C00DD1">
      <w:pPr>
        <w:widowControl w:val="0"/>
        <w:spacing w:line="240" w:lineRule="auto"/>
        <w:rPr>
          <w:snapToGrid/>
          <w:szCs w:val="22"/>
          <w:lang w:val="lt-LT" w:eastAsia="sl-SI"/>
        </w:rPr>
      </w:pPr>
    </w:p>
    <w:p w14:paraId="2C2CDD21" w14:textId="77777777" w:rsidR="00C00DD1" w:rsidRDefault="00C260EB">
      <w:pPr>
        <w:widowControl w:val="0"/>
        <w:spacing w:line="240" w:lineRule="auto"/>
        <w:rPr>
          <w:snapToGrid/>
          <w:szCs w:val="22"/>
          <w:lang w:val="lt-LT" w:eastAsia="sl-SI"/>
        </w:rPr>
      </w:pPr>
      <w:r>
        <w:rPr>
          <w:snapToGrid/>
          <w:szCs w:val="22"/>
          <w:lang w:val="lt-LT" w:eastAsia="sl-SI"/>
        </w:rPr>
        <w:t>Gauta duomenų, kad juodaodžiams AKF inhibitoriai angioneurozinę edemą sukelia dažniau negu nejuodaodžiams.</w:t>
      </w:r>
    </w:p>
    <w:p w14:paraId="502C0ED5" w14:textId="77777777" w:rsidR="00C00DD1" w:rsidRDefault="00C00DD1">
      <w:pPr>
        <w:widowControl w:val="0"/>
        <w:spacing w:line="240" w:lineRule="auto"/>
        <w:rPr>
          <w:snapToGrid/>
          <w:szCs w:val="22"/>
          <w:lang w:val="lt-LT" w:eastAsia="sl-SI"/>
        </w:rPr>
      </w:pPr>
    </w:p>
    <w:p w14:paraId="4541E509" w14:textId="77777777" w:rsidR="00C00DD1" w:rsidRDefault="00C260EB">
      <w:pPr>
        <w:widowControl w:val="0"/>
        <w:spacing w:line="240" w:lineRule="auto"/>
        <w:rPr>
          <w:snapToGrid/>
          <w:szCs w:val="22"/>
          <w:lang w:val="lt-LT" w:eastAsia="sl-SI"/>
        </w:rPr>
      </w:pPr>
      <w:r>
        <w:rPr>
          <w:snapToGrid/>
          <w:szCs w:val="22"/>
          <w:lang w:val="lt-LT" w:eastAsia="sl-SI"/>
        </w:rPr>
        <w:t>Pacientams, kuriems buvo pasireiškusi su AKF inhibitoriais nesusijusi angioneurozinė edema, jos pasireiškimo rizika vartojant AKF inhibitorių gali būti didesnė (žr. 4.3 skyrių).</w:t>
      </w:r>
    </w:p>
    <w:p w14:paraId="0BFC5414" w14:textId="77777777" w:rsidR="00C00DD1" w:rsidRDefault="00C00DD1">
      <w:pPr>
        <w:widowControl w:val="0"/>
        <w:tabs>
          <w:tab w:val="clear" w:pos="567"/>
        </w:tabs>
        <w:spacing w:line="240" w:lineRule="auto"/>
        <w:rPr>
          <w:i/>
          <w:snapToGrid/>
          <w:szCs w:val="22"/>
          <w:lang w:val="lt-LT" w:eastAsia="sl-SI"/>
        </w:rPr>
      </w:pPr>
    </w:p>
    <w:p w14:paraId="6A323384" w14:textId="77777777" w:rsidR="00C00DD1" w:rsidRDefault="00C260EB">
      <w:pPr>
        <w:widowControl w:val="0"/>
        <w:tabs>
          <w:tab w:val="clear" w:pos="567"/>
        </w:tabs>
        <w:spacing w:line="240" w:lineRule="auto"/>
        <w:rPr>
          <w:rFonts w:eastAsia="Calibri"/>
          <w:snapToGrid/>
          <w:szCs w:val="22"/>
          <w:lang w:val="lt-LT" w:eastAsia="sl-SI"/>
        </w:rPr>
      </w:pPr>
      <w:r>
        <w:rPr>
          <w:rFonts w:eastAsia="Calibri"/>
          <w:snapToGrid/>
          <w:szCs w:val="22"/>
          <w:lang w:val="lt-LT" w:eastAsia="sl-SI"/>
        </w:rPr>
        <w:t xml:space="preserve">AKF inhibitoriais gydomiems pacientams buvo retų žarnų angioneurozinės edemos atvejų. Toks poveikis pasireiškia pilvo skausmu (pykinimas ar vėmimas gali būti arba nebūti), kai kuriems pacientams veido angioneurozinės edemos prieš tai neatsirado, C-1 esterazės koncentracija buvo normali. Angioneurozinė edema diagnozuota remiantis procedūrų (pilvo KT, ultragarsinio tyrimo ar operacijos) duomenimis, simptomai išnykdavo nutraukus AKF inhibitorių vartojimą. Jeigu AKF </w:t>
      </w:r>
      <w:r>
        <w:rPr>
          <w:rFonts w:eastAsia="Calibri"/>
          <w:snapToGrid/>
          <w:szCs w:val="22"/>
          <w:lang w:val="lt-LT" w:eastAsia="sl-SI"/>
        </w:rPr>
        <w:lastRenderedPageBreak/>
        <w:t>inhibitoriumi gydomam pacientui pradeda skaudėti pilvą, nustatant tokio simptomo priežastį, reikia pagalvoti apie žarnų angioneurozinę edemą.</w:t>
      </w:r>
    </w:p>
    <w:p w14:paraId="22EF4E42" w14:textId="77777777" w:rsidR="00C00DD1" w:rsidRDefault="00C00DD1">
      <w:pPr>
        <w:widowControl w:val="0"/>
        <w:tabs>
          <w:tab w:val="clear" w:pos="567"/>
        </w:tabs>
        <w:spacing w:line="240" w:lineRule="auto"/>
        <w:rPr>
          <w:snapToGrid/>
          <w:szCs w:val="22"/>
          <w:lang w:val="lt-LT" w:eastAsia="sl-SI"/>
        </w:rPr>
      </w:pPr>
    </w:p>
    <w:p w14:paraId="519A04C1" w14:textId="77777777" w:rsidR="00C00DD1" w:rsidRDefault="00C260EB">
      <w:pPr>
        <w:widowControl w:val="0"/>
        <w:spacing w:line="240" w:lineRule="auto"/>
        <w:rPr>
          <w:snapToGrid/>
          <w:szCs w:val="22"/>
          <w:lang w:val="lt-LT" w:eastAsia="sl-SI"/>
        </w:rPr>
      </w:pPr>
      <w:r>
        <w:rPr>
          <w:snapToGrid/>
          <w:szCs w:val="22"/>
          <w:lang w:val="lt-LT" w:eastAsia="sl-SI"/>
        </w:rPr>
        <w:t xml:space="preserve">Dėl padidėjusios angioneurozinės edemos rizikos AKF inhibitorių draudžiama skirti kartu su sakubitrilo ir valsartano deriniu (žr. 4.3 skyrių). Gydymą sakubitrilo ir valsartano deriniu draudžiama pradėti nepraėjus 36 valandoms po paskutinės perindoprilio dozės pavartojimo. Jeigu gydymas sakubitrilo ir valsartano deriniu sustabdomas, gydymą perindopriliu draudžiama pradėti nepraėjus 36 valandoms po paskutinės sakubitrilo ir valsartano derinio dozės pavartojimo (žr. 4.3 ir 4.5 skyrius). AKF inhibitorius vartojant kartu su NEP (angl. </w:t>
      </w:r>
      <w:r>
        <w:rPr>
          <w:i/>
          <w:iCs/>
          <w:snapToGrid/>
          <w:szCs w:val="22"/>
          <w:lang w:val="lt-LT" w:eastAsia="sl-SI"/>
        </w:rPr>
        <w:t>neutral endopeptidase</w:t>
      </w:r>
      <w:r>
        <w:rPr>
          <w:snapToGrid/>
          <w:szCs w:val="22"/>
          <w:lang w:val="lt-LT" w:eastAsia="sl-SI"/>
        </w:rPr>
        <w:t>) inhibitoriais (pvz., racekadotriliu), gali būti didesnė angioneurozinės edemos atsiradimo rizika (žr. 4.5 skyrių). Dėl to prieš pradedant perindoprilio vartojančio paciento gydymą NEP inhibitoriumi (pvz., racekadotriliu), būtina atidžiai įvertinti naudą ir riziką.</w:t>
      </w:r>
    </w:p>
    <w:p w14:paraId="1CB54498" w14:textId="77777777" w:rsidR="00C00DD1" w:rsidRDefault="00C00DD1">
      <w:pPr>
        <w:widowControl w:val="0"/>
        <w:spacing w:line="240" w:lineRule="auto"/>
        <w:rPr>
          <w:snapToGrid/>
          <w:szCs w:val="22"/>
          <w:lang w:val="lt-LT" w:eastAsia="sl-SI"/>
        </w:rPr>
      </w:pPr>
    </w:p>
    <w:p w14:paraId="711544F2" w14:textId="77777777" w:rsidR="00C00DD1" w:rsidRDefault="00C260EB">
      <w:pPr>
        <w:widowControl w:val="0"/>
        <w:spacing w:line="240" w:lineRule="auto"/>
        <w:rPr>
          <w:snapToGrid/>
          <w:szCs w:val="22"/>
          <w:lang w:val="lt-LT" w:eastAsia="sl-SI"/>
        </w:rPr>
      </w:pPr>
      <w:r>
        <w:rPr>
          <w:snapToGrid/>
          <w:szCs w:val="22"/>
          <w:lang w:val="lt-LT" w:eastAsia="sl-SI"/>
        </w:rPr>
        <w:t xml:space="preserve">Vartojimas kartu su mTOR (angl. </w:t>
      </w:r>
      <w:r>
        <w:rPr>
          <w:i/>
          <w:iCs/>
          <w:snapToGrid/>
          <w:szCs w:val="22"/>
          <w:lang w:val="lt-LT" w:eastAsia="sl-SI"/>
        </w:rPr>
        <w:t>mammalian target of rapamycin</w:t>
      </w:r>
      <w:r>
        <w:rPr>
          <w:snapToGrid/>
          <w:szCs w:val="22"/>
          <w:lang w:val="lt-LT" w:eastAsia="sl-SI"/>
        </w:rPr>
        <w:t>) inhibitoriais (pvz., sirolimuzu, everolimuzu, temsirolimuzu):</w:t>
      </w:r>
    </w:p>
    <w:p w14:paraId="5802EDED" w14:textId="77777777" w:rsidR="00C00DD1" w:rsidRDefault="00C260EB">
      <w:pPr>
        <w:widowControl w:val="0"/>
        <w:spacing w:line="240" w:lineRule="auto"/>
        <w:rPr>
          <w:snapToGrid/>
          <w:szCs w:val="22"/>
          <w:lang w:val="lt-LT" w:eastAsia="sl-SI"/>
        </w:rPr>
      </w:pPr>
      <w:r>
        <w:rPr>
          <w:snapToGrid/>
          <w:szCs w:val="22"/>
          <w:lang w:val="lt-LT" w:eastAsia="sl-SI"/>
        </w:rPr>
        <w:t>Pacientams, kurie vartoja ir mTOR inhibitorių (pvz., sirolimuzo, everolimuzo, temsirolimuzo), gali būti didesnė angioneurozinės edemos (pvz., kvėpavimo takų ir liežuvio patinimo su kvėpavimo sutrikimu arba be jo) atsiradimo rizika (žr. 4.5 skyrių).</w:t>
      </w:r>
    </w:p>
    <w:p w14:paraId="036E7A3D" w14:textId="77777777" w:rsidR="00C00DD1" w:rsidRDefault="00C00DD1">
      <w:pPr>
        <w:widowControl w:val="0"/>
        <w:spacing w:line="240" w:lineRule="auto"/>
        <w:rPr>
          <w:snapToGrid/>
          <w:szCs w:val="22"/>
          <w:lang w:val="lt-LT" w:eastAsia="sl-SI"/>
        </w:rPr>
      </w:pPr>
    </w:p>
    <w:p w14:paraId="4054212B"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Desensibilizuojamojo gydymo metu pasireiškiančios anafilaktoidinės reakcijos</w:t>
      </w:r>
    </w:p>
    <w:p w14:paraId="7689527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kurie desensibilizacijos plėviasparnių vabzdžių (bičių, vapsvų) nuodais metu vartojo AKF inhibitorių, pavieniais atvejais pasireiškė užsitęsusi gyvybei pavojinga anafilaktoidinė reakcija. Desensibilizuojamus alergiškus pacientus AKF inhibitoriais reikia gydyti atsargiai, o pacientų, kuriems taikoma imunoterapija nuodais, šiais vaistiniais preparatais gydyti nerekomenduojama. Jeigu pacientui būtinas gydymas AKF inhibitoriais ir desensibilizuojamasis gydymas, tokių reakcijų galima išvengti, jeigu AKF inhibitorių vartojimas laikinai nutraukiamas iki desensibilizacijos likus mažiausiai 24 valandoms.</w:t>
      </w:r>
    </w:p>
    <w:p w14:paraId="0D2ED736" w14:textId="77777777" w:rsidR="00C00DD1" w:rsidRDefault="00C00DD1">
      <w:pPr>
        <w:widowControl w:val="0"/>
        <w:tabs>
          <w:tab w:val="clear" w:pos="567"/>
        </w:tabs>
        <w:spacing w:line="240" w:lineRule="auto"/>
        <w:rPr>
          <w:snapToGrid/>
          <w:szCs w:val="22"/>
          <w:lang w:val="lt-LT" w:eastAsia="sl-SI"/>
        </w:rPr>
      </w:pPr>
    </w:p>
    <w:p w14:paraId="5902FCDF"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MTL aferezės metu pasireiškiančios anafilaktoidinės reakcijos</w:t>
      </w:r>
    </w:p>
    <w:p w14:paraId="62ABD11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AKF inhibitorių vartojantiems pacientams, kurių mažo tankio lipoproteinų (MTL) aferezei buvo naudota dekstrano sulfato, retais atvejais procedūros metu pasireikšdavo gyvybei pavojinga anafilaktoidinė reakcija. Prieš kiekvieną aferezę AKF inhibitorių vartojimą laikinai nutraukus, tokios reakcijos atvejų nebuvo.</w:t>
      </w:r>
    </w:p>
    <w:p w14:paraId="7480AC7A" w14:textId="77777777" w:rsidR="00C00DD1" w:rsidRDefault="00C00DD1">
      <w:pPr>
        <w:widowControl w:val="0"/>
        <w:tabs>
          <w:tab w:val="clear" w:pos="567"/>
        </w:tabs>
        <w:spacing w:line="240" w:lineRule="auto"/>
        <w:rPr>
          <w:snapToGrid/>
          <w:szCs w:val="22"/>
          <w:lang w:val="lt-LT" w:eastAsia="sl-SI"/>
        </w:rPr>
      </w:pPr>
    </w:p>
    <w:p w14:paraId="0765B7B7"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Hemodialize gydomi pacientai</w:t>
      </w:r>
    </w:p>
    <w:p w14:paraId="6445907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AKF inhibitorių vartojantiems pacientams, kuriems buvo atliekama dializė ir naudojamos didelio laidumo membranos (pvz., AN69), buvo anafilaktoidinių reakcijų atvejų. Reikia apsvarstyti galimybę tokiems pacientams naudoti kitokio tipo dializės membranas arba skirti kitos klasės vaistinių preparatų hipertenzijai gydyti.</w:t>
      </w:r>
    </w:p>
    <w:p w14:paraId="5BC40CC8" w14:textId="77777777" w:rsidR="00C00DD1" w:rsidRDefault="00C00DD1">
      <w:pPr>
        <w:widowControl w:val="0"/>
        <w:tabs>
          <w:tab w:val="clear" w:pos="567"/>
          <w:tab w:val="left" w:pos="0"/>
        </w:tabs>
        <w:autoSpaceDE w:val="0"/>
        <w:autoSpaceDN w:val="0"/>
        <w:adjustRightInd w:val="0"/>
        <w:spacing w:line="240" w:lineRule="auto"/>
        <w:rPr>
          <w:i/>
          <w:snapToGrid/>
          <w:szCs w:val="22"/>
          <w:highlight w:val="green"/>
          <w:lang w:val="lt-LT" w:eastAsia="en-GB"/>
        </w:rPr>
      </w:pPr>
    </w:p>
    <w:p w14:paraId="0B2B2F8C" w14:textId="77777777" w:rsidR="00C00DD1" w:rsidRDefault="00C260EB">
      <w:pPr>
        <w:widowControl w:val="0"/>
        <w:tabs>
          <w:tab w:val="clear" w:pos="567"/>
          <w:tab w:val="left" w:pos="0"/>
        </w:tabs>
        <w:autoSpaceDE w:val="0"/>
        <w:autoSpaceDN w:val="0"/>
        <w:adjustRightInd w:val="0"/>
        <w:spacing w:line="240" w:lineRule="auto"/>
        <w:rPr>
          <w:i/>
          <w:snapToGrid/>
          <w:szCs w:val="22"/>
          <w:lang w:val="lt-LT" w:eastAsia="en-GB"/>
        </w:rPr>
      </w:pPr>
      <w:r>
        <w:rPr>
          <w:i/>
          <w:snapToGrid/>
          <w:szCs w:val="22"/>
          <w:lang w:val="lt-LT" w:eastAsia="en-GB"/>
        </w:rPr>
        <w:t>Pirminis aldosteronizmas</w:t>
      </w:r>
    </w:p>
    <w:p w14:paraId="12CBCE00" w14:textId="77777777" w:rsidR="00C00DD1" w:rsidRDefault="00C260EB">
      <w:pPr>
        <w:widowControl w:val="0"/>
        <w:spacing w:line="240" w:lineRule="auto"/>
        <w:jc w:val="both"/>
        <w:rPr>
          <w:snapToGrid/>
          <w:szCs w:val="22"/>
          <w:lang w:val="lt-LT" w:eastAsia="en-GB"/>
        </w:rPr>
      </w:pPr>
      <w:r>
        <w:rPr>
          <w:snapToGrid/>
          <w:szCs w:val="22"/>
          <w:lang w:val="lt-LT" w:eastAsia="en-GB"/>
        </w:rPr>
        <w:t>Pacientai, kuriems pasireiškia pirminis hiperaldosteronizmas, paprastai nereaguoja į antihipertenzinius vaistinius preparatus, slopinančius renino ir angiotenzino sistemą. Todėl šio vaistinio preparato vartoti nerekomenduojama.</w:t>
      </w:r>
    </w:p>
    <w:p w14:paraId="2FAA9C0F" w14:textId="77777777" w:rsidR="00C00DD1" w:rsidRDefault="00C00DD1">
      <w:pPr>
        <w:widowControl w:val="0"/>
        <w:tabs>
          <w:tab w:val="clear" w:pos="567"/>
        </w:tabs>
        <w:spacing w:line="240" w:lineRule="auto"/>
        <w:rPr>
          <w:snapToGrid/>
          <w:szCs w:val="22"/>
          <w:lang w:val="lt-LT" w:eastAsia="sl-SI"/>
        </w:rPr>
      </w:pPr>
    </w:p>
    <w:p w14:paraId="3F31BEEB"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Nėštumas</w:t>
      </w:r>
    </w:p>
    <w:p w14:paraId="7276248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Nėščių moterų pradėti gydyti AKF inhibitoriais negalima. Išskyrus atvejus, kai tolesnis gydymas AKF inhibitoriais yra laikomas būtinu, pastoti planuojančioms moterims juos reikia keisti kitokiais antihipertenziniais vaistiniais preparatais, kurių vartojimo saugumas nėštumo metu ištirtas. Nustačius nėštumą, AKF inhibitorių vartojimą būtina nedelsiant nutraukti ir, jeigu reikia, skirti kitokį tinkamą gydymą (žr. 4.3 ir 4.6 skyrius).</w:t>
      </w:r>
    </w:p>
    <w:p w14:paraId="3964ED45" w14:textId="77777777" w:rsidR="00C00DD1" w:rsidRDefault="00C00DD1">
      <w:pPr>
        <w:widowControl w:val="0"/>
        <w:tabs>
          <w:tab w:val="clear" w:pos="567"/>
        </w:tabs>
        <w:spacing w:line="240" w:lineRule="auto"/>
        <w:rPr>
          <w:snapToGrid/>
          <w:szCs w:val="22"/>
          <w:lang w:val="lt-LT" w:eastAsia="sl-SI"/>
        </w:rPr>
      </w:pPr>
    </w:p>
    <w:p w14:paraId="6FEF44CF"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 su indapamidu:</w:t>
      </w:r>
    </w:p>
    <w:p w14:paraId="492FA3BF" w14:textId="77777777" w:rsidR="00C00DD1" w:rsidRDefault="00C00DD1">
      <w:pPr>
        <w:widowControl w:val="0"/>
        <w:tabs>
          <w:tab w:val="clear" w:pos="567"/>
        </w:tabs>
        <w:spacing w:line="240" w:lineRule="auto"/>
        <w:rPr>
          <w:i/>
          <w:snapToGrid/>
          <w:szCs w:val="22"/>
          <w:lang w:val="lt-LT" w:eastAsia="sl-SI"/>
        </w:rPr>
      </w:pPr>
    </w:p>
    <w:p w14:paraId="43A9BB9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Hepatinė encefalopatija</w:t>
      </w:r>
    </w:p>
    <w:p w14:paraId="618F5F1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Esant sutrikusiai kepenų funkcijai tiazidai ir panašaus poveikio diuretikai gali sukelti hepatinę encefalopatiją (ypač esant elektrolitų pusiausvyros sutrikimui), kuri gali progresuoti iki hepatinės </w:t>
      </w:r>
      <w:r>
        <w:rPr>
          <w:snapToGrid/>
          <w:szCs w:val="22"/>
          <w:lang w:val="lt-LT" w:eastAsia="sl-SI"/>
        </w:rPr>
        <w:lastRenderedPageBreak/>
        <w:t>komos. Tokiu atveju reikia tuoj pat nutraukti diuretikų vartojimą.</w:t>
      </w:r>
    </w:p>
    <w:p w14:paraId="543F9BCB" w14:textId="77777777" w:rsidR="00C00DD1" w:rsidRDefault="00C00DD1">
      <w:pPr>
        <w:widowControl w:val="0"/>
        <w:tabs>
          <w:tab w:val="clear" w:pos="567"/>
        </w:tabs>
        <w:spacing w:line="240" w:lineRule="auto"/>
        <w:rPr>
          <w:snapToGrid/>
          <w:szCs w:val="22"/>
          <w:lang w:val="lt-LT" w:eastAsia="sl-SI"/>
        </w:rPr>
      </w:pPr>
    </w:p>
    <w:p w14:paraId="27489B8E"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Jautrumas šviesai</w:t>
      </w:r>
    </w:p>
    <w:p w14:paraId="2784642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Vartojant tiazidus ir panašaus poveikio diuretikus buvo padidėjusio jautrumo šviesai reakcijų atvejų (žr. 4.8 skyrių). Jeigu gydymo metu pasireiškia padidėjusio jautrumo šviesai reakcija, gydymą rekomenduojama nutraukti. Jeigu būtina vėl vartoti diuretikus, rekomenduojama apsaugoti atviras kūno vietas nuo saulės ar dirbtinių ultravioletinių spindulių.</w:t>
      </w:r>
    </w:p>
    <w:p w14:paraId="1D026C7B" w14:textId="77777777" w:rsidR="00C00DD1" w:rsidRDefault="00C00DD1">
      <w:pPr>
        <w:widowControl w:val="0"/>
        <w:tabs>
          <w:tab w:val="clear" w:pos="567"/>
        </w:tabs>
        <w:spacing w:line="240" w:lineRule="auto"/>
        <w:rPr>
          <w:snapToGrid/>
          <w:szCs w:val="22"/>
          <w:lang w:val="lt-LT" w:eastAsia="sl-SI"/>
        </w:rPr>
      </w:pPr>
    </w:p>
    <w:p w14:paraId="01087564" w14:textId="77777777" w:rsidR="00C00DD1" w:rsidRDefault="00C260EB">
      <w:pPr>
        <w:widowControl w:val="0"/>
        <w:tabs>
          <w:tab w:val="clear" w:pos="567"/>
        </w:tabs>
        <w:spacing w:line="240" w:lineRule="auto"/>
        <w:rPr>
          <w:i/>
          <w:iCs/>
          <w:snapToGrid/>
          <w:szCs w:val="22"/>
          <w:u w:val="single"/>
          <w:lang w:val="lt-LT" w:eastAsia="sl-SI"/>
        </w:rPr>
      </w:pPr>
      <w:r>
        <w:rPr>
          <w:i/>
          <w:iCs/>
          <w:snapToGrid/>
          <w:szCs w:val="22"/>
          <w:u w:val="single"/>
          <w:lang w:val="lt-LT" w:eastAsia="sl-SI"/>
        </w:rPr>
        <w:t>Atsargumo priemonės</w:t>
      </w:r>
    </w:p>
    <w:p w14:paraId="3C8C347A" w14:textId="77777777" w:rsidR="00C00DD1" w:rsidRDefault="00C00DD1">
      <w:pPr>
        <w:widowControl w:val="0"/>
        <w:tabs>
          <w:tab w:val="clear" w:pos="567"/>
        </w:tabs>
        <w:spacing w:line="240" w:lineRule="auto"/>
        <w:rPr>
          <w:snapToGrid/>
          <w:szCs w:val="22"/>
          <w:lang w:val="lt-LT" w:eastAsia="sl-SI"/>
        </w:rPr>
      </w:pPr>
    </w:p>
    <w:p w14:paraId="69C5FA2B"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perindopriliu ir indapamidu:</w:t>
      </w:r>
    </w:p>
    <w:p w14:paraId="6B1B44B8" w14:textId="77777777" w:rsidR="00C00DD1" w:rsidRDefault="00C00DD1">
      <w:pPr>
        <w:widowControl w:val="0"/>
        <w:tabs>
          <w:tab w:val="clear" w:pos="567"/>
        </w:tabs>
        <w:spacing w:line="240" w:lineRule="auto"/>
        <w:rPr>
          <w:i/>
          <w:snapToGrid/>
          <w:szCs w:val="22"/>
          <w:u w:val="single"/>
          <w:lang w:val="lt-LT" w:eastAsia="sl-SI"/>
        </w:rPr>
      </w:pPr>
    </w:p>
    <w:p w14:paraId="102845C7"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Inkstų funkcijos sutrikimas</w:t>
      </w:r>
    </w:p>
    <w:p w14:paraId="74098B6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yra sunkus inkstų funkcijos sutrikimas (kreatinino klirensas &lt;30 ml/min.), Perindopril arginine/indapamide Krka vartoti draudžiama.</w:t>
      </w:r>
    </w:p>
    <w:p w14:paraId="2D34E8E6" w14:textId="77777777" w:rsidR="00C00DD1" w:rsidRDefault="00C260EB">
      <w:pPr>
        <w:widowControl w:val="0"/>
        <w:numPr>
          <w:ilvl w:val="12"/>
          <w:numId w:val="0"/>
        </w:numPr>
        <w:tabs>
          <w:tab w:val="clear" w:pos="567"/>
          <w:tab w:val="left" w:pos="8505"/>
        </w:tabs>
        <w:spacing w:line="240" w:lineRule="auto"/>
        <w:ind w:right="-2"/>
        <w:rPr>
          <w:snapToGrid/>
          <w:szCs w:val="22"/>
          <w:lang w:val="lt-LT" w:eastAsia="sl-SI"/>
        </w:rPr>
      </w:pPr>
      <w:r>
        <w:rPr>
          <w:snapToGrid/>
          <w:szCs w:val="22"/>
          <w:lang w:val="lt-LT" w:eastAsia="sl-SI"/>
        </w:rPr>
        <w:t>Tam tikrų arterine hipertenzija sergančių pacientų, kuriems prieš pradedant gydyti aiškios inkstų pažaidos nebuvo, tačiau kurių kraujo tyrimai rodo funkcinį inkstų nepakankamumą, gydymą reikia nutraukti. Jį gali būti galima atnaujinti vėliau mažesnėmis dozėmis arba viena veikliąja medžiaga.</w:t>
      </w:r>
    </w:p>
    <w:p w14:paraId="61D77F51" w14:textId="77777777" w:rsidR="00C00DD1" w:rsidRDefault="00C260EB">
      <w:pPr>
        <w:widowControl w:val="0"/>
        <w:numPr>
          <w:ilvl w:val="12"/>
          <w:numId w:val="0"/>
        </w:numPr>
        <w:tabs>
          <w:tab w:val="clear" w:pos="567"/>
          <w:tab w:val="left" w:pos="8505"/>
        </w:tabs>
        <w:spacing w:line="240" w:lineRule="auto"/>
        <w:ind w:right="-2"/>
        <w:rPr>
          <w:snapToGrid/>
          <w:szCs w:val="22"/>
          <w:lang w:val="lt-LT" w:eastAsia="sl-SI"/>
        </w:rPr>
      </w:pPr>
      <w:r>
        <w:rPr>
          <w:snapToGrid/>
          <w:szCs w:val="22"/>
          <w:lang w:val="lt-LT" w:eastAsia="sl-SI"/>
        </w:rPr>
        <w:t>Įprastinis tokių pacientų stebėjimas turi apimti dažną kalio ir kreatinino koncentracijos nustatymą: po dviejų gydymo savaičių ir vėliau kas du mėnesius, kai vartojamos stabilios dozės. Inkstų nepakankamumas dažniausiai pasireiškė pacientams, sergantiems sunkiu širdies nepakankamumu, ar jau esant inkstų nepakankamumui, įskaitant inkstų arterijos stenozę.</w:t>
      </w:r>
    </w:p>
    <w:p w14:paraId="233C365F" w14:textId="77777777" w:rsidR="00C00DD1" w:rsidRDefault="00C260EB">
      <w:pPr>
        <w:widowControl w:val="0"/>
        <w:numPr>
          <w:ilvl w:val="12"/>
          <w:numId w:val="0"/>
        </w:numPr>
        <w:tabs>
          <w:tab w:val="clear" w:pos="567"/>
          <w:tab w:val="left" w:pos="8505"/>
        </w:tabs>
        <w:spacing w:line="240" w:lineRule="auto"/>
        <w:ind w:right="-2"/>
        <w:rPr>
          <w:snapToGrid/>
          <w:szCs w:val="22"/>
          <w:lang w:val="lt-LT" w:eastAsia="sl-SI"/>
        </w:rPr>
      </w:pPr>
      <w:r>
        <w:rPr>
          <w:snapToGrid/>
          <w:szCs w:val="22"/>
          <w:lang w:val="lt-LT" w:eastAsia="sl-SI"/>
        </w:rPr>
        <w:t>Vaistinio preparato paprastai nerekomenduojama vartoti esant abipusei inkstų arterijos stenozei ar tik vienam funkcionuojančiam inkstui.</w:t>
      </w:r>
    </w:p>
    <w:p w14:paraId="57FE9C39" w14:textId="77777777" w:rsidR="00C00DD1" w:rsidRDefault="00C00DD1">
      <w:pPr>
        <w:widowControl w:val="0"/>
        <w:tabs>
          <w:tab w:val="clear" w:pos="567"/>
        </w:tabs>
        <w:spacing w:line="240" w:lineRule="auto"/>
        <w:rPr>
          <w:snapToGrid/>
          <w:szCs w:val="22"/>
          <w:lang w:val="lt-LT" w:eastAsia="sl-SI"/>
        </w:rPr>
      </w:pPr>
    </w:p>
    <w:p w14:paraId="5DBC1C02"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Hipotenzija, skysčių ir elektrolitų trūkumas organizme</w:t>
      </w:r>
    </w:p>
    <w:p w14:paraId="148B68B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kurių organizme trūksta natrio (ypač jeigu yra inksto arterijos stenozė), gali staigiai pasireikšti hipotenzija. Būtina nuolat stebėti, ar tokiems pacientams neatsiranda klinikinių skysčių ir elektrolitų stokos (pvz., sukeltos protarpinio viduriavimo arba vėmimo) požymių. Būtina reguliariai matuoti elektrolitų koncentraciją tokių pacientų kraujo plazmoje.</w:t>
      </w:r>
    </w:p>
    <w:p w14:paraId="433E301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pasireiškia sunki hipotenzija, į veną gali reikėti infuzuoti izotoninio natrio chlorido tirpalo.</w:t>
      </w:r>
    </w:p>
    <w:p w14:paraId="43C6DD5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pasireiškia laikina hipotenzija, gydymą tęsti galima. Kai kraujo tūris ir kraujospūdis tampa tinkami, galima pradėti gydyti arba mažesne doze, arba tik viena iš veikliųjų medžiagų.</w:t>
      </w:r>
    </w:p>
    <w:p w14:paraId="3F26DC74" w14:textId="77777777" w:rsidR="00C00DD1" w:rsidRDefault="00C00DD1">
      <w:pPr>
        <w:widowControl w:val="0"/>
        <w:tabs>
          <w:tab w:val="clear" w:pos="567"/>
        </w:tabs>
        <w:spacing w:line="240" w:lineRule="auto"/>
        <w:rPr>
          <w:snapToGrid/>
          <w:szCs w:val="22"/>
          <w:lang w:val="lt-LT" w:eastAsia="sl-SI"/>
        </w:rPr>
      </w:pPr>
    </w:p>
    <w:p w14:paraId="50E4134C"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Kalio koncentracija</w:t>
      </w:r>
    </w:p>
    <w:p w14:paraId="58C53D8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Perindoprilio vartojimas kartu su indapamidu nuo hipokalemijos neapsaugo (ypač jeigu yra cukrinis diabetas arba inkstų nepakankamumas). Kaip ir vartojant kitokių kombinuotųjų antihipertenzinių vaistinių preparatų, kurių sudėtyje yra diuretikų, reikia reguliariai nustatinėti kalio koncentraciją kraujo plazmoje.</w:t>
      </w:r>
    </w:p>
    <w:p w14:paraId="21D71621" w14:textId="77777777" w:rsidR="00C00DD1" w:rsidRDefault="00C00DD1">
      <w:pPr>
        <w:widowControl w:val="0"/>
        <w:tabs>
          <w:tab w:val="clear" w:pos="567"/>
        </w:tabs>
        <w:spacing w:line="240" w:lineRule="auto"/>
        <w:rPr>
          <w:i/>
          <w:snapToGrid/>
          <w:szCs w:val="22"/>
          <w:lang w:val="lt-LT" w:eastAsia="sl-SI"/>
        </w:rPr>
      </w:pPr>
    </w:p>
    <w:p w14:paraId="5378A38A"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perindopriliu:</w:t>
      </w:r>
    </w:p>
    <w:p w14:paraId="5626BDC6" w14:textId="77777777" w:rsidR="00C00DD1" w:rsidRDefault="00C00DD1">
      <w:pPr>
        <w:widowControl w:val="0"/>
        <w:tabs>
          <w:tab w:val="clear" w:pos="567"/>
        </w:tabs>
        <w:spacing w:line="240" w:lineRule="auto"/>
        <w:rPr>
          <w:i/>
          <w:snapToGrid/>
          <w:szCs w:val="22"/>
          <w:lang w:val="lt-LT" w:eastAsia="sl-SI"/>
        </w:rPr>
      </w:pPr>
    </w:p>
    <w:p w14:paraId="274B2A33"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Kosulys</w:t>
      </w:r>
    </w:p>
    <w:p w14:paraId="099EB52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Gauta duomenų apie angiotenziną konvertuojančio fermento inhibitorių vartojantiems pacientams pasireiškiantį sausą kosulį. Jis būna nuolatinis ir nutraukus minėtų vaistinių preparatų vartojimą išnyksta. Reikia turėti omenyje, kad tokio simptomo priežastis gali būti jatrogeninė. Jeigu manoma, kad gydymas angiotenziną konvertuojančio fermento inhibitoriumi reikalingas, galima apsvarstyti vaistinio preparato vartojimo tęsimą.</w:t>
      </w:r>
    </w:p>
    <w:p w14:paraId="28977B39" w14:textId="77777777" w:rsidR="00C00DD1" w:rsidRDefault="00C00DD1">
      <w:pPr>
        <w:widowControl w:val="0"/>
        <w:tabs>
          <w:tab w:val="clear" w:pos="567"/>
        </w:tabs>
        <w:spacing w:line="240" w:lineRule="auto"/>
        <w:rPr>
          <w:snapToGrid/>
          <w:szCs w:val="22"/>
          <w:lang w:val="lt-LT" w:eastAsia="sl-SI"/>
        </w:rPr>
      </w:pPr>
    </w:p>
    <w:p w14:paraId="565EF114"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Vaikų populiacija</w:t>
      </w:r>
    </w:p>
    <w:p w14:paraId="13536F06"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Vaikų ir paauglių gydymo perindopriliu (vien juo ar kartu su kitais vaistiniais preparatais) veiksmingumas ir toleravimas nenustatyti.</w:t>
      </w:r>
    </w:p>
    <w:p w14:paraId="02D6FC18" w14:textId="77777777" w:rsidR="00C00DD1" w:rsidRDefault="00C00DD1">
      <w:pPr>
        <w:widowControl w:val="0"/>
        <w:tabs>
          <w:tab w:val="clear" w:pos="567"/>
        </w:tabs>
        <w:spacing w:line="240" w:lineRule="auto"/>
        <w:rPr>
          <w:snapToGrid/>
          <w:szCs w:val="22"/>
          <w:lang w:val="lt-LT" w:eastAsia="sl-SI"/>
        </w:rPr>
      </w:pPr>
    </w:p>
    <w:p w14:paraId="0C91E011"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Arterinės hipotenzijos ir (arba) inkstų nepakankamumo rizika (jeigu yra širdies nepakankamumas, skysčių ir elektrolitų trūkumas ir kt.)</w:t>
      </w:r>
    </w:p>
    <w:p w14:paraId="534D9A4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Pacientams, kurių pradinis kraujospūdis mažas, kuriems yra inkstų arterijos stenozė, stazinis širdies nepakankamumas arba kepenų cirozė su edema ir ascitu, labai padidėja renino, angiotenzino ir </w:t>
      </w:r>
      <w:r>
        <w:rPr>
          <w:snapToGrid/>
          <w:szCs w:val="22"/>
          <w:lang w:val="lt-LT" w:eastAsia="sl-SI"/>
        </w:rPr>
        <w:lastRenderedPageBreak/>
        <w:t>aldosterono sistemos aktyvumas, ypač jeigu organizme labai trūksta vandens ir (arba) elektrolitų (pvz., dėl druskos kiekio maiste ribojimo ar ilgalaikio gydymo diuretikais).</w:t>
      </w:r>
    </w:p>
    <w:p w14:paraId="6323BBA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Tokiems pacientams angiotenziną konvertuojančio fermento inhibitoriai, slopindami minėtą sistemą (ypač po pirmos dozės išgėrimo bei per pirmąsias dvi gydymo savaites), gali staiga sumažinti kraujospūdį ir (arba) padidinti kreatinino koncentraciją kraujo plazmoje, sukeldami funkcinį inkstų nepakankamumą. Kartais tai gali įvykti staiga, nors tai būna retai, ir pasireikšti įvairiu laiku.</w:t>
      </w:r>
    </w:p>
    <w:p w14:paraId="6CE28626" w14:textId="77777777" w:rsidR="00C00DD1" w:rsidRDefault="00C260EB">
      <w:pPr>
        <w:widowControl w:val="0"/>
        <w:tabs>
          <w:tab w:val="clear" w:pos="567"/>
        </w:tabs>
        <w:spacing w:line="240" w:lineRule="auto"/>
        <w:rPr>
          <w:snapToGrid/>
          <w:szCs w:val="22"/>
          <w:lang w:val="lt-LT" w:eastAsia="sl-SI"/>
        </w:rPr>
      </w:pPr>
      <w:r>
        <w:rPr>
          <w:snapToGrid/>
          <w:color w:val="000000"/>
          <w:szCs w:val="22"/>
          <w:lang w:val="lt-LT" w:eastAsia="sl-SI"/>
        </w:rPr>
        <w:t>Tokius pacientus reikia pradėti gydyti mažesne doze ir ją didinti palaipsniui.</w:t>
      </w:r>
    </w:p>
    <w:p w14:paraId="49415E82" w14:textId="77777777" w:rsidR="00C00DD1" w:rsidRDefault="00C00DD1">
      <w:pPr>
        <w:widowControl w:val="0"/>
        <w:tabs>
          <w:tab w:val="clear" w:pos="567"/>
        </w:tabs>
        <w:spacing w:line="240" w:lineRule="auto"/>
        <w:rPr>
          <w:snapToGrid/>
          <w:szCs w:val="22"/>
          <w:lang w:val="lt-LT" w:eastAsia="sl-SI"/>
        </w:rPr>
      </w:pPr>
    </w:p>
    <w:p w14:paraId="6BD3810F"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Senyvi žmonės</w:t>
      </w:r>
    </w:p>
    <w:p w14:paraId="2C0B028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Prieš gydymą būtina ištirti senyvų žmonių inkstų funkciją ir nustatyti kalio koncentraciją. Kad neatsirastų staigios hipotenzijos, pradinę dozę reikia laipsniškai koreguoti atsižvelgiant į kraujospūdžio reakciją, ypač jeigu paciento organizme trūksta vandens ir elektrolitų.</w:t>
      </w:r>
    </w:p>
    <w:p w14:paraId="3D6BD1A0" w14:textId="77777777" w:rsidR="00C00DD1" w:rsidRDefault="00C00DD1">
      <w:pPr>
        <w:widowControl w:val="0"/>
        <w:tabs>
          <w:tab w:val="clear" w:pos="567"/>
        </w:tabs>
        <w:spacing w:line="240" w:lineRule="auto"/>
        <w:rPr>
          <w:i/>
          <w:snapToGrid/>
          <w:szCs w:val="22"/>
          <w:lang w:val="lt-LT" w:eastAsia="sl-SI"/>
        </w:rPr>
      </w:pPr>
    </w:p>
    <w:p w14:paraId="6C55BAE4"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Aterosklerozė</w:t>
      </w:r>
    </w:p>
    <w:p w14:paraId="2FEFBFE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Hipotenzija gali pasireikšti visiems pacientams, tačiau ypač atsargiai būtina gydyti išemine širdies liga arba galvos smegenų kraujotakos nepakankamumu sergančius pacientus. Jiems pradinė dozė turi būti maža.</w:t>
      </w:r>
    </w:p>
    <w:p w14:paraId="1BA0E8BE" w14:textId="77777777" w:rsidR="00C00DD1" w:rsidRDefault="00C00DD1">
      <w:pPr>
        <w:widowControl w:val="0"/>
        <w:tabs>
          <w:tab w:val="clear" w:pos="567"/>
        </w:tabs>
        <w:spacing w:line="240" w:lineRule="auto"/>
        <w:rPr>
          <w:snapToGrid/>
          <w:szCs w:val="22"/>
          <w:lang w:val="lt-LT" w:eastAsia="sl-SI"/>
        </w:rPr>
      </w:pPr>
    </w:p>
    <w:p w14:paraId="070D77E0"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Renovaskulinė hipertenzija</w:t>
      </w:r>
    </w:p>
    <w:p w14:paraId="2ABC7E5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Renovaskulinės hipertenzijos gydymas yra revaskuliarizacija. Vis dėlto pacientams, kurie laukia koreguojamosios operacijos arba kuriems jos atlikti neįmanoma, gydymas angiotenziną konvertuojančio fermento inhibitoriais gali būti naudingas.</w:t>
      </w:r>
    </w:p>
    <w:p w14:paraId="1C48227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Perindopril arginine/indapamide Krka skiriamas pacientui, kuriam yra arba įtariama, kad yra inksto arterijos stenozė, pacientą būtina pradėti gydyti ligoninėje, skirti mažą dozę bei stebėti inkstų funkciją ir kalio koncentraciją kraujyje, kadangi kai kuriems tokiems pacientams atsiranda funkcinis inkstų nepakankamumas, kuris vaistinio preparato vartojimą nutraukus išnyksta.</w:t>
      </w:r>
    </w:p>
    <w:p w14:paraId="165E9B3A" w14:textId="77777777" w:rsidR="00C00DD1" w:rsidRDefault="00C00DD1">
      <w:pPr>
        <w:widowControl w:val="0"/>
        <w:tabs>
          <w:tab w:val="clear" w:pos="567"/>
        </w:tabs>
        <w:spacing w:line="240" w:lineRule="auto"/>
        <w:rPr>
          <w:snapToGrid/>
          <w:szCs w:val="22"/>
          <w:lang w:val="lt-LT" w:eastAsia="sl-SI"/>
        </w:rPr>
      </w:pPr>
    </w:p>
    <w:p w14:paraId="4675C6C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Širdies nepakankamumas, sunkus širdies nepakankamumas</w:t>
      </w:r>
    </w:p>
    <w:p w14:paraId="2F58924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Pacientus, kurie serga sunkiu širdies nepakankamumu (IV funkcinės klasės), gydyti būtina pradėti atidžiai stebint medikui ir mažesne pradine doze, todėl perindoprilio argininas/indapamidas pradiniam gydymui netinka. Jeigu pacientas serga hipertenzija, jo vainikinė kraujotaka yra nepakankama ir jis gydomas beta adrenoreceptorių blokatoriais, jų vartojimo nereikia nutraukti: AKF inhibitorių reikia skirti vartoti kartu su beta adrenoreceptorių blokatoriumi.</w:t>
      </w:r>
    </w:p>
    <w:p w14:paraId="73F12FB1" w14:textId="77777777" w:rsidR="00C00DD1" w:rsidRDefault="00C00DD1">
      <w:pPr>
        <w:widowControl w:val="0"/>
        <w:tabs>
          <w:tab w:val="clear" w:pos="567"/>
        </w:tabs>
        <w:spacing w:line="240" w:lineRule="auto"/>
        <w:rPr>
          <w:snapToGrid/>
          <w:szCs w:val="22"/>
          <w:lang w:val="lt-LT" w:eastAsia="sl-SI"/>
        </w:rPr>
      </w:pPr>
    </w:p>
    <w:p w14:paraId="06BFA173"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Cukriniu diabetu sergantys pacientai</w:t>
      </w:r>
    </w:p>
    <w:p w14:paraId="00A16DE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sergantiems nuo insulino priklausomu cukriniu diabetu (savaiminis polinkis atsirasti didelei kalio koncentracijai), gydymą reikia pradėti prižiūrint gydytojui ir mažesne pradine doze.</w:t>
      </w:r>
    </w:p>
    <w:p w14:paraId="4C02087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Cukriniu diabetu sergantiems pacientams, anksčiau gydytiems geriamaisiais vaistiniais preparatais nuo cukrinio diabeto arba insulinu, reikia dažnai tirti gliukozės koncentraciją kraujyje, ypač pirmąjį gydymo AKF inhibitoriumi mėnesį (žr. 4.5 skyrių).</w:t>
      </w:r>
    </w:p>
    <w:p w14:paraId="050AA282" w14:textId="77777777" w:rsidR="00C00DD1" w:rsidRDefault="00C00DD1">
      <w:pPr>
        <w:widowControl w:val="0"/>
        <w:tabs>
          <w:tab w:val="clear" w:pos="567"/>
        </w:tabs>
        <w:spacing w:line="240" w:lineRule="auto"/>
        <w:rPr>
          <w:snapToGrid/>
          <w:szCs w:val="22"/>
          <w:lang w:val="lt-LT" w:eastAsia="sl-SI"/>
        </w:rPr>
      </w:pPr>
    </w:p>
    <w:p w14:paraId="040910CC"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Etniniai skirtumai</w:t>
      </w:r>
    </w:p>
    <w:p w14:paraId="6AD62518" w14:textId="77777777" w:rsidR="00C00DD1" w:rsidRDefault="00C260EB">
      <w:pPr>
        <w:widowControl w:val="0"/>
        <w:spacing w:line="240" w:lineRule="auto"/>
        <w:rPr>
          <w:snapToGrid/>
          <w:szCs w:val="22"/>
          <w:lang w:val="lt-LT" w:eastAsia="sl-SI"/>
        </w:rPr>
      </w:pPr>
      <w:r>
        <w:rPr>
          <w:snapToGrid/>
          <w:szCs w:val="22"/>
          <w:lang w:val="lt-LT" w:eastAsia="sl-SI"/>
        </w:rPr>
        <w:t>Perindoprilis, kaip ir kitokie angiotenziną konvertuojančio fermento inhibitoriai, juodaodžių kraujospūdį mažina silpniau negu nejuodaodžių galbūt todėl, kad hipertenzija sergančių juodaodžių kraujyje renino kiekis dažnai būna mažas.</w:t>
      </w:r>
    </w:p>
    <w:p w14:paraId="3459F265" w14:textId="77777777" w:rsidR="00C00DD1" w:rsidRDefault="00C00DD1">
      <w:pPr>
        <w:widowControl w:val="0"/>
        <w:tabs>
          <w:tab w:val="clear" w:pos="567"/>
        </w:tabs>
        <w:spacing w:line="240" w:lineRule="auto"/>
        <w:rPr>
          <w:snapToGrid/>
          <w:szCs w:val="22"/>
          <w:lang w:val="lt-LT" w:eastAsia="sl-SI"/>
        </w:rPr>
      </w:pPr>
    </w:p>
    <w:p w14:paraId="79B4DD16"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Operacija, anestezija</w:t>
      </w:r>
    </w:p>
    <w:p w14:paraId="2A92916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Anestezijos metu angiotenziną konvertuojančio fermento inhibitorių vartojantiems pacientams gali pasireikšti hipotenzija, ypač tuo atveju, jeigu anestezija sukeliama kraujospūdį mažinti galinčiu vaistiniu preparatu.</w:t>
      </w:r>
    </w:p>
    <w:p w14:paraId="53DFD76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Dėl to, jeigu įmanoma, ilgai veikiančių angiotenziną konvertuojančio fermento inhibitorių, pvz., perindoprilio, vartojimą reikia nutraukti iki operacijos likus vienai parai.</w:t>
      </w:r>
    </w:p>
    <w:p w14:paraId="4D5882B5" w14:textId="77777777" w:rsidR="00C00DD1" w:rsidRDefault="00C00DD1">
      <w:pPr>
        <w:widowControl w:val="0"/>
        <w:tabs>
          <w:tab w:val="clear" w:pos="567"/>
        </w:tabs>
        <w:spacing w:line="240" w:lineRule="auto"/>
        <w:rPr>
          <w:snapToGrid/>
          <w:szCs w:val="22"/>
          <w:lang w:val="lt-LT" w:eastAsia="sl-SI"/>
        </w:rPr>
      </w:pPr>
    </w:p>
    <w:p w14:paraId="579B3B3C"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Aortos arba dviburio vožtuvo stenozė, hipertrofinė kardiomiopatija</w:t>
      </w:r>
    </w:p>
    <w:p w14:paraId="793C52B2" w14:textId="77777777" w:rsidR="00C00DD1" w:rsidRDefault="00C260EB">
      <w:pPr>
        <w:widowControl w:val="0"/>
        <w:spacing w:line="240" w:lineRule="auto"/>
        <w:rPr>
          <w:snapToGrid/>
          <w:szCs w:val="22"/>
          <w:lang w:val="lt-LT" w:eastAsia="sl-SI"/>
        </w:rPr>
      </w:pPr>
      <w:r>
        <w:rPr>
          <w:snapToGrid/>
          <w:szCs w:val="22"/>
          <w:lang w:val="lt-LT" w:eastAsia="sl-SI"/>
        </w:rPr>
        <w:t>Jeigu yra kraujo nutekėjimo iš kairiojo skilvelio obstrukcija, AKF inhibitoriais reikia gydyti atsargiai.</w:t>
      </w:r>
    </w:p>
    <w:p w14:paraId="1A3D7811" w14:textId="77777777" w:rsidR="00C00DD1" w:rsidRDefault="00C00DD1">
      <w:pPr>
        <w:widowControl w:val="0"/>
        <w:tabs>
          <w:tab w:val="clear" w:pos="567"/>
        </w:tabs>
        <w:spacing w:line="240" w:lineRule="auto"/>
        <w:rPr>
          <w:snapToGrid/>
          <w:szCs w:val="22"/>
          <w:lang w:val="lt-LT" w:eastAsia="sl-SI"/>
        </w:rPr>
      </w:pPr>
    </w:p>
    <w:p w14:paraId="4333F253"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Kepenų nepakankamumas</w:t>
      </w:r>
    </w:p>
    <w:p w14:paraId="3AE4454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lastRenderedPageBreak/>
        <w:t>Retais atvejais AKF inhibitorių vartojimas buvo susijęs su sindromu, kuris prasideda cholestazine gelta, progresuoja į žaibinę kepenų nekrozę ir (kartais) baigiasi mirtimi. Šio sindromo mechanizmas nėra aiškus. AKF inhibitorių vartojantys pacientai, kuriems pasireiškia gelta arba labai padidėja kepenų fermentų aktyvumas, turi nutraukti AKF inhibitorių vartojimą ir būti atitinkamai prižiūrimi medikų (žr. 4.8 skyrių).</w:t>
      </w:r>
    </w:p>
    <w:p w14:paraId="62436B12" w14:textId="77777777" w:rsidR="00C00DD1" w:rsidRDefault="00C00DD1">
      <w:pPr>
        <w:widowControl w:val="0"/>
        <w:tabs>
          <w:tab w:val="clear" w:pos="567"/>
        </w:tabs>
        <w:spacing w:line="240" w:lineRule="auto"/>
        <w:rPr>
          <w:snapToGrid/>
          <w:szCs w:val="22"/>
          <w:lang w:val="lt-LT" w:eastAsia="sl-SI"/>
        </w:rPr>
      </w:pPr>
    </w:p>
    <w:p w14:paraId="4F6F720C" w14:textId="77777777" w:rsidR="00C00DD1" w:rsidRDefault="00C260EB">
      <w:pPr>
        <w:widowControl w:val="0"/>
        <w:tabs>
          <w:tab w:val="clear" w:pos="567"/>
        </w:tabs>
        <w:spacing w:line="240" w:lineRule="auto"/>
        <w:rPr>
          <w:rFonts w:eastAsia="Calibri"/>
          <w:i/>
          <w:snapToGrid/>
          <w:szCs w:val="22"/>
          <w:lang w:val="lt-LT" w:eastAsia="sl-SI"/>
        </w:rPr>
      </w:pPr>
      <w:r>
        <w:rPr>
          <w:rFonts w:eastAsia="Calibri"/>
          <w:i/>
          <w:snapToGrid/>
          <w:szCs w:val="22"/>
          <w:lang w:val="lt-LT" w:eastAsia="sl-SI"/>
        </w:rPr>
        <w:t>Hiperkalemija</w:t>
      </w:r>
    </w:p>
    <w:p w14:paraId="01770E67" w14:textId="77777777" w:rsidR="00C00DD1" w:rsidRDefault="00C260EB">
      <w:pPr>
        <w:widowControl w:val="0"/>
        <w:tabs>
          <w:tab w:val="clear" w:pos="567"/>
        </w:tabs>
        <w:spacing w:line="240" w:lineRule="auto"/>
        <w:rPr>
          <w:rFonts w:eastAsia="Calibri"/>
          <w:snapToGrid/>
          <w:szCs w:val="22"/>
          <w:lang w:val="lt-LT" w:eastAsia="sl-SI"/>
        </w:rPr>
      </w:pPr>
      <w:r>
        <w:rPr>
          <w:snapToGrid/>
          <w:szCs w:val="22"/>
          <w:lang w:val="lt-LT" w:eastAsia="sl-SI"/>
        </w:rPr>
        <w:t>Kai kuriems pacientams, gydomiems AKF inhibitoriais, įskaitant ir perindoprilį, pasireiškė kalio koncentracijos kraujo serume padidėjimas. Hiperkalemijos atsiradimo rizikos veiksniai yra inkstų nepakankamumas, inkstų funkcijos pablogėjimas, amžius (&gt; 70 metų), cukrinis diabetas, kitos būklės, ypač dehidratacija, ūminė širdies dekompensacija, metabolinė acidozė ir kartu vartojami kalį organizme sulaikantys diuretikai (pvz., spironolaktonas, eplerenonas, triamterenas, amiloridas), kalio papildai ar druskų pakaitalai, kurių sudėtyje yra kalio, bei kiti vaistiniai preparatai, galintys padidinti kalio koncentraciją kraujo serume (pvz., heparino preparatai, kotrimoksazolas, kuris dar vadinamas trimetoprimu/sulfametoksazolu, kiti AKF inhibitoriai, angiotenzino II receptorių antagonistai, 3 g ir didesnės acetilsalicilo rūgšties paros dozės, neselektyvaus poveikio nesteroidiniai vaistai nuo uždegimo (NVNU), imuninę sistemą slopinantys vaistiniai preparatai (pvz., ciklosporinas ar takrolimuzas), trimetoprimas). Kalio papildų, kalį organizme sulaikančių diuretikų ar druskos papildų, kurių sudėtyje yra kalio, vartojimas gali sukelti reikšmingą kalio koncentracijos kraujo serume padidėjimą, ypač pacientams, kurių inkstų funkcija yra sutrikusi. Hiperkalemija gali sukelti sunkias, kartais mirtinas aritmijas. Jeigu manoma, kad paminėtus vaistinius preparatus vartoti kartu būtina, būtina imtis atsargumo priemonių ir dažnai matuoti kalio koncentraciją kraujo serume (žr. 4.5 skyrių).</w:t>
      </w:r>
    </w:p>
    <w:p w14:paraId="4F70494D" w14:textId="77777777" w:rsidR="00C00DD1" w:rsidRDefault="00C00DD1">
      <w:pPr>
        <w:widowControl w:val="0"/>
        <w:tabs>
          <w:tab w:val="clear" w:pos="567"/>
        </w:tabs>
        <w:spacing w:line="240" w:lineRule="auto"/>
        <w:rPr>
          <w:snapToGrid/>
          <w:szCs w:val="22"/>
          <w:lang w:val="lt-LT" w:eastAsia="sl-SI"/>
        </w:rPr>
      </w:pPr>
    </w:p>
    <w:p w14:paraId="21B8FE8B"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indapamidu:</w:t>
      </w:r>
    </w:p>
    <w:p w14:paraId="5109EB31" w14:textId="77777777" w:rsidR="00C00DD1" w:rsidRDefault="00C00DD1">
      <w:pPr>
        <w:widowControl w:val="0"/>
        <w:tabs>
          <w:tab w:val="clear" w:pos="567"/>
        </w:tabs>
        <w:spacing w:line="240" w:lineRule="auto"/>
        <w:rPr>
          <w:i/>
          <w:snapToGrid/>
          <w:szCs w:val="22"/>
          <w:lang w:val="lt-LT" w:eastAsia="sl-SI"/>
        </w:rPr>
      </w:pPr>
    </w:p>
    <w:p w14:paraId="0490A8B2"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Skysčių ir elektrolitų pusiausvyra</w:t>
      </w:r>
    </w:p>
    <w:p w14:paraId="3CA46BB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Natrio koncentracija</w:t>
      </w:r>
    </w:p>
    <w:p w14:paraId="0AC5F88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Natrio koncentracija turi būti išmatuota prieš pradedant gydymą ir po to tikrinama reguliariai. Natrio koncentracijos sumažėjimas iš pradžių gali nesukelti jokių simptomų, todėl būtina reguliariai ją matuoti. Dažnesni tyrimai reikalingi senyviems ir kepenų ciroze sergantiems pacientams (žr. 4.8 ir 4.9 skyrius).</w:t>
      </w:r>
    </w:p>
    <w:p w14:paraId="67DCBFE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Gydant bet kuriais diuretikais gali pasireikšti hiponatremija, kurios pasekmės kartais gali būti labai sunkios. Dėl hiponatremijos su hipovolemija gali pasireikšti dehidratacija ir ortostatinė hipotenzija. Dėl kartu prarastų chlorido jonų gali pasireikšti antrinė kompensacinė metabolinė alkalozė: toks poveikis pasireiškia nedažnai ir būna nestiprus.</w:t>
      </w:r>
    </w:p>
    <w:p w14:paraId="1ABA6E0A" w14:textId="77777777" w:rsidR="00C00DD1" w:rsidRDefault="00C00DD1">
      <w:pPr>
        <w:widowControl w:val="0"/>
        <w:tabs>
          <w:tab w:val="clear" w:pos="567"/>
        </w:tabs>
        <w:spacing w:line="240" w:lineRule="auto"/>
        <w:rPr>
          <w:snapToGrid/>
          <w:szCs w:val="22"/>
          <w:lang w:val="lt-LT" w:eastAsia="sl-SI"/>
        </w:rPr>
      </w:pPr>
    </w:p>
    <w:p w14:paraId="7D1C31CC"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Kalio koncentracija</w:t>
      </w:r>
    </w:p>
    <w:p w14:paraId="3DAF59D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Kalio netekimo ir kartu hipokalemijos rizika, vartojant tiazidinius ir į juos panašius diuretikus, yra didelė. Hipokalemija gali sukelti raumenų sutrikimus. Buvo pranešta apie rabdomiolizės atvejus, daugiausia esant sunkiai hipokalemijai. Hipokalemijos (&lt; 3,4 mmol/l) pasireiškimo riziką reikia panaikinti kai kurių didelės rizikos grupių pacientams: senyviems ir (arba) blogos mitybos asmenims, nepriklausomai nuo to, ar jie yra gydomi keliais vaistiniais preparatais, pacientams, sergantiems kepenų ciroze su edema ir ascitu, vainikine širdies liga ar širdies nepakankamumu.</w:t>
      </w:r>
    </w:p>
    <w:p w14:paraId="0B167B5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Tokiais atvejais hipokalemija sustiprina širdies glikozidų toksinį poveikį ir padidina širdies ritmo sutrikimų pasireiškimo riziką.</w:t>
      </w:r>
    </w:p>
    <w:p w14:paraId="7886006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Rizikos grupei priklauso ir pacientai, kurių yra ilgas QT intervalas (įgimtas ar jatrogeninis). Hipokalemija, kaip ir bradikardija, gali sukelti sunkius ritmo sutrikimus, ypač polimorfinę skilvelinę tachikardiją (</w:t>
      </w:r>
      <w:r>
        <w:rPr>
          <w:i/>
          <w:iCs/>
          <w:snapToGrid/>
          <w:szCs w:val="22"/>
          <w:lang w:val="lt-LT" w:eastAsia="sl-SI"/>
        </w:rPr>
        <w:t>torsades de pointes</w:t>
      </w:r>
      <w:r>
        <w:rPr>
          <w:snapToGrid/>
          <w:szCs w:val="22"/>
          <w:lang w:val="lt-LT" w:eastAsia="sl-SI"/>
        </w:rPr>
        <w:t>), kuri gali būti mirtina.</w:t>
      </w:r>
    </w:p>
    <w:p w14:paraId="47CA8D24" w14:textId="77777777" w:rsidR="00C00DD1" w:rsidRDefault="00C00DD1">
      <w:pPr>
        <w:widowControl w:val="0"/>
        <w:tabs>
          <w:tab w:val="clear" w:pos="567"/>
        </w:tabs>
        <w:spacing w:line="240" w:lineRule="auto"/>
        <w:rPr>
          <w:snapToGrid/>
          <w:szCs w:val="22"/>
          <w:lang w:val="lt-LT" w:eastAsia="sl-SI"/>
        </w:rPr>
      </w:pPr>
    </w:p>
    <w:p w14:paraId="4095858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Visais šiais atvejais reikia dažniau tirti kalio koncentraciją. Pirmą kartą kalio koncentraciją kraujo plazmoje reikia išmatuoti per pirmąją savaitę nuo gydymo pradžios. Jeigu kalio koncentracija yra maža, ją reikia koreguoti. Hipokalemija kartu su maža magnio koncentracija kraujo serume gali nereaguoti į gydymą, kol nekoreguojama magnio koncentracija kraujo serume.</w:t>
      </w:r>
    </w:p>
    <w:p w14:paraId="43316C81" w14:textId="77777777" w:rsidR="00C00DD1" w:rsidRDefault="00C00DD1">
      <w:pPr>
        <w:widowControl w:val="0"/>
        <w:tabs>
          <w:tab w:val="clear" w:pos="567"/>
        </w:tabs>
        <w:spacing w:line="240" w:lineRule="auto"/>
        <w:rPr>
          <w:snapToGrid/>
          <w:szCs w:val="22"/>
          <w:lang w:val="lt-LT" w:eastAsia="sl-SI"/>
        </w:rPr>
      </w:pPr>
    </w:p>
    <w:p w14:paraId="5A1C7B7C"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Magnio koncentracija kraujo plazmoje</w:t>
      </w:r>
    </w:p>
    <w:p w14:paraId="11BA301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Tiazidiniai ir panašaus poveikio diuretikai, įskaitant indapamidą, gali didinti magnio išsiskyrimą su šlapimu ir sukelti hipomagnezemiją (žr. 4.5 ir 4.8 skyrius).</w:t>
      </w:r>
    </w:p>
    <w:p w14:paraId="2ED3DFB6" w14:textId="77777777" w:rsidR="00C00DD1" w:rsidRDefault="00C00DD1">
      <w:pPr>
        <w:widowControl w:val="0"/>
        <w:tabs>
          <w:tab w:val="clear" w:pos="567"/>
        </w:tabs>
        <w:spacing w:line="240" w:lineRule="auto"/>
        <w:rPr>
          <w:snapToGrid/>
          <w:szCs w:val="22"/>
          <w:lang w:val="lt-LT" w:eastAsia="sl-SI"/>
        </w:rPr>
      </w:pPr>
    </w:p>
    <w:p w14:paraId="113A1E8A"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Kalcio koncentracija</w:t>
      </w:r>
    </w:p>
    <w:p w14:paraId="7DB24A4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Tiazidiniai ir panašaus poveikio diuretikai gali mažinti kalcio išsiskyrimą su šlapimu ir laikinai šiek tiek padidinti kalcio koncentraciją kraujo plazmoje. Gerokai padidėjęs kalcio kiekis gali būti susijęs su nediagnozuota hiperparatiroze. Tokiais atvejais prieš priešskydinės liaukos funkcijos tyrimą gydymą reikia nutraukti.</w:t>
      </w:r>
    </w:p>
    <w:p w14:paraId="3BD978B0" w14:textId="77777777" w:rsidR="00C00DD1" w:rsidRDefault="00C00DD1">
      <w:pPr>
        <w:widowControl w:val="0"/>
        <w:tabs>
          <w:tab w:val="clear" w:pos="567"/>
        </w:tabs>
        <w:spacing w:line="240" w:lineRule="auto"/>
        <w:rPr>
          <w:snapToGrid/>
          <w:szCs w:val="22"/>
          <w:lang w:val="lt-LT" w:eastAsia="sl-SI"/>
        </w:rPr>
      </w:pPr>
    </w:p>
    <w:p w14:paraId="20F7D693"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Gliukozės koncentracija kraujyje</w:t>
      </w:r>
    </w:p>
    <w:p w14:paraId="5EEF88B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Būtina stebėti cukriniu diabetu sergančių pacientų gliukozės koncentraciją kraujyje, ypač jeigu kalio koncentracija kraujyje yra maža.</w:t>
      </w:r>
    </w:p>
    <w:p w14:paraId="265BA620" w14:textId="77777777" w:rsidR="00C00DD1" w:rsidRDefault="00C00DD1">
      <w:pPr>
        <w:widowControl w:val="0"/>
        <w:tabs>
          <w:tab w:val="clear" w:pos="567"/>
        </w:tabs>
        <w:spacing w:line="240" w:lineRule="auto"/>
        <w:rPr>
          <w:snapToGrid/>
          <w:szCs w:val="22"/>
          <w:lang w:val="lt-LT" w:eastAsia="sl-SI"/>
        </w:rPr>
      </w:pPr>
    </w:p>
    <w:p w14:paraId="2500D977"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Šlapimo rūgštis</w:t>
      </w:r>
    </w:p>
    <w:p w14:paraId="2CA37AC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yra hiperurikemija, gali padidėti polinkis į podagros priepuolius.</w:t>
      </w:r>
    </w:p>
    <w:p w14:paraId="16AA0840" w14:textId="77777777" w:rsidR="00C00DD1" w:rsidRDefault="00C00DD1">
      <w:pPr>
        <w:widowControl w:val="0"/>
        <w:tabs>
          <w:tab w:val="clear" w:pos="567"/>
        </w:tabs>
        <w:spacing w:line="240" w:lineRule="auto"/>
        <w:rPr>
          <w:snapToGrid/>
          <w:szCs w:val="22"/>
          <w:lang w:val="lt-LT" w:eastAsia="sl-SI"/>
        </w:rPr>
      </w:pPr>
    </w:p>
    <w:p w14:paraId="140B3E91"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Inkstų funkcija ir diuretikai</w:t>
      </w:r>
    </w:p>
    <w:p w14:paraId="0E6C06D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Visiškas tiazidinių ir panašaus poveikio diuretikų poveikis pasireiškia tik tada, jeigu inkstų funkcija yra normali arba tik šiek tiek sutrikusi (kreatinino koncentracija suaugusių žmonių kraujo plazmoje mažesnė kaip maždaug 25 mg/l, t. y. &lt;220 mikromolių/l).</w:t>
      </w:r>
    </w:p>
    <w:p w14:paraId="614E0DA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Senyviems žmonėms kreatinino koncentraciją kraujo plazmoje būtina perskaičiuoti atsižvelgiant į amžių, kūno svorį ir lytį. Naudojama </w:t>
      </w:r>
      <w:r>
        <w:rPr>
          <w:i/>
          <w:snapToGrid/>
          <w:szCs w:val="22"/>
          <w:lang w:val="lt-LT" w:eastAsia="sl-SI"/>
        </w:rPr>
        <w:t>Cockroft</w:t>
      </w:r>
      <w:r>
        <w:rPr>
          <w:snapToGrid/>
          <w:szCs w:val="22"/>
          <w:lang w:val="lt-LT" w:eastAsia="sl-SI"/>
        </w:rPr>
        <w:t xml:space="preserve"> formulė:</w:t>
      </w:r>
    </w:p>
    <w:p w14:paraId="0A6E0946" w14:textId="77777777" w:rsidR="00C00DD1" w:rsidRDefault="00C00DD1">
      <w:pPr>
        <w:widowControl w:val="0"/>
        <w:tabs>
          <w:tab w:val="clear" w:pos="567"/>
        </w:tabs>
        <w:spacing w:line="240" w:lineRule="auto"/>
        <w:rPr>
          <w:snapToGrid/>
          <w:szCs w:val="22"/>
          <w:lang w:val="lt-LT" w:eastAsia="sl-SI"/>
        </w:rPr>
      </w:pPr>
    </w:p>
    <w:p w14:paraId="3A667ADA"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Cl</w:t>
      </w:r>
      <w:r>
        <w:rPr>
          <w:snapToGrid/>
          <w:szCs w:val="22"/>
          <w:vertAlign w:val="subscript"/>
          <w:lang w:val="lt-LT" w:eastAsia="sl-SI"/>
        </w:rPr>
        <w:t>cr</w:t>
      </w:r>
      <w:r>
        <w:rPr>
          <w:snapToGrid/>
          <w:szCs w:val="22"/>
          <w:lang w:val="lt-LT" w:eastAsia="sl-SI"/>
        </w:rPr>
        <w:t xml:space="preserve"> = (140 – amžius) x kūno svoris / 0,814 x kreatinino koncentracija kraujo plazmoje</w:t>
      </w:r>
    </w:p>
    <w:p w14:paraId="0883CE6C" w14:textId="77777777" w:rsidR="00C00DD1" w:rsidRDefault="00C00DD1">
      <w:pPr>
        <w:widowControl w:val="0"/>
        <w:tabs>
          <w:tab w:val="clear" w:pos="567"/>
        </w:tabs>
        <w:spacing w:line="240" w:lineRule="auto"/>
        <w:rPr>
          <w:snapToGrid/>
          <w:szCs w:val="22"/>
          <w:lang w:val="lt-LT" w:eastAsia="sl-SI"/>
        </w:rPr>
      </w:pPr>
    </w:p>
    <w:p w14:paraId="4392B4D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(amžius metais, kūno svoris kilogramais, kreatinino koncentracija kraujo plazmoje mikromoliais/l).</w:t>
      </w:r>
    </w:p>
    <w:p w14:paraId="6E2F7683" w14:textId="77777777" w:rsidR="00C00DD1" w:rsidRDefault="00C00DD1">
      <w:pPr>
        <w:widowControl w:val="0"/>
        <w:tabs>
          <w:tab w:val="clear" w:pos="567"/>
        </w:tabs>
        <w:spacing w:line="240" w:lineRule="auto"/>
        <w:rPr>
          <w:snapToGrid/>
          <w:szCs w:val="22"/>
          <w:lang w:val="lt-LT" w:eastAsia="sl-SI"/>
        </w:rPr>
      </w:pPr>
    </w:p>
    <w:p w14:paraId="2DE26F76"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Ši formulė tinka senyviems vyrams. Moterims gautą rezultatą reikia padauginti iš 0,85.</w:t>
      </w:r>
    </w:p>
    <w:p w14:paraId="62DABCAF" w14:textId="77777777" w:rsidR="00C00DD1" w:rsidRDefault="00C00DD1">
      <w:pPr>
        <w:widowControl w:val="0"/>
        <w:tabs>
          <w:tab w:val="clear" w:pos="567"/>
        </w:tabs>
        <w:spacing w:line="240" w:lineRule="auto"/>
        <w:rPr>
          <w:snapToGrid/>
          <w:szCs w:val="22"/>
          <w:lang w:val="lt-LT" w:eastAsia="sl-SI"/>
        </w:rPr>
      </w:pPr>
    </w:p>
    <w:p w14:paraId="7C8575F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Gydymo pradžioje diuretikų sukelta hipovolemija (antrinė dėl padidėjusio natrio ir vandens netekimo) sumažina glomerulų filtraciją, todėl gali didėti šlapalo bei kreatinino koncentracija kraujyje. Jeigu inkstų funkcija normali, toks laikinas funkcinis inkstų nepakankamumas nepageidaujamų pasekmių nesukelia, tačiau jeigu inkstų funkcijos sutrikimas jau buvo, jis gali pasunkėti.</w:t>
      </w:r>
    </w:p>
    <w:p w14:paraId="270B7041" w14:textId="77777777" w:rsidR="00C00DD1" w:rsidRDefault="00C00DD1">
      <w:pPr>
        <w:widowControl w:val="0"/>
        <w:tabs>
          <w:tab w:val="clear" w:pos="567"/>
        </w:tabs>
        <w:spacing w:line="240" w:lineRule="auto"/>
        <w:rPr>
          <w:snapToGrid/>
          <w:szCs w:val="22"/>
          <w:lang w:val="lt-LT" w:eastAsia="sl-SI"/>
        </w:rPr>
      </w:pPr>
    </w:p>
    <w:p w14:paraId="7CDE3A43"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Sportininkai</w:t>
      </w:r>
    </w:p>
    <w:p w14:paraId="746E159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Sportininkus reikia informuoti, kad vaistiniame preparate esanti veiklioji medžiaga gali lemti teigiamą dopingo testo rezultatą.</w:t>
      </w:r>
    </w:p>
    <w:p w14:paraId="3E3E7E58" w14:textId="77777777" w:rsidR="00C00DD1" w:rsidRDefault="00C00DD1">
      <w:pPr>
        <w:widowControl w:val="0"/>
        <w:tabs>
          <w:tab w:val="clear" w:pos="567"/>
        </w:tabs>
        <w:spacing w:line="240" w:lineRule="auto"/>
        <w:rPr>
          <w:rFonts w:eastAsia="Calibri"/>
          <w:i/>
          <w:snapToGrid/>
          <w:szCs w:val="22"/>
          <w:highlight w:val="green"/>
          <w:lang w:val="lt-LT"/>
        </w:rPr>
      </w:pPr>
    </w:p>
    <w:p w14:paraId="7E81DCFE" w14:textId="77777777" w:rsidR="00C00DD1" w:rsidRDefault="00C260EB">
      <w:pPr>
        <w:widowControl w:val="0"/>
        <w:tabs>
          <w:tab w:val="clear" w:pos="567"/>
        </w:tabs>
        <w:spacing w:line="240" w:lineRule="auto"/>
        <w:rPr>
          <w:rFonts w:eastAsia="Calibri"/>
          <w:snapToGrid/>
          <w:szCs w:val="22"/>
          <w:lang w:val="lt-LT"/>
        </w:rPr>
      </w:pPr>
      <w:r>
        <w:rPr>
          <w:rFonts w:eastAsia="Calibri"/>
          <w:i/>
          <w:snapToGrid/>
          <w:szCs w:val="22"/>
          <w:lang w:val="lt-LT"/>
        </w:rPr>
        <w:t>Skysčio susikaupimas tarp akies gyslainės ir skleros, ūminė miopija ir antrinė uždaro kampo glaukoma</w:t>
      </w:r>
    </w:p>
    <w:p w14:paraId="5707F31C" w14:textId="77777777" w:rsidR="00C00DD1" w:rsidRDefault="00C260EB">
      <w:pPr>
        <w:widowControl w:val="0"/>
        <w:tabs>
          <w:tab w:val="clear" w:pos="567"/>
          <w:tab w:val="left" w:pos="0"/>
          <w:tab w:val="left" w:pos="284"/>
          <w:tab w:val="left" w:pos="709"/>
        </w:tabs>
        <w:spacing w:line="240" w:lineRule="auto"/>
        <w:rPr>
          <w:rFonts w:eastAsia="Calibri"/>
          <w:snapToGrid/>
          <w:szCs w:val="22"/>
          <w:lang w:val="lt-LT"/>
        </w:rPr>
      </w:pPr>
      <w:r>
        <w:rPr>
          <w:rFonts w:eastAsia="Calibri"/>
          <w:snapToGrid/>
          <w:szCs w:val="22"/>
          <w:lang w:val="lt-LT"/>
        </w:rPr>
        <w:t>Sulfonamidai arba sulfonamidų dariniai gali sukelti idosinkrazinę reakciją, dėl kurios pasireiškia skysčio susikaupimas tarp akies gyslainės ir skleros su regėjimo lauko defektu, laikina miopija ir ūminė uždaro kampo glaukoma. Galimi simptomai yra staiga sumažėjęs regos aštrumas ar akies skausmas, jie paprastai pasireiškia po</w:t>
      </w:r>
      <w:r>
        <w:rPr>
          <w:snapToGrid/>
          <w:szCs w:val="22"/>
          <w:lang w:val="lt-LT" w:eastAsia="sl-SI"/>
        </w:rPr>
        <w:t xml:space="preserve"> kelių valandų ar savaičių nuo vaistinio preparato vartojimo pradžios. </w:t>
      </w:r>
      <w:r>
        <w:rPr>
          <w:rFonts w:eastAsia="Calibri"/>
          <w:snapToGrid/>
          <w:szCs w:val="22"/>
          <w:lang w:val="lt-LT"/>
        </w:rPr>
        <w:t>Negydant ūminės uždaro kampo glaukomos, galimas apakimas visam laikui. Gydant, pirmiausia reikia kiek galima greičiau nutraukti vaistinio preparato vartojimą. Gali tekti spręsti dėl skubaus medikamentinio ar chirurginio gydymo, jeigu akispūdis ir toliau išlieka nekontroliuojamas. Ūminės uždaro kampo glaukomos atsiradimo rizikos veiksniai gali būti buvusi alergija sulfonamidams arba penicilinui.</w:t>
      </w:r>
    </w:p>
    <w:p w14:paraId="6706564E" w14:textId="77777777" w:rsidR="00C00DD1" w:rsidRDefault="00C00DD1">
      <w:pPr>
        <w:widowControl w:val="0"/>
        <w:tabs>
          <w:tab w:val="clear" w:pos="567"/>
          <w:tab w:val="left" w:pos="0"/>
          <w:tab w:val="left" w:pos="284"/>
          <w:tab w:val="left" w:pos="709"/>
        </w:tabs>
        <w:spacing w:line="240" w:lineRule="auto"/>
        <w:rPr>
          <w:rFonts w:eastAsia="Calibri"/>
          <w:snapToGrid/>
          <w:szCs w:val="22"/>
          <w:lang w:val="lt-LT"/>
        </w:rPr>
      </w:pPr>
    </w:p>
    <w:p w14:paraId="7929E611" w14:textId="77777777" w:rsidR="00C00DD1" w:rsidRDefault="00C260EB">
      <w:pPr>
        <w:widowControl w:val="0"/>
        <w:tabs>
          <w:tab w:val="clear" w:pos="567"/>
          <w:tab w:val="left" w:pos="0"/>
          <w:tab w:val="left" w:pos="284"/>
          <w:tab w:val="left" w:pos="709"/>
        </w:tabs>
        <w:spacing w:line="240" w:lineRule="auto"/>
        <w:rPr>
          <w:rFonts w:eastAsia="Calibri"/>
          <w:i/>
          <w:iCs/>
          <w:snapToGrid/>
          <w:szCs w:val="22"/>
          <w:lang w:val="lt-LT"/>
        </w:rPr>
      </w:pPr>
      <w:r>
        <w:rPr>
          <w:rFonts w:eastAsia="Calibri"/>
          <w:i/>
          <w:iCs/>
          <w:snapToGrid/>
          <w:szCs w:val="22"/>
          <w:lang w:val="lt-LT"/>
        </w:rPr>
        <w:t>Pagalbinės medžiagos</w:t>
      </w:r>
    </w:p>
    <w:p w14:paraId="576C246B"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Šio vaistinio preparato tabletėje yra mažiau kaip 1 mmol natrio (23 mg), t. y. jis beveik neturi reikšmės.</w:t>
      </w:r>
    </w:p>
    <w:p w14:paraId="6ABDFBA7" w14:textId="77777777" w:rsidR="00C00DD1" w:rsidRDefault="00C00DD1">
      <w:pPr>
        <w:widowControl w:val="0"/>
        <w:tabs>
          <w:tab w:val="clear" w:pos="567"/>
        </w:tabs>
        <w:spacing w:line="240" w:lineRule="auto"/>
        <w:ind w:left="567" w:hanging="567"/>
        <w:rPr>
          <w:snapToGrid/>
          <w:szCs w:val="22"/>
          <w:lang w:val="lt-LT"/>
        </w:rPr>
      </w:pPr>
    </w:p>
    <w:p w14:paraId="156C2D42"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4.5</w:t>
      </w:r>
      <w:r>
        <w:rPr>
          <w:b/>
          <w:snapToGrid/>
          <w:kern w:val="28"/>
          <w:szCs w:val="22"/>
          <w:lang w:val="lt-LT"/>
        </w:rPr>
        <w:tab/>
        <w:t>Sąveika su kitais vaistiniais preparatais ir kitokia sąveika</w:t>
      </w:r>
    </w:p>
    <w:p w14:paraId="7210EC8E" w14:textId="77777777" w:rsidR="00C00DD1" w:rsidRDefault="00C00DD1">
      <w:pPr>
        <w:widowControl w:val="0"/>
        <w:tabs>
          <w:tab w:val="clear" w:pos="567"/>
        </w:tabs>
        <w:spacing w:line="240" w:lineRule="auto"/>
        <w:ind w:left="567" w:hanging="567"/>
        <w:rPr>
          <w:bCs/>
          <w:snapToGrid/>
          <w:szCs w:val="22"/>
          <w:lang w:val="lt-LT"/>
        </w:rPr>
      </w:pPr>
    </w:p>
    <w:p w14:paraId="0E4FEA8A"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 su perindopriliu ir indapamidu:</w:t>
      </w:r>
    </w:p>
    <w:p w14:paraId="2AE579CA" w14:textId="77777777" w:rsidR="00C00DD1" w:rsidRDefault="00C00DD1">
      <w:pPr>
        <w:widowControl w:val="0"/>
        <w:tabs>
          <w:tab w:val="clear" w:pos="567"/>
        </w:tabs>
        <w:spacing w:line="240" w:lineRule="auto"/>
        <w:rPr>
          <w:snapToGrid/>
          <w:szCs w:val="22"/>
          <w:lang w:val="lt-LT" w:eastAsia="sl-SI"/>
        </w:rPr>
      </w:pPr>
    </w:p>
    <w:p w14:paraId="407E0310"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ir indapamidu vartoti nerekomenduojama</w:t>
      </w:r>
    </w:p>
    <w:p w14:paraId="3D485DFF" w14:textId="77777777" w:rsidR="00C00DD1" w:rsidRDefault="00C260EB">
      <w:pPr>
        <w:widowControl w:val="0"/>
        <w:numPr>
          <w:ilvl w:val="0"/>
          <w:numId w:val="18"/>
        </w:numPr>
        <w:tabs>
          <w:tab w:val="clear" w:pos="567"/>
        </w:tabs>
        <w:spacing w:line="240" w:lineRule="auto"/>
        <w:ind w:left="567" w:hanging="567"/>
        <w:rPr>
          <w:i/>
          <w:snapToGrid/>
          <w:szCs w:val="22"/>
          <w:lang w:val="lt-LT" w:eastAsia="sl-SI"/>
        </w:rPr>
      </w:pPr>
      <w:r>
        <w:rPr>
          <w:snapToGrid/>
          <w:szCs w:val="22"/>
          <w:lang w:val="lt-LT" w:eastAsia="sl-SI"/>
        </w:rPr>
        <w:lastRenderedPageBreak/>
        <w:t>Ličio preparatai. Kartu su AKF inhibitoriais vartojant ličio, kai kuriems pacientams laikinai padidėdavo ličio koncentracija kraujo serume ir sustiprėdavo toksinis poveikis. Kartu su perindopriliu ir indapamidu ličio preparatų vartoti nerekomenduojama. Jeigu taip gydyti būtina, reikia dažnai tirti ličio koncentraciją kraujo serume (žr. 4.4 skyrių).</w:t>
      </w:r>
    </w:p>
    <w:p w14:paraId="1C4AC9AB" w14:textId="77777777" w:rsidR="00C00DD1" w:rsidRDefault="00C00DD1">
      <w:pPr>
        <w:widowControl w:val="0"/>
        <w:tabs>
          <w:tab w:val="clear" w:pos="567"/>
        </w:tabs>
        <w:spacing w:line="240" w:lineRule="auto"/>
        <w:rPr>
          <w:snapToGrid/>
          <w:szCs w:val="22"/>
          <w:u w:val="single"/>
          <w:lang w:val="lt-LT" w:eastAsia="sl-SI"/>
        </w:rPr>
      </w:pPr>
    </w:p>
    <w:p w14:paraId="7C276A47"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ir indapamidu reikia vartoti itin atsargiai:</w:t>
      </w:r>
    </w:p>
    <w:p w14:paraId="0F2518BC"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Baklofenas. Antihipertenzinio poveikio sustiprėjimas. Būtina stebėti kraujospūdį ir, prireikus, koreguoti antihipertenzinių vaistinių preparatų dozę.</w:t>
      </w:r>
    </w:p>
    <w:p w14:paraId="1D32B05A"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Nesteroidiniai vaistiniai preparatai nuo uždegimo (NVNU) (įskaitant 3 g ir didesnes acetilsalicilo rūgšties paros dozes). AKF inhibitorius vartojant kartu su nesteroidiniais vaistiniais preparatais nuo uždegimo (pvz., acetilsalicilo rūgšties dozėmis nuo uždegimo, COX</w:t>
      </w:r>
      <w:r>
        <w:rPr>
          <w:snapToGrid/>
          <w:szCs w:val="22"/>
          <w:lang w:val="lt-LT" w:eastAsia="sl-SI"/>
        </w:rPr>
        <w:noBreakHyphen/>
        <w:t>2 inhibitoriais ir neselektyviaisiais NVNU), gali sumažėti jų kraujospūdį mažinantis poveikis. Kartu vartojant AKF inhibitorius ir NVNU gali padidėti inkstų funkcijos pablogėjimo rizika, įskaitant ūminio inkstų nepakankamumo galimybę, ir padidėti kalio koncentracija kraujo serume, ypač tiems pacientams, kurių inkstų funkcija ir anksčiau buvo bloga. Skirti vartoti šį derinį reikia atsargiai, ypač senyviems pacientams. Paciento organizme turi būti pakankamas skysčio kiekis, o inkstų funkciją reikia įvertinti kombinuotojo gydymo pradžioje ir reguliariai stebėti gydymo metu.</w:t>
      </w:r>
    </w:p>
    <w:p w14:paraId="3CA42E2F" w14:textId="77777777" w:rsidR="00C00DD1" w:rsidRDefault="00C00DD1">
      <w:pPr>
        <w:widowControl w:val="0"/>
        <w:tabs>
          <w:tab w:val="clear" w:pos="567"/>
        </w:tabs>
        <w:spacing w:line="240" w:lineRule="auto"/>
        <w:rPr>
          <w:snapToGrid/>
          <w:szCs w:val="22"/>
          <w:lang w:val="lt-LT" w:eastAsia="sl-SI"/>
        </w:rPr>
      </w:pPr>
    </w:p>
    <w:p w14:paraId="018C917A"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ir indapamidu reikia vartoti atsargiai:</w:t>
      </w:r>
    </w:p>
    <w:p w14:paraId="08B5A4FA"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Imipramino tipo (tricikliai) antidepresantai, neuroleptikai. Stiprėja antihipertenzinis poveikis, didėja ortostatinės hipotenzijos rizika (poveikis adityvus).</w:t>
      </w:r>
    </w:p>
    <w:p w14:paraId="3B86D261" w14:textId="77777777" w:rsidR="00C00DD1" w:rsidRDefault="00C00DD1">
      <w:pPr>
        <w:widowControl w:val="0"/>
        <w:tabs>
          <w:tab w:val="clear" w:pos="567"/>
        </w:tabs>
        <w:spacing w:line="240" w:lineRule="auto"/>
        <w:rPr>
          <w:snapToGrid/>
          <w:szCs w:val="22"/>
          <w:lang w:val="lt-LT" w:eastAsia="sl-SI"/>
        </w:rPr>
      </w:pPr>
    </w:p>
    <w:p w14:paraId="3E41A420"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 su perindopriliu:</w:t>
      </w:r>
    </w:p>
    <w:p w14:paraId="7742295A" w14:textId="77777777" w:rsidR="00C00DD1" w:rsidRDefault="00C00DD1">
      <w:pPr>
        <w:widowControl w:val="0"/>
        <w:tabs>
          <w:tab w:val="clear" w:pos="567"/>
        </w:tabs>
        <w:spacing w:line="240" w:lineRule="auto"/>
        <w:rPr>
          <w:snapToGrid/>
          <w:szCs w:val="22"/>
          <w:lang w:val="lt-LT" w:eastAsia="sl-SI"/>
        </w:rPr>
      </w:pPr>
    </w:p>
    <w:p w14:paraId="403957B5" w14:textId="77777777" w:rsidR="00C00DD1" w:rsidRDefault="00C260EB">
      <w:pPr>
        <w:widowControl w:val="0"/>
        <w:tabs>
          <w:tab w:val="clear" w:pos="567"/>
        </w:tabs>
        <w:spacing w:line="240" w:lineRule="auto"/>
        <w:contextualSpacing/>
        <w:rPr>
          <w:snapToGrid/>
          <w:szCs w:val="22"/>
          <w:lang w:val="lt-LT" w:eastAsia="sl-SI"/>
        </w:rPr>
      </w:pPr>
      <w:r>
        <w:rPr>
          <w:snapToGrid/>
          <w:szCs w:val="22"/>
          <w:lang w:val="lt-LT" w:eastAsia="sl-SI"/>
        </w:rPr>
        <w:t>Klinikinių tyrimų duomenys parodė, kad, palyginti su vieno renino, angiotenzino ir aldosterono sistemos (RAAS) veikiančio preparato vartojimu, dvigubas RAAS nuslopinimas, kai vartojamas AKF inhibitorių, angiotenzino II receptorių blokatorių ar aliskireno derinys, siejamas su dažniau pasitaikančiais nepageidaujamais reiškiniais, tokiais kaip hipotenzija, hiperkalemija ir inkstų funkcijos susilpnėjimas (įskaitant ūminį inkstų nepakankamumą) (žr. 4.3, 4.4 ir 5.1 skyrius).</w:t>
      </w:r>
    </w:p>
    <w:p w14:paraId="72E697E3" w14:textId="77777777" w:rsidR="00C00DD1" w:rsidRDefault="00C00DD1">
      <w:pPr>
        <w:widowControl w:val="0"/>
        <w:tabs>
          <w:tab w:val="clear" w:pos="567"/>
        </w:tabs>
        <w:spacing w:line="240" w:lineRule="auto"/>
        <w:rPr>
          <w:snapToGrid/>
          <w:szCs w:val="22"/>
          <w:lang w:val="lt-LT" w:eastAsia="sl-SI"/>
        </w:rPr>
      </w:pPr>
    </w:p>
    <w:p w14:paraId="135DD734"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Hiperkalemiją sukeliantys vaistiniai preparatai</w:t>
      </w:r>
    </w:p>
    <w:p w14:paraId="1215A38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Kai kurie arba kai kurių terapinių grupių vaistiniai preparatai gali didinti hiperkalemijos atsiradimo riziką: aliskirenas, kalio druskos, kalį organizme sulaikantys diuretikai, AKF inhibitoriai, angiotenzino II receptorių antagonistai, NVNU, heparino preparatai, imuninę sistemą slopinantys vaistiniai preparatai (pvz., ciklosporinas ar takrolimuzas), trimetoprimas. Kartu vartojami šie vaistiniai preparatai didina hiperkalemijos riziką.</w:t>
      </w:r>
    </w:p>
    <w:p w14:paraId="63306B3B" w14:textId="77777777" w:rsidR="00C00DD1" w:rsidRDefault="00C00DD1">
      <w:pPr>
        <w:widowControl w:val="0"/>
        <w:tabs>
          <w:tab w:val="clear" w:pos="567"/>
        </w:tabs>
        <w:spacing w:line="240" w:lineRule="auto"/>
        <w:rPr>
          <w:rFonts w:eastAsia="Calibri"/>
          <w:i/>
          <w:snapToGrid/>
          <w:szCs w:val="22"/>
          <w:lang w:val="lt-LT" w:eastAsia="sl-SI"/>
        </w:rPr>
      </w:pPr>
    </w:p>
    <w:p w14:paraId="538E9ECF" w14:textId="77777777" w:rsidR="00C00DD1" w:rsidRDefault="00C260EB">
      <w:pPr>
        <w:widowControl w:val="0"/>
        <w:tabs>
          <w:tab w:val="clear" w:pos="567"/>
        </w:tabs>
        <w:spacing w:line="240" w:lineRule="auto"/>
        <w:rPr>
          <w:rFonts w:eastAsia="Calibri"/>
          <w:i/>
          <w:snapToGrid/>
          <w:szCs w:val="22"/>
          <w:lang w:val="lt-LT" w:eastAsia="sl-SI"/>
        </w:rPr>
      </w:pPr>
      <w:r>
        <w:rPr>
          <w:rFonts w:eastAsia="Calibri"/>
          <w:i/>
          <w:snapToGrid/>
          <w:szCs w:val="22"/>
          <w:lang w:val="lt-LT" w:eastAsia="sl-SI"/>
        </w:rPr>
        <w:t>Vaistiniai preparatai, kurių kartu vartoti draudžiama (žr. 4.3 skyrių):</w:t>
      </w:r>
    </w:p>
    <w:p w14:paraId="216F4604" w14:textId="77777777" w:rsidR="00C00DD1" w:rsidRDefault="00C260EB">
      <w:pPr>
        <w:widowControl w:val="0"/>
        <w:numPr>
          <w:ilvl w:val="0"/>
          <w:numId w:val="19"/>
        </w:numPr>
        <w:tabs>
          <w:tab w:val="clear" w:pos="567"/>
        </w:tabs>
        <w:spacing w:line="240" w:lineRule="auto"/>
        <w:ind w:left="567" w:hanging="567"/>
        <w:rPr>
          <w:rFonts w:eastAsia="Calibri"/>
          <w:snapToGrid/>
          <w:szCs w:val="22"/>
          <w:lang w:val="lt-LT"/>
        </w:rPr>
      </w:pPr>
      <w:r>
        <w:rPr>
          <w:rFonts w:eastAsia="Calibri"/>
          <w:snapToGrid/>
          <w:szCs w:val="22"/>
          <w:lang w:val="lt-LT"/>
        </w:rPr>
        <w:t>Aliskirenas. Cukriniu diabetu sergantiems pacientams arba pacientams, kurių inkstų funkcija sutrikusi, padidėja hiperkalemijos, inkstų funkcijos pablogėjimo ir kardiovaskulinio sergamumo bei mirtingumo rizika.</w:t>
      </w:r>
    </w:p>
    <w:p w14:paraId="44DDC0A0" w14:textId="77777777" w:rsidR="00C00DD1" w:rsidRDefault="00C260EB">
      <w:pPr>
        <w:widowControl w:val="0"/>
        <w:numPr>
          <w:ilvl w:val="0"/>
          <w:numId w:val="19"/>
        </w:numPr>
        <w:tabs>
          <w:tab w:val="clear" w:pos="567"/>
        </w:tabs>
        <w:spacing w:line="240" w:lineRule="auto"/>
        <w:ind w:left="567" w:hanging="567"/>
        <w:rPr>
          <w:snapToGrid/>
          <w:szCs w:val="22"/>
          <w:lang w:val="lt-LT" w:eastAsia="sl-SI"/>
        </w:rPr>
      </w:pPr>
      <w:bookmarkStart w:id="0" w:name="_Hlk505796627"/>
      <w:r>
        <w:rPr>
          <w:snapToGrid/>
          <w:szCs w:val="22"/>
          <w:lang w:val="lt-LT" w:eastAsia="sl-SI"/>
        </w:rPr>
        <w:t>Ekstrakorporinis gydymas</w:t>
      </w:r>
      <w:bookmarkEnd w:id="0"/>
      <w:r>
        <w:rPr>
          <w:snapToGrid/>
          <w:szCs w:val="22"/>
          <w:lang w:val="lt-LT" w:eastAsia="sl-SI"/>
        </w:rPr>
        <w:t xml:space="preserve">. </w:t>
      </w:r>
      <w:r>
        <w:rPr>
          <w:szCs w:val="22"/>
          <w:lang w:val="lt-LT" w:eastAsia="sl-SI"/>
        </w:rPr>
        <w:t>Ekstrakorporinio gydymo, dėl kurio kraujas sąveikauja su neigiamą krūvį turinčiais paviršiais, pavyzdžiui, dializės arba hemofiltracijos metu naudojant tam tikras didelio pralaidumo membranas (pvz., poliakrilonitrilo membranas) ar atliekant mažo tankio lipoproteinų aferezę su dekstrano sulfatu, gali padidėti sunkių anafilaktoidinių reakcijų rizika (žr. 4.3 skyrių). Jeigu reikia tokio gydymo, būtina apsvarstyti kitokio tipo dializės membranos naudojimą arba kitos grupės antihipertenzinio vaistinio preparato skyrimą.</w:t>
      </w:r>
    </w:p>
    <w:p w14:paraId="0A33844F" w14:textId="77777777" w:rsidR="00C00DD1" w:rsidRDefault="00C260EB">
      <w:pPr>
        <w:widowControl w:val="0"/>
        <w:numPr>
          <w:ilvl w:val="0"/>
          <w:numId w:val="16"/>
        </w:numPr>
        <w:tabs>
          <w:tab w:val="clear" w:pos="567"/>
        </w:tabs>
        <w:spacing w:line="240" w:lineRule="auto"/>
        <w:ind w:left="567" w:hanging="567"/>
        <w:contextualSpacing/>
        <w:rPr>
          <w:rFonts w:eastAsia="Calibri"/>
          <w:snapToGrid/>
          <w:szCs w:val="22"/>
          <w:lang w:val="lt-LT" w:eastAsia="sl-SI"/>
        </w:rPr>
      </w:pPr>
      <w:r>
        <w:rPr>
          <w:rFonts w:eastAsia="Calibri"/>
          <w:snapToGrid/>
          <w:szCs w:val="22"/>
          <w:lang w:val="lt-LT" w:eastAsia="sl-SI"/>
        </w:rPr>
        <w:t>Sakubitrilas/valsartanas. Dėl bendro nepriliziną ir angiotenziną konvertuojančio faktoriaus inhibuojančio poveikio ir dėl to padidėjusios angioneurozinės edemos rizikos, perindoprilio draudžiama skirti kartu su sakubitrilo ir valsartano deriniu. Gydymą sakubitrilo ir valsartano deriniu draudžiama pradėti nepraėjus 36 valandoms po paskutinės perindoprilio dozės pavartojimo. Gydymą perindopriliu draudžiama pradėti nepraėjus 36 valandoms po paskutinės sakubitrilo ir valsartano derinio dozės pavartojimo (žr. 4.3 ir 4.4 skyrius).</w:t>
      </w:r>
    </w:p>
    <w:p w14:paraId="7567776E" w14:textId="77777777" w:rsidR="00C00DD1" w:rsidRDefault="00C00DD1">
      <w:pPr>
        <w:widowControl w:val="0"/>
        <w:tabs>
          <w:tab w:val="clear" w:pos="567"/>
        </w:tabs>
        <w:spacing w:line="240" w:lineRule="auto"/>
        <w:rPr>
          <w:rFonts w:eastAsia="Calibri"/>
          <w:snapToGrid/>
          <w:szCs w:val="22"/>
          <w:lang w:val="lt-LT" w:eastAsia="sl-SI"/>
        </w:rPr>
      </w:pPr>
    </w:p>
    <w:p w14:paraId="1D5DA1A9" w14:textId="77777777" w:rsidR="00C00DD1" w:rsidRDefault="00C260EB">
      <w:pPr>
        <w:widowControl w:val="0"/>
        <w:tabs>
          <w:tab w:val="clear" w:pos="567"/>
        </w:tabs>
        <w:spacing w:line="240" w:lineRule="auto"/>
        <w:rPr>
          <w:rFonts w:eastAsia="Calibri"/>
          <w:i/>
          <w:snapToGrid/>
          <w:szCs w:val="22"/>
          <w:lang w:val="lt-LT" w:eastAsia="sl-SI"/>
        </w:rPr>
      </w:pPr>
      <w:r>
        <w:rPr>
          <w:rFonts w:eastAsia="Calibri"/>
          <w:i/>
          <w:snapToGrid/>
          <w:szCs w:val="22"/>
          <w:lang w:val="lt-LT" w:eastAsia="sl-SI"/>
        </w:rPr>
        <w:t>Vaistiniai preparatai, kurių kartu su perindopriliu vartoti nerekomenduojama:</w:t>
      </w:r>
    </w:p>
    <w:p w14:paraId="2C0F9D0C" w14:textId="77777777" w:rsidR="00C00DD1" w:rsidRDefault="00C260EB">
      <w:pPr>
        <w:widowControl w:val="0"/>
        <w:numPr>
          <w:ilvl w:val="0"/>
          <w:numId w:val="19"/>
        </w:numPr>
        <w:tabs>
          <w:tab w:val="clear" w:pos="567"/>
        </w:tabs>
        <w:spacing w:line="240" w:lineRule="auto"/>
        <w:ind w:left="567" w:hanging="567"/>
        <w:rPr>
          <w:rFonts w:eastAsia="Calibri"/>
          <w:bCs/>
          <w:iCs/>
          <w:snapToGrid/>
          <w:szCs w:val="22"/>
          <w:lang w:val="lt-LT"/>
        </w:rPr>
      </w:pPr>
      <w:r>
        <w:rPr>
          <w:rFonts w:eastAsia="Calibri"/>
          <w:bCs/>
          <w:iCs/>
          <w:snapToGrid/>
          <w:szCs w:val="22"/>
          <w:lang w:val="lt-LT"/>
        </w:rPr>
        <w:t xml:space="preserve">Aliskirenas. </w:t>
      </w:r>
      <w:r>
        <w:rPr>
          <w:rFonts w:eastAsia="Calibri"/>
          <w:snapToGrid/>
          <w:szCs w:val="22"/>
          <w:lang w:val="lt-LT"/>
        </w:rPr>
        <w:t xml:space="preserve">Hiperkalemijos, inkstų funkcijos pablogėjimo ir kardiovaskulinio sergamumo bei </w:t>
      </w:r>
      <w:r>
        <w:rPr>
          <w:rFonts w:eastAsia="Calibri"/>
          <w:snapToGrid/>
          <w:szCs w:val="22"/>
          <w:lang w:val="lt-LT"/>
        </w:rPr>
        <w:lastRenderedPageBreak/>
        <w:t>mirtingumo rizika</w:t>
      </w:r>
      <w:r>
        <w:rPr>
          <w:rFonts w:eastAsia="Calibri"/>
          <w:bCs/>
          <w:iCs/>
          <w:snapToGrid/>
          <w:szCs w:val="22"/>
          <w:lang w:val="lt-LT"/>
        </w:rPr>
        <w:t xml:space="preserve"> gali padidėti ir kitiems pacientams, ne tik tiems, kurie serga cukriniu diabetu arba kuriems yra inkstų funkcijos sutrikimas (žr. 4.4 skyrių).</w:t>
      </w:r>
    </w:p>
    <w:p w14:paraId="6E08A83A"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Vartojimas kartu su AKF inhibitoriumi ir angiotenzino receptorių blokatoriumi. Mokslinėje literatūroje yra pranešimų, kad AKF inhibitoriaus ar angiotenzino receptorių blokatoriaus vartojimas kartu pacientams, kuriems yra diagnozuota aterosklerozinė liga, širdies nepakankamumas arba cukrinis diabetas su organų</w:t>
      </w:r>
      <w:r>
        <w:rPr>
          <w:rFonts w:eastAsia="Calibri"/>
          <w:bCs/>
          <w:iCs/>
          <w:snapToGrid/>
          <w:szCs w:val="22"/>
          <w:lang w:val="lt-LT"/>
        </w:rPr>
        <w:noBreakHyphen/>
        <w:t>taikinių pažaida, yra susijęs su dažnesne hipotenzija, apalpimu, hiperkalemija ir inkstų funkcijos pablogėjimu (įskaitant ūminį inkstų funkcijos nepakankamumą), palyginti su vieno renino, angiotenzino ir aldosterono sistemą veikiančio vaistinio preparato vartojimu. Dviguba blokada (pvz., AKF inhibitoriaus vartojimas kartu su angiotenzino II receptorių blokatoriumi) turėtų būti skiriama tik išskirtiniais atvejais, atidžiai stebint inkstų funkciją, matuojant kalio koncentraciją ir kraujospūdį (žr. 4.4 skyrių).</w:t>
      </w:r>
    </w:p>
    <w:p w14:paraId="5D2AB53A"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Estramustinas. Padidėja tokio nepageidaujamo poveikio kaip angioneurozinė edema (angioedema) rizika.</w:t>
      </w:r>
    </w:p>
    <w:p w14:paraId="4A774B29"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Kotrimoksazolas (trimetoprimas/sulfametoksazolas). Pacientams, kartu vartojantiems kotrimoksazolą (trimetoprimą/sulfametoksazolą), gali padidėti hiperkalemijos rizika (žr. 4.4 skyrių).</w:t>
      </w:r>
    </w:p>
    <w:p w14:paraId="5D8B3C9C"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Kalį organizme sulaikantys diuretikai (triamterenas, amiloridas), kalio druskos. Hiperkalemija (gali būti mirtina), ypač jeigu kartu yra inkstų funkcijos sutrikimas (adityvus hiperkalemiją sukeliantis poveikis). Minėtų vaistinių preparatų vartoti kartu su perindopriliu nerekomenduojama (žr. 4.4 skyrių). Vis dėlto jeigu toks kombinuotasis gydymas būtinas, minėtų vaistinių preparatų reikia vartoti atsargiai, be to, būtina dažnai tirti kalio koncentraciją kraujo serume. Informacijos apie spironolaktono vartojimą sergant širdies nepakankamumu pateikiama poskyryje „Vaistiniai preparatai, kurių kartu su perindopriliu reikia vartoti ypač atsargiai“.</w:t>
      </w:r>
    </w:p>
    <w:p w14:paraId="41A108E9" w14:textId="77777777" w:rsidR="00C00DD1" w:rsidRDefault="00C00DD1">
      <w:pPr>
        <w:widowControl w:val="0"/>
        <w:spacing w:line="240" w:lineRule="auto"/>
        <w:rPr>
          <w:snapToGrid/>
          <w:szCs w:val="22"/>
          <w:lang w:val="lt-LT" w:eastAsia="sl-SI"/>
        </w:rPr>
      </w:pPr>
    </w:p>
    <w:p w14:paraId="59DF9D1F"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reikia vartoti ypač atsargiai:</w:t>
      </w:r>
    </w:p>
    <w:p w14:paraId="729B9D3A" w14:textId="77777777" w:rsidR="00C00DD1" w:rsidRDefault="00C260EB">
      <w:pPr>
        <w:widowControl w:val="0"/>
        <w:numPr>
          <w:ilvl w:val="0"/>
          <w:numId w:val="19"/>
        </w:numPr>
        <w:tabs>
          <w:tab w:val="clear"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Vaistiniai preparatai cukriniam diabetui gydyti (insulinas, geriamieji gliukozės kiekį mažinantys vaistiniai preparatai). Epidemiologiniai tyrimai rodo, kad AKF inhibitorių ir vaistinių preparatų diabetui gydyti (insulino preparatų, geriamųjų gliukozės kiekį mažinančių vaistinių preparatų) vartojimas kartu gali sustiprinti gliukozės kiekį mažinantį poveikį ir kelti hipoglikemijos atsiradimo riziką. Pastebėta, kad toks reiškinys yra labiau tikėtinas per pirmąsias kombinuotojo gydymo savaites ir pacientams, kuriems pasireiškia inkstų funkcijos sutrikimas.</w:t>
      </w:r>
    </w:p>
    <w:p w14:paraId="56EBBAA5" w14:textId="77777777" w:rsidR="00C00DD1" w:rsidRDefault="00C260EB">
      <w:pPr>
        <w:widowControl w:val="0"/>
        <w:numPr>
          <w:ilvl w:val="0"/>
          <w:numId w:val="19"/>
        </w:numPr>
        <w:tabs>
          <w:tab w:val="clear"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Kalio organizme nesulaikantys diuretikai. Pradėjus gydymą AKF inhibitoriumi, gali labai sumažėti diuretikų vartojančių pacientų, ypač tų, kurių organizme trūksta skysčių ir (arba) elektrolitų, kraujospūdis. Hipotenzinio poveikio tikimybę galima sumažinti nutraukus diuretikų vartojimą, padidinus skysčių kiekį organizme arba pavartojus druskų prieš pradedant gydymą mažomis, palaipsniui didinamomis perindoprilio dozėmis.</w:t>
      </w:r>
    </w:p>
    <w:p w14:paraId="2C644075" w14:textId="77777777" w:rsidR="00C00DD1" w:rsidRDefault="00C260EB">
      <w:pPr>
        <w:widowControl w:val="0"/>
        <w:tabs>
          <w:tab w:val="clear" w:pos="567"/>
        </w:tabs>
        <w:spacing w:line="240" w:lineRule="auto"/>
        <w:ind w:left="567"/>
        <w:rPr>
          <w:rFonts w:eastAsia="Calibri"/>
          <w:snapToGrid/>
          <w:szCs w:val="22"/>
          <w:lang w:val="lt-LT"/>
        </w:rPr>
      </w:pPr>
      <w:r>
        <w:rPr>
          <w:rFonts w:eastAsia="Calibri"/>
          <w:i/>
          <w:snapToGrid/>
          <w:szCs w:val="22"/>
          <w:lang w:val="lt-LT"/>
        </w:rPr>
        <w:t>Arterinės hipertenzijos atveju</w:t>
      </w:r>
      <w:r>
        <w:rPr>
          <w:rFonts w:eastAsia="Calibri"/>
          <w:snapToGrid/>
          <w:szCs w:val="22"/>
          <w:lang w:val="lt-LT"/>
        </w:rPr>
        <w:t>, jeigu ankstesnis gydymas diuretikais galėjo sukelti elektrolitų ar skysčių trūkumą, reikia arba nutraukti diuretiko vartojimą prieš pradedant vartoti AKF inhibitorių (šiuo atveju vėliau galima skirti kalio organizme nesulaikantį diuretiką), arba iš pradžių reikia skirti mažą AKF inhibitoriaus dozę ir ją palaipsniui didinti.</w:t>
      </w:r>
    </w:p>
    <w:p w14:paraId="1D098D4A" w14:textId="77777777" w:rsidR="00C00DD1" w:rsidRDefault="00C260EB">
      <w:pPr>
        <w:widowControl w:val="0"/>
        <w:tabs>
          <w:tab w:val="clear" w:pos="567"/>
        </w:tabs>
        <w:autoSpaceDE w:val="0"/>
        <w:autoSpaceDN w:val="0"/>
        <w:adjustRightInd w:val="0"/>
        <w:spacing w:line="240" w:lineRule="auto"/>
        <w:ind w:left="567"/>
        <w:rPr>
          <w:rFonts w:eastAsia="SimSun"/>
          <w:snapToGrid/>
          <w:color w:val="000000"/>
          <w:szCs w:val="22"/>
          <w:lang w:val="lt-LT" w:eastAsia="zh-CN"/>
        </w:rPr>
      </w:pPr>
      <w:r>
        <w:rPr>
          <w:rFonts w:eastAsia="SimSun"/>
          <w:i/>
          <w:snapToGrid/>
          <w:color w:val="000000"/>
          <w:szCs w:val="22"/>
          <w:lang w:val="lt-LT" w:eastAsia="zh-CN"/>
        </w:rPr>
        <w:t>Diuretikais gydant stazinį širdies nepakankamumą</w:t>
      </w:r>
      <w:r>
        <w:rPr>
          <w:rFonts w:eastAsia="SimSun"/>
          <w:snapToGrid/>
          <w:color w:val="000000"/>
          <w:szCs w:val="22"/>
          <w:lang w:val="lt-LT" w:eastAsia="zh-CN"/>
        </w:rPr>
        <w:t>, iš pradžių reikia vartoti labai mažą AKF inhibitoriaus dozę, galbūt po to, kai sumažinama kartu vartojamo kalio organizme nesulaikančio diuretiko dozė.</w:t>
      </w:r>
    </w:p>
    <w:p w14:paraId="127E1FFC" w14:textId="77777777" w:rsidR="00C00DD1" w:rsidRDefault="00C260EB">
      <w:pPr>
        <w:widowControl w:val="0"/>
        <w:tabs>
          <w:tab w:val="clear" w:pos="567"/>
        </w:tabs>
        <w:spacing w:line="240" w:lineRule="auto"/>
        <w:ind w:left="567"/>
        <w:rPr>
          <w:rFonts w:eastAsia="Calibri"/>
          <w:snapToGrid/>
          <w:szCs w:val="22"/>
          <w:lang w:val="lt-LT"/>
        </w:rPr>
      </w:pPr>
      <w:r>
        <w:rPr>
          <w:rFonts w:eastAsia="Calibri"/>
          <w:snapToGrid/>
          <w:szCs w:val="22"/>
          <w:lang w:val="lt-LT"/>
        </w:rPr>
        <w:t>Visais atvejais pirmosiomis keliomis gydymo AKF inhibitoriumi savaitėmis reikia stebėti inkstų funkciją (kreatinino koncentraciją).</w:t>
      </w:r>
    </w:p>
    <w:p w14:paraId="0B9DC0B2" w14:textId="77777777" w:rsidR="00C00DD1" w:rsidRDefault="00C260EB">
      <w:pPr>
        <w:widowControl w:val="0"/>
        <w:numPr>
          <w:ilvl w:val="0"/>
          <w:numId w:val="19"/>
        </w:numPr>
        <w:tabs>
          <w:tab w:val="clear"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Kalį organizme sulaikantys diuretikai (eplerenonas, spironolaktonas). Vartojant nuo 12,5 mg iki 50 mg eplerenono ar spironolaktono paros dozes kartu su mažomis AKF inhibitorių dozėmis: gydant II–IV klasės (pagal NYHA) širdies nepakankamumą, kai išstūmimo frakcija yra mažesnė nei 40 %, jeigu anksčiau vartota AKF inhibitorių ir Henlės kilpoje veikiančių diuretikų, galima hiperkalemijos, kuri gali būti mirtina, pasireiškimo rizika, ypač jeigu nesilaikoma šio derinio skyrimo rekomendacijų.</w:t>
      </w:r>
    </w:p>
    <w:p w14:paraId="3DF61E58" w14:textId="77777777" w:rsidR="00C00DD1" w:rsidRDefault="00C260EB">
      <w:pPr>
        <w:widowControl w:val="0"/>
        <w:tabs>
          <w:tab w:val="clear" w:pos="567"/>
        </w:tabs>
        <w:spacing w:line="240" w:lineRule="auto"/>
        <w:ind w:left="567"/>
        <w:rPr>
          <w:rFonts w:eastAsia="Calibri"/>
          <w:snapToGrid/>
          <w:szCs w:val="22"/>
          <w:lang w:val="lt-LT"/>
        </w:rPr>
      </w:pPr>
      <w:r>
        <w:rPr>
          <w:rFonts w:eastAsia="Calibri"/>
          <w:snapToGrid/>
          <w:szCs w:val="22"/>
          <w:lang w:val="lt-LT"/>
        </w:rPr>
        <w:t>Prieš skiriant tokį derinį būtina įvertinti, ar nėra hiperkalemijos ir inkstų funkcijos sutrikimo.</w:t>
      </w:r>
    </w:p>
    <w:p w14:paraId="25F6D9DB" w14:textId="77777777" w:rsidR="00C00DD1" w:rsidRDefault="00C260EB">
      <w:pPr>
        <w:widowControl w:val="0"/>
        <w:tabs>
          <w:tab w:val="clear" w:pos="567"/>
        </w:tabs>
        <w:spacing w:line="240" w:lineRule="auto"/>
        <w:ind w:left="567"/>
        <w:rPr>
          <w:rFonts w:eastAsia="Calibri"/>
          <w:snapToGrid/>
          <w:szCs w:val="22"/>
          <w:lang w:val="lt-LT"/>
        </w:rPr>
      </w:pPr>
      <w:r>
        <w:rPr>
          <w:rFonts w:eastAsia="Calibri"/>
          <w:snapToGrid/>
          <w:szCs w:val="22"/>
          <w:lang w:val="lt-LT"/>
        </w:rPr>
        <w:t>Rekomenduojamas atidus kalio ir kreatinino kiekio kraujyje stebėjimas: pirmąjį mėnesį − kartą per savaitę, vėliau – kartą per mėnesį.</w:t>
      </w:r>
    </w:p>
    <w:p w14:paraId="0A106FC4" w14:textId="77777777" w:rsidR="00C00DD1" w:rsidRDefault="00C260EB">
      <w:pPr>
        <w:widowControl w:val="0"/>
        <w:numPr>
          <w:ilvl w:val="0"/>
          <w:numId w:val="19"/>
        </w:numPr>
        <w:shd w:val="clear" w:color="auto" w:fill="FFFFFF"/>
        <w:tabs>
          <w:tab w:val="clear" w:pos="567"/>
        </w:tabs>
        <w:spacing w:line="240" w:lineRule="auto"/>
        <w:ind w:left="567" w:hanging="567"/>
        <w:rPr>
          <w:rFonts w:eastAsia="Calibri"/>
          <w:bCs/>
          <w:iCs/>
          <w:snapToGrid/>
          <w:szCs w:val="22"/>
          <w:lang w:val="lt-LT"/>
        </w:rPr>
      </w:pPr>
      <w:bookmarkStart w:id="1" w:name="_Hlk505888439"/>
      <w:r>
        <w:rPr>
          <w:rFonts w:eastAsia="Calibri"/>
          <w:bCs/>
          <w:iCs/>
          <w:snapToGrid/>
          <w:szCs w:val="22"/>
          <w:lang w:val="lt-LT"/>
        </w:rPr>
        <w:t xml:space="preserve">Racekadotrilis. Žinoma, kad AKF inhibitoriai (pvz., perindoprilis) gali sukelti angioneurozinę edemą. Ši rizika gali padidėti kartu vartojant racekadotrilį (vaistinį preparatą, kuriuo gydomas </w:t>
      </w:r>
      <w:r>
        <w:rPr>
          <w:rFonts w:eastAsia="Calibri"/>
          <w:bCs/>
          <w:iCs/>
          <w:snapToGrid/>
          <w:szCs w:val="22"/>
          <w:lang w:val="lt-LT"/>
        </w:rPr>
        <w:lastRenderedPageBreak/>
        <w:t>ūminis viduriavimas).</w:t>
      </w:r>
    </w:p>
    <w:p w14:paraId="339C7770" w14:textId="77777777" w:rsidR="00C00DD1" w:rsidRDefault="00C260EB">
      <w:pPr>
        <w:widowControl w:val="0"/>
        <w:numPr>
          <w:ilvl w:val="0"/>
          <w:numId w:val="19"/>
        </w:numPr>
        <w:shd w:val="clear" w:color="auto" w:fill="FFFFFF"/>
        <w:tabs>
          <w:tab w:val="clear" w:pos="567"/>
        </w:tabs>
        <w:spacing w:line="240" w:lineRule="auto"/>
        <w:ind w:left="567" w:hanging="567"/>
        <w:rPr>
          <w:rFonts w:eastAsia="Calibri"/>
          <w:bCs/>
          <w:iCs/>
          <w:snapToGrid/>
          <w:szCs w:val="22"/>
          <w:lang w:val="lt-LT"/>
        </w:rPr>
      </w:pPr>
      <w:r>
        <w:rPr>
          <w:rFonts w:eastAsia="Calibri"/>
          <w:bCs/>
          <w:iCs/>
          <w:snapToGrid/>
          <w:szCs w:val="22"/>
          <w:lang w:val="lt-LT"/>
        </w:rPr>
        <w:t>mTOR inhibitoriai (pvz., sirolimuzas, everolimuzas, temsirolimuzas). Pacientams, tuo pat metu gydomiems mTOR inhibitoriais, gali būti didesnė angioneurozinės edemos pasireiškimo rizika (žr. 4.4 skyrių).</w:t>
      </w:r>
    </w:p>
    <w:bookmarkEnd w:id="1"/>
    <w:p w14:paraId="149ED73C" w14:textId="77777777" w:rsidR="00C00DD1" w:rsidRDefault="00C00DD1">
      <w:pPr>
        <w:widowControl w:val="0"/>
        <w:tabs>
          <w:tab w:val="clear" w:pos="567"/>
        </w:tabs>
        <w:autoSpaceDE w:val="0"/>
        <w:autoSpaceDN w:val="0"/>
        <w:spacing w:line="240" w:lineRule="auto"/>
        <w:rPr>
          <w:snapToGrid/>
          <w:szCs w:val="22"/>
          <w:lang w:val="lt-LT" w:eastAsia="sl-SI"/>
        </w:rPr>
      </w:pPr>
    </w:p>
    <w:p w14:paraId="2CB3E094"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reikia vartoti atsargiai:</w:t>
      </w:r>
    </w:p>
    <w:p w14:paraId="0BBB680F" w14:textId="77777777" w:rsidR="00C00DD1" w:rsidRDefault="00C260EB">
      <w:pPr>
        <w:widowControl w:val="0"/>
        <w:numPr>
          <w:ilvl w:val="0"/>
          <w:numId w:val="20"/>
        </w:numPr>
        <w:tabs>
          <w:tab w:val="num"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Antihipertenziniai vaistiniai preparatai ir vazodilatatoriai. Šių vaistinių preparatų vartojimas kartu gali sustiprinti perindoprilio kraujospūdį mažinantį poveikį. Vartojant kartu su nitroglicerinu ir kitokiais nitratais ar kitokiais vazodilatatoriais, kraujospūdis gali dar labiau sumažėti.</w:t>
      </w:r>
    </w:p>
    <w:p w14:paraId="2F93B635"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Alopurinolis, citostatikai, imuninę sistemą slopinantys vaistiniai preparatai, sisteminio poveikio kortikosteroidai ar prokainamidas. Šių vaistinių preparatų vartojant kartu su AKF inhibitoriais, didėja leukopenijos atsiradimo rizika (žr. 4.4 skyrių).</w:t>
      </w:r>
    </w:p>
    <w:p w14:paraId="50C1CFEB"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Anestetikai. AKF inhibitoriai gali stiprinti kraujospūdį mažinantį kai kurių anestetikų poveikį (žr. 4.4 skyrių).</w:t>
      </w:r>
    </w:p>
    <w:p w14:paraId="36523AD8" w14:textId="77777777" w:rsidR="00C00DD1" w:rsidRDefault="00C260EB">
      <w:pPr>
        <w:widowControl w:val="0"/>
        <w:numPr>
          <w:ilvl w:val="0"/>
          <w:numId w:val="15"/>
        </w:numPr>
        <w:autoSpaceDE w:val="0"/>
        <w:autoSpaceDN w:val="0"/>
        <w:spacing w:line="240" w:lineRule="auto"/>
        <w:contextualSpacing/>
        <w:rPr>
          <w:rFonts w:eastAsia="Calibri"/>
          <w:snapToGrid/>
          <w:szCs w:val="22"/>
          <w:lang w:val="lt-LT"/>
        </w:rPr>
      </w:pPr>
      <w:r>
        <w:rPr>
          <w:rFonts w:eastAsia="Calibri"/>
          <w:snapToGrid/>
          <w:szCs w:val="22"/>
          <w:lang w:val="lt-LT"/>
        </w:rPr>
        <w:t>Gliptinai (linagliptinas, saksagliptinas, sitagliptinas, vildagliptinas). Pacientams, tuo pat metu gydomiems AKF inhibitoriais, kyla didesnė angioneurozinės edemos rizika dėl gliptinų sukeliamo dipeptidilpeptidazės IV (DPP-IV) aktyvumo sumažėjimo.</w:t>
      </w:r>
    </w:p>
    <w:p w14:paraId="0BA84D75" w14:textId="77777777" w:rsidR="00C00DD1" w:rsidRDefault="00C260EB">
      <w:pPr>
        <w:widowControl w:val="0"/>
        <w:numPr>
          <w:ilvl w:val="0"/>
          <w:numId w:val="15"/>
        </w:numPr>
        <w:autoSpaceDE w:val="0"/>
        <w:autoSpaceDN w:val="0"/>
        <w:adjustRightInd w:val="0"/>
        <w:spacing w:line="240" w:lineRule="auto"/>
        <w:rPr>
          <w:snapToGrid/>
          <w:color w:val="000000"/>
          <w:szCs w:val="22"/>
          <w:lang w:val="lt-LT" w:eastAsia="sl-SI"/>
        </w:rPr>
      </w:pPr>
      <w:r>
        <w:rPr>
          <w:bCs/>
          <w:snapToGrid/>
          <w:color w:val="000000"/>
          <w:szCs w:val="22"/>
          <w:lang w:val="lt-LT" w:eastAsia="sl-SI"/>
        </w:rPr>
        <w:t>Simpatomimetikai</w:t>
      </w:r>
      <w:r>
        <w:rPr>
          <w:snapToGrid/>
          <w:color w:val="000000"/>
          <w:szCs w:val="22"/>
          <w:lang w:val="lt-LT" w:eastAsia="sl-SI"/>
        </w:rPr>
        <w:t>. Simpatomimetikai gali mažinti AKF inhibitorių antihipertenzinį poveikį.</w:t>
      </w:r>
    </w:p>
    <w:p w14:paraId="52B044F0" w14:textId="77777777" w:rsidR="00C00DD1" w:rsidRDefault="00C260EB">
      <w:pPr>
        <w:numPr>
          <w:ilvl w:val="0"/>
          <w:numId w:val="15"/>
        </w:numPr>
        <w:spacing w:line="240" w:lineRule="auto"/>
        <w:rPr>
          <w:snapToGrid/>
          <w:szCs w:val="22"/>
          <w:lang w:val="lt-LT" w:eastAsia="sl-SI"/>
        </w:rPr>
      </w:pPr>
      <w:r>
        <w:rPr>
          <w:snapToGrid/>
          <w:szCs w:val="22"/>
          <w:lang w:val="lt-LT" w:eastAsia="sl-SI"/>
        </w:rPr>
        <w:t>Aukso preparatai. Pacientams, gydomiems injekciniais aukso preparatais (natrio aurotiomalatu) kartu su AKF inhibitoriais, įskaitant perindoprilį, retais atvejais atsirado ūminių nitritoidinių reakcijų (galimi simptomai yra veido paraudimas, pykinimas, vėmimas ir hipotenzija).</w:t>
      </w:r>
    </w:p>
    <w:p w14:paraId="4F51974F" w14:textId="77777777" w:rsidR="00C00DD1" w:rsidRDefault="00C00DD1">
      <w:pPr>
        <w:widowControl w:val="0"/>
        <w:tabs>
          <w:tab w:val="clear" w:pos="567"/>
        </w:tabs>
        <w:spacing w:line="240" w:lineRule="auto"/>
        <w:rPr>
          <w:snapToGrid/>
          <w:szCs w:val="22"/>
          <w:u w:val="single"/>
          <w:lang w:val="lt-LT" w:eastAsia="sl-SI"/>
        </w:rPr>
      </w:pPr>
    </w:p>
    <w:p w14:paraId="08268FAA"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 su indapamidu:</w:t>
      </w:r>
    </w:p>
    <w:p w14:paraId="4A6217B1" w14:textId="77777777" w:rsidR="00C00DD1" w:rsidRDefault="00C00DD1">
      <w:pPr>
        <w:widowControl w:val="0"/>
        <w:tabs>
          <w:tab w:val="clear" w:pos="567"/>
        </w:tabs>
        <w:spacing w:line="240" w:lineRule="auto"/>
        <w:rPr>
          <w:snapToGrid/>
          <w:szCs w:val="22"/>
          <w:lang w:val="lt-LT" w:eastAsia="sl-SI"/>
        </w:rPr>
      </w:pPr>
    </w:p>
    <w:p w14:paraId="3033BE37"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indapamidu reikia vartoti ypač atsargiai:</w:t>
      </w:r>
    </w:p>
    <w:p w14:paraId="4C150072"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Vaistiniai preparatai, kurie gali sukelti polimorfinę skilvelinę tachikardiją (</w:t>
      </w:r>
      <w:r>
        <w:rPr>
          <w:i/>
          <w:snapToGrid/>
          <w:szCs w:val="22"/>
          <w:lang w:val="lt-LT" w:eastAsia="sl-SI"/>
        </w:rPr>
        <w:t>torsades de pointes</w:t>
      </w:r>
      <w:r>
        <w:rPr>
          <w:snapToGrid/>
          <w:szCs w:val="22"/>
          <w:lang w:val="lt-LT" w:eastAsia="sl-SI"/>
        </w:rPr>
        <w:t>). Kadangi kyla hipokalemijos rizika, indapamido būtina atsargiai vartoti su vaistiniais preparatais,</w:t>
      </w:r>
      <w:r>
        <w:rPr>
          <w:rFonts w:ascii="Calibri" w:eastAsia="Calibri" w:hAnsi="Calibri"/>
          <w:snapToGrid/>
          <w:szCs w:val="22"/>
          <w:lang w:val="lt-LT"/>
        </w:rPr>
        <w:t xml:space="preserve"> </w:t>
      </w:r>
      <w:r>
        <w:rPr>
          <w:snapToGrid/>
          <w:szCs w:val="22"/>
          <w:lang w:val="lt-LT" w:eastAsia="sl-SI"/>
        </w:rPr>
        <w:t>kurie gali sukelti polimorfinę skilvelinę tachikardiją (</w:t>
      </w:r>
      <w:r>
        <w:rPr>
          <w:i/>
          <w:snapToGrid/>
          <w:szCs w:val="22"/>
          <w:lang w:val="lt-LT" w:eastAsia="sl-SI"/>
        </w:rPr>
        <w:t>torsades de pointes</w:t>
      </w:r>
      <w:r>
        <w:rPr>
          <w:snapToGrid/>
          <w:szCs w:val="22"/>
          <w:lang w:val="lt-LT" w:eastAsia="sl-SI"/>
        </w:rPr>
        <w:t xml:space="preserve">) </w:t>
      </w:r>
      <w:r>
        <w:rPr>
          <w:szCs w:val="22"/>
          <w:lang w:val="lt-LT"/>
        </w:rPr>
        <w:t>(sąrašas nėra baigtinis)</w:t>
      </w:r>
      <w:r>
        <w:rPr>
          <w:snapToGrid/>
          <w:szCs w:val="22"/>
          <w:lang w:val="lt-LT" w:eastAsia="sl-SI"/>
        </w:rPr>
        <w:t>: IA klasės antiaritminiais vaistiniais preparatais (pvz., kvinidinu, hidrokvinidinu, dizopiramidu), III klasės antiaritminiais vaistiniais preparatais (pvz., amjodaronu, dofetilidu, ibutilidu, bretiliu, sotaloliu), kai kuriais fenotiazinų grupės vaistiniais preparatais nuo psichozės (pvz., chlorpromazinu, ciamemazinu, levomepromazinu, tioridazinu, trifluoperazinu), benzamidais (pvz., amisulpridu, sulpiridu, sultopridu, tiapridu), butirofenonais (pvz., droperidoliu, haloperidoliu), kitais neuroleptikais (pvz., pimozidu), kitais vaistiniais preparatais (pvz., bepridiliu, cisapridu, difemaniliu, į veną leidžiamu eritromicinu, halofantrinu, mizolastinu, moksifloksacinu, pentamidinu, sparfloksacinu, į veną leidžiamu vinkaminu, metadonu, astemizolu, terfenadinu). Būtina neleisti sumažėti kalio koncentracijai, koreguoti pasireiškusią hipokalemiją ir, jeigu reikia, stebėti QT intervalą.</w:t>
      </w:r>
    </w:p>
    <w:p w14:paraId="5CBF05A8"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Kalio kiekį mažinantys vaistiniai preparatai (į veną leidžiamas amfotercinas B, sisteminio poveikio gliukokortikoidai ir mineralokortikoidai, tetrakozaktidas, stimuliuojamojo poveikio vidurių laisvinamieji preparatai). Didėja hipokalemijos rizika (poveikis būna adityvus). Būtina matuoti ir, jeigu reikia, koreguoti kalio koncentraciją kraujo plazmoje. Ypatingas atsargumas būtinas, jeigu vartojama širdį veikiančių glikozidų. Rekomenduojama vartoti stimuliuojamojo poveikio nesukeliančių vidurių laisvinamųjų preparatų.</w:t>
      </w:r>
    </w:p>
    <w:p w14:paraId="2748DB9E" w14:textId="77777777" w:rsidR="00C00DD1" w:rsidRDefault="00C260EB">
      <w:pPr>
        <w:numPr>
          <w:ilvl w:val="0"/>
          <w:numId w:val="15"/>
        </w:numPr>
        <w:spacing w:line="240" w:lineRule="auto"/>
        <w:rPr>
          <w:snapToGrid/>
          <w:szCs w:val="22"/>
          <w:lang w:val="lt-LT" w:eastAsia="sl-SI"/>
        </w:rPr>
      </w:pPr>
      <w:r>
        <w:rPr>
          <w:snapToGrid/>
          <w:szCs w:val="22"/>
          <w:lang w:val="lt-LT" w:eastAsia="sl-SI"/>
        </w:rPr>
        <w:t>Širdį veikiantys glikozidai. Hipokalemija ir hipomagnezemija skatina toksinio širdį veikiančių glikozidų poveikio atsiradimą. Būtina stebėti kalio ir magnio koncentraciją kraujo plazmoje bei EKG ir, jeigu reikia, keisti gydymą.</w:t>
      </w:r>
    </w:p>
    <w:p w14:paraId="311E1138" w14:textId="77777777" w:rsidR="00C00DD1" w:rsidRDefault="00C260EB">
      <w:pPr>
        <w:widowControl w:val="0"/>
        <w:numPr>
          <w:ilvl w:val="0"/>
          <w:numId w:val="15"/>
        </w:numPr>
        <w:autoSpaceDE w:val="0"/>
        <w:autoSpaceDN w:val="0"/>
        <w:spacing w:line="240" w:lineRule="auto"/>
        <w:rPr>
          <w:snapToGrid/>
          <w:szCs w:val="22"/>
          <w:lang w:val="lt-LT" w:eastAsia="sl-SI"/>
        </w:rPr>
      </w:pPr>
      <w:r>
        <w:rPr>
          <w:snapToGrid/>
          <w:szCs w:val="22"/>
          <w:lang w:val="lt-LT" w:eastAsia="sl-SI"/>
        </w:rPr>
        <w:t>Alopurinolis. Vartojant kartu su indapamidu, gali dažniau pasireikšti padidėjusio jautrumo reakcija į alopurinolį.</w:t>
      </w:r>
    </w:p>
    <w:p w14:paraId="69875C7F" w14:textId="77777777" w:rsidR="00C00DD1" w:rsidRDefault="00C00DD1">
      <w:pPr>
        <w:widowControl w:val="0"/>
        <w:tabs>
          <w:tab w:val="clear" w:pos="567"/>
        </w:tabs>
        <w:spacing w:line="240" w:lineRule="auto"/>
        <w:rPr>
          <w:snapToGrid/>
          <w:szCs w:val="22"/>
          <w:lang w:val="lt-LT" w:eastAsia="sl-SI"/>
        </w:rPr>
      </w:pPr>
    </w:p>
    <w:p w14:paraId="08F45519"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Preparatai, kurių kartu su indapamidu reikia vartoti atsargiai:</w:t>
      </w:r>
    </w:p>
    <w:p w14:paraId="20715535"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Kalį organizme sulaikantys diuretikai (amiloridas, spironolaktonas, triamterenas). Nors racionalus derinys kai kuriems pacientams yra naudingas, vis tiek gali pasireikšti hipokalemija arba hiperkalemija (ypač pacientams, kuriems yra inkstų nepakankamumas arba cukrinis diabetas). Reikia stebėti kalio koncentraciją kraujo plazmoje bei registruoti EKG ir, jeigu reikia, peržiūrėti gydymą.</w:t>
      </w:r>
    </w:p>
    <w:p w14:paraId="36DEA3C7"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lastRenderedPageBreak/>
        <w:t>Metforminas. Metformino sukeliama laktatų acidozė siejama su diuretikų, ypač veikiančių Henlės kilpoje, sukeliamu funkciniu inkstų nepakankamumu. Jeigu vyrų kraujo plazmoje kreatinino koncentracija yra didesnė negu 15 mg/l (13  mikromoliai/l), o moterų − 12 mg/l (110 mikromolių/l), metforminu gydyti negalima.</w:t>
      </w:r>
    </w:p>
    <w:p w14:paraId="163DD4C0"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Jodo turinčios kontrastinės medžiagos. Jeigu yra diuretikų sukelta dehidratacija, didėja ūminio inkstų nepakankamumo rizika, ypač jeigu vartojamos didelės jodo turinčių kontrastinių medžiagų dozės. Prieš jodo turinčių kontrastinių medžiagų vartojimą būtina koreguoti skysčių kiekį organizme.</w:t>
      </w:r>
    </w:p>
    <w:p w14:paraId="5D1779DA"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Kalcio druskos. Kadangi mažėja kalcio išsiskyrimas su šlapimu, kyla kalcio koncentracijos kraujyje padidėjimo rizika.</w:t>
      </w:r>
    </w:p>
    <w:p w14:paraId="68AA918F"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Ciklosporinas, takrolimuzas. Kreatinino koncentracija gali padidėti (ciklosporino koncentracija nekinta) net tuo atveju, jeigu druskų ir vandens organizme netrūksta.</w:t>
      </w:r>
    </w:p>
    <w:p w14:paraId="729F1455" w14:textId="77777777" w:rsidR="00C00DD1" w:rsidRDefault="00C260EB">
      <w:pPr>
        <w:widowControl w:val="0"/>
        <w:numPr>
          <w:ilvl w:val="0"/>
          <w:numId w:val="15"/>
        </w:numPr>
        <w:autoSpaceDE w:val="0"/>
        <w:autoSpaceDN w:val="0"/>
        <w:spacing w:line="240" w:lineRule="auto"/>
        <w:rPr>
          <w:snapToGrid/>
          <w:szCs w:val="22"/>
          <w:lang w:val="lt-LT" w:eastAsia="sl-SI"/>
        </w:rPr>
      </w:pPr>
      <w:r>
        <w:rPr>
          <w:rFonts w:eastAsia="Calibri"/>
          <w:snapToGrid/>
          <w:szCs w:val="22"/>
          <w:lang w:val="lt-LT"/>
        </w:rPr>
        <w:t>Kortikosteroidai, tetrakozaktidas (sisteminio poveikio). Antihipertenzinio poveikio susilpnėjimas (kortikosteroidų sukeltas druskų ir skysčių susilaikymas).</w:t>
      </w:r>
    </w:p>
    <w:p w14:paraId="5BDBE49B"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1DDE0586" w14:textId="77777777" w:rsidR="00C00DD1" w:rsidRDefault="00C260EB">
      <w:pPr>
        <w:widowControl w:val="0"/>
        <w:spacing w:line="240" w:lineRule="auto"/>
        <w:ind w:left="567" w:hanging="567"/>
        <w:outlineLvl w:val="2"/>
        <w:rPr>
          <w:b/>
          <w:snapToGrid/>
          <w:szCs w:val="22"/>
          <w:lang w:val="lt-LT"/>
        </w:rPr>
      </w:pPr>
      <w:r>
        <w:rPr>
          <w:b/>
          <w:snapToGrid/>
          <w:kern w:val="28"/>
          <w:szCs w:val="22"/>
          <w:lang w:val="lt-LT"/>
        </w:rPr>
        <w:t>4.6</w:t>
      </w:r>
      <w:r>
        <w:rPr>
          <w:b/>
          <w:snapToGrid/>
          <w:kern w:val="28"/>
          <w:szCs w:val="22"/>
          <w:lang w:val="lt-LT"/>
        </w:rPr>
        <w:tab/>
        <w:t>Vaisingumas, nėštumo ir žindymo laikotarpis</w:t>
      </w:r>
    </w:p>
    <w:p w14:paraId="698698C7" w14:textId="77777777" w:rsidR="00C00DD1" w:rsidRDefault="00C00DD1">
      <w:pPr>
        <w:widowControl w:val="0"/>
        <w:tabs>
          <w:tab w:val="clear" w:pos="567"/>
        </w:tabs>
        <w:spacing w:line="240" w:lineRule="auto"/>
        <w:rPr>
          <w:i/>
          <w:snapToGrid/>
          <w:szCs w:val="22"/>
          <w:lang w:val="lt-LT"/>
        </w:rPr>
      </w:pPr>
    </w:p>
    <w:p w14:paraId="6BA005D9"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Atsižvelgiant į atskirų šio sudėtinio preparato veikliųjų medžiagų poveikį nėštumui ir žindymui, Perindopril arginine/indapamide Krka nerekomenduojama vartoti pirmąjį nėštumo trimestrą. Perindopril arginine/indapamide Krka draudžiama vartoti antrąjį ir trečiąjį nėštumo trimestrais.</w:t>
      </w:r>
    </w:p>
    <w:p w14:paraId="750D43D3"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vartoti žindymo metu nerekomenduojama. Reikia nuspręsti, ar nustoti žindyti, ar nustoti vartoti Perindopril arginine/indapamide Krka, atsižvelgiant į tai, kiek svarbus yra šis gydymas motinai.</w:t>
      </w:r>
    </w:p>
    <w:p w14:paraId="18EFE85F" w14:textId="77777777" w:rsidR="00C00DD1" w:rsidRDefault="00C00DD1">
      <w:pPr>
        <w:tabs>
          <w:tab w:val="clear" w:pos="567"/>
        </w:tabs>
        <w:spacing w:line="240" w:lineRule="auto"/>
        <w:rPr>
          <w:rFonts w:eastAsia="Calibri"/>
          <w:snapToGrid/>
          <w:szCs w:val="22"/>
          <w:lang w:val="lt-LT"/>
        </w:rPr>
      </w:pPr>
    </w:p>
    <w:p w14:paraId="46B23B95" w14:textId="77777777" w:rsidR="00C00DD1" w:rsidRDefault="00C260EB">
      <w:pPr>
        <w:tabs>
          <w:tab w:val="clear" w:pos="567"/>
        </w:tabs>
        <w:spacing w:line="240" w:lineRule="auto"/>
        <w:rPr>
          <w:rFonts w:eastAsia="Calibri"/>
          <w:i/>
          <w:iCs/>
          <w:snapToGrid/>
          <w:szCs w:val="22"/>
          <w:lang w:val="lt-LT"/>
        </w:rPr>
      </w:pPr>
      <w:r>
        <w:rPr>
          <w:rFonts w:eastAsia="Calibri"/>
          <w:i/>
          <w:iCs/>
          <w:snapToGrid/>
          <w:szCs w:val="22"/>
          <w:lang w:val="lt-LT"/>
        </w:rPr>
        <w:t>Nėštumas</w:t>
      </w:r>
    </w:p>
    <w:p w14:paraId="3EA4B060" w14:textId="77777777" w:rsidR="00C00DD1" w:rsidRDefault="00C00DD1">
      <w:pPr>
        <w:tabs>
          <w:tab w:val="clear" w:pos="567"/>
        </w:tabs>
        <w:spacing w:line="240" w:lineRule="auto"/>
        <w:rPr>
          <w:rFonts w:eastAsia="Calibri"/>
          <w:i/>
          <w:snapToGrid/>
          <w:szCs w:val="22"/>
          <w:lang w:val="lt-LT"/>
        </w:rPr>
      </w:pPr>
    </w:p>
    <w:p w14:paraId="4F0F2645" w14:textId="77777777" w:rsidR="00C00DD1" w:rsidRDefault="00C260EB">
      <w:pPr>
        <w:widowControl w:val="0"/>
        <w:spacing w:line="240" w:lineRule="auto"/>
        <w:rPr>
          <w:i/>
          <w:szCs w:val="22"/>
          <w:u w:val="single"/>
          <w:lang w:val="lt-LT"/>
        </w:rPr>
      </w:pPr>
      <w:r>
        <w:rPr>
          <w:i/>
          <w:szCs w:val="22"/>
          <w:u w:val="single"/>
          <w:lang w:val="lt-LT"/>
        </w:rPr>
        <w:t>Informacija, susijusi su perindopriliu:</w:t>
      </w:r>
    </w:p>
    <w:p w14:paraId="133C0547" w14:textId="77777777" w:rsidR="00C00DD1" w:rsidRDefault="00C00DD1">
      <w:pPr>
        <w:tabs>
          <w:tab w:val="clear" w:pos="567"/>
        </w:tabs>
        <w:spacing w:line="240" w:lineRule="auto"/>
        <w:rPr>
          <w:rFonts w:eastAsia="Calibri"/>
          <w:snapToGrid/>
          <w:szCs w:val="22"/>
          <w:lang w:val="lt-LT"/>
        </w:rPr>
      </w:pPr>
    </w:p>
    <w:p w14:paraId="00A330F7" w14:textId="77777777" w:rsidR="00C00DD1" w:rsidRDefault="00C260EB">
      <w:pPr>
        <w:pBdr>
          <w:top w:val="single" w:sz="4" w:space="1" w:color="auto"/>
          <w:left w:val="single" w:sz="4" w:space="4" w:color="auto"/>
          <w:bottom w:val="single" w:sz="4" w:space="1" w:color="auto"/>
          <w:right w:val="single" w:sz="4" w:space="4" w:color="auto"/>
        </w:pBdr>
        <w:spacing w:line="240" w:lineRule="auto"/>
        <w:rPr>
          <w:rFonts w:eastAsia="Calibri"/>
          <w:snapToGrid/>
          <w:szCs w:val="22"/>
          <w:lang w:val="lt-LT"/>
        </w:rPr>
      </w:pPr>
      <w:r>
        <w:rPr>
          <w:rFonts w:eastAsia="Calibri"/>
          <w:snapToGrid/>
          <w:szCs w:val="22"/>
          <w:lang w:val="lt-LT"/>
        </w:rPr>
        <w:t>Pirmuoju nėštumo trimestru AKF inhibitorių vartoti nerekomenduojama (žr. 4.4 skyrių). Antruoju ir trečiuoju nėštumo trimestrais jų vartoti draudžiama (žr. 4.3 ir 4.4 skyrius).</w:t>
      </w:r>
    </w:p>
    <w:p w14:paraId="0F9A21BD" w14:textId="77777777" w:rsidR="00C00DD1" w:rsidRDefault="00C00DD1">
      <w:pPr>
        <w:tabs>
          <w:tab w:val="clear" w:pos="567"/>
        </w:tabs>
        <w:spacing w:line="240" w:lineRule="auto"/>
        <w:rPr>
          <w:rFonts w:eastAsia="Calibri"/>
          <w:snapToGrid/>
          <w:szCs w:val="22"/>
          <w:lang w:val="lt-LT"/>
        </w:rPr>
      </w:pPr>
    </w:p>
    <w:p w14:paraId="270D175F"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Epidemiologinių tyrimų duomenys dėl pirmuoju nėštumo trimestru vartojamų AKF inhibitorių teratogeninio poveikio nėra galutiniai, tačiau nedidelio rizikos padidėjimo atmesti negalima. Išskyrus atvejus, kai tolesnis gydymas AKF inhibitoriais yra būtinas, pastoti planuojančioms moterims juos reikia keisti kitokiais antihipertenziniais vaistiniais preparatais, kurių vartojimo nėštumo metu saugumas ištirtas.</w:t>
      </w:r>
    </w:p>
    <w:p w14:paraId="3C464FF9"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Nustačius nėštumą, AKF inhibitorių vartojimą būtina nedelsiant nutraukti ir, jeigu reikia, skirti kitokį tinkamą gydymą.</w:t>
      </w:r>
    </w:p>
    <w:p w14:paraId="7076C4FB"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 xml:space="preserve">Žinoma, kad antruoju arba trečiuoju nėštumo trimestrais vartojami AKF inhibitoriai sukelia toksinį poveikį žmogaus vaisiui (inkstų funkcijos susilpnėjimą, oligohidramnioną, kaukolės kaulėjimo sulėtėjimą) ir naujagimiui (inkstų nepakankamumą, hipotenziją, hiperkalemiją) (žr. 5.3 skyrių). </w:t>
      </w:r>
    </w:p>
    <w:p w14:paraId="176FB84A"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 xml:space="preserve">Jeigu moteris antruoju arba trečiuoju nėštumo trimestru vartojo AKF inhibitorių, reikia ultragarsu stebėti vaisiaus inkstų funkciją ir kaukolę. Reikia atidžiai sekti, ar naujagimiams, kurių motinos nėštumo metu vartojo AKF inhibitorių, nepasireiškia hipotenzija (žr. 4.3 ir 4.4 skyrius). </w:t>
      </w:r>
    </w:p>
    <w:p w14:paraId="33FD9FF6" w14:textId="77777777" w:rsidR="00C00DD1" w:rsidRDefault="00C00DD1">
      <w:pPr>
        <w:tabs>
          <w:tab w:val="clear" w:pos="567"/>
        </w:tabs>
        <w:spacing w:line="240" w:lineRule="auto"/>
        <w:rPr>
          <w:rFonts w:eastAsia="Calibri"/>
          <w:snapToGrid/>
          <w:szCs w:val="22"/>
          <w:lang w:val="lt-LT"/>
        </w:rPr>
      </w:pPr>
    </w:p>
    <w:p w14:paraId="23EE793C"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Informacija, susijusi su indapamidu:</w:t>
      </w:r>
    </w:p>
    <w:p w14:paraId="0EADB69C" w14:textId="77777777" w:rsidR="00C00DD1" w:rsidRDefault="00C260EB">
      <w:pPr>
        <w:widowControl w:val="0"/>
        <w:tabs>
          <w:tab w:val="clear" w:pos="567"/>
        </w:tabs>
        <w:spacing w:line="240" w:lineRule="auto"/>
        <w:rPr>
          <w:snapToGrid/>
          <w:szCs w:val="22"/>
          <w:lang w:val="lt-LT" w:eastAsia="sl-SI"/>
        </w:rPr>
      </w:pPr>
      <w:r>
        <w:rPr>
          <w:rFonts w:eastAsia="Calibri"/>
          <w:bCs/>
          <w:iCs/>
          <w:snapToGrid/>
          <w:szCs w:val="22"/>
          <w:lang w:val="lt-LT"/>
        </w:rPr>
        <w:t xml:space="preserve">Duomenų apie indapamido vartojimą moterims nėštumo metu nėra arba jų yra nedaug (duomenų yra mažiau kaip apie 300 nėštumų baigčių). </w:t>
      </w:r>
      <w:r>
        <w:rPr>
          <w:snapToGrid/>
          <w:szCs w:val="22"/>
          <w:lang w:val="lt-LT" w:eastAsia="sl-SI"/>
        </w:rPr>
        <w:t>Ilgalaikė tiazidų ekspozicija trečiuoju nėštumo trimestru gali mažinti moters plazmos tūrį bei gimdos ir placentos kraujotaką, todėl gali pasireikšti vaisiaus ir placentos išemija bei sulėtėti vaisiaus augimas.</w:t>
      </w:r>
    </w:p>
    <w:p w14:paraId="394340E9" w14:textId="77777777" w:rsidR="00C00DD1" w:rsidRDefault="00C260EB">
      <w:pPr>
        <w:widowControl w:val="0"/>
        <w:tabs>
          <w:tab w:val="clear" w:pos="567"/>
        </w:tabs>
        <w:autoSpaceDE w:val="0"/>
        <w:autoSpaceDN w:val="0"/>
        <w:adjustRightInd w:val="0"/>
        <w:spacing w:line="240" w:lineRule="auto"/>
        <w:rPr>
          <w:rFonts w:eastAsia="SimSun"/>
          <w:snapToGrid/>
          <w:color w:val="000000"/>
          <w:szCs w:val="22"/>
          <w:lang w:val="lt-LT" w:eastAsia="zh-CN"/>
        </w:rPr>
      </w:pPr>
      <w:r>
        <w:rPr>
          <w:rFonts w:eastAsia="SimSun"/>
          <w:snapToGrid/>
          <w:color w:val="000000"/>
          <w:szCs w:val="22"/>
          <w:lang w:val="lt-LT" w:eastAsia="zh-CN"/>
        </w:rPr>
        <w:t>Tyrimai su gyvūnais tiesioginio ar netiesioginio kenksmingo toksinio poveikio reprodukcijai neparodė (žr. 5.3 skyrių).</w:t>
      </w:r>
    </w:p>
    <w:p w14:paraId="641DF3FF" w14:textId="77777777" w:rsidR="00C00DD1" w:rsidRDefault="00C260EB">
      <w:pPr>
        <w:widowControl w:val="0"/>
        <w:tabs>
          <w:tab w:val="left" w:pos="284"/>
          <w:tab w:val="left" w:pos="709"/>
        </w:tabs>
        <w:spacing w:line="240" w:lineRule="auto"/>
        <w:rPr>
          <w:rFonts w:eastAsia="SimSun"/>
          <w:bCs/>
          <w:snapToGrid/>
          <w:szCs w:val="22"/>
          <w:lang w:val="lt-LT" w:eastAsia="zh-CN"/>
        </w:rPr>
      </w:pPr>
      <w:r>
        <w:rPr>
          <w:rFonts w:eastAsia="SimSun"/>
          <w:bCs/>
          <w:snapToGrid/>
          <w:szCs w:val="22"/>
          <w:lang w:val="lt-LT" w:eastAsia="zh-CN"/>
        </w:rPr>
        <w:t>Nėštumo metu indapamido geriau nevartoti.</w:t>
      </w:r>
    </w:p>
    <w:p w14:paraId="6C26772B" w14:textId="77777777" w:rsidR="00C00DD1" w:rsidRDefault="00C00DD1">
      <w:pPr>
        <w:widowControl w:val="0"/>
        <w:tabs>
          <w:tab w:val="clear" w:pos="567"/>
        </w:tabs>
        <w:spacing w:line="240" w:lineRule="auto"/>
        <w:rPr>
          <w:snapToGrid/>
          <w:szCs w:val="22"/>
          <w:lang w:val="lt-LT" w:eastAsia="sl-SI"/>
        </w:rPr>
      </w:pPr>
    </w:p>
    <w:p w14:paraId="1AB69E4A" w14:textId="77777777" w:rsidR="00C00DD1" w:rsidRDefault="00C260EB">
      <w:pPr>
        <w:tabs>
          <w:tab w:val="clear" w:pos="567"/>
        </w:tabs>
        <w:spacing w:line="240" w:lineRule="auto"/>
        <w:rPr>
          <w:rFonts w:eastAsia="Calibri"/>
          <w:i/>
          <w:iCs/>
          <w:snapToGrid/>
          <w:szCs w:val="22"/>
          <w:lang w:val="lt-LT"/>
        </w:rPr>
      </w:pPr>
      <w:r>
        <w:rPr>
          <w:rFonts w:eastAsia="Calibri"/>
          <w:i/>
          <w:iCs/>
          <w:snapToGrid/>
          <w:szCs w:val="22"/>
          <w:lang w:val="lt-LT"/>
        </w:rPr>
        <w:t>Žindymas</w:t>
      </w:r>
    </w:p>
    <w:p w14:paraId="6AE3457C"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žindymo laikotarpiu vartoti nerekomenduojama.</w:t>
      </w:r>
    </w:p>
    <w:p w14:paraId="2BEDA6A0" w14:textId="77777777" w:rsidR="00C00DD1" w:rsidRDefault="00C00DD1">
      <w:pPr>
        <w:tabs>
          <w:tab w:val="clear" w:pos="567"/>
        </w:tabs>
        <w:spacing w:line="240" w:lineRule="auto"/>
        <w:rPr>
          <w:rFonts w:eastAsia="Calibri"/>
          <w:snapToGrid/>
          <w:szCs w:val="22"/>
          <w:lang w:val="lt-LT"/>
        </w:rPr>
      </w:pPr>
    </w:p>
    <w:p w14:paraId="571E1646" w14:textId="77777777" w:rsidR="00C00DD1" w:rsidRDefault="00C260EB">
      <w:pPr>
        <w:widowControl w:val="0"/>
        <w:spacing w:line="240" w:lineRule="auto"/>
        <w:rPr>
          <w:i/>
          <w:szCs w:val="22"/>
          <w:u w:val="single"/>
          <w:lang w:val="lt-LT"/>
        </w:rPr>
      </w:pPr>
      <w:r>
        <w:rPr>
          <w:i/>
          <w:szCs w:val="22"/>
          <w:u w:val="single"/>
          <w:lang w:val="lt-LT"/>
        </w:rPr>
        <w:lastRenderedPageBreak/>
        <w:t>Informacija, susijusi su perindopriliu:</w:t>
      </w:r>
    </w:p>
    <w:p w14:paraId="38496694"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Kadangi nėra informacijos apie perindoprilio vartojimą žindymo metu, jo vartoti nerekomenduojama, ir alternatyvus gydymas vaistiniu preparatu, geriau ištirtu dėl saugumo žindymo metu, yra tinkamesnis, ypač žindant naujagimius bei neišnešiotus gimusius kūdikius.</w:t>
      </w:r>
    </w:p>
    <w:p w14:paraId="72F10BDC" w14:textId="77777777" w:rsidR="00C00DD1" w:rsidRDefault="00C00DD1">
      <w:pPr>
        <w:tabs>
          <w:tab w:val="clear" w:pos="567"/>
        </w:tabs>
        <w:spacing w:line="240" w:lineRule="auto"/>
        <w:rPr>
          <w:rFonts w:eastAsia="Calibri"/>
          <w:snapToGrid/>
          <w:szCs w:val="22"/>
          <w:lang w:val="lt-LT"/>
        </w:rPr>
      </w:pPr>
    </w:p>
    <w:p w14:paraId="2460FDCB" w14:textId="77777777" w:rsidR="00C00DD1" w:rsidRDefault="00C260EB">
      <w:pPr>
        <w:widowControl w:val="0"/>
        <w:spacing w:line="240" w:lineRule="auto"/>
        <w:rPr>
          <w:i/>
          <w:szCs w:val="22"/>
          <w:u w:val="single"/>
          <w:lang w:val="lt-LT"/>
        </w:rPr>
      </w:pPr>
      <w:r>
        <w:rPr>
          <w:i/>
          <w:szCs w:val="22"/>
          <w:u w:val="single"/>
          <w:lang w:val="lt-LT"/>
        </w:rPr>
        <w:t>Informacija, susijusi su indapamidu:</w:t>
      </w:r>
    </w:p>
    <w:p w14:paraId="37F52CCA" w14:textId="77777777" w:rsidR="00C00DD1" w:rsidRDefault="00C260EB">
      <w:pPr>
        <w:tabs>
          <w:tab w:val="clear" w:pos="567"/>
        </w:tabs>
        <w:spacing w:line="240" w:lineRule="auto"/>
        <w:rPr>
          <w:rFonts w:eastAsia="SimSun"/>
          <w:snapToGrid/>
          <w:color w:val="000000"/>
          <w:szCs w:val="22"/>
          <w:lang w:val="lt-LT"/>
        </w:rPr>
      </w:pPr>
      <w:r>
        <w:rPr>
          <w:rFonts w:eastAsia="SimSun"/>
          <w:snapToGrid/>
          <w:color w:val="000000"/>
          <w:szCs w:val="22"/>
          <w:lang w:val="lt-LT" w:eastAsia="zh-CN"/>
        </w:rPr>
        <w:t>Nėra pakankamai informacijos apie tai, ar indapamidas arba jo metabolitai</w:t>
      </w:r>
      <w:r>
        <w:rPr>
          <w:rFonts w:eastAsia="SimSun"/>
          <w:snapToGrid/>
          <w:color w:val="000000"/>
          <w:szCs w:val="22"/>
          <w:lang w:val="lt-LT"/>
        </w:rPr>
        <w:t xml:space="preserve"> išsiskiria į motinos pieną. </w:t>
      </w:r>
      <w:r>
        <w:rPr>
          <w:rFonts w:eastAsia="Calibri"/>
          <w:snapToGrid/>
          <w:szCs w:val="22"/>
          <w:lang w:val="lt-LT"/>
        </w:rPr>
        <w:t xml:space="preserve">Gali pasireikšti padidėjusio jautrumo reakcijos sulfonamidų grupės vaistiniams preparatams ir hipokalemija. </w:t>
      </w:r>
      <w:r>
        <w:rPr>
          <w:rFonts w:eastAsia="SimSun"/>
          <w:snapToGrid/>
          <w:color w:val="000000"/>
          <w:szCs w:val="22"/>
          <w:lang w:val="lt-LT" w:eastAsia="zh-CN"/>
        </w:rPr>
        <w:t xml:space="preserve">Pavojaus žindomiems naujagimiams </w:t>
      </w:r>
      <w:r>
        <w:rPr>
          <w:rFonts w:eastAsia="SimSun"/>
          <w:snapToGrid/>
          <w:szCs w:val="22"/>
          <w:lang w:val="lt-LT" w:eastAsia="zh-CN"/>
        </w:rPr>
        <w:t>ar</w:t>
      </w:r>
      <w:r>
        <w:rPr>
          <w:rFonts w:eastAsia="SimSun"/>
          <w:i/>
          <w:iCs/>
          <w:snapToGrid/>
          <w:color w:val="000000"/>
          <w:szCs w:val="22"/>
          <w:lang w:val="lt-LT" w:eastAsia="zh-CN"/>
        </w:rPr>
        <w:t xml:space="preserve"> </w:t>
      </w:r>
      <w:r>
        <w:rPr>
          <w:rFonts w:eastAsia="SimSun"/>
          <w:snapToGrid/>
          <w:color w:val="000000"/>
          <w:szCs w:val="22"/>
          <w:lang w:val="lt-LT" w:eastAsia="zh-CN"/>
        </w:rPr>
        <w:t>kūdikiams negalima atmesti.</w:t>
      </w:r>
    </w:p>
    <w:p w14:paraId="53C40544" w14:textId="77777777" w:rsidR="00C00DD1" w:rsidRDefault="00C00DD1">
      <w:pPr>
        <w:tabs>
          <w:tab w:val="clear" w:pos="567"/>
        </w:tabs>
        <w:spacing w:line="240" w:lineRule="auto"/>
        <w:rPr>
          <w:rFonts w:eastAsia="Calibri"/>
          <w:snapToGrid/>
          <w:szCs w:val="22"/>
          <w:lang w:val="lt-LT"/>
        </w:rPr>
      </w:pPr>
    </w:p>
    <w:p w14:paraId="220AF146"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Indapamidas yra labai panašus į tiazidinius diuretikus, kurių vartojimas žindymo laikotarpiu yra siejamas su pieno išsiskyrimo sumažėjimu ar net slopinimu.</w:t>
      </w:r>
    </w:p>
    <w:p w14:paraId="18D6CFAB" w14:textId="77777777" w:rsidR="00C00DD1" w:rsidRDefault="00C260EB">
      <w:pPr>
        <w:tabs>
          <w:tab w:val="clear" w:pos="567"/>
        </w:tabs>
        <w:autoSpaceDE w:val="0"/>
        <w:autoSpaceDN w:val="0"/>
        <w:adjustRightInd w:val="0"/>
        <w:spacing w:line="240" w:lineRule="auto"/>
        <w:rPr>
          <w:rFonts w:eastAsia="SimSun"/>
          <w:snapToGrid/>
          <w:color w:val="000000"/>
          <w:szCs w:val="22"/>
          <w:lang w:val="lt-LT" w:eastAsia="zh-CN"/>
        </w:rPr>
      </w:pPr>
      <w:r>
        <w:rPr>
          <w:rFonts w:eastAsia="SimSun"/>
          <w:snapToGrid/>
          <w:color w:val="000000"/>
          <w:szCs w:val="22"/>
          <w:lang w:val="lt-LT" w:eastAsia="zh-CN"/>
        </w:rPr>
        <w:t>Indapamido nerekomenduojama vartoti žindymo metu.</w:t>
      </w:r>
    </w:p>
    <w:p w14:paraId="03E9804F" w14:textId="77777777" w:rsidR="00C00DD1" w:rsidRDefault="00C00DD1">
      <w:pPr>
        <w:tabs>
          <w:tab w:val="clear" w:pos="567"/>
        </w:tabs>
        <w:autoSpaceDE w:val="0"/>
        <w:autoSpaceDN w:val="0"/>
        <w:adjustRightInd w:val="0"/>
        <w:spacing w:line="240" w:lineRule="auto"/>
        <w:rPr>
          <w:rFonts w:eastAsia="SimSun"/>
          <w:snapToGrid/>
          <w:color w:val="000000"/>
          <w:szCs w:val="22"/>
          <w:lang w:val="lt-LT" w:eastAsia="zh-CN"/>
        </w:rPr>
      </w:pPr>
    </w:p>
    <w:p w14:paraId="2FEBF81E" w14:textId="77777777" w:rsidR="00C00DD1" w:rsidRDefault="00C260EB">
      <w:pPr>
        <w:keepNext/>
        <w:tabs>
          <w:tab w:val="clear" w:pos="567"/>
        </w:tabs>
        <w:spacing w:line="240" w:lineRule="auto"/>
        <w:rPr>
          <w:rFonts w:eastAsia="SimSun"/>
          <w:snapToGrid/>
          <w:color w:val="000000"/>
          <w:szCs w:val="22"/>
          <w:u w:val="single"/>
          <w:lang w:val="lt-LT" w:eastAsia="zh-CN"/>
        </w:rPr>
      </w:pPr>
      <w:r>
        <w:rPr>
          <w:rFonts w:eastAsia="SimSun"/>
          <w:snapToGrid/>
          <w:color w:val="000000"/>
          <w:szCs w:val="22"/>
          <w:u w:val="single"/>
          <w:lang w:val="lt-LT" w:eastAsia="zh-CN"/>
        </w:rPr>
        <w:t>Vaisingumas</w:t>
      </w:r>
    </w:p>
    <w:p w14:paraId="0A9A7131" w14:textId="77777777" w:rsidR="00C00DD1" w:rsidRDefault="00C00DD1">
      <w:pPr>
        <w:keepNext/>
        <w:tabs>
          <w:tab w:val="clear" w:pos="567"/>
        </w:tabs>
        <w:spacing w:line="240" w:lineRule="auto"/>
        <w:rPr>
          <w:rFonts w:eastAsia="Calibri"/>
          <w:bCs/>
          <w:i/>
          <w:snapToGrid/>
          <w:szCs w:val="22"/>
          <w:lang w:val="lt-LT"/>
        </w:rPr>
      </w:pPr>
    </w:p>
    <w:p w14:paraId="61F5138E" w14:textId="77777777" w:rsidR="00C00DD1" w:rsidRDefault="00C260EB">
      <w:pPr>
        <w:keepNext/>
        <w:tabs>
          <w:tab w:val="clear" w:pos="567"/>
        </w:tabs>
        <w:spacing w:line="240" w:lineRule="auto"/>
        <w:rPr>
          <w:rFonts w:eastAsia="Calibri"/>
          <w:bCs/>
          <w:i/>
          <w:snapToGrid/>
          <w:szCs w:val="22"/>
          <w:lang w:val="lt-LT"/>
        </w:rPr>
      </w:pPr>
      <w:r>
        <w:rPr>
          <w:rFonts w:eastAsia="Calibri"/>
          <w:bCs/>
          <w:i/>
          <w:snapToGrid/>
          <w:szCs w:val="22"/>
          <w:lang w:val="lt-LT"/>
        </w:rPr>
        <w:t>Perindoprilis ir indapamidas</w:t>
      </w:r>
    </w:p>
    <w:p w14:paraId="11FC159E" w14:textId="77777777" w:rsidR="00C00DD1" w:rsidRDefault="00C00DD1">
      <w:pPr>
        <w:keepNext/>
        <w:tabs>
          <w:tab w:val="clear" w:pos="567"/>
        </w:tabs>
        <w:spacing w:line="240" w:lineRule="auto"/>
        <w:rPr>
          <w:rFonts w:eastAsia="Calibri"/>
          <w:bCs/>
          <w:snapToGrid/>
          <w:szCs w:val="22"/>
          <w:lang w:val="lt-LT"/>
        </w:rPr>
      </w:pPr>
    </w:p>
    <w:p w14:paraId="0ED5F883" w14:textId="77777777" w:rsidR="00C00DD1" w:rsidRDefault="00C260EB">
      <w:pPr>
        <w:tabs>
          <w:tab w:val="clear" w:pos="567"/>
        </w:tabs>
        <w:spacing w:line="240" w:lineRule="auto"/>
        <w:rPr>
          <w:rFonts w:eastAsia="Calibri"/>
          <w:bCs/>
          <w:snapToGrid/>
          <w:szCs w:val="22"/>
          <w:lang w:val="lt-LT"/>
        </w:rPr>
      </w:pPr>
      <w:r>
        <w:rPr>
          <w:rFonts w:eastAsia="Calibri"/>
          <w:bCs/>
          <w:snapToGrid/>
          <w:szCs w:val="22"/>
          <w:lang w:val="lt-LT"/>
        </w:rPr>
        <w:t>Toksinio poveikio reprodukcijai tyrimai poveikio žiurkių patelių ar patinų vaisingumui neparodė (žr. 5.3 skyrių). Poveikio žmogaus vaisingumui nesitikima.</w:t>
      </w:r>
    </w:p>
    <w:p w14:paraId="41AB7036" w14:textId="77777777" w:rsidR="00C00DD1" w:rsidRDefault="00C00DD1">
      <w:pPr>
        <w:widowControl w:val="0"/>
        <w:tabs>
          <w:tab w:val="clear" w:pos="567"/>
        </w:tabs>
        <w:spacing w:line="240" w:lineRule="auto"/>
        <w:ind w:left="567" w:hanging="567"/>
        <w:rPr>
          <w:snapToGrid/>
          <w:szCs w:val="22"/>
          <w:lang w:val="lt-LT"/>
        </w:rPr>
      </w:pPr>
    </w:p>
    <w:p w14:paraId="68FCB16A"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4.7</w:t>
      </w:r>
      <w:r>
        <w:rPr>
          <w:b/>
          <w:snapToGrid/>
          <w:kern w:val="28"/>
          <w:szCs w:val="22"/>
          <w:lang w:val="lt-LT"/>
        </w:rPr>
        <w:tab/>
        <w:t>Poveikis gebėjimui vairuoti ir valdyti mechanizmus</w:t>
      </w:r>
    </w:p>
    <w:p w14:paraId="412F1BA1" w14:textId="77777777" w:rsidR="00C00DD1" w:rsidRDefault="00C00DD1">
      <w:pPr>
        <w:widowControl w:val="0"/>
        <w:tabs>
          <w:tab w:val="clear" w:pos="567"/>
        </w:tabs>
        <w:spacing w:line="240" w:lineRule="auto"/>
        <w:ind w:left="567" w:hanging="567"/>
        <w:rPr>
          <w:snapToGrid/>
          <w:szCs w:val="22"/>
          <w:lang w:val="lt-LT"/>
        </w:rPr>
      </w:pPr>
    </w:p>
    <w:p w14:paraId="4743CD73" w14:textId="77777777" w:rsidR="00C00DD1" w:rsidRDefault="00C260E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Susijęs su perindopriliu, indapamidu ir Perindopril arginine/indapamide Krka</w:t>
      </w:r>
    </w:p>
    <w:p w14:paraId="0F2D8614"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Nė viena iš Perindopril arginine/indapamide Krka veikliųjų medžiagų budrumo neveikia, tačiau kai kuriems pacientams, ypač gydymo pradžioje arba kartu vartojantiems kitokių antihipertenzinių vaistinių preparatų, gali atsirasti su kraujospūdžio sumažėjimu susijusių reakcijų.</w:t>
      </w:r>
    </w:p>
    <w:p w14:paraId="607D63D0"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Dėl minėto poveikio gebėjimas vairuoti arba valdyti mechanizmus gali sutrikti.</w:t>
      </w:r>
    </w:p>
    <w:p w14:paraId="456B0565"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35BABD92"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4.8</w:t>
      </w:r>
      <w:r>
        <w:rPr>
          <w:b/>
          <w:snapToGrid/>
          <w:kern w:val="28"/>
          <w:szCs w:val="22"/>
          <w:lang w:val="lt-LT"/>
        </w:rPr>
        <w:tab/>
        <w:t>Nepageidaujamas poveikis</w:t>
      </w:r>
    </w:p>
    <w:p w14:paraId="580767A0" w14:textId="77777777" w:rsidR="00C00DD1" w:rsidRDefault="00C00DD1">
      <w:pPr>
        <w:widowControl w:val="0"/>
        <w:tabs>
          <w:tab w:val="clear" w:pos="567"/>
        </w:tabs>
        <w:spacing w:line="240" w:lineRule="auto"/>
        <w:rPr>
          <w:i/>
          <w:snapToGrid/>
          <w:szCs w:val="22"/>
          <w:lang w:val="lt-LT"/>
        </w:rPr>
      </w:pPr>
    </w:p>
    <w:p w14:paraId="2F1F39F2" w14:textId="77777777" w:rsidR="00C00DD1" w:rsidRDefault="00C260EB">
      <w:pPr>
        <w:widowControl w:val="0"/>
        <w:numPr>
          <w:ilvl w:val="0"/>
          <w:numId w:val="22"/>
        </w:numPr>
        <w:tabs>
          <w:tab w:val="clear" w:pos="567"/>
        </w:tabs>
        <w:spacing w:line="240" w:lineRule="auto"/>
        <w:ind w:left="567" w:hanging="567"/>
        <w:rPr>
          <w:rFonts w:eastAsia="Calibri"/>
          <w:snapToGrid/>
          <w:szCs w:val="22"/>
          <w:lang w:val="lt-LT"/>
        </w:rPr>
      </w:pPr>
      <w:r>
        <w:rPr>
          <w:rFonts w:eastAsia="Calibri"/>
          <w:iCs/>
          <w:snapToGrid/>
          <w:szCs w:val="22"/>
          <w:lang w:val="lt-LT" w:eastAsia="lt-LT"/>
        </w:rPr>
        <w:t>Saugumo duomenų santrauka</w:t>
      </w:r>
    </w:p>
    <w:p w14:paraId="5BFEC411" w14:textId="77777777" w:rsidR="00C00DD1" w:rsidRDefault="00C00DD1">
      <w:pPr>
        <w:widowControl w:val="0"/>
        <w:tabs>
          <w:tab w:val="clear" w:pos="567"/>
        </w:tabs>
        <w:spacing w:line="240" w:lineRule="auto"/>
        <w:rPr>
          <w:snapToGrid/>
          <w:szCs w:val="22"/>
          <w:lang w:val="lt-LT" w:eastAsia="sl-SI"/>
        </w:rPr>
      </w:pPr>
    </w:p>
    <w:p w14:paraId="57B4A12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slopina renino, angiotenzino ir aldosterono sistemą bei mažina indapamido sukeliamą kalio netekimą.</w:t>
      </w:r>
    </w:p>
    <w:p w14:paraId="479670D7" w14:textId="77777777" w:rsidR="00C00DD1" w:rsidRDefault="00C00DD1">
      <w:pPr>
        <w:widowControl w:val="0"/>
        <w:tabs>
          <w:tab w:val="clear" w:pos="567"/>
        </w:tabs>
        <w:spacing w:line="240" w:lineRule="auto"/>
        <w:rPr>
          <w:snapToGrid/>
          <w:szCs w:val="22"/>
          <w:lang w:val="lt-LT" w:eastAsia="sl-SI"/>
        </w:rPr>
      </w:pPr>
    </w:p>
    <w:p w14:paraId="7173B9A0" w14:textId="77777777" w:rsidR="00C00DD1" w:rsidRDefault="00C260EB">
      <w:pPr>
        <w:widowControl w:val="0"/>
        <w:tabs>
          <w:tab w:val="clear" w:pos="567"/>
          <w:tab w:val="left" w:pos="0"/>
          <w:tab w:val="left" w:pos="284"/>
        </w:tabs>
        <w:spacing w:line="240" w:lineRule="auto"/>
        <w:rPr>
          <w:rFonts w:eastAsia="Calibri"/>
          <w:snapToGrid/>
          <w:szCs w:val="22"/>
          <w:lang w:val="lt-LT"/>
        </w:rPr>
      </w:pPr>
      <w:r>
        <w:rPr>
          <w:rFonts w:eastAsia="Calibri"/>
          <w:snapToGrid/>
          <w:szCs w:val="22"/>
          <w:lang w:val="lt-LT"/>
        </w:rPr>
        <w:t>Dažniausiai pasireiškusios nepageidaujamos reakcijos yra:</w:t>
      </w:r>
    </w:p>
    <w:p w14:paraId="7FA520F0" w14:textId="77777777" w:rsidR="00C00DD1" w:rsidRDefault="00C260EB">
      <w:pPr>
        <w:widowControl w:val="0"/>
        <w:numPr>
          <w:ilvl w:val="0"/>
          <w:numId w:val="20"/>
        </w:numPr>
        <w:tabs>
          <w:tab w:val="num" w:pos="567"/>
        </w:tabs>
        <w:spacing w:line="240" w:lineRule="auto"/>
        <w:ind w:left="567" w:hanging="567"/>
        <w:rPr>
          <w:rFonts w:eastAsia="Calibri"/>
          <w:snapToGrid/>
          <w:szCs w:val="22"/>
          <w:lang w:val="lt-LT"/>
        </w:rPr>
      </w:pPr>
      <w:r>
        <w:rPr>
          <w:rFonts w:eastAsia="Calibri"/>
          <w:snapToGrid/>
          <w:szCs w:val="22"/>
          <w:lang w:val="lt-LT"/>
        </w:rPr>
        <w:t>vartojant perindoprilio: svaigulys, galvos skausmas, parestezija, skonio pojūčio sutrikimas, regos sutrikimas, svaigimas (</w:t>
      </w:r>
      <w:r>
        <w:rPr>
          <w:rFonts w:eastAsia="Calibri"/>
          <w:i/>
          <w:snapToGrid/>
          <w:szCs w:val="22"/>
          <w:lang w:val="lt-LT"/>
        </w:rPr>
        <w:t>vertigo</w:t>
      </w:r>
      <w:r>
        <w:rPr>
          <w:rFonts w:eastAsia="Calibri"/>
          <w:snapToGrid/>
          <w:szCs w:val="22"/>
          <w:lang w:val="lt-LT"/>
        </w:rPr>
        <w:t>), ūžesys (</w:t>
      </w:r>
      <w:r>
        <w:rPr>
          <w:i/>
          <w:snapToGrid/>
          <w:szCs w:val="22"/>
          <w:lang w:val="lt-LT" w:eastAsia="sl-SI"/>
        </w:rPr>
        <w:t>tinnitus</w:t>
      </w:r>
      <w:r>
        <w:rPr>
          <w:snapToGrid/>
          <w:szCs w:val="22"/>
          <w:lang w:val="lt-LT" w:eastAsia="sl-SI"/>
        </w:rPr>
        <w:t>)</w:t>
      </w:r>
      <w:r>
        <w:rPr>
          <w:rFonts w:eastAsia="Calibri"/>
          <w:snapToGrid/>
          <w:szCs w:val="22"/>
          <w:lang w:val="lt-LT"/>
        </w:rPr>
        <w:t>, hipotenzija, kosulys, dusulys, pilvo skausmas, vidurių užkietėjimas, dispepsija, viduriavimas, pykinimas, vėmimas, niežėjimas, išbėrimas, raumenų spazmai, astenija;</w:t>
      </w:r>
    </w:p>
    <w:p w14:paraId="7CED9417" w14:textId="77777777" w:rsidR="00C00DD1" w:rsidRDefault="00C260EB">
      <w:pPr>
        <w:widowControl w:val="0"/>
        <w:numPr>
          <w:ilvl w:val="0"/>
          <w:numId w:val="20"/>
        </w:numPr>
        <w:tabs>
          <w:tab w:val="num" w:pos="567"/>
        </w:tabs>
        <w:spacing w:line="240" w:lineRule="auto"/>
        <w:ind w:left="567" w:hanging="567"/>
        <w:rPr>
          <w:rFonts w:eastAsia="Calibri"/>
          <w:snapToGrid/>
          <w:szCs w:val="22"/>
          <w:lang w:val="lt-LT"/>
        </w:rPr>
      </w:pPr>
      <w:r>
        <w:rPr>
          <w:rFonts w:eastAsia="Calibri"/>
          <w:snapToGrid/>
          <w:szCs w:val="22"/>
          <w:lang w:val="lt-LT"/>
        </w:rPr>
        <w:t>vartojant indapamido: hipokalemija, padidėjusio jautrumo reakcijos (daugiausiai odos reakcijos) asmenims, kurie turi polinkį į alergines arba astmines reakcijas bei makulopapulinį bėrimą.</w:t>
      </w:r>
    </w:p>
    <w:p w14:paraId="41572EC4" w14:textId="77777777" w:rsidR="00C00DD1" w:rsidRDefault="00C00DD1">
      <w:pPr>
        <w:widowControl w:val="0"/>
        <w:tabs>
          <w:tab w:val="clear" w:pos="567"/>
        </w:tabs>
        <w:spacing w:line="240" w:lineRule="auto"/>
        <w:rPr>
          <w:rFonts w:eastAsia="Calibri"/>
          <w:snapToGrid/>
          <w:szCs w:val="22"/>
          <w:lang w:val="lt-LT"/>
        </w:rPr>
      </w:pPr>
    </w:p>
    <w:p w14:paraId="48A9EB25" w14:textId="77777777" w:rsidR="00C00DD1" w:rsidRDefault="00C260EB">
      <w:pPr>
        <w:widowControl w:val="0"/>
        <w:numPr>
          <w:ilvl w:val="0"/>
          <w:numId w:val="22"/>
        </w:numPr>
        <w:tabs>
          <w:tab w:val="clear" w:pos="567"/>
        </w:tabs>
        <w:spacing w:line="240" w:lineRule="auto"/>
        <w:ind w:left="567" w:hanging="567"/>
        <w:rPr>
          <w:snapToGrid/>
          <w:szCs w:val="22"/>
          <w:lang w:val="lt-LT" w:eastAsia="sl-SI"/>
        </w:rPr>
      </w:pPr>
      <w:r>
        <w:rPr>
          <w:iCs/>
          <w:snapToGrid/>
          <w:szCs w:val="22"/>
          <w:lang w:val="lt-LT" w:eastAsia="lt-LT"/>
        </w:rPr>
        <w:t>Nepageidaujamų reakcijų santrauka lentelėje</w:t>
      </w:r>
    </w:p>
    <w:p w14:paraId="39AED165" w14:textId="77777777" w:rsidR="00C00DD1" w:rsidRDefault="00C00DD1">
      <w:pPr>
        <w:widowControl w:val="0"/>
        <w:tabs>
          <w:tab w:val="clear" w:pos="567"/>
        </w:tabs>
        <w:spacing w:line="240" w:lineRule="auto"/>
        <w:rPr>
          <w:snapToGrid/>
          <w:szCs w:val="22"/>
          <w:lang w:val="lt-LT" w:eastAsia="sl-SI"/>
        </w:rPr>
      </w:pPr>
    </w:p>
    <w:p w14:paraId="02A3D93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Toliau pateiktos nepageidaujamos reakcijos buvo užfiksuotos klinikinių tyrimų metu ir (arba) poregistraciniu laikotarpiu.</w:t>
      </w:r>
    </w:p>
    <w:p w14:paraId="62D03445" w14:textId="77777777" w:rsidR="00C00DD1" w:rsidRDefault="00C00DD1">
      <w:pPr>
        <w:widowControl w:val="0"/>
        <w:tabs>
          <w:tab w:val="clear" w:pos="567"/>
        </w:tabs>
        <w:spacing w:line="240" w:lineRule="auto"/>
        <w:rPr>
          <w:snapToGrid/>
          <w:szCs w:val="22"/>
          <w:lang w:val="lt-LT" w:eastAsia="sl-SI"/>
        </w:rPr>
      </w:pPr>
    </w:p>
    <w:p w14:paraId="6872247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Gydymo metu galinčio pasireikšti nepageidaujamo poveikio dažnis apibūdinamas taip:</w:t>
      </w:r>
    </w:p>
    <w:p w14:paraId="7DEED60E"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labai dažnas (≥ 1/10);</w:t>
      </w:r>
    </w:p>
    <w:p w14:paraId="4E96C096"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dažnas (nuo ≥ 1/100 iki &lt; 1/10);</w:t>
      </w:r>
    </w:p>
    <w:p w14:paraId="08670ABE"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nedažnas (nuo ≥ 1/1 000 iki &lt; 1/100);</w:t>
      </w:r>
    </w:p>
    <w:p w14:paraId="7413E31A"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retas (nuo ≥ 1/10 000 iki &lt; 1/1 000);</w:t>
      </w:r>
    </w:p>
    <w:p w14:paraId="39FC529C"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labai retas (&lt; 1/10 000);</w:t>
      </w:r>
    </w:p>
    <w:p w14:paraId="1FF9EF62" w14:textId="77777777" w:rsidR="00C00DD1" w:rsidRDefault="00C260EB">
      <w:pPr>
        <w:widowControl w:val="0"/>
        <w:numPr>
          <w:ilvl w:val="0"/>
          <w:numId w:val="21"/>
        </w:numPr>
        <w:tabs>
          <w:tab w:val="clear" w:pos="567"/>
          <w:tab w:val="left" w:pos="0"/>
        </w:tabs>
        <w:spacing w:line="240" w:lineRule="auto"/>
        <w:ind w:left="567" w:hanging="567"/>
        <w:contextualSpacing/>
        <w:rPr>
          <w:snapToGrid/>
          <w:szCs w:val="22"/>
          <w:lang w:val="lt-LT" w:eastAsia="sl-SI"/>
        </w:rPr>
      </w:pPr>
      <w:r>
        <w:rPr>
          <w:snapToGrid/>
          <w:szCs w:val="22"/>
          <w:lang w:val="lt-LT" w:eastAsia="sl-SI"/>
        </w:rPr>
        <w:t>nežinomas (negali būti apskaičiuotas pagal turimus duomenis).</w:t>
      </w:r>
    </w:p>
    <w:p w14:paraId="52614BBB" w14:textId="77777777" w:rsidR="00C00DD1" w:rsidRDefault="00C00DD1">
      <w:pPr>
        <w:widowControl w:val="0"/>
        <w:tabs>
          <w:tab w:val="clear" w:pos="567"/>
        </w:tabs>
        <w:spacing w:line="240" w:lineRule="auto"/>
        <w:rPr>
          <w:snapToGrid/>
          <w:szCs w:val="22"/>
          <w:lang w:val="lt-LT"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3939"/>
        <w:gridCol w:w="1680"/>
        <w:gridCol w:w="1518"/>
      </w:tblGrid>
      <w:tr w:rsidR="00C00DD1" w14:paraId="268C6269" w14:textId="77777777">
        <w:tc>
          <w:tcPr>
            <w:tcW w:w="1923" w:type="dxa"/>
            <w:vMerge w:val="restart"/>
          </w:tcPr>
          <w:p w14:paraId="79A3298F" w14:textId="77777777" w:rsidR="00C00DD1" w:rsidRDefault="00C260EB">
            <w:pPr>
              <w:widowControl w:val="0"/>
              <w:tabs>
                <w:tab w:val="clear" w:pos="567"/>
              </w:tabs>
              <w:spacing w:line="240" w:lineRule="auto"/>
              <w:rPr>
                <w:rFonts w:eastAsia="Calibri"/>
                <w:iCs/>
                <w:snapToGrid/>
                <w:szCs w:val="22"/>
                <w:lang w:val="lt-LT"/>
              </w:rPr>
            </w:pPr>
            <w:r>
              <w:rPr>
                <w:rFonts w:eastAsia="Calibri"/>
                <w:i/>
                <w:iCs/>
                <w:snapToGrid/>
                <w:szCs w:val="22"/>
                <w:lang w:val="lt-LT"/>
              </w:rPr>
              <w:lastRenderedPageBreak/>
              <w:t>MedDRA</w:t>
            </w:r>
            <w:r>
              <w:rPr>
                <w:rFonts w:eastAsia="Calibri"/>
                <w:iCs/>
                <w:snapToGrid/>
                <w:szCs w:val="22"/>
                <w:lang w:val="lt-LT"/>
              </w:rPr>
              <w:t xml:space="preserve"> organų sistemų klasės</w:t>
            </w:r>
          </w:p>
        </w:tc>
        <w:tc>
          <w:tcPr>
            <w:tcW w:w="3940" w:type="dxa"/>
            <w:vMerge w:val="restart"/>
          </w:tcPr>
          <w:p w14:paraId="037E50F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Nepageidaujamas poveikis</w:t>
            </w:r>
          </w:p>
        </w:tc>
        <w:tc>
          <w:tcPr>
            <w:tcW w:w="3198" w:type="dxa"/>
            <w:gridSpan w:val="2"/>
          </w:tcPr>
          <w:p w14:paraId="1FF574BE" w14:textId="77777777" w:rsidR="00C00DD1" w:rsidRDefault="00C260EB">
            <w:pPr>
              <w:widowControl w:val="0"/>
              <w:tabs>
                <w:tab w:val="clear" w:pos="567"/>
              </w:tabs>
              <w:spacing w:line="240" w:lineRule="auto"/>
              <w:jc w:val="center"/>
              <w:rPr>
                <w:rFonts w:eastAsia="Calibri"/>
                <w:iCs/>
                <w:snapToGrid/>
                <w:szCs w:val="22"/>
                <w:lang w:val="lt-LT"/>
              </w:rPr>
            </w:pPr>
            <w:r>
              <w:rPr>
                <w:rFonts w:eastAsia="Calibri"/>
                <w:iCs/>
                <w:snapToGrid/>
                <w:szCs w:val="22"/>
                <w:lang w:val="lt-LT"/>
              </w:rPr>
              <w:t>Dažnis</w:t>
            </w:r>
          </w:p>
        </w:tc>
      </w:tr>
      <w:tr w:rsidR="00C00DD1" w14:paraId="66D8F224" w14:textId="77777777">
        <w:tc>
          <w:tcPr>
            <w:tcW w:w="1923" w:type="dxa"/>
            <w:vMerge/>
          </w:tcPr>
          <w:p w14:paraId="72A81143" w14:textId="77777777" w:rsidR="00C00DD1" w:rsidRDefault="00C00DD1">
            <w:pPr>
              <w:widowControl w:val="0"/>
              <w:tabs>
                <w:tab w:val="clear" w:pos="567"/>
              </w:tabs>
              <w:spacing w:line="240" w:lineRule="auto"/>
              <w:rPr>
                <w:rFonts w:eastAsia="Calibri"/>
                <w:iCs/>
                <w:snapToGrid/>
                <w:szCs w:val="22"/>
                <w:lang w:val="lt-LT"/>
              </w:rPr>
            </w:pPr>
          </w:p>
        </w:tc>
        <w:tc>
          <w:tcPr>
            <w:tcW w:w="3940" w:type="dxa"/>
            <w:vMerge/>
          </w:tcPr>
          <w:p w14:paraId="34AB1D3E" w14:textId="77777777" w:rsidR="00C00DD1" w:rsidRDefault="00C00DD1">
            <w:pPr>
              <w:widowControl w:val="0"/>
              <w:tabs>
                <w:tab w:val="clear" w:pos="567"/>
              </w:tabs>
              <w:spacing w:line="240" w:lineRule="auto"/>
              <w:rPr>
                <w:rFonts w:eastAsia="Calibri"/>
                <w:iCs/>
                <w:snapToGrid/>
                <w:szCs w:val="22"/>
                <w:lang w:val="lt-LT"/>
              </w:rPr>
            </w:pPr>
          </w:p>
        </w:tc>
        <w:tc>
          <w:tcPr>
            <w:tcW w:w="1680" w:type="dxa"/>
          </w:tcPr>
          <w:p w14:paraId="238DAE9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Perindoprilis</w:t>
            </w:r>
          </w:p>
        </w:tc>
        <w:tc>
          <w:tcPr>
            <w:tcW w:w="1518" w:type="dxa"/>
          </w:tcPr>
          <w:p w14:paraId="0D6E986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Indapamidas</w:t>
            </w:r>
          </w:p>
        </w:tc>
      </w:tr>
      <w:tr w:rsidR="00C00DD1" w14:paraId="4189E7CE" w14:textId="77777777">
        <w:tc>
          <w:tcPr>
            <w:tcW w:w="1923" w:type="dxa"/>
          </w:tcPr>
          <w:p w14:paraId="2BCE49A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Infekcijos ir infestacijos</w:t>
            </w:r>
          </w:p>
        </w:tc>
        <w:tc>
          <w:tcPr>
            <w:tcW w:w="3940" w:type="dxa"/>
          </w:tcPr>
          <w:p w14:paraId="23ECB88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Rinitas </w:t>
            </w:r>
          </w:p>
        </w:tc>
        <w:tc>
          <w:tcPr>
            <w:tcW w:w="1680" w:type="dxa"/>
          </w:tcPr>
          <w:p w14:paraId="4B6FEE9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202188C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5A0E32C" w14:textId="77777777">
        <w:tc>
          <w:tcPr>
            <w:tcW w:w="1923" w:type="dxa"/>
            <w:vMerge w:val="restart"/>
          </w:tcPr>
          <w:p w14:paraId="628EA0A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Kraujo ir limfinės sistemos sutrikimai</w:t>
            </w:r>
          </w:p>
        </w:tc>
        <w:tc>
          <w:tcPr>
            <w:tcW w:w="3940" w:type="dxa"/>
          </w:tcPr>
          <w:p w14:paraId="14B6FAB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Eozinofilija</w:t>
            </w:r>
          </w:p>
        </w:tc>
        <w:tc>
          <w:tcPr>
            <w:tcW w:w="1680" w:type="dxa"/>
          </w:tcPr>
          <w:p w14:paraId="4ABC3D1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32800DD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A62A58A" w14:textId="77777777">
        <w:tc>
          <w:tcPr>
            <w:tcW w:w="1923" w:type="dxa"/>
            <w:vMerge/>
          </w:tcPr>
          <w:p w14:paraId="383813E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A608E1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Agranulocitozė (žr. 4.4 skyrių)</w:t>
            </w:r>
          </w:p>
        </w:tc>
        <w:tc>
          <w:tcPr>
            <w:tcW w:w="1680" w:type="dxa"/>
          </w:tcPr>
          <w:p w14:paraId="4538B86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2C07981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05F03098" w14:textId="77777777">
        <w:tc>
          <w:tcPr>
            <w:tcW w:w="1923" w:type="dxa"/>
            <w:vMerge/>
          </w:tcPr>
          <w:p w14:paraId="75756A4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47B537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Aplazinė anemija</w:t>
            </w:r>
          </w:p>
        </w:tc>
        <w:tc>
          <w:tcPr>
            <w:tcW w:w="1680" w:type="dxa"/>
          </w:tcPr>
          <w:p w14:paraId="7A3E4AF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2CE787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596490BC" w14:textId="77777777">
        <w:tc>
          <w:tcPr>
            <w:tcW w:w="1923" w:type="dxa"/>
            <w:vMerge/>
          </w:tcPr>
          <w:p w14:paraId="6A84F602"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9DE8CD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Pancitopenija</w:t>
            </w:r>
          </w:p>
        </w:tc>
        <w:tc>
          <w:tcPr>
            <w:tcW w:w="1680" w:type="dxa"/>
          </w:tcPr>
          <w:p w14:paraId="39CCB21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7CDA2FB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0DE606A" w14:textId="77777777">
        <w:tc>
          <w:tcPr>
            <w:tcW w:w="1923" w:type="dxa"/>
            <w:vMerge/>
          </w:tcPr>
          <w:p w14:paraId="02116AD2"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13BAAB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Leukopenija</w:t>
            </w:r>
          </w:p>
        </w:tc>
        <w:tc>
          <w:tcPr>
            <w:tcW w:w="1680" w:type="dxa"/>
          </w:tcPr>
          <w:p w14:paraId="19102F2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1CEED14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57560E8C" w14:textId="77777777">
        <w:tc>
          <w:tcPr>
            <w:tcW w:w="1923" w:type="dxa"/>
            <w:vMerge/>
          </w:tcPr>
          <w:p w14:paraId="3E25860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0933A8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Neutropenija (žr. 4.4 skyrių)</w:t>
            </w:r>
          </w:p>
        </w:tc>
        <w:tc>
          <w:tcPr>
            <w:tcW w:w="1680" w:type="dxa"/>
          </w:tcPr>
          <w:p w14:paraId="6B39C05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219474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9D40445" w14:textId="77777777">
        <w:tc>
          <w:tcPr>
            <w:tcW w:w="1923" w:type="dxa"/>
            <w:vMerge/>
          </w:tcPr>
          <w:p w14:paraId="1B78ED0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929C2B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Hemolizinė anemija</w:t>
            </w:r>
          </w:p>
        </w:tc>
        <w:tc>
          <w:tcPr>
            <w:tcW w:w="1680" w:type="dxa"/>
          </w:tcPr>
          <w:p w14:paraId="221ECD0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12AC5F6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355E4905" w14:textId="77777777">
        <w:tc>
          <w:tcPr>
            <w:tcW w:w="1923" w:type="dxa"/>
            <w:vMerge/>
          </w:tcPr>
          <w:p w14:paraId="55B4CAD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3D5A89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Trombocitopenija (žr. 4.4 skyrių)</w:t>
            </w:r>
          </w:p>
        </w:tc>
        <w:tc>
          <w:tcPr>
            <w:tcW w:w="1680" w:type="dxa"/>
          </w:tcPr>
          <w:p w14:paraId="06B17B9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61DEA49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2E06882F" w14:textId="77777777">
        <w:tc>
          <w:tcPr>
            <w:tcW w:w="1923" w:type="dxa"/>
          </w:tcPr>
          <w:p w14:paraId="7D2415C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Imuninės sistemos sutrikimai</w:t>
            </w:r>
          </w:p>
        </w:tc>
        <w:tc>
          <w:tcPr>
            <w:tcW w:w="3940" w:type="dxa"/>
          </w:tcPr>
          <w:p w14:paraId="6C65B3F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Padidėjęs jautrumas (reakcijos, daugiausiai odos, asmenims, kurie turi polinkį į alergines ir astmines reakcijas)</w:t>
            </w:r>
          </w:p>
        </w:tc>
        <w:tc>
          <w:tcPr>
            <w:tcW w:w="1680" w:type="dxa"/>
          </w:tcPr>
          <w:p w14:paraId="14B5D7A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1F201D0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r>
      <w:tr w:rsidR="00C00DD1" w14:paraId="65F18CE9" w14:textId="77777777">
        <w:tc>
          <w:tcPr>
            <w:tcW w:w="1923" w:type="dxa"/>
          </w:tcPr>
          <w:p w14:paraId="4BA3497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Endokrininiai sutrikimai</w:t>
            </w:r>
          </w:p>
        </w:tc>
        <w:tc>
          <w:tcPr>
            <w:tcW w:w="3940" w:type="dxa"/>
          </w:tcPr>
          <w:p w14:paraId="524644A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Sutrikusios antidiurezinio hormono sekrecijos sindromas (SAHSS)</w:t>
            </w:r>
          </w:p>
        </w:tc>
        <w:tc>
          <w:tcPr>
            <w:tcW w:w="1680" w:type="dxa"/>
          </w:tcPr>
          <w:p w14:paraId="6CC3ABA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299C22D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7A804C5" w14:textId="77777777">
        <w:tc>
          <w:tcPr>
            <w:tcW w:w="1923" w:type="dxa"/>
            <w:vMerge w:val="restart"/>
          </w:tcPr>
          <w:p w14:paraId="7EB7BBA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Metabolizmo ir mitybos sutrikimai</w:t>
            </w:r>
          </w:p>
        </w:tc>
        <w:tc>
          <w:tcPr>
            <w:tcW w:w="3940" w:type="dxa"/>
          </w:tcPr>
          <w:p w14:paraId="69A7F7C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Hipoglikemija (žr. 4.4 ir 4.5 skyrius) </w:t>
            </w:r>
          </w:p>
        </w:tc>
        <w:tc>
          <w:tcPr>
            <w:tcW w:w="1680" w:type="dxa"/>
          </w:tcPr>
          <w:p w14:paraId="6BD9409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0890D78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71FEEB9" w14:textId="77777777">
        <w:tc>
          <w:tcPr>
            <w:tcW w:w="1923" w:type="dxa"/>
            <w:vMerge/>
          </w:tcPr>
          <w:p w14:paraId="43CBC70B"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B9FC3C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Hiperkalemija, kuri išnyksta nutraukus gydymą (žr. 4.4 skyrių)</w:t>
            </w:r>
          </w:p>
        </w:tc>
        <w:tc>
          <w:tcPr>
            <w:tcW w:w="1680" w:type="dxa"/>
          </w:tcPr>
          <w:p w14:paraId="3B27119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4D9EB2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CF78403" w14:textId="77777777">
        <w:tc>
          <w:tcPr>
            <w:tcW w:w="1923" w:type="dxa"/>
            <w:vMerge/>
          </w:tcPr>
          <w:p w14:paraId="3F15ECB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72753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Hiponatremija (žr. 4.4 skyrių)</w:t>
            </w:r>
          </w:p>
        </w:tc>
        <w:tc>
          <w:tcPr>
            <w:tcW w:w="1680" w:type="dxa"/>
          </w:tcPr>
          <w:p w14:paraId="4ACB28A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EE25C3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01251B68" w14:textId="77777777">
        <w:tc>
          <w:tcPr>
            <w:tcW w:w="1923" w:type="dxa"/>
            <w:vMerge/>
          </w:tcPr>
          <w:p w14:paraId="3E905A8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2EECFF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Hiperkalcemija </w:t>
            </w:r>
          </w:p>
        </w:tc>
        <w:tc>
          <w:tcPr>
            <w:tcW w:w="1680" w:type="dxa"/>
          </w:tcPr>
          <w:p w14:paraId="5EAD943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41BFF7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7B0DE773" w14:textId="77777777">
        <w:tc>
          <w:tcPr>
            <w:tcW w:w="1923" w:type="dxa"/>
            <w:vMerge/>
          </w:tcPr>
          <w:p w14:paraId="079912B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66FB73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Hipokalemija (žr. 4.4 skyrių)</w:t>
            </w:r>
          </w:p>
        </w:tc>
        <w:tc>
          <w:tcPr>
            <w:tcW w:w="1680" w:type="dxa"/>
          </w:tcPr>
          <w:p w14:paraId="56D4C24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B2E520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r>
      <w:tr w:rsidR="00C00DD1" w14:paraId="7C12A02A" w14:textId="77777777">
        <w:tc>
          <w:tcPr>
            <w:tcW w:w="1923" w:type="dxa"/>
            <w:vMerge/>
          </w:tcPr>
          <w:p w14:paraId="5F75323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E14698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Hipochloremija</w:t>
            </w:r>
          </w:p>
        </w:tc>
        <w:tc>
          <w:tcPr>
            <w:tcW w:w="1680" w:type="dxa"/>
          </w:tcPr>
          <w:p w14:paraId="6021626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7BC97EC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3F7B832D" w14:textId="77777777">
        <w:tc>
          <w:tcPr>
            <w:tcW w:w="1923" w:type="dxa"/>
            <w:vMerge/>
          </w:tcPr>
          <w:p w14:paraId="71976AD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8EB60A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Hipomagnezemija</w:t>
            </w:r>
          </w:p>
        </w:tc>
        <w:tc>
          <w:tcPr>
            <w:tcW w:w="1680" w:type="dxa"/>
          </w:tcPr>
          <w:p w14:paraId="58E79B5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83F4D0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5023F374" w14:textId="77777777">
        <w:tc>
          <w:tcPr>
            <w:tcW w:w="1923" w:type="dxa"/>
            <w:vMerge w:val="restart"/>
          </w:tcPr>
          <w:p w14:paraId="0064299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Psichikos sutrikimai</w:t>
            </w:r>
          </w:p>
        </w:tc>
        <w:tc>
          <w:tcPr>
            <w:tcW w:w="3940" w:type="dxa"/>
          </w:tcPr>
          <w:p w14:paraId="1D9B7FD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Nuotaikos pokytis</w:t>
            </w:r>
          </w:p>
        </w:tc>
        <w:tc>
          <w:tcPr>
            <w:tcW w:w="1680" w:type="dxa"/>
          </w:tcPr>
          <w:p w14:paraId="718303C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4A3436B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0CAF5806" w14:textId="77777777">
        <w:tc>
          <w:tcPr>
            <w:tcW w:w="1923" w:type="dxa"/>
            <w:vMerge/>
          </w:tcPr>
          <w:p w14:paraId="0E3F955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850E92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Miego sutrikimas</w:t>
            </w:r>
          </w:p>
        </w:tc>
        <w:tc>
          <w:tcPr>
            <w:tcW w:w="1680" w:type="dxa"/>
          </w:tcPr>
          <w:p w14:paraId="130E0A2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1CA8A42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A4A01B5" w14:textId="77777777">
        <w:tc>
          <w:tcPr>
            <w:tcW w:w="1923" w:type="dxa"/>
            <w:vMerge/>
          </w:tcPr>
          <w:p w14:paraId="3DD09374"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5B5A89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Depresija</w:t>
            </w:r>
          </w:p>
        </w:tc>
        <w:tc>
          <w:tcPr>
            <w:tcW w:w="1680" w:type="dxa"/>
          </w:tcPr>
          <w:p w14:paraId="2511DF2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39AAD8C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8445F1D" w14:textId="77777777">
        <w:tc>
          <w:tcPr>
            <w:tcW w:w="1923" w:type="dxa"/>
            <w:vMerge/>
          </w:tcPr>
          <w:p w14:paraId="3430734B"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1C3C55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Sumišimas</w:t>
            </w:r>
          </w:p>
        </w:tc>
        <w:tc>
          <w:tcPr>
            <w:tcW w:w="1680" w:type="dxa"/>
          </w:tcPr>
          <w:p w14:paraId="0E772E5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0D39AA3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7148111" w14:textId="77777777">
        <w:tc>
          <w:tcPr>
            <w:tcW w:w="1923" w:type="dxa"/>
            <w:vMerge w:val="restart"/>
          </w:tcPr>
          <w:p w14:paraId="7201D8E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Nervų sistemos sutrikimai</w:t>
            </w:r>
          </w:p>
        </w:tc>
        <w:tc>
          <w:tcPr>
            <w:tcW w:w="3940" w:type="dxa"/>
          </w:tcPr>
          <w:p w14:paraId="4BEA785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Svaigulys</w:t>
            </w:r>
          </w:p>
        </w:tc>
        <w:tc>
          <w:tcPr>
            <w:tcW w:w="1680" w:type="dxa"/>
          </w:tcPr>
          <w:p w14:paraId="7D16C55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6D9E905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2173843" w14:textId="77777777">
        <w:tc>
          <w:tcPr>
            <w:tcW w:w="1923" w:type="dxa"/>
            <w:vMerge/>
          </w:tcPr>
          <w:p w14:paraId="68A8682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FB1820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Galvos skausmas</w:t>
            </w:r>
          </w:p>
        </w:tc>
        <w:tc>
          <w:tcPr>
            <w:tcW w:w="1680" w:type="dxa"/>
          </w:tcPr>
          <w:p w14:paraId="77D728A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143F792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12DCC237" w14:textId="77777777">
        <w:tc>
          <w:tcPr>
            <w:tcW w:w="1923" w:type="dxa"/>
            <w:vMerge/>
          </w:tcPr>
          <w:p w14:paraId="2FD6488B"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AA9CD0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Parestezija</w:t>
            </w:r>
          </w:p>
        </w:tc>
        <w:tc>
          <w:tcPr>
            <w:tcW w:w="1680" w:type="dxa"/>
          </w:tcPr>
          <w:p w14:paraId="6F2C02F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067A09F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1900147D" w14:textId="77777777">
        <w:tc>
          <w:tcPr>
            <w:tcW w:w="1923" w:type="dxa"/>
            <w:vMerge/>
          </w:tcPr>
          <w:p w14:paraId="3A13730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7308C1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Skonio pojūčio sutrikimas</w:t>
            </w:r>
          </w:p>
        </w:tc>
        <w:tc>
          <w:tcPr>
            <w:tcW w:w="1680" w:type="dxa"/>
          </w:tcPr>
          <w:p w14:paraId="3C7C13B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7F0C615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9E5F0D1" w14:textId="77777777">
        <w:tc>
          <w:tcPr>
            <w:tcW w:w="1923" w:type="dxa"/>
            <w:vMerge/>
          </w:tcPr>
          <w:p w14:paraId="331EC1DF"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E00664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Somnolencija</w:t>
            </w:r>
          </w:p>
        </w:tc>
        <w:tc>
          <w:tcPr>
            <w:tcW w:w="1680" w:type="dxa"/>
          </w:tcPr>
          <w:p w14:paraId="3060523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7A3FBA9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0F85C2B" w14:textId="77777777">
        <w:tc>
          <w:tcPr>
            <w:tcW w:w="1923" w:type="dxa"/>
            <w:vMerge/>
          </w:tcPr>
          <w:p w14:paraId="05548A8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752EF4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Apalpimas</w:t>
            </w:r>
          </w:p>
        </w:tc>
        <w:tc>
          <w:tcPr>
            <w:tcW w:w="1680" w:type="dxa"/>
          </w:tcPr>
          <w:p w14:paraId="63B1496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235A0ED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4756D1D5" w14:textId="77777777">
        <w:tc>
          <w:tcPr>
            <w:tcW w:w="1923" w:type="dxa"/>
            <w:vMerge/>
          </w:tcPr>
          <w:p w14:paraId="62F4C672"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36DE1A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Insultas, kuris gali būti antrinis ir pasireikšti dėl didelės hipotenzijos didelės rizikos grupės pacientams (žr. 4.4 skyrių)</w:t>
            </w:r>
          </w:p>
        </w:tc>
        <w:tc>
          <w:tcPr>
            <w:tcW w:w="1680" w:type="dxa"/>
          </w:tcPr>
          <w:p w14:paraId="097770A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4629A97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0D3B861" w14:textId="77777777">
        <w:tc>
          <w:tcPr>
            <w:tcW w:w="1923" w:type="dxa"/>
            <w:vMerge/>
          </w:tcPr>
          <w:p w14:paraId="68BCBA8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B4CF1A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Gali pasireikšti hepatinė encefalopatija kepenų nepakankamumu sergantiems pacientams (žr. 4.3 ir 4.4 skyrius)</w:t>
            </w:r>
          </w:p>
        </w:tc>
        <w:tc>
          <w:tcPr>
            <w:tcW w:w="1680" w:type="dxa"/>
          </w:tcPr>
          <w:p w14:paraId="41DFBCB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F573D3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32C842CB" w14:textId="77777777">
        <w:tc>
          <w:tcPr>
            <w:tcW w:w="1923" w:type="dxa"/>
            <w:vMerge w:val="restart"/>
          </w:tcPr>
          <w:p w14:paraId="2555157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Akių sutrikimai</w:t>
            </w:r>
          </w:p>
        </w:tc>
        <w:tc>
          <w:tcPr>
            <w:tcW w:w="3940" w:type="dxa"/>
          </w:tcPr>
          <w:p w14:paraId="4C2540D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Regos sutrikimas</w:t>
            </w:r>
          </w:p>
        </w:tc>
        <w:tc>
          <w:tcPr>
            <w:tcW w:w="1680" w:type="dxa"/>
          </w:tcPr>
          <w:p w14:paraId="4C360E7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50D5BD3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7FA916C8" w14:textId="77777777">
        <w:tc>
          <w:tcPr>
            <w:tcW w:w="1923" w:type="dxa"/>
            <w:vMerge/>
          </w:tcPr>
          <w:p w14:paraId="47B7237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7D93FA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Miopija (žr. 4.4 skyrių)</w:t>
            </w:r>
          </w:p>
        </w:tc>
        <w:tc>
          <w:tcPr>
            <w:tcW w:w="1680" w:type="dxa"/>
          </w:tcPr>
          <w:p w14:paraId="446C1AA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02472D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3FD718E4" w14:textId="77777777">
        <w:tc>
          <w:tcPr>
            <w:tcW w:w="1923" w:type="dxa"/>
            <w:vMerge/>
          </w:tcPr>
          <w:p w14:paraId="14DBF8F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5EABAF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Matomo vaizdo neryškumas</w:t>
            </w:r>
          </w:p>
        </w:tc>
        <w:tc>
          <w:tcPr>
            <w:tcW w:w="1680" w:type="dxa"/>
          </w:tcPr>
          <w:p w14:paraId="2913D8D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7972B00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5401E14" w14:textId="77777777">
        <w:tc>
          <w:tcPr>
            <w:tcW w:w="1923" w:type="dxa"/>
            <w:vMerge/>
          </w:tcPr>
          <w:p w14:paraId="39E2A67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719E41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Ūminė uždaro kampo glaukoma</w:t>
            </w:r>
          </w:p>
        </w:tc>
        <w:tc>
          <w:tcPr>
            <w:tcW w:w="1680" w:type="dxa"/>
          </w:tcPr>
          <w:p w14:paraId="474F7E8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FB4C6E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4A4E8F74" w14:textId="77777777">
        <w:tc>
          <w:tcPr>
            <w:tcW w:w="1923" w:type="dxa"/>
            <w:vMerge/>
          </w:tcPr>
          <w:p w14:paraId="67CED70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51B373B" w14:textId="77777777" w:rsidR="00C00DD1" w:rsidRDefault="00C260EB">
            <w:pPr>
              <w:widowControl w:val="0"/>
              <w:tabs>
                <w:tab w:val="clear" w:pos="567"/>
              </w:tabs>
              <w:spacing w:line="240" w:lineRule="auto"/>
              <w:rPr>
                <w:rFonts w:eastAsia="Calibri"/>
                <w:iCs/>
                <w:snapToGrid/>
                <w:szCs w:val="22"/>
                <w:lang w:val="lt-LT"/>
              </w:rPr>
            </w:pPr>
            <w:r>
              <w:rPr>
                <w:snapToGrid/>
                <w:szCs w:val="22"/>
                <w:shd w:val="clear" w:color="auto" w:fill="FFFFFF"/>
                <w:lang w:val="lt-LT" w:eastAsia="sl-SI"/>
              </w:rPr>
              <w:t>Skysčio susikaupimas tarp akies gyslainės ir skleros</w:t>
            </w:r>
          </w:p>
        </w:tc>
        <w:tc>
          <w:tcPr>
            <w:tcW w:w="1680" w:type="dxa"/>
          </w:tcPr>
          <w:p w14:paraId="00227B3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5DCFFC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547ADF3B" w14:textId="77777777">
        <w:tc>
          <w:tcPr>
            <w:tcW w:w="1923" w:type="dxa"/>
            <w:vMerge w:val="restart"/>
          </w:tcPr>
          <w:p w14:paraId="42E2228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Ausų ir labirintų sutrikimai</w:t>
            </w:r>
          </w:p>
        </w:tc>
        <w:tc>
          <w:tcPr>
            <w:tcW w:w="3940" w:type="dxa"/>
          </w:tcPr>
          <w:p w14:paraId="7853FA5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Svaigimas (</w:t>
            </w:r>
            <w:r>
              <w:rPr>
                <w:rFonts w:eastAsia="Calibri"/>
                <w:i/>
                <w:iCs/>
                <w:snapToGrid/>
                <w:szCs w:val="22"/>
                <w:lang w:val="lt-LT"/>
              </w:rPr>
              <w:t>vertigo</w:t>
            </w:r>
            <w:r>
              <w:rPr>
                <w:rFonts w:eastAsia="Calibri"/>
                <w:iCs/>
                <w:snapToGrid/>
                <w:szCs w:val="22"/>
                <w:lang w:val="lt-LT"/>
              </w:rPr>
              <w:t>)</w:t>
            </w:r>
          </w:p>
        </w:tc>
        <w:tc>
          <w:tcPr>
            <w:tcW w:w="1680" w:type="dxa"/>
          </w:tcPr>
          <w:p w14:paraId="48B7151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32B13C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010B767A" w14:textId="77777777">
        <w:tc>
          <w:tcPr>
            <w:tcW w:w="1923" w:type="dxa"/>
            <w:vMerge/>
          </w:tcPr>
          <w:p w14:paraId="08D2CEC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A544553" w14:textId="77777777" w:rsidR="00C00DD1" w:rsidRDefault="00C260EB">
            <w:pPr>
              <w:widowControl w:val="0"/>
              <w:tabs>
                <w:tab w:val="clear" w:pos="567"/>
              </w:tabs>
              <w:spacing w:line="240" w:lineRule="auto"/>
              <w:rPr>
                <w:rFonts w:eastAsia="Calibri"/>
                <w:iCs/>
                <w:snapToGrid/>
                <w:szCs w:val="22"/>
                <w:lang w:val="lt-LT"/>
              </w:rPr>
            </w:pPr>
            <w:r>
              <w:rPr>
                <w:rFonts w:eastAsia="Calibri"/>
                <w:snapToGrid/>
                <w:szCs w:val="22"/>
                <w:lang w:val="lt-LT"/>
              </w:rPr>
              <w:t>Ūžesys (</w:t>
            </w:r>
            <w:r>
              <w:rPr>
                <w:i/>
                <w:snapToGrid/>
                <w:szCs w:val="22"/>
                <w:lang w:val="lt-LT" w:eastAsia="sl-SI"/>
              </w:rPr>
              <w:t>tinnitus</w:t>
            </w:r>
            <w:r>
              <w:rPr>
                <w:snapToGrid/>
                <w:szCs w:val="22"/>
                <w:lang w:val="lt-LT" w:eastAsia="sl-SI"/>
              </w:rPr>
              <w:t>)</w:t>
            </w:r>
          </w:p>
        </w:tc>
        <w:tc>
          <w:tcPr>
            <w:tcW w:w="1680" w:type="dxa"/>
          </w:tcPr>
          <w:p w14:paraId="2DF4332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0C5A58C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6B3B96E" w14:textId="77777777">
        <w:tc>
          <w:tcPr>
            <w:tcW w:w="1923" w:type="dxa"/>
            <w:vMerge w:val="restart"/>
          </w:tcPr>
          <w:p w14:paraId="2FCCC6B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Širdies sutrikimai</w:t>
            </w:r>
          </w:p>
        </w:tc>
        <w:tc>
          <w:tcPr>
            <w:tcW w:w="3940" w:type="dxa"/>
          </w:tcPr>
          <w:p w14:paraId="5DEF39C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Palpitacijos</w:t>
            </w:r>
          </w:p>
        </w:tc>
        <w:tc>
          <w:tcPr>
            <w:tcW w:w="1680" w:type="dxa"/>
          </w:tcPr>
          <w:p w14:paraId="3D87BB6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1B2E34F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3A4EFAD" w14:textId="77777777">
        <w:tc>
          <w:tcPr>
            <w:tcW w:w="1923" w:type="dxa"/>
            <w:vMerge/>
          </w:tcPr>
          <w:p w14:paraId="47DDA3E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CE5A0D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Tachikardija</w:t>
            </w:r>
          </w:p>
        </w:tc>
        <w:tc>
          <w:tcPr>
            <w:tcW w:w="1680" w:type="dxa"/>
          </w:tcPr>
          <w:p w14:paraId="3057723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25C50D8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1E46609" w14:textId="77777777">
        <w:tc>
          <w:tcPr>
            <w:tcW w:w="1923" w:type="dxa"/>
            <w:vMerge/>
          </w:tcPr>
          <w:p w14:paraId="398B8E7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9E49A0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Krūtinės angina (žr. 4.4 skyrių)</w:t>
            </w:r>
          </w:p>
        </w:tc>
        <w:tc>
          <w:tcPr>
            <w:tcW w:w="1680" w:type="dxa"/>
          </w:tcPr>
          <w:p w14:paraId="11F51C7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0351BDA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E1F8EC1" w14:textId="77777777">
        <w:tc>
          <w:tcPr>
            <w:tcW w:w="1923" w:type="dxa"/>
            <w:vMerge/>
          </w:tcPr>
          <w:p w14:paraId="622B48FA"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19B8A5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Aritmija (įskaitant bradikardiją, skilvelinę tachikardiją, prieširdžių virpėjimą)</w:t>
            </w:r>
          </w:p>
        </w:tc>
        <w:tc>
          <w:tcPr>
            <w:tcW w:w="1680" w:type="dxa"/>
          </w:tcPr>
          <w:p w14:paraId="37171E8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0CFBACC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2E051700" w14:textId="77777777">
        <w:tc>
          <w:tcPr>
            <w:tcW w:w="1923" w:type="dxa"/>
            <w:vMerge/>
          </w:tcPr>
          <w:p w14:paraId="0BB45AC2"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10A736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Miokardo infarktas, kuris gali būti antrinis ir pasireikšti dėl didelės hipotenzijos didelės rizikos grupės pacientams (žr. 4.4 skyrių)</w:t>
            </w:r>
          </w:p>
        </w:tc>
        <w:tc>
          <w:tcPr>
            <w:tcW w:w="1680" w:type="dxa"/>
          </w:tcPr>
          <w:p w14:paraId="28F9453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7DE0A41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03282A95" w14:textId="77777777">
        <w:tc>
          <w:tcPr>
            <w:tcW w:w="1923" w:type="dxa"/>
            <w:vMerge/>
          </w:tcPr>
          <w:p w14:paraId="1450177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FA12079" w14:textId="77777777" w:rsidR="00C00DD1" w:rsidRDefault="00C260EB">
            <w:pPr>
              <w:widowControl w:val="0"/>
              <w:tabs>
                <w:tab w:val="clear" w:pos="567"/>
              </w:tabs>
              <w:spacing w:line="240" w:lineRule="auto"/>
              <w:rPr>
                <w:rFonts w:eastAsia="Calibri"/>
                <w:iCs/>
                <w:snapToGrid/>
                <w:szCs w:val="22"/>
                <w:lang w:val="lt-LT"/>
              </w:rPr>
            </w:pPr>
            <w:r>
              <w:rPr>
                <w:rFonts w:eastAsia="Calibri"/>
                <w:snapToGrid/>
                <w:szCs w:val="22"/>
                <w:lang w:val="lt-LT"/>
              </w:rPr>
              <w:t>Polimorfinė skilvelinė tachikardija</w:t>
            </w:r>
            <w:r>
              <w:rPr>
                <w:rFonts w:eastAsia="Calibri"/>
                <w:iCs/>
                <w:snapToGrid/>
                <w:szCs w:val="22"/>
                <w:lang w:val="lt-LT"/>
              </w:rPr>
              <w:t xml:space="preserve"> (gali būti mirtina) (žr. 4.4 ir 4.5 skyrius)</w:t>
            </w:r>
          </w:p>
        </w:tc>
        <w:tc>
          <w:tcPr>
            <w:tcW w:w="1680" w:type="dxa"/>
          </w:tcPr>
          <w:p w14:paraId="43679F8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79606C5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5AA58319" w14:textId="77777777">
        <w:tc>
          <w:tcPr>
            <w:tcW w:w="1923" w:type="dxa"/>
            <w:vMerge w:val="restart"/>
          </w:tcPr>
          <w:p w14:paraId="36F650C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Kraujagyslių sutrikimai</w:t>
            </w:r>
          </w:p>
        </w:tc>
        <w:tc>
          <w:tcPr>
            <w:tcW w:w="3940" w:type="dxa"/>
          </w:tcPr>
          <w:p w14:paraId="2286849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Hipotenzija (ir su hipotenzija susiję reiškiniai) (žr. 4.4 skyrių)</w:t>
            </w:r>
          </w:p>
        </w:tc>
        <w:tc>
          <w:tcPr>
            <w:tcW w:w="1680" w:type="dxa"/>
          </w:tcPr>
          <w:p w14:paraId="1D98931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014F4F6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0FD2606C" w14:textId="77777777">
        <w:tc>
          <w:tcPr>
            <w:tcW w:w="1923" w:type="dxa"/>
            <w:vMerge/>
          </w:tcPr>
          <w:p w14:paraId="1AA332C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1DF88F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Vaskulitas</w:t>
            </w:r>
          </w:p>
        </w:tc>
        <w:tc>
          <w:tcPr>
            <w:tcW w:w="1680" w:type="dxa"/>
          </w:tcPr>
          <w:p w14:paraId="7795ED3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4DBABC3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52CC852" w14:textId="77777777">
        <w:tc>
          <w:tcPr>
            <w:tcW w:w="1923" w:type="dxa"/>
            <w:vMerge/>
          </w:tcPr>
          <w:p w14:paraId="14C9C0B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AF1F54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Paraudimas</w:t>
            </w:r>
          </w:p>
        </w:tc>
        <w:tc>
          <w:tcPr>
            <w:tcW w:w="1680" w:type="dxa"/>
          </w:tcPr>
          <w:p w14:paraId="4F5BA0B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0931C3A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4461E6B5" w14:textId="77777777">
        <w:tc>
          <w:tcPr>
            <w:tcW w:w="1923" w:type="dxa"/>
            <w:vMerge/>
          </w:tcPr>
          <w:p w14:paraId="320DD10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718A7D9" w14:textId="77777777" w:rsidR="00C00DD1" w:rsidRDefault="00C260EB">
            <w:pPr>
              <w:widowControl w:val="0"/>
              <w:tabs>
                <w:tab w:val="clear" w:pos="567"/>
              </w:tabs>
              <w:spacing w:line="240" w:lineRule="auto"/>
              <w:rPr>
                <w:rFonts w:eastAsia="Calibri"/>
                <w:iCs/>
                <w:snapToGrid/>
                <w:szCs w:val="22"/>
                <w:lang w:val="lt-LT"/>
              </w:rPr>
            </w:pPr>
            <w:r>
              <w:rPr>
                <w:rFonts w:eastAsia="Calibri"/>
                <w:snapToGrid/>
                <w:szCs w:val="22"/>
                <w:lang w:val="lt-LT"/>
              </w:rPr>
              <w:t>Reino (</w:t>
            </w:r>
            <w:r>
              <w:rPr>
                <w:rFonts w:eastAsia="Calibri"/>
                <w:i/>
                <w:snapToGrid/>
                <w:szCs w:val="22"/>
                <w:lang w:val="lt-LT"/>
              </w:rPr>
              <w:t>Raynaud</w:t>
            </w:r>
            <w:r>
              <w:rPr>
                <w:rFonts w:eastAsia="Calibri"/>
                <w:snapToGrid/>
                <w:szCs w:val="22"/>
                <w:lang w:val="lt-LT"/>
              </w:rPr>
              <w:t>) fenomenas</w:t>
            </w:r>
          </w:p>
        </w:tc>
        <w:tc>
          <w:tcPr>
            <w:tcW w:w="1680" w:type="dxa"/>
          </w:tcPr>
          <w:p w14:paraId="67EC136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c>
          <w:tcPr>
            <w:tcW w:w="1518" w:type="dxa"/>
          </w:tcPr>
          <w:p w14:paraId="66B18C58" w14:textId="77777777" w:rsidR="00C00DD1" w:rsidRDefault="00C00DD1">
            <w:pPr>
              <w:widowControl w:val="0"/>
              <w:tabs>
                <w:tab w:val="clear" w:pos="567"/>
              </w:tabs>
              <w:spacing w:line="240" w:lineRule="auto"/>
              <w:rPr>
                <w:rFonts w:eastAsia="Calibri"/>
                <w:iCs/>
                <w:snapToGrid/>
                <w:szCs w:val="22"/>
                <w:lang w:val="lt-LT"/>
              </w:rPr>
            </w:pPr>
          </w:p>
        </w:tc>
      </w:tr>
      <w:tr w:rsidR="00C00DD1" w14:paraId="2588265B" w14:textId="77777777">
        <w:tc>
          <w:tcPr>
            <w:tcW w:w="1923" w:type="dxa"/>
            <w:vMerge w:val="restart"/>
          </w:tcPr>
          <w:p w14:paraId="7ADC865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Kvėpavimo sistemos, krūtinės ląstos ir tarpuplaučio sutrikimai</w:t>
            </w:r>
          </w:p>
        </w:tc>
        <w:tc>
          <w:tcPr>
            <w:tcW w:w="3940" w:type="dxa"/>
          </w:tcPr>
          <w:p w14:paraId="7919C61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Kosulys (žr. 4.4 skyrių)</w:t>
            </w:r>
          </w:p>
        </w:tc>
        <w:tc>
          <w:tcPr>
            <w:tcW w:w="1680" w:type="dxa"/>
          </w:tcPr>
          <w:p w14:paraId="6CD1332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30A42E1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50F4FD7" w14:textId="77777777">
        <w:tc>
          <w:tcPr>
            <w:tcW w:w="1923" w:type="dxa"/>
            <w:vMerge/>
          </w:tcPr>
          <w:p w14:paraId="7334454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75294E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Dusulys</w:t>
            </w:r>
          </w:p>
        </w:tc>
        <w:tc>
          <w:tcPr>
            <w:tcW w:w="1680" w:type="dxa"/>
          </w:tcPr>
          <w:p w14:paraId="762823B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7CEFC2C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69C795F" w14:textId="77777777">
        <w:tc>
          <w:tcPr>
            <w:tcW w:w="1923" w:type="dxa"/>
            <w:vMerge/>
          </w:tcPr>
          <w:p w14:paraId="0776A9F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E63782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Bronchų spazmas</w:t>
            </w:r>
          </w:p>
        </w:tc>
        <w:tc>
          <w:tcPr>
            <w:tcW w:w="1680" w:type="dxa"/>
          </w:tcPr>
          <w:p w14:paraId="7904F03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4D815B6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A9EF084" w14:textId="77777777">
        <w:tc>
          <w:tcPr>
            <w:tcW w:w="1923" w:type="dxa"/>
            <w:vMerge/>
          </w:tcPr>
          <w:p w14:paraId="6BE9347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C8F665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Eozinofilinė pneumonija</w:t>
            </w:r>
          </w:p>
        </w:tc>
        <w:tc>
          <w:tcPr>
            <w:tcW w:w="1680" w:type="dxa"/>
          </w:tcPr>
          <w:p w14:paraId="5456FE9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2871A3A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4863DD9" w14:textId="77777777">
        <w:tc>
          <w:tcPr>
            <w:tcW w:w="1923" w:type="dxa"/>
            <w:vMerge w:val="restart"/>
          </w:tcPr>
          <w:p w14:paraId="2E7DC50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Virškinimo trakto sutrikimai</w:t>
            </w:r>
          </w:p>
        </w:tc>
        <w:tc>
          <w:tcPr>
            <w:tcW w:w="3940" w:type="dxa"/>
          </w:tcPr>
          <w:p w14:paraId="29FD806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Pilvo skausmas</w:t>
            </w:r>
          </w:p>
        </w:tc>
        <w:tc>
          <w:tcPr>
            <w:tcW w:w="1680" w:type="dxa"/>
          </w:tcPr>
          <w:p w14:paraId="7D33D2D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482CAA1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C86AA31" w14:textId="77777777">
        <w:tc>
          <w:tcPr>
            <w:tcW w:w="1923" w:type="dxa"/>
            <w:vMerge/>
          </w:tcPr>
          <w:p w14:paraId="5CFF939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3CDAEB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Vidurių užkietėjimas</w:t>
            </w:r>
          </w:p>
        </w:tc>
        <w:tc>
          <w:tcPr>
            <w:tcW w:w="1680" w:type="dxa"/>
          </w:tcPr>
          <w:p w14:paraId="14B5934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14DFE5F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2A658ECB" w14:textId="77777777">
        <w:tc>
          <w:tcPr>
            <w:tcW w:w="1923" w:type="dxa"/>
            <w:vMerge/>
          </w:tcPr>
          <w:p w14:paraId="053C1C1B"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E0EE67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Viduriavimas</w:t>
            </w:r>
          </w:p>
        </w:tc>
        <w:tc>
          <w:tcPr>
            <w:tcW w:w="1680" w:type="dxa"/>
          </w:tcPr>
          <w:p w14:paraId="4CAD297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2A1CB55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E436295" w14:textId="77777777">
        <w:tc>
          <w:tcPr>
            <w:tcW w:w="1923" w:type="dxa"/>
            <w:vMerge/>
          </w:tcPr>
          <w:p w14:paraId="1523C07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79B49F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Dispepsija</w:t>
            </w:r>
          </w:p>
        </w:tc>
        <w:tc>
          <w:tcPr>
            <w:tcW w:w="1680" w:type="dxa"/>
          </w:tcPr>
          <w:p w14:paraId="3B71F73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1E264C2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C2A3890" w14:textId="77777777">
        <w:tc>
          <w:tcPr>
            <w:tcW w:w="1923" w:type="dxa"/>
            <w:vMerge/>
          </w:tcPr>
          <w:p w14:paraId="3A29CAB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053A1F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Pykinimas</w:t>
            </w:r>
          </w:p>
        </w:tc>
        <w:tc>
          <w:tcPr>
            <w:tcW w:w="1680" w:type="dxa"/>
          </w:tcPr>
          <w:p w14:paraId="5379F48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08A77B1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51D646AB" w14:textId="77777777">
        <w:tc>
          <w:tcPr>
            <w:tcW w:w="1923" w:type="dxa"/>
            <w:vMerge/>
          </w:tcPr>
          <w:p w14:paraId="1AC8B4E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0D1759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Vėmimas</w:t>
            </w:r>
          </w:p>
        </w:tc>
        <w:tc>
          <w:tcPr>
            <w:tcW w:w="1680" w:type="dxa"/>
          </w:tcPr>
          <w:p w14:paraId="1E98C9A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667C83B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10418861" w14:textId="77777777">
        <w:tc>
          <w:tcPr>
            <w:tcW w:w="1923" w:type="dxa"/>
            <w:vMerge/>
          </w:tcPr>
          <w:p w14:paraId="2461EEA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C0C6E8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Burnos džiūvimas</w:t>
            </w:r>
          </w:p>
        </w:tc>
        <w:tc>
          <w:tcPr>
            <w:tcW w:w="1680" w:type="dxa"/>
          </w:tcPr>
          <w:p w14:paraId="63F91B4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6698D57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4122BE1B" w14:textId="77777777">
        <w:tc>
          <w:tcPr>
            <w:tcW w:w="1923" w:type="dxa"/>
            <w:vMerge/>
          </w:tcPr>
          <w:p w14:paraId="3D199E6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ADF5D0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Pankreatitas</w:t>
            </w:r>
          </w:p>
        </w:tc>
        <w:tc>
          <w:tcPr>
            <w:tcW w:w="1680" w:type="dxa"/>
          </w:tcPr>
          <w:p w14:paraId="06003CB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52271A2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43B79BDC" w14:textId="77777777">
        <w:tc>
          <w:tcPr>
            <w:tcW w:w="1923" w:type="dxa"/>
            <w:vMerge w:val="restart"/>
          </w:tcPr>
          <w:p w14:paraId="6CE3E24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Kepenų, tulžies pūslės ir latakų sutrikimai</w:t>
            </w:r>
          </w:p>
        </w:tc>
        <w:tc>
          <w:tcPr>
            <w:tcW w:w="3940" w:type="dxa"/>
          </w:tcPr>
          <w:p w14:paraId="7D6CC12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Hepatitas (žr. 4.4 skyrių)</w:t>
            </w:r>
          </w:p>
        </w:tc>
        <w:tc>
          <w:tcPr>
            <w:tcW w:w="1680" w:type="dxa"/>
          </w:tcPr>
          <w:p w14:paraId="503A6BF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6C4C3C7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20535E2A" w14:textId="77777777">
        <w:tc>
          <w:tcPr>
            <w:tcW w:w="1923" w:type="dxa"/>
            <w:vMerge/>
          </w:tcPr>
          <w:p w14:paraId="75E3147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3953FB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Nenormali kepenų funkcija</w:t>
            </w:r>
          </w:p>
        </w:tc>
        <w:tc>
          <w:tcPr>
            <w:tcW w:w="1680" w:type="dxa"/>
          </w:tcPr>
          <w:p w14:paraId="2FBA671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1D1095E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1C6A77C6" w14:textId="77777777">
        <w:tc>
          <w:tcPr>
            <w:tcW w:w="1923" w:type="dxa"/>
            <w:vMerge w:val="restart"/>
          </w:tcPr>
          <w:p w14:paraId="3950414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Odos ir poodinio audinio sutrikimai</w:t>
            </w:r>
          </w:p>
        </w:tc>
        <w:tc>
          <w:tcPr>
            <w:tcW w:w="3940" w:type="dxa"/>
          </w:tcPr>
          <w:p w14:paraId="56E540B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Niežėjimas</w:t>
            </w:r>
          </w:p>
        </w:tc>
        <w:tc>
          <w:tcPr>
            <w:tcW w:w="1680" w:type="dxa"/>
          </w:tcPr>
          <w:p w14:paraId="33EFC8D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10F8308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B46158D" w14:textId="77777777">
        <w:tc>
          <w:tcPr>
            <w:tcW w:w="1923" w:type="dxa"/>
            <w:vMerge/>
          </w:tcPr>
          <w:p w14:paraId="3B819A6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60D597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Išbėrimas</w:t>
            </w:r>
          </w:p>
        </w:tc>
        <w:tc>
          <w:tcPr>
            <w:tcW w:w="1680" w:type="dxa"/>
          </w:tcPr>
          <w:p w14:paraId="792D908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640E7FB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0C077C85" w14:textId="77777777">
        <w:tc>
          <w:tcPr>
            <w:tcW w:w="1923" w:type="dxa"/>
            <w:vMerge/>
          </w:tcPr>
          <w:p w14:paraId="6AB5910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28A56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Makulopapulinis išbėrimas</w:t>
            </w:r>
          </w:p>
        </w:tc>
        <w:tc>
          <w:tcPr>
            <w:tcW w:w="1680" w:type="dxa"/>
          </w:tcPr>
          <w:p w14:paraId="2025178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A03BA1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r>
      <w:tr w:rsidR="00C00DD1" w14:paraId="56EE9E9A" w14:textId="77777777">
        <w:tc>
          <w:tcPr>
            <w:tcW w:w="1923" w:type="dxa"/>
            <w:vMerge/>
          </w:tcPr>
          <w:p w14:paraId="1640C49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DC1EF1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Dilgėlinė (žr. 4.4 skyrių)</w:t>
            </w:r>
          </w:p>
        </w:tc>
        <w:tc>
          <w:tcPr>
            <w:tcW w:w="1680" w:type="dxa"/>
          </w:tcPr>
          <w:p w14:paraId="23FE9F0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7A27763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118060B2" w14:textId="77777777">
        <w:tc>
          <w:tcPr>
            <w:tcW w:w="1923" w:type="dxa"/>
            <w:vMerge/>
          </w:tcPr>
          <w:p w14:paraId="1B47619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C76FFE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Angioneurozinė edema (žr. 4.4 skyrių)</w:t>
            </w:r>
          </w:p>
        </w:tc>
        <w:tc>
          <w:tcPr>
            <w:tcW w:w="1680" w:type="dxa"/>
          </w:tcPr>
          <w:p w14:paraId="1C43D69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718B8BD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57B34489" w14:textId="77777777">
        <w:tc>
          <w:tcPr>
            <w:tcW w:w="1923" w:type="dxa"/>
            <w:vMerge/>
          </w:tcPr>
          <w:p w14:paraId="050A38F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437832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Purpura</w:t>
            </w:r>
          </w:p>
        </w:tc>
        <w:tc>
          <w:tcPr>
            <w:tcW w:w="1680" w:type="dxa"/>
          </w:tcPr>
          <w:p w14:paraId="10AFC7A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28A88E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236918C5" w14:textId="77777777">
        <w:tc>
          <w:tcPr>
            <w:tcW w:w="1923" w:type="dxa"/>
            <w:vMerge/>
          </w:tcPr>
          <w:p w14:paraId="1359193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C28CD2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Pernelyg stiprus prakaitavimas</w:t>
            </w:r>
          </w:p>
        </w:tc>
        <w:tc>
          <w:tcPr>
            <w:tcW w:w="1680" w:type="dxa"/>
          </w:tcPr>
          <w:p w14:paraId="24528B1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0DAF916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D5CD8AB" w14:textId="77777777">
        <w:tc>
          <w:tcPr>
            <w:tcW w:w="1923" w:type="dxa"/>
            <w:vMerge/>
          </w:tcPr>
          <w:p w14:paraId="11E811F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F04EBE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Padidėjusio jautrumo šviesai reakcija</w:t>
            </w:r>
          </w:p>
        </w:tc>
        <w:tc>
          <w:tcPr>
            <w:tcW w:w="1680" w:type="dxa"/>
          </w:tcPr>
          <w:p w14:paraId="4ADA838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3BF411D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382513A0" w14:textId="77777777">
        <w:tc>
          <w:tcPr>
            <w:tcW w:w="1923" w:type="dxa"/>
            <w:vMerge/>
          </w:tcPr>
          <w:p w14:paraId="0DF0EC1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E9F062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Pemfigoidas</w:t>
            </w:r>
          </w:p>
        </w:tc>
        <w:tc>
          <w:tcPr>
            <w:tcW w:w="1680" w:type="dxa"/>
          </w:tcPr>
          <w:p w14:paraId="65BAE18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4D6BB5A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405638FA" w14:textId="77777777">
        <w:tc>
          <w:tcPr>
            <w:tcW w:w="1923" w:type="dxa"/>
            <w:vMerge/>
          </w:tcPr>
          <w:p w14:paraId="016EA4F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CBA4D6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Psoriazės paūmėjimas</w:t>
            </w:r>
          </w:p>
        </w:tc>
        <w:tc>
          <w:tcPr>
            <w:tcW w:w="1680" w:type="dxa"/>
          </w:tcPr>
          <w:p w14:paraId="623917F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r>
              <w:rPr>
                <w:rFonts w:eastAsia="Calibri"/>
                <w:iCs/>
                <w:snapToGrid/>
                <w:szCs w:val="22"/>
                <w:vertAlign w:val="superscript"/>
                <w:lang w:val="lt-LT"/>
              </w:rPr>
              <w:t>*</w:t>
            </w:r>
          </w:p>
        </w:tc>
        <w:tc>
          <w:tcPr>
            <w:tcW w:w="1518" w:type="dxa"/>
          </w:tcPr>
          <w:p w14:paraId="4358CA5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B6089C4" w14:textId="77777777">
        <w:tc>
          <w:tcPr>
            <w:tcW w:w="1923" w:type="dxa"/>
            <w:vMerge/>
          </w:tcPr>
          <w:p w14:paraId="46D4A77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7292F2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Daugiaformė eritema</w:t>
            </w:r>
          </w:p>
        </w:tc>
        <w:tc>
          <w:tcPr>
            <w:tcW w:w="1680" w:type="dxa"/>
          </w:tcPr>
          <w:p w14:paraId="3202205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169E8BA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95F3FAA" w14:textId="77777777">
        <w:tc>
          <w:tcPr>
            <w:tcW w:w="1923" w:type="dxa"/>
            <w:vMerge/>
          </w:tcPr>
          <w:p w14:paraId="219206F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A21CE4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Toksinė epidermio nekrolizė</w:t>
            </w:r>
          </w:p>
        </w:tc>
        <w:tc>
          <w:tcPr>
            <w:tcW w:w="1680" w:type="dxa"/>
          </w:tcPr>
          <w:p w14:paraId="7DF35B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7C0A11F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212CEEC5" w14:textId="77777777">
        <w:tc>
          <w:tcPr>
            <w:tcW w:w="1923" w:type="dxa"/>
            <w:vMerge/>
          </w:tcPr>
          <w:p w14:paraId="461A330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623637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Stivenso-Džonsono (</w:t>
            </w:r>
            <w:r>
              <w:rPr>
                <w:rFonts w:eastAsia="Calibri"/>
                <w:i/>
                <w:snapToGrid/>
                <w:szCs w:val="22"/>
                <w:lang w:val="lt-LT"/>
              </w:rPr>
              <w:t>Stevens-Johnson</w:t>
            </w:r>
            <w:r>
              <w:rPr>
                <w:rFonts w:eastAsia="Calibri"/>
                <w:iCs/>
                <w:snapToGrid/>
                <w:szCs w:val="22"/>
                <w:lang w:val="lt-LT"/>
              </w:rPr>
              <w:t>) sindromas</w:t>
            </w:r>
          </w:p>
        </w:tc>
        <w:tc>
          <w:tcPr>
            <w:tcW w:w="1680" w:type="dxa"/>
          </w:tcPr>
          <w:p w14:paraId="46AB854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D23CAE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17873EB8" w14:textId="77777777">
        <w:tc>
          <w:tcPr>
            <w:tcW w:w="1923" w:type="dxa"/>
            <w:vMerge w:val="restart"/>
          </w:tcPr>
          <w:p w14:paraId="53D0BB0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Skeleto, raumenų ir jungiamojo audinio sutrikimai</w:t>
            </w:r>
          </w:p>
        </w:tc>
        <w:tc>
          <w:tcPr>
            <w:tcW w:w="3940" w:type="dxa"/>
          </w:tcPr>
          <w:p w14:paraId="09A3F5F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Raumenų spazmai</w:t>
            </w:r>
          </w:p>
        </w:tc>
        <w:tc>
          <w:tcPr>
            <w:tcW w:w="1680" w:type="dxa"/>
          </w:tcPr>
          <w:p w14:paraId="72204A0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5BC45F4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2D0B211D" w14:textId="77777777">
        <w:tc>
          <w:tcPr>
            <w:tcW w:w="1923" w:type="dxa"/>
            <w:vMerge/>
          </w:tcPr>
          <w:p w14:paraId="3A7DE73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B1C290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Galimas buvusios ūminės sisteminės raudonosios vilkligės paūmėjimas</w:t>
            </w:r>
          </w:p>
        </w:tc>
        <w:tc>
          <w:tcPr>
            <w:tcW w:w="1680" w:type="dxa"/>
          </w:tcPr>
          <w:p w14:paraId="525F020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21DCC1F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7F1D8762" w14:textId="77777777">
        <w:tc>
          <w:tcPr>
            <w:tcW w:w="1923" w:type="dxa"/>
            <w:vMerge/>
          </w:tcPr>
          <w:p w14:paraId="1F02285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0D213B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Artralgija</w:t>
            </w:r>
          </w:p>
        </w:tc>
        <w:tc>
          <w:tcPr>
            <w:tcW w:w="1680" w:type="dxa"/>
          </w:tcPr>
          <w:p w14:paraId="064ABD8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7C55B56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EA8896F" w14:textId="77777777">
        <w:tc>
          <w:tcPr>
            <w:tcW w:w="1923" w:type="dxa"/>
            <w:vMerge/>
          </w:tcPr>
          <w:p w14:paraId="2ADFBFC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4CBFA0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Mialgija</w:t>
            </w:r>
          </w:p>
        </w:tc>
        <w:tc>
          <w:tcPr>
            <w:tcW w:w="1680" w:type="dxa"/>
          </w:tcPr>
          <w:p w14:paraId="00447B4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5E39E8E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46964F7D" w14:textId="77777777">
        <w:tc>
          <w:tcPr>
            <w:tcW w:w="1923" w:type="dxa"/>
            <w:vMerge/>
          </w:tcPr>
          <w:p w14:paraId="52AD534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E615AB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Raumenų silpnumas</w:t>
            </w:r>
          </w:p>
        </w:tc>
        <w:tc>
          <w:tcPr>
            <w:tcW w:w="1680" w:type="dxa"/>
          </w:tcPr>
          <w:p w14:paraId="57E1B24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08808C6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FDD26E6" w14:textId="77777777">
        <w:tc>
          <w:tcPr>
            <w:tcW w:w="1923" w:type="dxa"/>
            <w:vMerge/>
          </w:tcPr>
          <w:p w14:paraId="0F74379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8866DA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Rabdomiolizė</w:t>
            </w:r>
          </w:p>
        </w:tc>
        <w:tc>
          <w:tcPr>
            <w:tcW w:w="1680" w:type="dxa"/>
          </w:tcPr>
          <w:p w14:paraId="5828B36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2C7717E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Dažnis </w:t>
            </w:r>
            <w:r>
              <w:rPr>
                <w:rFonts w:eastAsia="Calibri"/>
                <w:iCs/>
                <w:snapToGrid/>
                <w:szCs w:val="22"/>
                <w:lang w:val="lt-LT"/>
              </w:rPr>
              <w:lastRenderedPageBreak/>
              <w:t>nežinomas</w:t>
            </w:r>
          </w:p>
        </w:tc>
      </w:tr>
      <w:tr w:rsidR="00C00DD1" w14:paraId="35515ABE" w14:textId="77777777">
        <w:tc>
          <w:tcPr>
            <w:tcW w:w="1923" w:type="dxa"/>
            <w:vMerge w:val="restart"/>
          </w:tcPr>
          <w:p w14:paraId="122A3C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lastRenderedPageBreak/>
              <w:t>Inkstų ir šlapimo takų sutrikimai</w:t>
            </w:r>
          </w:p>
        </w:tc>
        <w:tc>
          <w:tcPr>
            <w:tcW w:w="3940" w:type="dxa"/>
          </w:tcPr>
          <w:p w14:paraId="796FC47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Inkstų nepakankamumas</w:t>
            </w:r>
          </w:p>
        </w:tc>
        <w:tc>
          <w:tcPr>
            <w:tcW w:w="1680" w:type="dxa"/>
          </w:tcPr>
          <w:p w14:paraId="4FD19CF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377F9A5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A103A1A" w14:textId="77777777">
        <w:tc>
          <w:tcPr>
            <w:tcW w:w="1923" w:type="dxa"/>
            <w:vMerge/>
          </w:tcPr>
          <w:p w14:paraId="0D13020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D4128D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Anurija/oligurija</w:t>
            </w:r>
          </w:p>
        </w:tc>
        <w:tc>
          <w:tcPr>
            <w:tcW w:w="1680" w:type="dxa"/>
          </w:tcPr>
          <w:p w14:paraId="37C9CF8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542C143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8E99299" w14:textId="77777777">
        <w:tc>
          <w:tcPr>
            <w:tcW w:w="1923" w:type="dxa"/>
            <w:vMerge/>
          </w:tcPr>
          <w:p w14:paraId="1B91D32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45E8BF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Ūminis inkstų nepakankamumas</w:t>
            </w:r>
          </w:p>
        </w:tc>
        <w:tc>
          <w:tcPr>
            <w:tcW w:w="1680" w:type="dxa"/>
          </w:tcPr>
          <w:p w14:paraId="7A2C1B7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09262F1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3755181D" w14:textId="77777777">
        <w:tc>
          <w:tcPr>
            <w:tcW w:w="1923" w:type="dxa"/>
          </w:tcPr>
          <w:p w14:paraId="53A9BA1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Lytinės sistemos ir krūties sutrikimai</w:t>
            </w:r>
          </w:p>
        </w:tc>
        <w:tc>
          <w:tcPr>
            <w:tcW w:w="3940" w:type="dxa"/>
          </w:tcPr>
          <w:p w14:paraId="3155F62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Erekcijos disfunkcija</w:t>
            </w:r>
          </w:p>
        </w:tc>
        <w:tc>
          <w:tcPr>
            <w:tcW w:w="1680" w:type="dxa"/>
          </w:tcPr>
          <w:p w14:paraId="49D012A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4E6943A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69004E8E" w14:textId="77777777">
        <w:tc>
          <w:tcPr>
            <w:tcW w:w="1923" w:type="dxa"/>
            <w:vMerge w:val="restart"/>
          </w:tcPr>
          <w:p w14:paraId="568ADE1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Bendrieji sutrikimai ir vartojimo vietos pažeidimai</w:t>
            </w:r>
          </w:p>
        </w:tc>
        <w:tc>
          <w:tcPr>
            <w:tcW w:w="3940" w:type="dxa"/>
          </w:tcPr>
          <w:p w14:paraId="2876CBC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Astenija</w:t>
            </w:r>
          </w:p>
        </w:tc>
        <w:tc>
          <w:tcPr>
            <w:tcW w:w="1680" w:type="dxa"/>
          </w:tcPr>
          <w:p w14:paraId="70739C2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1E3B6E3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C6CC796" w14:textId="77777777">
        <w:tc>
          <w:tcPr>
            <w:tcW w:w="1923" w:type="dxa"/>
            <w:vMerge/>
          </w:tcPr>
          <w:p w14:paraId="4BD2933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866D24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Krūtinės skausmas</w:t>
            </w:r>
          </w:p>
        </w:tc>
        <w:tc>
          <w:tcPr>
            <w:tcW w:w="1680" w:type="dxa"/>
          </w:tcPr>
          <w:p w14:paraId="4B9E3FE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1105F3F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AC3B16E" w14:textId="77777777">
        <w:tc>
          <w:tcPr>
            <w:tcW w:w="1923" w:type="dxa"/>
            <w:vMerge/>
          </w:tcPr>
          <w:p w14:paraId="64318734"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B1CBB3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Bendrasis negalavimas</w:t>
            </w:r>
          </w:p>
        </w:tc>
        <w:tc>
          <w:tcPr>
            <w:tcW w:w="1680" w:type="dxa"/>
          </w:tcPr>
          <w:p w14:paraId="784636D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38B1DEF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4CAFEDE9" w14:textId="77777777">
        <w:tc>
          <w:tcPr>
            <w:tcW w:w="1923" w:type="dxa"/>
            <w:vMerge/>
          </w:tcPr>
          <w:p w14:paraId="607A7A9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5BCC99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Periferinė edema</w:t>
            </w:r>
          </w:p>
        </w:tc>
        <w:tc>
          <w:tcPr>
            <w:tcW w:w="1680" w:type="dxa"/>
          </w:tcPr>
          <w:p w14:paraId="468E998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7A554B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02B7F5A" w14:textId="77777777">
        <w:tc>
          <w:tcPr>
            <w:tcW w:w="1923" w:type="dxa"/>
            <w:vMerge/>
          </w:tcPr>
          <w:p w14:paraId="1446E00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E0D6B5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Karščiavimas</w:t>
            </w:r>
          </w:p>
        </w:tc>
        <w:tc>
          <w:tcPr>
            <w:tcW w:w="1680" w:type="dxa"/>
          </w:tcPr>
          <w:p w14:paraId="63DB0F8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5EF15F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3D6E27D" w14:textId="77777777">
        <w:tc>
          <w:tcPr>
            <w:tcW w:w="1923" w:type="dxa"/>
            <w:vMerge/>
          </w:tcPr>
          <w:p w14:paraId="3FC15D8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82D3EC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Nuovargis</w:t>
            </w:r>
          </w:p>
        </w:tc>
        <w:tc>
          <w:tcPr>
            <w:tcW w:w="1680" w:type="dxa"/>
          </w:tcPr>
          <w:p w14:paraId="7ACF6B5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0255778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35B5DA17" w14:textId="77777777">
        <w:tc>
          <w:tcPr>
            <w:tcW w:w="1923" w:type="dxa"/>
            <w:vMerge w:val="restart"/>
          </w:tcPr>
          <w:p w14:paraId="05BB9F9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Tyrimai</w:t>
            </w:r>
          </w:p>
          <w:p w14:paraId="09E64DF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3496B4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Šlapalo koncentracijos kraujyje padidėjimas</w:t>
            </w:r>
          </w:p>
        </w:tc>
        <w:tc>
          <w:tcPr>
            <w:tcW w:w="1680" w:type="dxa"/>
          </w:tcPr>
          <w:p w14:paraId="12A529E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5457C1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BA557A0" w14:textId="77777777">
        <w:tc>
          <w:tcPr>
            <w:tcW w:w="1923" w:type="dxa"/>
            <w:vMerge/>
          </w:tcPr>
          <w:p w14:paraId="1C7C817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F80902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Kreatinino koncentracijos kraujyje padidėjimas</w:t>
            </w:r>
          </w:p>
        </w:tc>
        <w:tc>
          <w:tcPr>
            <w:tcW w:w="1680" w:type="dxa"/>
          </w:tcPr>
          <w:p w14:paraId="3226BF5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13868B9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C10C44F" w14:textId="77777777">
        <w:tc>
          <w:tcPr>
            <w:tcW w:w="1923" w:type="dxa"/>
            <w:vMerge/>
          </w:tcPr>
          <w:p w14:paraId="011F6B12"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D5B522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Bilirubino koncentracijos kraujyje padidėjimas</w:t>
            </w:r>
          </w:p>
        </w:tc>
        <w:tc>
          <w:tcPr>
            <w:tcW w:w="1680" w:type="dxa"/>
          </w:tcPr>
          <w:p w14:paraId="236A85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48901F6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8D345F4" w14:textId="77777777">
        <w:tc>
          <w:tcPr>
            <w:tcW w:w="1923" w:type="dxa"/>
            <w:vMerge/>
          </w:tcPr>
          <w:p w14:paraId="0A47FAC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66D0D6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Kepenų fermentų suaktyvėjimas</w:t>
            </w:r>
          </w:p>
        </w:tc>
        <w:tc>
          <w:tcPr>
            <w:tcW w:w="1680" w:type="dxa"/>
          </w:tcPr>
          <w:p w14:paraId="20A7B8C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5D678E8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70591541" w14:textId="77777777">
        <w:tc>
          <w:tcPr>
            <w:tcW w:w="1923" w:type="dxa"/>
            <w:vMerge/>
          </w:tcPr>
          <w:p w14:paraId="0C2F7FFB"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54D679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Hemoglobino koncentracijos kraujyje ir hematokrito sumažėjimas (žr. 4.4 skyrių)</w:t>
            </w:r>
          </w:p>
        </w:tc>
        <w:tc>
          <w:tcPr>
            <w:tcW w:w="1680" w:type="dxa"/>
          </w:tcPr>
          <w:p w14:paraId="558C20E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7BD6892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19E7BA6" w14:textId="77777777">
        <w:tc>
          <w:tcPr>
            <w:tcW w:w="1923" w:type="dxa"/>
            <w:vMerge/>
          </w:tcPr>
          <w:p w14:paraId="2491485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490F07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Gliukozės koncentracijos kraujyje padidėjimas</w:t>
            </w:r>
          </w:p>
        </w:tc>
        <w:tc>
          <w:tcPr>
            <w:tcW w:w="1680" w:type="dxa"/>
          </w:tcPr>
          <w:p w14:paraId="776614A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2232CAE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379C31D" w14:textId="77777777">
        <w:tc>
          <w:tcPr>
            <w:tcW w:w="1923" w:type="dxa"/>
            <w:vMerge/>
          </w:tcPr>
          <w:p w14:paraId="07FA5B9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A98398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Šlapimo rūgšties koncentracijos kraujyje padidėjimas</w:t>
            </w:r>
          </w:p>
        </w:tc>
        <w:tc>
          <w:tcPr>
            <w:tcW w:w="1680" w:type="dxa"/>
          </w:tcPr>
          <w:p w14:paraId="2CE38DB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0C07CA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04C3F191" w14:textId="77777777">
        <w:tc>
          <w:tcPr>
            <w:tcW w:w="1923" w:type="dxa"/>
            <w:vMerge/>
          </w:tcPr>
          <w:p w14:paraId="513F2A3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F4280E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Elektrokardiogramos QT intervalo pailgėjimas (žr. 4.4 ir 4.5 skyrius)</w:t>
            </w:r>
          </w:p>
        </w:tc>
        <w:tc>
          <w:tcPr>
            <w:tcW w:w="1680" w:type="dxa"/>
          </w:tcPr>
          <w:p w14:paraId="3557F55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0A6CA35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BBB8115" w14:textId="77777777">
        <w:tc>
          <w:tcPr>
            <w:tcW w:w="1923" w:type="dxa"/>
          </w:tcPr>
          <w:p w14:paraId="6C1705C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Sužalojimai, apsinuodijimai ir procedūrų komplikacijos</w:t>
            </w:r>
          </w:p>
        </w:tc>
        <w:tc>
          <w:tcPr>
            <w:tcW w:w="3940" w:type="dxa"/>
          </w:tcPr>
          <w:p w14:paraId="4A46067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Griuvimas</w:t>
            </w:r>
          </w:p>
        </w:tc>
        <w:tc>
          <w:tcPr>
            <w:tcW w:w="1680" w:type="dxa"/>
          </w:tcPr>
          <w:p w14:paraId="7B7345F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1050182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bl>
    <w:p w14:paraId="1353F892" w14:textId="77777777" w:rsidR="00C00DD1" w:rsidRDefault="00C260EB">
      <w:pPr>
        <w:widowControl w:val="0"/>
        <w:tabs>
          <w:tab w:val="clear" w:pos="567"/>
          <w:tab w:val="left" w:pos="0"/>
          <w:tab w:val="left" w:pos="284"/>
        </w:tabs>
        <w:spacing w:line="240" w:lineRule="auto"/>
        <w:rPr>
          <w:rFonts w:eastAsia="Calibri"/>
          <w:snapToGrid/>
          <w:szCs w:val="22"/>
          <w:lang w:val="lt-LT"/>
        </w:rPr>
      </w:pPr>
      <w:r>
        <w:rPr>
          <w:rFonts w:eastAsia="Calibri"/>
          <w:bCs/>
          <w:iCs/>
          <w:snapToGrid/>
          <w:szCs w:val="22"/>
          <w:vertAlign w:val="superscript"/>
          <w:lang w:val="lt-LT"/>
        </w:rPr>
        <w:t>*</w:t>
      </w:r>
      <w:r>
        <w:rPr>
          <w:rFonts w:eastAsia="Calibri"/>
          <w:snapToGrid/>
          <w:szCs w:val="22"/>
          <w:lang w:val="lt-LT"/>
        </w:rPr>
        <w:t xml:space="preserve"> </w:t>
      </w:r>
      <w:r>
        <w:rPr>
          <w:rFonts w:eastAsia="Calibri"/>
          <w:i/>
          <w:snapToGrid/>
          <w:szCs w:val="22"/>
          <w:lang w:val="lt-LT"/>
        </w:rPr>
        <w:t>Nepageidaujamų reiškinių, duomenys apie kuriuos gauti spontaniniais pranešimais, dažnis apskaičiuotas remiantis klinikinių tyrimų duomenimis</w:t>
      </w:r>
      <w:r>
        <w:rPr>
          <w:rFonts w:eastAsia="Calibri"/>
          <w:snapToGrid/>
          <w:szCs w:val="22"/>
          <w:lang w:val="lt-LT"/>
        </w:rPr>
        <w:t>.</w:t>
      </w:r>
    </w:p>
    <w:p w14:paraId="1773A8EC" w14:textId="77777777" w:rsidR="00C00DD1" w:rsidRDefault="00C00DD1">
      <w:pPr>
        <w:widowControl w:val="0"/>
        <w:tabs>
          <w:tab w:val="clear" w:pos="567"/>
        </w:tabs>
        <w:autoSpaceDE w:val="0"/>
        <w:autoSpaceDN w:val="0"/>
        <w:adjustRightInd w:val="0"/>
        <w:spacing w:line="240" w:lineRule="auto"/>
        <w:rPr>
          <w:snapToGrid/>
          <w:szCs w:val="22"/>
          <w:lang w:val="lt-LT"/>
        </w:rPr>
      </w:pPr>
    </w:p>
    <w:p w14:paraId="4B241BD5"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II ir III fazės tyrimų metu lyginant indapamido 1,5 mg ir 2,5 mg dozes, kalio koncentracijos kraujo plazmoje analizė parodė nuo dozės priklausomą indapamido poveikį:</w:t>
      </w:r>
    </w:p>
    <w:p w14:paraId="434C99C3" w14:textId="77777777" w:rsidR="00C00DD1" w:rsidRDefault="00C260EB">
      <w:pPr>
        <w:widowControl w:val="0"/>
        <w:numPr>
          <w:ilvl w:val="0"/>
          <w:numId w:val="21"/>
        </w:numPr>
        <w:tabs>
          <w:tab w:val="clear" w:pos="567"/>
        </w:tabs>
        <w:autoSpaceDE w:val="0"/>
        <w:autoSpaceDN w:val="0"/>
        <w:adjustRightInd w:val="0"/>
        <w:spacing w:line="240" w:lineRule="auto"/>
        <w:ind w:left="567" w:hanging="567"/>
        <w:rPr>
          <w:snapToGrid/>
          <w:szCs w:val="22"/>
          <w:lang w:val="lt-LT"/>
        </w:rPr>
      </w:pPr>
      <w:r>
        <w:rPr>
          <w:snapToGrid/>
          <w:szCs w:val="22"/>
          <w:lang w:val="lt-LT"/>
        </w:rPr>
        <w:t>Indapamidas 1,5 mg. Po 4–6 gydymo savaičių kalio koncentracija kraujo plazmoje &lt; 3,4 mmol/l) buvo 10 % pacientų, &lt; 3,2 mmol/l − 4 % pacientų. Po 12 gydymo savaičių kalio koncentracija kraujo plazmoje sumažėjo vidutiniškai 0,23 mmol/l.</w:t>
      </w:r>
    </w:p>
    <w:p w14:paraId="6CB3B071" w14:textId="77777777" w:rsidR="00C00DD1" w:rsidRDefault="00C260EB">
      <w:pPr>
        <w:widowControl w:val="0"/>
        <w:numPr>
          <w:ilvl w:val="0"/>
          <w:numId w:val="21"/>
        </w:numPr>
        <w:tabs>
          <w:tab w:val="clear" w:pos="567"/>
        </w:tabs>
        <w:autoSpaceDE w:val="0"/>
        <w:autoSpaceDN w:val="0"/>
        <w:adjustRightInd w:val="0"/>
        <w:spacing w:line="240" w:lineRule="auto"/>
        <w:ind w:left="567" w:hanging="567"/>
        <w:rPr>
          <w:snapToGrid/>
          <w:szCs w:val="22"/>
          <w:lang w:val="lt-LT"/>
        </w:rPr>
      </w:pPr>
      <w:r>
        <w:rPr>
          <w:snapToGrid/>
          <w:szCs w:val="22"/>
          <w:lang w:val="lt-LT"/>
        </w:rPr>
        <w:t>Indapamidas 2,5 mg. Po 4–6 gydymo savaičių kalio koncentracija kraujo plazmoje &lt; 3,4 mmol/l) buvo 25 % pacientų, &lt; 3,2 mmol/l − 10 % pacientų. Po 12 gydymo savaičių kalio koncentracija kraujo plazmoje sumažėjo vidutiniškai 0,41 mmol/l.</w:t>
      </w:r>
    </w:p>
    <w:p w14:paraId="4484E0C0" w14:textId="77777777" w:rsidR="00C00DD1" w:rsidRDefault="00C00DD1">
      <w:pPr>
        <w:widowControl w:val="0"/>
        <w:tabs>
          <w:tab w:val="clear" w:pos="567"/>
        </w:tabs>
        <w:autoSpaceDE w:val="0"/>
        <w:autoSpaceDN w:val="0"/>
        <w:adjustRightInd w:val="0"/>
        <w:spacing w:line="240" w:lineRule="auto"/>
        <w:rPr>
          <w:bCs/>
          <w:snapToGrid/>
          <w:szCs w:val="22"/>
          <w:lang w:val="lt-LT"/>
        </w:rPr>
      </w:pPr>
    </w:p>
    <w:p w14:paraId="38AF0FC6" w14:textId="77777777" w:rsidR="00C00DD1" w:rsidRDefault="00C260EB">
      <w:pPr>
        <w:widowControl w:val="0"/>
        <w:tabs>
          <w:tab w:val="clear" w:pos="567"/>
          <w:tab w:val="left" w:pos="540"/>
        </w:tabs>
        <w:spacing w:line="240" w:lineRule="auto"/>
        <w:rPr>
          <w:rFonts w:eastAsia="Calibri"/>
          <w:snapToGrid/>
          <w:szCs w:val="22"/>
          <w:u w:val="single"/>
          <w:lang w:val="lt-LT"/>
        </w:rPr>
      </w:pPr>
      <w:r>
        <w:rPr>
          <w:rFonts w:eastAsia="Calibri"/>
          <w:snapToGrid/>
          <w:szCs w:val="22"/>
          <w:u w:val="single"/>
          <w:lang w:val="lt-LT"/>
        </w:rPr>
        <w:t>Pranešimas apie įtariamas nepageidaujamas reakcijas</w:t>
      </w:r>
    </w:p>
    <w:p w14:paraId="2EFCF998"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specialisto pranešimo apie įtariamą nepageidaujamą reakciją formą, kuri skelbiama https://www.vvkt.lt/index.php?1399030386, ir atsiųsti elektroniniu paštu (adresu </w:t>
      </w:r>
      <w:hyperlink r:id="rId8" w:history="1">
        <w:r>
          <w:rPr>
            <w:rStyle w:val="Hipersaitas"/>
            <w:rFonts w:eastAsia="Calibri"/>
            <w:snapToGrid/>
            <w:szCs w:val="22"/>
            <w:lang w:val="lt-LT"/>
          </w:rPr>
          <w:t>NepageidaujamaR@vvkt.lt</w:t>
        </w:r>
      </w:hyperlink>
      <w:r>
        <w:rPr>
          <w:rFonts w:eastAsia="Calibri"/>
          <w:snapToGrid/>
          <w:szCs w:val="22"/>
          <w:lang w:val="lt-LT"/>
        </w:rPr>
        <w:t xml:space="preserve">). </w:t>
      </w:r>
    </w:p>
    <w:p w14:paraId="3A000DD1" w14:textId="77777777" w:rsidR="00C00DD1" w:rsidRDefault="00C00DD1">
      <w:pPr>
        <w:widowControl w:val="0"/>
        <w:tabs>
          <w:tab w:val="clear" w:pos="567"/>
        </w:tabs>
        <w:autoSpaceDE w:val="0"/>
        <w:autoSpaceDN w:val="0"/>
        <w:adjustRightInd w:val="0"/>
        <w:spacing w:line="240" w:lineRule="auto"/>
        <w:rPr>
          <w:bCs/>
          <w:snapToGrid/>
          <w:szCs w:val="22"/>
          <w:u w:val="single"/>
          <w:lang w:val="lt-LT"/>
        </w:rPr>
      </w:pPr>
    </w:p>
    <w:p w14:paraId="2F1EDD59"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4.9</w:t>
      </w:r>
      <w:r>
        <w:rPr>
          <w:b/>
          <w:snapToGrid/>
          <w:kern w:val="28"/>
          <w:szCs w:val="22"/>
          <w:lang w:val="lt-LT"/>
        </w:rPr>
        <w:tab/>
        <w:t>Perdozavimas</w:t>
      </w:r>
    </w:p>
    <w:p w14:paraId="4E1E71AD" w14:textId="77777777" w:rsidR="00C00DD1" w:rsidRDefault="00C00DD1">
      <w:pPr>
        <w:widowControl w:val="0"/>
        <w:tabs>
          <w:tab w:val="clear" w:pos="567"/>
        </w:tabs>
        <w:autoSpaceDE w:val="0"/>
        <w:autoSpaceDN w:val="0"/>
        <w:adjustRightInd w:val="0"/>
        <w:spacing w:line="240" w:lineRule="auto"/>
        <w:rPr>
          <w:bCs/>
          <w:snapToGrid/>
          <w:szCs w:val="22"/>
          <w:u w:val="single"/>
          <w:lang w:val="lt-LT"/>
        </w:rPr>
      </w:pPr>
    </w:p>
    <w:p w14:paraId="00FBEB98" w14:textId="77777777" w:rsidR="00C00DD1" w:rsidRDefault="00C260EB">
      <w:pPr>
        <w:widowControl w:val="0"/>
        <w:tabs>
          <w:tab w:val="clear" w:pos="567"/>
        </w:tabs>
        <w:autoSpaceDE w:val="0"/>
        <w:autoSpaceDN w:val="0"/>
        <w:adjustRightInd w:val="0"/>
        <w:spacing w:line="240" w:lineRule="auto"/>
        <w:rPr>
          <w:snapToGrid/>
          <w:szCs w:val="22"/>
          <w:u w:val="single"/>
          <w:lang w:val="lt-LT"/>
        </w:rPr>
      </w:pPr>
      <w:r>
        <w:rPr>
          <w:snapToGrid/>
          <w:szCs w:val="22"/>
          <w:u w:val="single"/>
          <w:lang w:val="lt-LT"/>
        </w:rPr>
        <w:lastRenderedPageBreak/>
        <w:t>Simptomai</w:t>
      </w:r>
    </w:p>
    <w:p w14:paraId="5B89CF5A"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Perdozavus labiausiai tikėtina nepageidaujama reakcija yra hipotenzija, kartais kartu gali pasireikšti pykinimas, vėmimas, raumenų mėšlungis, svaigulys, mieguistumas, sumišimas ir oligurija (dėl hipovolemijos ji gali progresuoti iki anurijos). Gali sutrikti elektrolitų ir skysčio pusiausvyra (pasireikšti hiponatremija ir hipokalemija).</w:t>
      </w:r>
    </w:p>
    <w:p w14:paraId="50E4A52F" w14:textId="77777777" w:rsidR="00C00DD1" w:rsidRDefault="00C00DD1">
      <w:pPr>
        <w:widowControl w:val="0"/>
        <w:tabs>
          <w:tab w:val="clear" w:pos="567"/>
        </w:tabs>
        <w:autoSpaceDE w:val="0"/>
        <w:autoSpaceDN w:val="0"/>
        <w:adjustRightInd w:val="0"/>
        <w:spacing w:line="240" w:lineRule="auto"/>
        <w:rPr>
          <w:snapToGrid/>
          <w:szCs w:val="22"/>
          <w:lang w:val="lt-LT"/>
        </w:rPr>
      </w:pPr>
    </w:p>
    <w:p w14:paraId="6EA1DA2E" w14:textId="77777777" w:rsidR="00C00DD1" w:rsidRDefault="00C260EB">
      <w:pPr>
        <w:widowControl w:val="0"/>
        <w:tabs>
          <w:tab w:val="clear" w:pos="567"/>
        </w:tabs>
        <w:autoSpaceDE w:val="0"/>
        <w:autoSpaceDN w:val="0"/>
        <w:adjustRightInd w:val="0"/>
        <w:spacing w:line="240" w:lineRule="auto"/>
        <w:rPr>
          <w:snapToGrid/>
          <w:szCs w:val="22"/>
          <w:u w:val="single"/>
          <w:lang w:val="lt-LT"/>
        </w:rPr>
      </w:pPr>
      <w:r>
        <w:rPr>
          <w:snapToGrid/>
          <w:szCs w:val="22"/>
          <w:u w:val="single"/>
          <w:lang w:val="lt-LT"/>
        </w:rPr>
        <w:t>Gydymas</w:t>
      </w:r>
    </w:p>
    <w:p w14:paraId="523C1C4F"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Pirmosios pagalbos priemonės yra skubus vaistinio (-ų) preparato (-ų) pašalinimas plaunant skrandį ir (arba) skiriant aktyvintąją anglį, po to reikia atstatyti normalią skysčių ir elektrolitų pusiausvyrą specializuotuose centruose.</w:t>
      </w:r>
    </w:p>
    <w:p w14:paraId="6716D771"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Jeigu atsiranda reikšminga hipotenzija, pacientą reikia paguldyti ant nugaros taip, kad galva būtų žemiau. Jeigu reikia, galima į veną infuzuoti fiziologinio tirpalo ar kitokiu būdu padidinti kraujo tūrį.</w:t>
      </w:r>
    </w:p>
    <w:p w14:paraId="7253F499"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Aktyvi perindoprilio forma perindoprilatas gali būti pašalintas dializės būdu (žr. 5.2 skyrių).</w:t>
      </w:r>
    </w:p>
    <w:p w14:paraId="19DB76AA" w14:textId="77777777" w:rsidR="00C00DD1" w:rsidRDefault="00C00DD1">
      <w:pPr>
        <w:widowControl w:val="0"/>
        <w:tabs>
          <w:tab w:val="clear" w:pos="567"/>
        </w:tabs>
        <w:spacing w:line="240" w:lineRule="auto"/>
        <w:ind w:left="567" w:hanging="567"/>
        <w:rPr>
          <w:snapToGrid/>
          <w:szCs w:val="22"/>
          <w:lang w:val="lt-LT"/>
        </w:rPr>
      </w:pPr>
    </w:p>
    <w:p w14:paraId="13640C96" w14:textId="77777777" w:rsidR="00C00DD1" w:rsidRDefault="00C00DD1">
      <w:pPr>
        <w:widowControl w:val="0"/>
        <w:tabs>
          <w:tab w:val="clear" w:pos="567"/>
        </w:tabs>
        <w:spacing w:line="240" w:lineRule="auto"/>
        <w:ind w:left="567" w:hanging="567"/>
        <w:rPr>
          <w:snapToGrid/>
          <w:szCs w:val="22"/>
          <w:lang w:val="lt-LT"/>
        </w:rPr>
      </w:pPr>
    </w:p>
    <w:p w14:paraId="00438C25" w14:textId="77777777" w:rsidR="00C00DD1" w:rsidRDefault="00C260EB">
      <w:pPr>
        <w:widowControl w:val="0"/>
        <w:spacing w:line="240" w:lineRule="auto"/>
        <w:ind w:left="567" w:hanging="567"/>
        <w:outlineLvl w:val="1"/>
        <w:rPr>
          <w:b/>
          <w:snapToGrid/>
          <w:szCs w:val="22"/>
          <w:lang w:val="lt-LT"/>
        </w:rPr>
      </w:pPr>
      <w:r>
        <w:rPr>
          <w:b/>
          <w:snapToGrid/>
          <w:szCs w:val="22"/>
          <w:lang w:val="lt-LT"/>
        </w:rPr>
        <w:t>5.</w:t>
      </w:r>
      <w:r>
        <w:rPr>
          <w:b/>
          <w:snapToGrid/>
          <w:szCs w:val="22"/>
          <w:lang w:val="lt-LT"/>
        </w:rPr>
        <w:tab/>
        <w:t>FARMAKOLOGINĖS SAVYBĖS</w:t>
      </w:r>
    </w:p>
    <w:p w14:paraId="3A641D04" w14:textId="77777777" w:rsidR="00C00DD1" w:rsidRDefault="00C00DD1">
      <w:pPr>
        <w:widowControl w:val="0"/>
        <w:tabs>
          <w:tab w:val="clear" w:pos="567"/>
        </w:tabs>
        <w:spacing w:line="240" w:lineRule="auto"/>
        <w:ind w:left="567" w:hanging="567"/>
        <w:rPr>
          <w:snapToGrid/>
          <w:szCs w:val="22"/>
          <w:lang w:val="lt-LT"/>
        </w:rPr>
      </w:pPr>
    </w:p>
    <w:p w14:paraId="2DB9F76D"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5.1</w:t>
      </w:r>
      <w:r>
        <w:rPr>
          <w:b/>
          <w:snapToGrid/>
          <w:kern w:val="28"/>
          <w:szCs w:val="22"/>
          <w:lang w:val="lt-LT"/>
        </w:rPr>
        <w:tab/>
        <w:t>Farmakodinaminės savybės</w:t>
      </w:r>
    </w:p>
    <w:p w14:paraId="5255D1B6" w14:textId="77777777" w:rsidR="00C00DD1" w:rsidRDefault="00C00DD1">
      <w:pPr>
        <w:widowControl w:val="0"/>
        <w:tabs>
          <w:tab w:val="clear" w:pos="567"/>
        </w:tabs>
        <w:spacing w:line="240" w:lineRule="auto"/>
        <w:ind w:left="567" w:hanging="567"/>
        <w:rPr>
          <w:snapToGrid/>
          <w:szCs w:val="22"/>
          <w:lang w:val="lt-LT"/>
        </w:rPr>
      </w:pPr>
    </w:p>
    <w:p w14:paraId="415B070A"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Farmakoterapinė grupė – renino-angiotenzino sistemą veikiantys vaistiniai preparatai, AKF inhibitoriai ir diuretikai, ATC kodas − C09BA04.</w:t>
      </w:r>
    </w:p>
    <w:p w14:paraId="5C29CEE4" w14:textId="77777777" w:rsidR="00C00DD1" w:rsidRDefault="00C00DD1">
      <w:pPr>
        <w:widowControl w:val="0"/>
        <w:tabs>
          <w:tab w:val="clear" w:pos="567"/>
        </w:tabs>
        <w:spacing w:line="240" w:lineRule="auto"/>
        <w:rPr>
          <w:snapToGrid/>
          <w:szCs w:val="22"/>
          <w:lang w:val="lt-LT" w:eastAsia="sl-SI"/>
        </w:rPr>
      </w:pPr>
    </w:p>
    <w:p w14:paraId="4AF2ECE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yra kombinuotasis vaistinis preparatas, kurio sudėtyje yra angiotenziną konvertuojančio fermento inhibitoriaus perindoprilio arginino ir diuretiko chlorosulfamoilo darinio indapamido. Farmakologinį poveikį lemia kiekviena veiklioji medžiaga bei jų derinio sukeliamas adityvus sinergetinis poveikis.</w:t>
      </w:r>
    </w:p>
    <w:p w14:paraId="6476245D" w14:textId="77777777" w:rsidR="00C00DD1" w:rsidRDefault="00C00DD1">
      <w:pPr>
        <w:widowControl w:val="0"/>
        <w:tabs>
          <w:tab w:val="clear" w:pos="567"/>
        </w:tabs>
        <w:spacing w:line="240" w:lineRule="auto"/>
        <w:rPr>
          <w:snapToGrid/>
          <w:szCs w:val="22"/>
          <w:lang w:val="lt-LT" w:eastAsia="sl-SI"/>
        </w:rPr>
      </w:pPr>
    </w:p>
    <w:p w14:paraId="235DFF92"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Veikimo mechanizmas</w:t>
      </w:r>
    </w:p>
    <w:p w14:paraId="68223A36" w14:textId="77777777" w:rsidR="00C00DD1" w:rsidRDefault="00C00DD1">
      <w:pPr>
        <w:widowControl w:val="0"/>
        <w:tabs>
          <w:tab w:val="clear" w:pos="567"/>
        </w:tabs>
        <w:spacing w:line="240" w:lineRule="auto"/>
        <w:rPr>
          <w:i/>
          <w:snapToGrid/>
          <w:szCs w:val="22"/>
          <w:u w:val="single"/>
          <w:lang w:val="lt-LT" w:eastAsia="sl-SI"/>
        </w:rPr>
      </w:pPr>
    </w:p>
    <w:p w14:paraId="04200FF9"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 arginine/indapamide Krka:</w:t>
      </w:r>
    </w:p>
    <w:p w14:paraId="5D117B9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Vartojant Perindopril arginine/indapamide Krka, veikliųjų medžiagų antihipertenzinis poveikis būna adityvus sinergetinis.</w:t>
      </w:r>
    </w:p>
    <w:p w14:paraId="02BEB87B" w14:textId="77777777" w:rsidR="00C00DD1" w:rsidRDefault="00C00DD1">
      <w:pPr>
        <w:widowControl w:val="0"/>
        <w:tabs>
          <w:tab w:val="clear" w:pos="567"/>
        </w:tabs>
        <w:spacing w:line="240" w:lineRule="auto"/>
        <w:rPr>
          <w:i/>
          <w:snapToGrid/>
          <w:szCs w:val="22"/>
          <w:lang w:val="lt-LT" w:eastAsia="sl-SI"/>
        </w:rPr>
      </w:pPr>
    </w:p>
    <w:p w14:paraId="69B806BF"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perindopriliu:</w:t>
      </w:r>
    </w:p>
    <w:p w14:paraId="53E7B2D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yra angiotenziną konvertuojančio fermento (AKF), kuris angiotenziną I paverčia kraujagysles sutraukiančia medžiaga angiotenzinu II, inhibitorius. Be to, šis fermentas skatina aldosterono išsiskyrimą iš antinksčių žievės ir kraujagysles plečiančios medžiagos bradikinino skilimą į neveiklius heptapeptidus.</w:t>
      </w:r>
    </w:p>
    <w:p w14:paraId="7AC4D0B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Dėl tokio poveikio:</w:t>
      </w:r>
    </w:p>
    <w:p w14:paraId="6B8740C3" w14:textId="77777777" w:rsidR="00C00DD1" w:rsidRDefault="00C260EB">
      <w:pPr>
        <w:widowControl w:val="0"/>
        <w:numPr>
          <w:ilvl w:val="0"/>
          <w:numId w:val="23"/>
        </w:numPr>
        <w:autoSpaceDE w:val="0"/>
        <w:autoSpaceDN w:val="0"/>
        <w:spacing w:line="240" w:lineRule="auto"/>
        <w:rPr>
          <w:snapToGrid/>
          <w:szCs w:val="22"/>
          <w:lang w:val="lt-LT" w:eastAsia="sl-SI"/>
        </w:rPr>
      </w:pPr>
      <w:r>
        <w:rPr>
          <w:snapToGrid/>
          <w:szCs w:val="22"/>
          <w:lang w:val="lt-LT" w:eastAsia="sl-SI"/>
        </w:rPr>
        <w:t>sumažėja aldosterono sekrecija;</w:t>
      </w:r>
    </w:p>
    <w:p w14:paraId="3ECC5BAC" w14:textId="77777777" w:rsidR="00C00DD1" w:rsidRDefault="00C260EB">
      <w:pPr>
        <w:widowControl w:val="0"/>
        <w:numPr>
          <w:ilvl w:val="0"/>
          <w:numId w:val="23"/>
        </w:numPr>
        <w:autoSpaceDE w:val="0"/>
        <w:autoSpaceDN w:val="0"/>
        <w:spacing w:line="240" w:lineRule="auto"/>
        <w:rPr>
          <w:snapToGrid/>
          <w:szCs w:val="22"/>
          <w:lang w:val="lt-LT" w:eastAsia="sl-SI"/>
        </w:rPr>
      </w:pPr>
      <w:r>
        <w:rPr>
          <w:snapToGrid/>
          <w:szCs w:val="22"/>
          <w:lang w:val="lt-LT" w:eastAsia="sl-SI"/>
        </w:rPr>
        <w:t>padidėja renino aktyvumas kraujo plazmoje, nes slopinamas neigiamas aldosterono grįžtamasis ryšys;</w:t>
      </w:r>
    </w:p>
    <w:p w14:paraId="40E59F70" w14:textId="77777777" w:rsidR="00C00DD1" w:rsidRDefault="00C260EB">
      <w:pPr>
        <w:widowControl w:val="0"/>
        <w:numPr>
          <w:ilvl w:val="0"/>
          <w:numId w:val="23"/>
        </w:numPr>
        <w:autoSpaceDE w:val="0"/>
        <w:autoSpaceDN w:val="0"/>
        <w:spacing w:line="240" w:lineRule="auto"/>
        <w:rPr>
          <w:snapToGrid/>
          <w:szCs w:val="22"/>
          <w:lang w:val="lt-LT" w:eastAsia="sl-SI"/>
        </w:rPr>
      </w:pPr>
      <w:r>
        <w:rPr>
          <w:snapToGrid/>
          <w:szCs w:val="22"/>
          <w:lang w:val="lt-LT" w:eastAsia="sl-SI"/>
        </w:rPr>
        <w:t>vaistinį preparatą vartojant nuolat, mažėja bendras periferinis kraujagyslių pasipriešinimas (stipriausias poveikis pasireiškia raumenų ir inkstų kraujagyslėms), tačiau druskų ir vandens organizme nesikaupia, refleksinės tachikardijos neatsiranda.</w:t>
      </w:r>
    </w:p>
    <w:p w14:paraId="4422703E" w14:textId="77777777" w:rsidR="00C00DD1" w:rsidRDefault="00C00DD1">
      <w:pPr>
        <w:widowControl w:val="0"/>
        <w:tabs>
          <w:tab w:val="clear" w:pos="567"/>
        </w:tabs>
        <w:spacing w:line="240" w:lineRule="auto"/>
        <w:rPr>
          <w:snapToGrid/>
          <w:szCs w:val="22"/>
          <w:lang w:val="lt-LT" w:eastAsia="sl-SI"/>
        </w:rPr>
      </w:pPr>
    </w:p>
    <w:p w14:paraId="7838CB3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Antihipertenzinis perindoprilio poveikis pasireiškia ir pacientams, kurių organizme renino koncentracija maža ar normali.</w:t>
      </w:r>
    </w:p>
    <w:p w14:paraId="35D9153C" w14:textId="77777777" w:rsidR="00C00DD1" w:rsidRDefault="00C00DD1">
      <w:pPr>
        <w:widowControl w:val="0"/>
        <w:tabs>
          <w:tab w:val="clear" w:pos="567"/>
        </w:tabs>
        <w:spacing w:line="240" w:lineRule="auto"/>
        <w:rPr>
          <w:snapToGrid/>
          <w:szCs w:val="22"/>
          <w:lang w:val="lt-LT" w:eastAsia="sl-SI"/>
        </w:rPr>
      </w:pPr>
    </w:p>
    <w:p w14:paraId="64107C3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veikia per veiklųjį metabolitą perindoprilatą. Kiti metabolitai yra neaktyvūs.</w:t>
      </w:r>
    </w:p>
    <w:p w14:paraId="677AD0A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lengvina širdies darbą, nes:</w:t>
      </w:r>
    </w:p>
    <w:p w14:paraId="6DA4769B"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išplėsdamas venas (galbūt dėl prostaglandinų metabolizmo pokyčio), mažina širdies prieškrūvį;</w:t>
      </w:r>
    </w:p>
    <w:p w14:paraId="5966F884"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silpnindamas bendrą periferinį pasipriešinimą, mažina širdies pokrūvį.</w:t>
      </w:r>
    </w:p>
    <w:p w14:paraId="5E58C27B" w14:textId="77777777" w:rsidR="00C00DD1" w:rsidRDefault="00C00DD1">
      <w:pPr>
        <w:widowControl w:val="0"/>
        <w:tabs>
          <w:tab w:val="clear" w:pos="567"/>
        </w:tabs>
        <w:spacing w:line="240" w:lineRule="auto"/>
        <w:rPr>
          <w:snapToGrid/>
          <w:szCs w:val="22"/>
          <w:lang w:val="lt-LT" w:eastAsia="sl-SI"/>
        </w:rPr>
      </w:pPr>
    </w:p>
    <w:p w14:paraId="0E29E36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Toliau išvardytas tyrimų su širdies nepakankamumu sergančiais pacientais metu nustatytas poveikis.</w:t>
      </w:r>
    </w:p>
    <w:p w14:paraId="78064793"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Mažėja kairiojo bei dešiniojo skilvelio prisipildymo spaudimas.</w:t>
      </w:r>
    </w:p>
    <w:p w14:paraId="23F4CC17"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Mažėja bendras periferinių kraujagyslių pasipriešinimas.</w:t>
      </w:r>
    </w:p>
    <w:p w14:paraId="0146413C"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lastRenderedPageBreak/>
        <w:t>Didėja minutinis širdies tūris bei gerėja širdies indeksas.</w:t>
      </w:r>
    </w:p>
    <w:p w14:paraId="7F415B15"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Gerėja sritinė raumenų kraujotaka. Be to, pagerėja ir fizinio krūvio testo rezultatai.</w:t>
      </w:r>
    </w:p>
    <w:p w14:paraId="09502EFE" w14:textId="77777777" w:rsidR="00C00DD1" w:rsidRDefault="00C00DD1">
      <w:pPr>
        <w:widowControl w:val="0"/>
        <w:tabs>
          <w:tab w:val="clear" w:pos="567"/>
        </w:tabs>
        <w:spacing w:line="240" w:lineRule="auto"/>
        <w:rPr>
          <w:snapToGrid/>
          <w:szCs w:val="22"/>
          <w:lang w:val="lt-LT" w:eastAsia="sl-SI"/>
        </w:rPr>
      </w:pPr>
    </w:p>
    <w:p w14:paraId="642776C0"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indapamidu:</w:t>
      </w:r>
    </w:p>
    <w:p w14:paraId="5903919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Indapamidas yra sulfonamidų darinys, kuriame yra indolo žiedas. Farmakologinis jo poveikis panašus į tiazidinių diuretikų. Indapamidas slopina natrio reabsorbciją Henlės kilpos kylančioje dalyje. Indapamidas didina natrio ir chlorido (kiek mažiau − kalio bei magnio) išskyrimą su šlapimu, todėl išsiskiria daugiau šlapimo ir pasireiškia antihipertenzinis poveikis.</w:t>
      </w:r>
    </w:p>
    <w:p w14:paraId="78F558FF" w14:textId="77777777" w:rsidR="00C00DD1" w:rsidRDefault="00C00DD1">
      <w:pPr>
        <w:widowControl w:val="0"/>
        <w:tabs>
          <w:tab w:val="clear" w:pos="567"/>
        </w:tabs>
        <w:spacing w:line="240" w:lineRule="auto"/>
        <w:rPr>
          <w:snapToGrid/>
          <w:szCs w:val="22"/>
          <w:lang w:val="lt-LT" w:eastAsia="sl-SI"/>
        </w:rPr>
      </w:pPr>
    </w:p>
    <w:p w14:paraId="7764143D"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Farmakodinaminis poveikis</w:t>
      </w:r>
    </w:p>
    <w:p w14:paraId="55694DB0" w14:textId="77777777" w:rsidR="00C00DD1" w:rsidRDefault="00C00DD1">
      <w:pPr>
        <w:widowControl w:val="0"/>
        <w:tabs>
          <w:tab w:val="clear" w:pos="567"/>
        </w:tabs>
        <w:spacing w:line="240" w:lineRule="auto"/>
        <w:rPr>
          <w:i/>
          <w:snapToGrid/>
          <w:szCs w:val="22"/>
          <w:u w:val="single"/>
          <w:lang w:val="lt-LT" w:eastAsia="sl-SI"/>
        </w:rPr>
      </w:pPr>
    </w:p>
    <w:p w14:paraId="43D63792"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 arginine/indapamide Krka:</w:t>
      </w:r>
    </w:p>
    <w:p w14:paraId="0C1EC5B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hipertenzija sergantiems pacientams mažina ir sistolinį, ir diastolinį arterinį kraujospūdį. Poveikis nepriklauso nuo amžiaus, bet priklauso nuo dozės dydžio ir pasireiškia tiek gulint, tiek stovint.</w:t>
      </w:r>
    </w:p>
    <w:p w14:paraId="1392CF2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Antihipertenzinis poveikis trunka 24 valandas. Kraujospūdžio kontrolė pasireiškia greičiau nei per mėnesį, tachifilaksijos nebūna. Gydymą nutraukus, atoveiksmio hipertenzijos nebūna. Klinikinių tyrimų metu nustatyta, kad kartu vartojamų perindoprilio ir indapamido poveikis būna sinergetinis, palyginti su atskirai vartojamų veikliųjų medžiagų poveikiu.</w:t>
      </w:r>
    </w:p>
    <w:p w14:paraId="0220BE78" w14:textId="77777777" w:rsidR="00C00DD1" w:rsidRDefault="00C00DD1">
      <w:pPr>
        <w:widowControl w:val="0"/>
        <w:tabs>
          <w:tab w:val="clear" w:pos="567"/>
        </w:tabs>
        <w:spacing w:line="240" w:lineRule="auto"/>
        <w:jc w:val="both"/>
        <w:rPr>
          <w:snapToGrid/>
          <w:szCs w:val="22"/>
          <w:lang w:val="lt-LT" w:eastAsia="sl-SI"/>
        </w:rPr>
      </w:pPr>
    </w:p>
    <w:p w14:paraId="3D37ABC7" w14:textId="77777777" w:rsidR="00C00DD1" w:rsidRDefault="00C260EB">
      <w:pPr>
        <w:widowControl w:val="0"/>
        <w:tabs>
          <w:tab w:val="clear" w:pos="567"/>
          <w:tab w:val="left" w:pos="-142"/>
          <w:tab w:val="left" w:pos="284"/>
          <w:tab w:val="left" w:pos="709"/>
        </w:tabs>
        <w:spacing w:line="240" w:lineRule="auto"/>
        <w:rPr>
          <w:snapToGrid/>
          <w:szCs w:val="22"/>
          <w:lang w:val="lt-LT" w:eastAsia="sl-SI"/>
        </w:rPr>
      </w:pPr>
      <w:r>
        <w:rPr>
          <w:snapToGrid/>
          <w:szCs w:val="22"/>
          <w:lang w:val="lt-LT" w:eastAsia="sl-SI"/>
        </w:rPr>
        <w:t>Daugiacentrio atsitiktinių imčių dvigubai koduoto tyrimo su aktyvia kontroline grupe (PICXEL) metu lygintas perindoprilio ir indapamido derinio bei vien enalaprilio poveikis echokardiografiniams kairiojo skilvelio hipertrofijos (KSH) rodmenims.</w:t>
      </w:r>
    </w:p>
    <w:p w14:paraId="1BC5D54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PICXEL tyrimo metu hipertenzija sirgę pacientai, kuriems buvo KSH (kairiojo skilvelio masės indeksas (KSMI) didesnis kaip 120 g/m</w:t>
      </w:r>
      <w:r>
        <w:rPr>
          <w:snapToGrid/>
          <w:szCs w:val="22"/>
          <w:vertAlign w:val="superscript"/>
          <w:lang w:val="lt-LT" w:eastAsia="sl-SI"/>
        </w:rPr>
        <w:t>2</w:t>
      </w:r>
      <w:r>
        <w:rPr>
          <w:snapToGrid/>
          <w:szCs w:val="22"/>
          <w:lang w:val="lt-LT" w:eastAsia="sl-SI"/>
        </w:rPr>
        <w:t xml:space="preserve"> vyrams ir didesnis kaip 100 g/m</w:t>
      </w:r>
      <w:r>
        <w:rPr>
          <w:snapToGrid/>
          <w:szCs w:val="22"/>
          <w:vertAlign w:val="superscript"/>
          <w:lang w:val="lt-LT" w:eastAsia="sl-SI"/>
        </w:rPr>
        <w:t>2</w:t>
      </w:r>
      <w:r>
        <w:rPr>
          <w:snapToGrid/>
          <w:szCs w:val="22"/>
          <w:lang w:val="lt-LT" w:eastAsia="sl-SI"/>
        </w:rPr>
        <w:t xml:space="preserve"> moterims), buvo suskirstyti į atsitiktines imtis ir vienerius metus kartą per parą vartojo 2 mg perindoprilio tert-butilamino (tai atitinka 2,5 mg perindoprilio arginino) ir 0,625 mg indapamido arba 10 mg enalaprilio. Dozė buvo koreguojama atsižvelgiant į kraujospūdžio kontrolę (didžiausia kartą per parą vartojamo perindoprilio tert-butilamino dozė buvo 8 mg</w:t>
      </w:r>
      <w:r>
        <w:rPr>
          <w:lang w:val="lt-LT"/>
        </w:rPr>
        <w:t xml:space="preserve"> </w:t>
      </w:r>
      <w:r>
        <w:rPr>
          <w:snapToGrid/>
          <w:szCs w:val="22"/>
          <w:lang w:val="lt-LT" w:eastAsia="sl-SI"/>
        </w:rPr>
        <w:t>(tai atitinka 10 mg perindoprilio arginino), indapamido − 2,5 mg, enalaprilio – 40 mg). Tik 34 % pacientų tyrimo pabaigoje vis dar vartojo 2 mg perindoprilio tert-butilamino (tai atitinka 2,5 mg perindoprilio arginino) ir 0,625 mg indapamido (10 mg enalaprilio dozę vartojo 20 % pacientų).</w:t>
      </w:r>
    </w:p>
    <w:p w14:paraId="0F92CE9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Gydymo pabaigoje KSMI reikšmingai labiau sumažėjo perindoprilio ir indapamido vartojusiems pacientams (–10,1 g/m²) nei enalaprilio vartojusiems pacientams (–1,1 g/m²) visoje į atsitiktines imtis suskirstytų pacientų populiacijoje. KSMI pokyčio skirtumas tarp grupių buvo –8,3 (95 % PI (-11,5;-5,0), p &lt; 0,0001). Geresnis poveikis KSMI pasireiškė vartojant didesnes perindoprilio ir indapamido dozes, nei yra patvirtintos Perindopril arginine/indapamide Krka </w:t>
      </w:r>
      <w:r>
        <w:rPr>
          <w:rFonts w:eastAsia="Calibri"/>
          <w:snapToGrid/>
          <w:szCs w:val="22"/>
          <w:lang w:val="lt-LT"/>
        </w:rPr>
        <w:t>5 mg/1,25 mg tabletėms</w:t>
      </w:r>
      <w:r>
        <w:rPr>
          <w:snapToGrid/>
          <w:szCs w:val="22"/>
          <w:lang w:val="lt-LT" w:eastAsia="sl-SI"/>
        </w:rPr>
        <w:t>.</w:t>
      </w:r>
    </w:p>
    <w:p w14:paraId="0E0B741C" w14:textId="77777777" w:rsidR="00C00DD1" w:rsidRDefault="00C00DD1">
      <w:pPr>
        <w:widowControl w:val="0"/>
        <w:tabs>
          <w:tab w:val="clear" w:pos="567"/>
        </w:tabs>
        <w:spacing w:line="240" w:lineRule="auto"/>
        <w:rPr>
          <w:snapToGrid/>
          <w:szCs w:val="22"/>
          <w:lang w:val="lt-LT" w:eastAsia="sl-SI"/>
        </w:rPr>
      </w:pPr>
    </w:p>
    <w:p w14:paraId="68720B1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Sistolinio kraujospūdžio skirtumo vidurkis (vertinant rodmenų skirtumą tarp grupių atsitiktinių imčių populiacijoje) buvo –5,8 mmHg (95 % PI (–7,9; –3,7), p  &lt; 0,0001), diastolinio kraujospūdžio skirtumo vidurkis buvo –2,3 mmHg (95 % PI (–3,6; –0,9), p = 0,0004) perindoprilio ir indapamido vartojusių pacientų grupės naudai.</w:t>
      </w:r>
    </w:p>
    <w:p w14:paraId="7A1F9484" w14:textId="77777777" w:rsidR="00C00DD1" w:rsidRDefault="00C00DD1">
      <w:pPr>
        <w:widowControl w:val="0"/>
        <w:tabs>
          <w:tab w:val="clear" w:pos="567"/>
        </w:tabs>
        <w:spacing w:line="240" w:lineRule="auto"/>
        <w:rPr>
          <w:snapToGrid/>
          <w:szCs w:val="22"/>
          <w:lang w:val="lt-LT" w:eastAsia="sl-SI"/>
        </w:rPr>
      </w:pPr>
    </w:p>
    <w:p w14:paraId="28918A22"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perindopriliu:</w:t>
      </w:r>
    </w:p>
    <w:p w14:paraId="726D0FB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yra veiksmingas gydant įvairaus sunkumo (lengvą, vidutinio sunkumo bei sunkią) hipertenziją. Sistolinis ir diastolinis kraujospūdis mažėja ir gulint, ir stovint.</w:t>
      </w:r>
    </w:p>
    <w:p w14:paraId="5CFFF53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Stipriausias antihipertenzinis vienkartinės dozės poveikis pasireiškia po preparato pavartojimo praėjus 4–6 valandoms, poveikis trunka 24 valandas.</w:t>
      </w:r>
    </w:p>
    <w:p w14:paraId="626FC30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Net ir po 24 valandų liekamasis AKF slopinimas būna maždaug 80 % maksimalaus poveikio.</w:t>
      </w:r>
    </w:p>
    <w:p w14:paraId="749ADC2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kurie į gydymą reaguoja, kraujospūdis tampa normalus po vieno mėnesio ir toks išlieka, tachifilaksijos nebūna.</w:t>
      </w:r>
    </w:p>
    <w:p w14:paraId="73FBDB5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Nutraukus perindoprilio vartojimą, atoveiksmio hipertenzijos nebūna.</w:t>
      </w:r>
    </w:p>
    <w:p w14:paraId="201A947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plečia kraujagysles, atkuria pagrindinių arterijų elastingumą, koreguoja histologinius ir morfologinius rezistentinių arterijų pokyčius bei mažina kairiojo skilvelio hipertrofiją.</w:t>
      </w:r>
    </w:p>
    <w:p w14:paraId="36BE567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Kartu su perindopriliu vartojant tiazidinį diuretiką, poveikis būna sinergetinis.</w:t>
      </w:r>
    </w:p>
    <w:p w14:paraId="3F073C9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angiotenziną konvertuojančio fermento inhibitoriaus vartojama kartu su tiazidiniu diuretiku, mažėja vien diuretiko vartojant pasireiškiančios hipokalemijos rizika.</w:t>
      </w:r>
    </w:p>
    <w:p w14:paraId="13AD2DC7" w14:textId="77777777" w:rsidR="00C00DD1" w:rsidRDefault="00C00DD1">
      <w:pPr>
        <w:widowControl w:val="0"/>
        <w:tabs>
          <w:tab w:val="clear" w:pos="567"/>
        </w:tabs>
        <w:spacing w:line="240" w:lineRule="auto"/>
        <w:rPr>
          <w:snapToGrid/>
          <w:szCs w:val="22"/>
          <w:lang w:val="lt-LT" w:eastAsia="sl-SI"/>
        </w:rPr>
      </w:pPr>
    </w:p>
    <w:p w14:paraId="75C1DD7E"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Dvigubos renino, angiotenzino, aldosterono sistemos (RAAS) blokados klinikinių tyrimų duomenys</w:t>
      </w:r>
    </w:p>
    <w:p w14:paraId="295B1F7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Dviem dideliais atsitiktinės atrankos, kontroliuojamais tyrimais (ONTARGET (angl. „</w:t>
      </w:r>
      <w:r>
        <w:rPr>
          <w:i/>
          <w:snapToGrid/>
          <w:szCs w:val="22"/>
          <w:lang w:val="lt-LT" w:eastAsia="sl-SI"/>
        </w:rPr>
        <w:t>ONgoing Telmisartan Alone and in combination with Ramipril Global Endpoint Trial</w:t>
      </w:r>
      <w:r>
        <w:rPr>
          <w:snapToGrid/>
          <w:szCs w:val="22"/>
          <w:lang w:val="lt-LT" w:eastAsia="sl-SI"/>
        </w:rPr>
        <w:t>“) ir VA NEPHRON-D (angl. „</w:t>
      </w:r>
      <w:r>
        <w:rPr>
          <w:i/>
          <w:snapToGrid/>
          <w:szCs w:val="22"/>
          <w:lang w:val="lt-LT" w:eastAsia="sl-SI"/>
        </w:rPr>
        <w:t>The Veterans Affairs Nephropathy in Diabetes</w:t>
      </w:r>
      <w:r>
        <w:rPr>
          <w:snapToGrid/>
          <w:szCs w:val="22"/>
          <w:lang w:val="lt-LT" w:eastAsia="sl-SI"/>
        </w:rPr>
        <w:t>“)) buvo ištirtas AKF inhibitoriaus ir angiotenzino II receptorių blokatoriaus derinio vartojimas.</w:t>
      </w:r>
    </w:p>
    <w:p w14:paraId="27D1DE7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nefropatija.</w:t>
      </w:r>
    </w:p>
    <w:p w14:paraId="395109D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Šie tyrimai neparodė reikšmingo teigiamo poveikio inkstų ir (arba) širdies ir kraujagyslių ligų baigtims ir mirštamumui, bet, palyginti su monoterapija, buvo pastebėta didesnė hiperkalemijos, ūminio inkstų pažeidimo ir (arba) hipotenzijos rizika. Atsižvelgiant į panašias farmakodinamines savybes, šie rezultatai taip pat galioja kitiems AKF inhibitoriams ir angiotenzino II receptorių blokatoriams.</w:t>
      </w:r>
    </w:p>
    <w:p w14:paraId="74F48D2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Todėl pacientams, sergantiems diabetine nefropatija, negalima kartu vartoti AKF inhibitorių ir angiotenzino II receptorių blokatorių.</w:t>
      </w:r>
    </w:p>
    <w:p w14:paraId="64D7BC2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ALTITUDE (angl. „</w:t>
      </w:r>
      <w:r>
        <w:rPr>
          <w:i/>
          <w:snapToGrid/>
          <w:szCs w:val="22"/>
          <w:lang w:val="lt-LT" w:eastAsia="sl-SI"/>
        </w:rPr>
        <w:t>Aliskiren Trial in Type 2 Diabetes Using Cardiovascular and Renal Disease Endpoints</w:t>
      </w:r>
      <w:r>
        <w:rPr>
          <w:snapToGrid/>
          <w:szCs w:val="22"/>
          <w:lang w:val="lt-LT" w:eastAsia="sl-SI"/>
        </w:rPr>
        <w:t>“) tyrimu buvo siekiama ištirti, ar būtų naudingas aliskireno įtraukimas į standartinį pacientų, sergančių 2 tipo cukriniu diabetu ir lėtine inkstų liga, širdies ir kraujagyslių liga arba abiem ligomis, gydymą AKF inhibitoriumi arba angiotenzino II receptorių blokatoriumi. Tyrimas buvo nutrauktas pirma laiko, nes padidėjo nepageidaujamų baigčių rizika. Mirčių nuo širdies ir kraujagyslių ligų ir insulto atvejų skaičius aliskireno grupėje buvo didesnis nei placebo grupėje, o nepageidaujami reiškiniai ir sunkūs nepageidaujami reiškiniai (hiperkalemija, hipotenzija ir inkstų funkcijos sutrikimai) aliskireno grupėje taip pat pasireiškė dažniau nei placebo grupėje.</w:t>
      </w:r>
    </w:p>
    <w:p w14:paraId="435AEE61" w14:textId="77777777" w:rsidR="00C00DD1" w:rsidRDefault="00C00DD1">
      <w:pPr>
        <w:widowControl w:val="0"/>
        <w:tabs>
          <w:tab w:val="clear" w:pos="567"/>
        </w:tabs>
        <w:spacing w:line="240" w:lineRule="auto"/>
        <w:rPr>
          <w:snapToGrid/>
          <w:szCs w:val="22"/>
          <w:lang w:val="lt-LT" w:eastAsia="sl-SI"/>
        </w:rPr>
      </w:pPr>
    </w:p>
    <w:p w14:paraId="1277C586"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indapamidu:</w:t>
      </w:r>
    </w:p>
    <w:p w14:paraId="17E167B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vartojama tik indapamido, antihipertenzinis poveikis trunka 24 valandas. Kraujospūdį mažinanti dozė diurezę didina tik šiek tiek.</w:t>
      </w:r>
    </w:p>
    <w:p w14:paraId="3D53CC1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Antihipertenzinis indapamido poveikis yra proporcingas arterijų sienelių elastingumo pagerėjimui bei bendro ir arteriolių periferinio kraujagyslių pasipriešinimo sumažėjimui.</w:t>
      </w:r>
    </w:p>
    <w:p w14:paraId="52CA541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Indapamidas mažina kairiojo širdies skilvelio hipertrofiją.</w:t>
      </w:r>
    </w:p>
    <w:p w14:paraId="370800B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Didinant tiazidinių arba panašaus poveikio diuretikų dozę daugiau, nei rekomenduojama, antihipertenzinis poveikis nekinta, o nepageidaujamas poveikis toliau stiprėja, todėl, jeigu gydymas neveiksmingas, šių vaistinių preparatų dozę didinti draudžiama.</w:t>
      </w:r>
    </w:p>
    <w:p w14:paraId="491065F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Be to, vertinant trumpalaikį, vidutinės trukmės arba ilgalaikį indapamido poveikį hipertenzija sergantiems pacientams, nustatyta, kad:</w:t>
      </w:r>
    </w:p>
    <w:p w14:paraId="152392E3" w14:textId="77777777" w:rsidR="00C00DD1" w:rsidRDefault="00C260EB">
      <w:pPr>
        <w:widowControl w:val="0"/>
        <w:numPr>
          <w:ilvl w:val="0"/>
          <w:numId w:val="25"/>
        </w:numPr>
        <w:autoSpaceDE w:val="0"/>
        <w:autoSpaceDN w:val="0"/>
        <w:spacing w:line="240" w:lineRule="auto"/>
        <w:rPr>
          <w:snapToGrid/>
          <w:szCs w:val="22"/>
          <w:lang w:val="lt-LT" w:eastAsia="sl-SI"/>
        </w:rPr>
      </w:pPr>
      <w:r>
        <w:rPr>
          <w:snapToGrid/>
          <w:szCs w:val="22"/>
          <w:lang w:val="lt-LT" w:eastAsia="sl-SI"/>
        </w:rPr>
        <w:t>nebūna poveikio riebalų (trigliceridų, MTL bei DTL cholesterolio) metabolizmui;</w:t>
      </w:r>
    </w:p>
    <w:p w14:paraId="10C6DB1F" w14:textId="77777777" w:rsidR="00C00DD1" w:rsidRDefault="00C260EB">
      <w:pPr>
        <w:widowControl w:val="0"/>
        <w:numPr>
          <w:ilvl w:val="0"/>
          <w:numId w:val="25"/>
        </w:numPr>
        <w:autoSpaceDE w:val="0"/>
        <w:autoSpaceDN w:val="0"/>
        <w:spacing w:line="240" w:lineRule="auto"/>
        <w:rPr>
          <w:snapToGrid/>
          <w:szCs w:val="22"/>
          <w:lang w:val="lt-LT" w:eastAsia="sl-SI"/>
        </w:rPr>
      </w:pPr>
      <w:r>
        <w:rPr>
          <w:snapToGrid/>
          <w:szCs w:val="22"/>
          <w:lang w:val="lt-LT" w:eastAsia="sl-SI"/>
        </w:rPr>
        <w:t>nebūna poveikio angliavandenių metabolizmui (net hipertenzija sergantiems diabetikams).</w:t>
      </w:r>
    </w:p>
    <w:p w14:paraId="37D0E0C5" w14:textId="77777777" w:rsidR="00C00DD1" w:rsidRDefault="00C00DD1">
      <w:pPr>
        <w:widowControl w:val="0"/>
        <w:tabs>
          <w:tab w:val="clear" w:pos="567"/>
        </w:tabs>
        <w:spacing w:line="240" w:lineRule="auto"/>
        <w:rPr>
          <w:snapToGrid/>
          <w:szCs w:val="22"/>
          <w:lang w:val="lt-LT" w:eastAsia="sl-SI"/>
        </w:rPr>
      </w:pPr>
    </w:p>
    <w:p w14:paraId="634BBB5C"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Vartojimas vaikams</w:t>
      </w:r>
    </w:p>
    <w:p w14:paraId="6B5F916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Duomenų apie Perindopril arginine/indapamide Krka vartojimą vaikams nėra.</w:t>
      </w:r>
    </w:p>
    <w:p w14:paraId="4C5B476F" w14:textId="77777777" w:rsidR="00C00DD1" w:rsidRDefault="00C00DD1">
      <w:pPr>
        <w:widowControl w:val="0"/>
        <w:tabs>
          <w:tab w:val="clear" w:pos="567"/>
        </w:tabs>
        <w:spacing w:line="240" w:lineRule="auto"/>
        <w:rPr>
          <w:snapToGrid/>
          <w:szCs w:val="22"/>
          <w:lang w:val="lt-LT"/>
        </w:rPr>
      </w:pPr>
    </w:p>
    <w:p w14:paraId="64D04DC1"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5.2</w:t>
      </w:r>
      <w:r>
        <w:rPr>
          <w:b/>
          <w:snapToGrid/>
          <w:kern w:val="28"/>
          <w:szCs w:val="22"/>
          <w:lang w:val="lt-LT"/>
        </w:rPr>
        <w:tab/>
        <w:t>Farmakokinetinės savybės</w:t>
      </w:r>
    </w:p>
    <w:p w14:paraId="2643DC8D" w14:textId="77777777" w:rsidR="00C00DD1" w:rsidRDefault="00C00DD1">
      <w:pPr>
        <w:widowControl w:val="0"/>
        <w:tabs>
          <w:tab w:val="clear" w:pos="567"/>
        </w:tabs>
        <w:spacing w:line="240" w:lineRule="auto"/>
        <w:ind w:left="567" w:hanging="567"/>
        <w:rPr>
          <w:bCs/>
          <w:snapToGrid/>
          <w:szCs w:val="22"/>
          <w:lang w:val="lt-LT"/>
        </w:rPr>
      </w:pPr>
    </w:p>
    <w:p w14:paraId="1470D53B" w14:textId="77777777" w:rsidR="00C00DD1" w:rsidRDefault="00C260EB">
      <w:pPr>
        <w:widowControl w:val="0"/>
        <w:tabs>
          <w:tab w:val="clear" w:pos="567"/>
        </w:tabs>
        <w:autoSpaceDE w:val="0"/>
        <w:autoSpaceDN w:val="0"/>
        <w:adjustRightInd w:val="0"/>
        <w:spacing w:line="240" w:lineRule="auto"/>
        <w:rPr>
          <w:rFonts w:eastAsia="TimesNewRoman"/>
          <w:i/>
          <w:iCs/>
          <w:snapToGrid/>
          <w:szCs w:val="22"/>
          <w:u w:val="single"/>
          <w:lang w:val="lt-LT"/>
        </w:rPr>
      </w:pPr>
      <w:r>
        <w:rPr>
          <w:rFonts w:eastAsia="TimesNewRoman"/>
          <w:i/>
          <w:iCs/>
          <w:snapToGrid/>
          <w:szCs w:val="22"/>
          <w:u w:val="single"/>
          <w:lang w:val="lt-LT"/>
        </w:rPr>
        <w:t xml:space="preserve">Susijusios su </w:t>
      </w:r>
      <w:r>
        <w:rPr>
          <w:i/>
          <w:iCs/>
          <w:snapToGrid/>
          <w:szCs w:val="22"/>
          <w:u w:val="single"/>
          <w:lang w:val="lt-LT" w:eastAsia="sl-SI"/>
        </w:rPr>
        <w:t>Perindopril arginine/indapamide Krka:</w:t>
      </w:r>
    </w:p>
    <w:p w14:paraId="47B10144"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6C8A5675"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Kartu vartojant perindoprilį ir indapamidą jų farmakokinetinės savybės nesikeičia, palyginti su farmakokinetika vartojant juos atskirai.</w:t>
      </w:r>
    </w:p>
    <w:p w14:paraId="1223AEA8"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7DF02916" w14:textId="77777777" w:rsidR="00C00DD1" w:rsidRDefault="00C260EB">
      <w:pPr>
        <w:widowControl w:val="0"/>
        <w:tabs>
          <w:tab w:val="clear" w:pos="567"/>
        </w:tabs>
        <w:autoSpaceDE w:val="0"/>
        <w:autoSpaceDN w:val="0"/>
        <w:adjustRightInd w:val="0"/>
        <w:spacing w:line="240" w:lineRule="auto"/>
        <w:rPr>
          <w:rFonts w:eastAsia="TimesNewRoman"/>
          <w:i/>
          <w:iCs/>
          <w:snapToGrid/>
          <w:szCs w:val="22"/>
          <w:u w:val="single"/>
          <w:lang w:val="lt-LT"/>
        </w:rPr>
      </w:pPr>
      <w:r>
        <w:rPr>
          <w:rFonts w:eastAsia="TimesNewRoman"/>
          <w:i/>
          <w:iCs/>
          <w:snapToGrid/>
          <w:szCs w:val="22"/>
          <w:u w:val="single"/>
          <w:lang w:val="lt-LT"/>
        </w:rPr>
        <w:t>Susijusios su perindopriliu:</w:t>
      </w:r>
    </w:p>
    <w:p w14:paraId="01652AD4"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2128C7FB"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Absorbcija ir biologinis prieinamumas</w:t>
      </w:r>
    </w:p>
    <w:p w14:paraId="348CAE2B"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Išgėrus perindoprilio jis greitai absorbuojamas, didžiausia koncentracija kraujyje atsiranda per 1 valandą. Perindoprilio pusinės eliminacijos iš kraujo plazmos laikas yra 1 valanda.</w:t>
      </w:r>
    </w:p>
    <w:p w14:paraId="14027FA1"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Maistas sumažina perindoprilio virtimą perindoprilatu, taigi, ir biologinį prieinamumą, todėl perindoprilio argininas turi būti geriamas vieną kartą per parą, ryte prieš pusryčius.</w:t>
      </w:r>
    </w:p>
    <w:p w14:paraId="3EE6F0B5"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3CAD2E34"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lastRenderedPageBreak/>
        <w:t>Pasiskirstymas</w:t>
      </w:r>
    </w:p>
    <w:p w14:paraId="5AD245F9"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Nesujungto perindoprilato pasiskirstymo tūris vidutiniškai yra 0,2 l/kg. Prie kraujo plazmos baltymų (daugiausia prie angiotenziną konvertuojančio fermento) prisijungia 20 % perindoprilato, bet tai priklauso nuo koncentracijos.</w:t>
      </w:r>
    </w:p>
    <w:p w14:paraId="4FD34D6E"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784E44FB"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Biotransformacija</w:t>
      </w:r>
    </w:p>
    <w:p w14:paraId="6DB95115"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Perindoprilis yra provaistas. Dvidešimt septyni procentai išgertos perindoprilio dozės patenka į kraujotaką aktyvaus metabolito perindoprilato pavidalu. Be aktyvaus perindoprilato iš perindoprilio susidaro dar penki metabolitai (visi neaktyvūs). Didžiausia perindoprilato koncentracija kraujo plazmoje pasiekiama per 3–4 valandas.</w:t>
      </w:r>
    </w:p>
    <w:p w14:paraId="7968953A"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3C31C2FD"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Eliminacija</w:t>
      </w:r>
    </w:p>
    <w:p w14:paraId="5C12338F"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Perindoprilatas išskiriamas su šlapimu. Galutinis nesujungtos frakcijos pusinės eliminacijos laikas yra maždaug 17 val., todėl pusiausvyrinė koncentracija nusistovi per 4 dienas.</w:t>
      </w:r>
    </w:p>
    <w:p w14:paraId="4150D203"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5495877E"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Tiesinis / netiesinis pobūdis</w:t>
      </w:r>
    </w:p>
    <w:p w14:paraId="077BD4C7"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Įrodyta tiesinė ekspozicijos kraujo plazmoje priklausomybė nuo perindoprilio dozės.</w:t>
      </w:r>
    </w:p>
    <w:p w14:paraId="349E8E44"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41C4947B"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Ypatingos populiacijos</w:t>
      </w:r>
    </w:p>
    <w:p w14:paraId="2D80FAFE"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4829A09D" w14:textId="77777777" w:rsidR="00C00DD1" w:rsidRDefault="00C260E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Senyvi pacientai</w:t>
      </w:r>
    </w:p>
    <w:p w14:paraId="000385AC"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Senyvų žmonių ir pacientų, sergančių širdies ar inkstų nepakankamumu, organizme perindoprilato eliminacija yra lėtesnė.</w:t>
      </w:r>
    </w:p>
    <w:p w14:paraId="222BDAC6"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077495C2" w14:textId="77777777" w:rsidR="00C00DD1" w:rsidRDefault="00C260E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Inkstų funkcijos sutrikimas</w:t>
      </w:r>
    </w:p>
    <w:p w14:paraId="1EA1DAC7"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Atsižvelgiant į inkstų funkcijos pažeidimo dydį (kreatinino klirensą), esant inkstų nepakankamumui reikia koreguoti dozę.</w:t>
      </w:r>
    </w:p>
    <w:p w14:paraId="4252D554"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7ECECF37" w14:textId="77777777" w:rsidR="00C00DD1" w:rsidRDefault="00C260E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Dializės atveju</w:t>
      </w:r>
    </w:p>
    <w:p w14:paraId="5EF07574"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Perindoprilato klirensas dializės metu yra 70 ml/min.</w:t>
      </w:r>
    </w:p>
    <w:p w14:paraId="49D6C260"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4EEBB18B" w14:textId="77777777" w:rsidR="00C00DD1" w:rsidRDefault="00C260E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Kepenų cirozė</w:t>
      </w:r>
    </w:p>
    <w:p w14:paraId="43070513"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Perindoprilio kinetika pakinta pacientų, sergančių kepenų ciroze, organizme: pirminės molekulės kepenų klirensas sumažėja per pusę, tačiau perindoprilato susidaro toks pat kiekis, todėl dozės koreguoti nereikia (žr. 4.2 ir 4.4 skyrius).</w:t>
      </w:r>
    </w:p>
    <w:p w14:paraId="7F5A9319"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50CA272F" w14:textId="77777777" w:rsidR="00C00DD1" w:rsidRDefault="00C260EB">
      <w:pPr>
        <w:widowControl w:val="0"/>
        <w:tabs>
          <w:tab w:val="clear" w:pos="567"/>
        </w:tabs>
        <w:autoSpaceDE w:val="0"/>
        <w:autoSpaceDN w:val="0"/>
        <w:adjustRightInd w:val="0"/>
        <w:spacing w:line="240" w:lineRule="auto"/>
        <w:rPr>
          <w:rFonts w:eastAsia="TimesNewRoman"/>
          <w:i/>
          <w:iCs/>
          <w:snapToGrid/>
          <w:szCs w:val="22"/>
          <w:u w:val="single"/>
          <w:lang w:val="lt-LT"/>
        </w:rPr>
      </w:pPr>
      <w:r>
        <w:rPr>
          <w:rFonts w:eastAsia="TimesNewRoman"/>
          <w:i/>
          <w:iCs/>
          <w:snapToGrid/>
          <w:szCs w:val="22"/>
          <w:u w:val="single"/>
          <w:lang w:val="lt-LT"/>
        </w:rPr>
        <w:t>Susijusios su indapamidu:</w:t>
      </w:r>
    </w:p>
    <w:p w14:paraId="764E0EB6"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2B9757C0"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Absorbcija</w:t>
      </w:r>
    </w:p>
    <w:p w14:paraId="680E2F7F"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Indapamidas greitai ir visas absorbuojamas iš virškinimo trakto.</w:t>
      </w:r>
    </w:p>
    <w:p w14:paraId="034117AC"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Vaistinio preparato išgėrus, didžiausia koncentracija žmogaus kraujo plazmoje atsiranda maždaug per vieną valandą. </w:t>
      </w:r>
    </w:p>
    <w:p w14:paraId="7335D09D"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7290FA8A"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Pasiskirstymas</w:t>
      </w:r>
    </w:p>
    <w:p w14:paraId="3EE87971"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Prie kraujo plazmos baltymų prisijungia 79 % indapamido.</w:t>
      </w:r>
    </w:p>
    <w:p w14:paraId="7787C0E2"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2DFFA054"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Biotransformacija ir eliminacija</w:t>
      </w:r>
    </w:p>
    <w:p w14:paraId="42B684AA"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Pusinės eliminacijos laikas yra 14</w:t>
      </w:r>
      <w:r>
        <w:rPr>
          <w:rFonts w:eastAsia="TimesNewRoman"/>
          <w:snapToGrid/>
          <w:szCs w:val="22"/>
          <w:lang w:val="lt-LT"/>
        </w:rPr>
        <w:noBreakHyphen/>
        <w:t>24 val. (vidutiniškai 18 val.). Vartojant kartotines dozes, vaistinio preparato organizme nesikaupia. Šalinimas vyksta daugiausia su šlapimu (70 % dozės) ir išmatomis (22 %) neaktyvių metabolitų pavidalu.</w:t>
      </w:r>
    </w:p>
    <w:p w14:paraId="6F0C58E7"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47BB8C61"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Ypatingos populiacijos</w:t>
      </w:r>
    </w:p>
    <w:p w14:paraId="010545D3"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4254684C"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Inkstų funkcijos sutrikimas</w:t>
      </w:r>
    </w:p>
    <w:p w14:paraId="3B3211BD" w14:textId="77777777" w:rsidR="00C00DD1" w:rsidRDefault="00C260EB">
      <w:pPr>
        <w:widowControl w:val="0"/>
        <w:tabs>
          <w:tab w:val="clear" w:pos="567"/>
        </w:tabs>
        <w:autoSpaceDE w:val="0"/>
        <w:autoSpaceDN w:val="0"/>
        <w:adjustRightInd w:val="0"/>
        <w:spacing w:line="240" w:lineRule="auto"/>
        <w:rPr>
          <w:rFonts w:eastAsia="TimesNewRoman"/>
          <w:snapToGrid/>
          <w:szCs w:val="24"/>
          <w:lang w:val="lt-LT"/>
        </w:rPr>
      </w:pPr>
      <w:r>
        <w:rPr>
          <w:rFonts w:eastAsia="TimesNewRoman"/>
          <w:snapToGrid/>
          <w:szCs w:val="22"/>
          <w:lang w:val="lt-LT"/>
        </w:rPr>
        <w:t>Pacientų, sergančių inkstų nepakankamumu, organizme farmakokinetika nekinta.</w:t>
      </w:r>
    </w:p>
    <w:p w14:paraId="0ADF54B5" w14:textId="77777777" w:rsidR="00C00DD1" w:rsidRDefault="00C00DD1">
      <w:pPr>
        <w:widowControl w:val="0"/>
        <w:tabs>
          <w:tab w:val="clear" w:pos="567"/>
        </w:tabs>
        <w:autoSpaceDE w:val="0"/>
        <w:autoSpaceDN w:val="0"/>
        <w:adjustRightInd w:val="0"/>
        <w:spacing w:line="240" w:lineRule="auto"/>
        <w:rPr>
          <w:rFonts w:eastAsia="TimesNewRoman"/>
          <w:snapToGrid/>
          <w:szCs w:val="24"/>
          <w:lang w:val="lt-LT"/>
        </w:rPr>
      </w:pPr>
    </w:p>
    <w:p w14:paraId="34C15D73"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5.3</w:t>
      </w:r>
      <w:r>
        <w:rPr>
          <w:b/>
          <w:snapToGrid/>
          <w:kern w:val="28"/>
          <w:szCs w:val="22"/>
          <w:lang w:val="lt-LT"/>
        </w:rPr>
        <w:tab/>
        <w:t>Ikiklinikinių saugumo tyrimų duomenys</w:t>
      </w:r>
    </w:p>
    <w:p w14:paraId="792AD95E"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7BE1EE1F"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 arginine/indapamide Krka toksiškumas yra šiek tiek didesnis negu atskirų veikliųjų medžiagų. Duomenų apie toksinio šių medžiagų derinio poveikio žiurkių inkstams sustiprėjimą negauta, tačiau pasireiškė toksinis poveikis šunų virškinimo traktui, be to, toksinis poveikis vaikingoms žiurkių patelėms buvo stipresnis nei sukeliamas vien perindoprilio.</w:t>
      </w:r>
    </w:p>
    <w:p w14:paraId="25790896"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Vis dėlto tokius nepageidaujamus reiškinius sukėlė dozės, kurios labai viršijo žmonėms skiriamą gydomąją dozę.</w:t>
      </w:r>
    </w:p>
    <w:p w14:paraId="2F4B1692"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Ikiklinikiniai tyrimai, atlikti atskirai su perindopriliu ir indapamidu, neparodė genotoksinio ar karcinogeninio poveikio. Toksinio poveikio reprodukcijai tyrimai neparodė embriotoksinio ar teratogeninio poveikio ir poveikio vaisingumui.</w:t>
      </w:r>
    </w:p>
    <w:p w14:paraId="6EAD9BBA"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153C33B9"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4198EB24" w14:textId="77777777" w:rsidR="00C00DD1" w:rsidRDefault="00C260EB">
      <w:pPr>
        <w:widowControl w:val="0"/>
        <w:spacing w:line="240" w:lineRule="auto"/>
        <w:ind w:left="567" w:hanging="567"/>
        <w:outlineLvl w:val="1"/>
        <w:rPr>
          <w:b/>
          <w:snapToGrid/>
          <w:szCs w:val="22"/>
          <w:lang w:val="lt-LT"/>
        </w:rPr>
      </w:pPr>
      <w:r>
        <w:rPr>
          <w:b/>
          <w:snapToGrid/>
          <w:szCs w:val="22"/>
          <w:lang w:val="lt-LT"/>
        </w:rPr>
        <w:t>6.</w:t>
      </w:r>
      <w:r>
        <w:rPr>
          <w:b/>
          <w:snapToGrid/>
          <w:szCs w:val="22"/>
          <w:lang w:val="lt-LT"/>
        </w:rPr>
        <w:tab/>
        <w:t>FARMACINĖ INFORMACIJA</w:t>
      </w:r>
    </w:p>
    <w:p w14:paraId="2281A0FE" w14:textId="77777777" w:rsidR="00C00DD1" w:rsidRDefault="00C00DD1">
      <w:pPr>
        <w:widowControl w:val="0"/>
        <w:tabs>
          <w:tab w:val="clear" w:pos="567"/>
        </w:tabs>
        <w:spacing w:line="240" w:lineRule="auto"/>
        <w:ind w:left="567" w:hanging="567"/>
        <w:rPr>
          <w:snapToGrid/>
          <w:szCs w:val="22"/>
          <w:lang w:val="lt-LT"/>
        </w:rPr>
      </w:pPr>
    </w:p>
    <w:p w14:paraId="6209ECBD"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6.1</w:t>
      </w:r>
      <w:r>
        <w:rPr>
          <w:b/>
          <w:snapToGrid/>
          <w:kern w:val="28"/>
          <w:szCs w:val="22"/>
          <w:lang w:val="lt-LT"/>
        </w:rPr>
        <w:tab/>
        <w:t>Pagalbinių medžiagų sąrašas</w:t>
      </w:r>
    </w:p>
    <w:p w14:paraId="31CBFEE7" w14:textId="77777777" w:rsidR="00C00DD1" w:rsidRDefault="00C00DD1">
      <w:pPr>
        <w:widowControl w:val="0"/>
        <w:tabs>
          <w:tab w:val="clear" w:pos="567"/>
        </w:tabs>
        <w:spacing w:line="240" w:lineRule="auto"/>
        <w:rPr>
          <w:snapToGrid/>
          <w:szCs w:val="22"/>
          <w:lang w:val="lt-LT"/>
        </w:rPr>
      </w:pPr>
    </w:p>
    <w:p w14:paraId="79FEC180" w14:textId="77777777" w:rsidR="00C00DD1" w:rsidRDefault="00C260E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Kalcio chloridas heksahidratas</w:t>
      </w:r>
    </w:p>
    <w:p w14:paraId="3D5246AF" w14:textId="77777777" w:rsidR="00C00DD1" w:rsidRDefault="00C260E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Mikrokristalinė celiuliozė (E460)</w:t>
      </w:r>
    </w:p>
    <w:p w14:paraId="186E72BB" w14:textId="77777777" w:rsidR="00C00DD1" w:rsidRDefault="00C260E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Silifikuota mikrokristalinė celiuliozė</w:t>
      </w:r>
    </w:p>
    <w:p w14:paraId="60342A87" w14:textId="77777777" w:rsidR="00C00DD1" w:rsidRDefault="00C260EB">
      <w:pPr>
        <w:widowControl w:val="0"/>
        <w:tabs>
          <w:tab w:val="clear" w:pos="567"/>
        </w:tabs>
        <w:spacing w:line="240" w:lineRule="auto"/>
        <w:ind w:left="567" w:hanging="283"/>
        <w:rPr>
          <w:rFonts w:eastAsia="TimesNewRoman"/>
          <w:snapToGrid/>
          <w:szCs w:val="22"/>
          <w:lang w:val="lt-LT"/>
        </w:rPr>
      </w:pPr>
      <w:r>
        <w:rPr>
          <w:rFonts w:eastAsia="TimesNewRoman"/>
          <w:snapToGrid/>
          <w:szCs w:val="22"/>
          <w:lang w:val="lt-LT"/>
        </w:rPr>
        <w:t>Mikrokristalinė celiuliozė (E460)</w:t>
      </w:r>
    </w:p>
    <w:p w14:paraId="4C505888" w14:textId="77777777" w:rsidR="00C00DD1" w:rsidRDefault="00C260EB">
      <w:pPr>
        <w:widowControl w:val="0"/>
        <w:tabs>
          <w:tab w:val="clear" w:pos="567"/>
        </w:tabs>
        <w:spacing w:line="240" w:lineRule="auto"/>
        <w:ind w:left="567" w:hanging="283"/>
        <w:rPr>
          <w:rFonts w:eastAsia="TimesNewRoman"/>
          <w:snapToGrid/>
          <w:szCs w:val="22"/>
          <w:lang w:val="lt-LT"/>
        </w:rPr>
      </w:pPr>
      <w:r>
        <w:rPr>
          <w:rFonts w:eastAsia="TimesNewRoman"/>
          <w:snapToGrid/>
          <w:szCs w:val="22"/>
          <w:lang w:val="lt-LT"/>
        </w:rPr>
        <w:t>Koloidinis silicio dioksidas, bevandenis</w:t>
      </w:r>
    </w:p>
    <w:p w14:paraId="41612AEE" w14:textId="77777777" w:rsidR="00C00DD1" w:rsidRDefault="00C260E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Pregelifikuotas krakmolas</w:t>
      </w:r>
    </w:p>
    <w:p w14:paraId="47B8B7EA" w14:textId="77777777" w:rsidR="00C00DD1" w:rsidRDefault="00C260E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Natrio-vandenilio karbonatas</w:t>
      </w:r>
    </w:p>
    <w:p w14:paraId="1474627A" w14:textId="77777777" w:rsidR="00C00DD1" w:rsidRDefault="00C260E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Koloidinis silicio dioksidas, hidratuotas</w:t>
      </w:r>
    </w:p>
    <w:p w14:paraId="4FF2AD53" w14:textId="77777777" w:rsidR="00C00DD1" w:rsidRDefault="00C260E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Magnio stearatas (E470b)</w:t>
      </w:r>
    </w:p>
    <w:p w14:paraId="2BF01C2D" w14:textId="77777777" w:rsidR="00C00DD1" w:rsidRDefault="00C00DD1">
      <w:pPr>
        <w:widowControl w:val="0"/>
        <w:tabs>
          <w:tab w:val="clear" w:pos="567"/>
        </w:tabs>
        <w:spacing w:line="240" w:lineRule="auto"/>
        <w:ind w:left="567" w:hanging="567"/>
        <w:rPr>
          <w:snapToGrid/>
          <w:szCs w:val="22"/>
          <w:lang w:val="lt-LT"/>
        </w:rPr>
      </w:pPr>
    </w:p>
    <w:p w14:paraId="3575A7B7"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6.2</w:t>
      </w:r>
      <w:r>
        <w:rPr>
          <w:b/>
          <w:snapToGrid/>
          <w:kern w:val="28"/>
          <w:szCs w:val="22"/>
          <w:lang w:val="lt-LT"/>
        </w:rPr>
        <w:tab/>
        <w:t>Nesuderinamumas</w:t>
      </w:r>
    </w:p>
    <w:p w14:paraId="7DAFE840" w14:textId="77777777" w:rsidR="00C00DD1" w:rsidRDefault="00C00DD1">
      <w:pPr>
        <w:widowControl w:val="0"/>
        <w:tabs>
          <w:tab w:val="clear" w:pos="567"/>
        </w:tabs>
        <w:spacing w:line="240" w:lineRule="auto"/>
        <w:ind w:left="567" w:hanging="567"/>
        <w:rPr>
          <w:snapToGrid/>
          <w:szCs w:val="22"/>
          <w:lang w:val="lt-LT"/>
        </w:rPr>
      </w:pPr>
    </w:p>
    <w:p w14:paraId="606DD81C"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Duomenys nebūtini.</w:t>
      </w:r>
    </w:p>
    <w:p w14:paraId="7108838F" w14:textId="77777777" w:rsidR="00C00DD1" w:rsidRDefault="00C00DD1">
      <w:pPr>
        <w:widowControl w:val="0"/>
        <w:tabs>
          <w:tab w:val="clear" w:pos="567"/>
        </w:tabs>
        <w:spacing w:line="240" w:lineRule="auto"/>
        <w:ind w:left="567" w:hanging="567"/>
        <w:rPr>
          <w:snapToGrid/>
          <w:szCs w:val="22"/>
          <w:lang w:val="lt-LT"/>
        </w:rPr>
      </w:pPr>
    </w:p>
    <w:p w14:paraId="6EABF989"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6.3</w:t>
      </w:r>
      <w:r>
        <w:rPr>
          <w:b/>
          <w:snapToGrid/>
          <w:kern w:val="28"/>
          <w:szCs w:val="22"/>
          <w:lang w:val="lt-LT"/>
        </w:rPr>
        <w:tab/>
        <w:t>Tinkamumo laikas</w:t>
      </w:r>
    </w:p>
    <w:p w14:paraId="5690EEE2" w14:textId="77777777" w:rsidR="00C00DD1" w:rsidRDefault="00C00DD1">
      <w:pPr>
        <w:widowControl w:val="0"/>
        <w:tabs>
          <w:tab w:val="clear" w:pos="567"/>
        </w:tabs>
        <w:spacing w:line="240" w:lineRule="auto"/>
        <w:ind w:left="567" w:hanging="567"/>
        <w:rPr>
          <w:snapToGrid/>
          <w:szCs w:val="22"/>
          <w:lang w:val="lt-LT"/>
        </w:rPr>
      </w:pPr>
    </w:p>
    <w:p w14:paraId="11294685" w14:textId="52B5EBD4" w:rsidR="00C00DD1" w:rsidRDefault="00C260EB">
      <w:pPr>
        <w:widowControl w:val="0"/>
        <w:tabs>
          <w:tab w:val="clear" w:pos="567"/>
        </w:tabs>
        <w:spacing w:line="240" w:lineRule="auto"/>
        <w:ind w:left="567" w:hanging="567"/>
        <w:rPr>
          <w:snapToGrid/>
          <w:szCs w:val="22"/>
          <w:lang w:val="lt-LT"/>
        </w:rPr>
      </w:pPr>
      <w:r>
        <w:rPr>
          <w:snapToGrid/>
          <w:szCs w:val="22"/>
          <w:lang w:val="lt-LT"/>
        </w:rPr>
        <w:t>3 metai.</w:t>
      </w:r>
    </w:p>
    <w:p w14:paraId="77831DCD" w14:textId="77777777" w:rsidR="00C00DD1" w:rsidRDefault="00C00DD1">
      <w:pPr>
        <w:widowControl w:val="0"/>
        <w:tabs>
          <w:tab w:val="clear" w:pos="567"/>
        </w:tabs>
        <w:spacing w:line="240" w:lineRule="auto"/>
        <w:rPr>
          <w:snapToGrid/>
          <w:szCs w:val="22"/>
          <w:lang w:val="lt-LT"/>
        </w:rPr>
      </w:pPr>
    </w:p>
    <w:p w14:paraId="7C1B383B"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6.4</w:t>
      </w:r>
      <w:r>
        <w:rPr>
          <w:b/>
          <w:snapToGrid/>
          <w:kern w:val="28"/>
          <w:szCs w:val="22"/>
          <w:lang w:val="lt-LT"/>
        </w:rPr>
        <w:tab/>
        <w:t>Specialios laikymo sąlygos</w:t>
      </w:r>
    </w:p>
    <w:p w14:paraId="3B492BE4" w14:textId="77777777" w:rsidR="00C00DD1" w:rsidRDefault="00C00DD1">
      <w:pPr>
        <w:widowControl w:val="0"/>
        <w:tabs>
          <w:tab w:val="clear" w:pos="567"/>
        </w:tabs>
        <w:spacing w:line="240" w:lineRule="auto"/>
        <w:rPr>
          <w:i/>
          <w:iCs/>
          <w:snapToGrid/>
          <w:szCs w:val="22"/>
          <w:lang w:val="lt-LT"/>
        </w:rPr>
      </w:pPr>
    </w:p>
    <w:p w14:paraId="0125986F"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vaistinis preparatas būtų apsaugotas nuo šviesos.</w:t>
      </w:r>
    </w:p>
    <w:p w14:paraId="1A557C32"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Šiam vaistiniam preparatui specialių temperatūros laikymo sąlygų nereikia.</w:t>
      </w:r>
    </w:p>
    <w:p w14:paraId="5C8A4189" w14:textId="77777777" w:rsidR="00C00DD1" w:rsidRDefault="00C00DD1">
      <w:pPr>
        <w:widowControl w:val="0"/>
        <w:tabs>
          <w:tab w:val="clear" w:pos="567"/>
        </w:tabs>
        <w:spacing w:line="240" w:lineRule="auto"/>
        <w:ind w:left="567" w:hanging="567"/>
        <w:rPr>
          <w:snapToGrid/>
          <w:szCs w:val="22"/>
          <w:lang w:val="lt-LT"/>
        </w:rPr>
      </w:pPr>
    </w:p>
    <w:p w14:paraId="3F011307"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6.5</w:t>
      </w:r>
      <w:r>
        <w:rPr>
          <w:b/>
          <w:snapToGrid/>
          <w:kern w:val="28"/>
          <w:szCs w:val="22"/>
          <w:lang w:val="lt-LT"/>
        </w:rPr>
        <w:tab/>
        <w:t>Talpyklės pobūdis ir jos turinys</w:t>
      </w:r>
    </w:p>
    <w:p w14:paraId="2743C511" w14:textId="77777777" w:rsidR="00C00DD1" w:rsidRDefault="00C00DD1">
      <w:pPr>
        <w:widowControl w:val="0"/>
        <w:tabs>
          <w:tab w:val="clear" w:pos="567"/>
        </w:tabs>
        <w:spacing w:line="240" w:lineRule="auto"/>
        <w:ind w:left="567" w:hanging="567"/>
        <w:rPr>
          <w:snapToGrid/>
          <w:szCs w:val="22"/>
          <w:lang w:val="lt-LT"/>
        </w:rPr>
      </w:pPr>
    </w:p>
    <w:p w14:paraId="6DEBE8A0"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Lizdinė plokštelė (OPA/Aliuminio/PVC//Aliuminio): 10, 30, 60, 90 ir 100 tablečių dėžutėje.</w:t>
      </w:r>
    </w:p>
    <w:p w14:paraId="0E483EF5"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04A40829"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23D9C77E" w14:textId="77777777" w:rsidR="00C00DD1" w:rsidRDefault="00C00DD1">
      <w:pPr>
        <w:widowControl w:val="0"/>
        <w:tabs>
          <w:tab w:val="clear" w:pos="567"/>
        </w:tabs>
        <w:spacing w:line="240" w:lineRule="auto"/>
        <w:ind w:left="567" w:hanging="567"/>
        <w:rPr>
          <w:snapToGrid/>
          <w:szCs w:val="22"/>
          <w:lang w:val="lt-LT"/>
        </w:rPr>
      </w:pPr>
    </w:p>
    <w:p w14:paraId="74C6E1E5" w14:textId="77777777" w:rsidR="00C00DD1" w:rsidRDefault="00C260EB">
      <w:pPr>
        <w:widowControl w:val="0"/>
        <w:spacing w:line="240" w:lineRule="auto"/>
        <w:ind w:left="567" w:hanging="567"/>
        <w:outlineLvl w:val="2"/>
        <w:rPr>
          <w:snapToGrid/>
          <w:szCs w:val="22"/>
          <w:lang w:val="lt-LT"/>
        </w:rPr>
      </w:pPr>
      <w:r>
        <w:rPr>
          <w:b/>
          <w:snapToGrid/>
          <w:kern w:val="28"/>
          <w:szCs w:val="22"/>
          <w:lang w:val="lt-LT"/>
        </w:rPr>
        <w:t>6.6</w:t>
      </w:r>
      <w:r>
        <w:rPr>
          <w:b/>
          <w:snapToGrid/>
          <w:kern w:val="28"/>
          <w:szCs w:val="22"/>
          <w:lang w:val="lt-LT"/>
        </w:rPr>
        <w:tab/>
        <w:t>Specialūs reikalavimai atliekoms tvarkyti</w:t>
      </w:r>
    </w:p>
    <w:p w14:paraId="0CD50615" w14:textId="77777777" w:rsidR="00C00DD1" w:rsidRDefault="00C00DD1">
      <w:pPr>
        <w:widowControl w:val="0"/>
        <w:tabs>
          <w:tab w:val="clear" w:pos="567"/>
        </w:tabs>
        <w:spacing w:line="240" w:lineRule="auto"/>
        <w:rPr>
          <w:snapToGrid/>
          <w:szCs w:val="22"/>
          <w:lang w:val="lt-LT"/>
        </w:rPr>
      </w:pPr>
    </w:p>
    <w:p w14:paraId="6356F8B7"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Nesuvartotą vaistinį preparatą ar atliekas reikia tvarkyti laikantis vietinių reikalavimų.</w:t>
      </w:r>
    </w:p>
    <w:p w14:paraId="1A908150" w14:textId="77777777" w:rsidR="00C00DD1" w:rsidRDefault="00C00DD1">
      <w:pPr>
        <w:widowControl w:val="0"/>
        <w:tabs>
          <w:tab w:val="clear" w:pos="567"/>
        </w:tabs>
        <w:spacing w:line="240" w:lineRule="auto"/>
        <w:ind w:left="567" w:hanging="567"/>
        <w:rPr>
          <w:snapToGrid/>
          <w:szCs w:val="22"/>
          <w:lang w:val="lt-LT"/>
        </w:rPr>
      </w:pPr>
    </w:p>
    <w:p w14:paraId="34BDA511" w14:textId="77777777" w:rsidR="00C00DD1" w:rsidRDefault="00C00DD1">
      <w:pPr>
        <w:widowControl w:val="0"/>
        <w:tabs>
          <w:tab w:val="clear" w:pos="567"/>
        </w:tabs>
        <w:spacing w:line="240" w:lineRule="auto"/>
        <w:ind w:left="567" w:hanging="567"/>
        <w:rPr>
          <w:snapToGrid/>
          <w:szCs w:val="22"/>
          <w:lang w:val="lt-LT"/>
        </w:rPr>
      </w:pPr>
    </w:p>
    <w:p w14:paraId="6A725032" w14:textId="77777777" w:rsidR="00C00DD1" w:rsidRDefault="00C260EB">
      <w:pPr>
        <w:widowControl w:val="0"/>
        <w:spacing w:line="240" w:lineRule="auto"/>
        <w:ind w:left="567" w:hanging="567"/>
        <w:outlineLvl w:val="1"/>
        <w:rPr>
          <w:b/>
          <w:snapToGrid/>
          <w:szCs w:val="22"/>
          <w:lang w:val="lt-LT"/>
        </w:rPr>
      </w:pPr>
      <w:r>
        <w:rPr>
          <w:b/>
          <w:snapToGrid/>
          <w:szCs w:val="22"/>
          <w:lang w:val="lt-LT"/>
        </w:rPr>
        <w:t>7.</w:t>
      </w:r>
      <w:r>
        <w:rPr>
          <w:b/>
          <w:snapToGrid/>
          <w:szCs w:val="22"/>
          <w:lang w:val="lt-LT"/>
        </w:rPr>
        <w:tab/>
        <w:t>REGISTRUOTOJAS</w:t>
      </w:r>
    </w:p>
    <w:p w14:paraId="3E7B71E5" w14:textId="77777777" w:rsidR="00C00DD1" w:rsidRDefault="00C00DD1">
      <w:pPr>
        <w:widowControl w:val="0"/>
        <w:tabs>
          <w:tab w:val="clear" w:pos="567"/>
        </w:tabs>
        <w:spacing w:line="240" w:lineRule="auto"/>
        <w:rPr>
          <w:snapToGrid/>
          <w:szCs w:val="22"/>
          <w:lang w:val="lt-LT"/>
        </w:rPr>
      </w:pPr>
    </w:p>
    <w:p w14:paraId="20CD2EF7"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KRKA d.d. Novo mesto, Šmarješka cesta 6,8501 Novo mesto, Slovėnija</w:t>
      </w:r>
    </w:p>
    <w:p w14:paraId="7A8F8C39" w14:textId="77777777" w:rsidR="00C00DD1" w:rsidRDefault="00C00DD1">
      <w:pPr>
        <w:widowControl w:val="0"/>
        <w:tabs>
          <w:tab w:val="clear" w:pos="567"/>
        </w:tabs>
        <w:spacing w:line="240" w:lineRule="auto"/>
        <w:rPr>
          <w:snapToGrid/>
          <w:szCs w:val="22"/>
          <w:lang w:val="lt-LT"/>
        </w:rPr>
      </w:pPr>
    </w:p>
    <w:p w14:paraId="70036662" w14:textId="77777777" w:rsidR="00C00DD1" w:rsidRDefault="00C00DD1">
      <w:pPr>
        <w:widowControl w:val="0"/>
        <w:tabs>
          <w:tab w:val="clear" w:pos="567"/>
        </w:tabs>
        <w:spacing w:line="240" w:lineRule="auto"/>
        <w:ind w:left="567" w:hanging="567"/>
        <w:rPr>
          <w:snapToGrid/>
          <w:szCs w:val="22"/>
          <w:lang w:val="lt-LT"/>
        </w:rPr>
      </w:pPr>
    </w:p>
    <w:p w14:paraId="4D7BAB39" w14:textId="77777777" w:rsidR="00C00DD1" w:rsidRDefault="00C260EB">
      <w:pPr>
        <w:widowControl w:val="0"/>
        <w:spacing w:line="240" w:lineRule="auto"/>
        <w:ind w:left="567" w:hanging="567"/>
        <w:outlineLvl w:val="1"/>
        <w:rPr>
          <w:b/>
          <w:snapToGrid/>
          <w:szCs w:val="22"/>
          <w:lang w:val="lt-LT"/>
        </w:rPr>
      </w:pPr>
      <w:r>
        <w:rPr>
          <w:b/>
          <w:snapToGrid/>
          <w:szCs w:val="22"/>
          <w:lang w:val="lt-LT"/>
        </w:rPr>
        <w:t>8.</w:t>
      </w:r>
      <w:r>
        <w:rPr>
          <w:b/>
          <w:snapToGrid/>
          <w:szCs w:val="22"/>
          <w:lang w:val="lt-LT"/>
        </w:rPr>
        <w:tab/>
        <w:t>REGISTRACIJOS PAŽYMĖJIMO NUMERIS (</w:t>
      </w:r>
      <w:r>
        <w:rPr>
          <w:b/>
          <w:snapToGrid/>
          <w:szCs w:val="22"/>
          <w:lang w:val="lt-LT"/>
        </w:rPr>
        <w:noBreakHyphen/>
        <w:t>IAI)</w:t>
      </w:r>
    </w:p>
    <w:p w14:paraId="1C6479A8" w14:textId="77777777" w:rsidR="00C00DD1" w:rsidRDefault="00C00DD1">
      <w:pPr>
        <w:widowControl w:val="0"/>
        <w:tabs>
          <w:tab w:val="clear" w:pos="567"/>
        </w:tabs>
        <w:spacing w:line="240" w:lineRule="auto"/>
        <w:rPr>
          <w:i/>
          <w:snapToGrid/>
          <w:szCs w:val="22"/>
          <w:lang w:val="lt-LT"/>
        </w:rPr>
      </w:pPr>
    </w:p>
    <w:p w14:paraId="559BF49A"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lastRenderedPageBreak/>
        <w:t>LT/1/22/4876/001 – N10</w:t>
      </w:r>
    </w:p>
    <w:p w14:paraId="5B03983A"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LT/1/22/4876/002 – N30</w:t>
      </w:r>
    </w:p>
    <w:p w14:paraId="33F3D292"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LT/1/22/4876/003 – N60</w:t>
      </w:r>
    </w:p>
    <w:p w14:paraId="2BE1FB4A"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LT/1/22/4876/004 – N90</w:t>
      </w:r>
    </w:p>
    <w:p w14:paraId="17720DF7"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LT/1/22/4876/005 – N100</w:t>
      </w:r>
    </w:p>
    <w:p w14:paraId="0D8E8C88" w14:textId="77777777" w:rsidR="00C00DD1" w:rsidRDefault="00C00DD1">
      <w:pPr>
        <w:widowControl w:val="0"/>
        <w:tabs>
          <w:tab w:val="clear" w:pos="567"/>
        </w:tabs>
        <w:spacing w:line="240" w:lineRule="auto"/>
        <w:ind w:left="567" w:hanging="567"/>
        <w:rPr>
          <w:snapToGrid/>
          <w:szCs w:val="22"/>
          <w:lang w:val="lt-LT"/>
        </w:rPr>
      </w:pPr>
    </w:p>
    <w:p w14:paraId="30B2020B" w14:textId="77777777" w:rsidR="00C00DD1" w:rsidRDefault="00C00DD1">
      <w:pPr>
        <w:widowControl w:val="0"/>
        <w:tabs>
          <w:tab w:val="clear" w:pos="567"/>
        </w:tabs>
        <w:spacing w:line="240" w:lineRule="auto"/>
        <w:ind w:left="567" w:hanging="567"/>
        <w:rPr>
          <w:snapToGrid/>
          <w:szCs w:val="22"/>
          <w:lang w:val="lt-LT"/>
        </w:rPr>
      </w:pPr>
    </w:p>
    <w:p w14:paraId="38052229" w14:textId="77777777" w:rsidR="00C00DD1" w:rsidRDefault="00C260EB">
      <w:pPr>
        <w:widowControl w:val="0"/>
        <w:spacing w:line="240" w:lineRule="auto"/>
        <w:ind w:left="567" w:hanging="567"/>
        <w:outlineLvl w:val="1"/>
        <w:rPr>
          <w:b/>
          <w:snapToGrid/>
          <w:szCs w:val="22"/>
          <w:lang w:val="lt-LT"/>
        </w:rPr>
      </w:pPr>
      <w:r>
        <w:rPr>
          <w:b/>
          <w:snapToGrid/>
          <w:szCs w:val="22"/>
          <w:lang w:val="lt-LT"/>
        </w:rPr>
        <w:t>9.</w:t>
      </w:r>
      <w:r>
        <w:rPr>
          <w:b/>
          <w:snapToGrid/>
          <w:szCs w:val="22"/>
          <w:lang w:val="lt-LT"/>
        </w:rPr>
        <w:tab/>
        <w:t>REGISTRAVIMO / PERREGISTRAVIMO DATA</w:t>
      </w:r>
    </w:p>
    <w:p w14:paraId="37FC4148" w14:textId="77777777" w:rsidR="00C00DD1" w:rsidRDefault="00C00DD1">
      <w:pPr>
        <w:widowControl w:val="0"/>
        <w:tabs>
          <w:tab w:val="clear" w:pos="567"/>
        </w:tabs>
        <w:spacing w:line="240" w:lineRule="auto"/>
        <w:ind w:left="567" w:hanging="567"/>
        <w:rPr>
          <w:bCs/>
          <w:caps/>
          <w:snapToGrid/>
          <w:szCs w:val="22"/>
          <w:lang w:val="lt-LT"/>
        </w:rPr>
      </w:pPr>
    </w:p>
    <w:p w14:paraId="63613E72" w14:textId="77777777" w:rsidR="00C00DD1" w:rsidRDefault="00C260EB">
      <w:pPr>
        <w:widowControl w:val="0"/>
        <w:tabs>
          <w:tab w:val="clear" w:pos="567"/>
        </w:tabs>
        <w:spacing w:line="240" w:lineRule="auto"/>
        <w:rPr>
          <w:szCs w:val="22"/>
          <w:lang w:val="lt-LT"/>
        </w:rPr>
      </w:pPr>
      <w:r>
        <w:rPr>
          <w:szCs w:val="22"/>
          <w:lang w:val="lt-LT"/>
        </w:rPr>
        <w:t>Registravimo data 2022 m. sausio 17 d..</w:t>
      </w:r>
    </w:p>
    <w:p w14:paraId="6B780719" w14:textId="443E468F" w:rsidR="0006181B" w:rsidRDefault="0006181B">
      <w:pPr>
        <w:widowControl w:val="0"/>
        <w:tabs>
          <w:tab w:val="clear" w:pos="567"/>
        </w:tabs>
        <w:spacing w:line="240" w:lineRule="auto"/>
        <w:rPr>
          <w:snapToGrid/>
          <w:szCs w:val="22"/>
          <w:lang w:val="lt-LT"/>
        </w:rPr>
      </w:pPr>
      <w:r w:rsidRPr="00A1314F">
        <w:rPr>
          <w:noProof/>
          <w:szCs w:val="22"/>
          <w:lang w:val="lt-LT" w:eastAsia="lt-LT" w:bidi="lt-LT"/>
        </w:rPr>
        <w:t>Paskutinio perregistravimo data</w:t>
      </w:r>
      <w:r>
        <w:rPr>
          <w:noProof/>
          <w:szCs w:val="22"/>
          <w:lang w:val="lt-LT" w:eastAsia="lt-LT" w:bidi="lt-LT"/>
        </w:rPr>
        <w:t xml:space="preserve"> 2026 m. liepos 17 d.</w:t>
      </w:r>
    </w:p>
    <w:p w14:paraId="24A58CB5" w14:textId="77777777" w:rsidR="00C00DD1" w:rsidRDefault="00C00DD1">
      <w:pPr>
        <w:widowControl w:val="0"/>
        <w:tabs>
          <w:tab w:val="clear" w:pos="567"/>
        </w:tabs>
        <w:spacing w:line="240" w:lineRule="auto"/>
        <w:rPr>
          <w:snapToGrid/>
          <w:szCs w:val="22"/>
          <w:lang w:val="lt-LT"/>
        </w:rPr>
      </w:pPr>
    </w:p>
    <w:p w14:paraId="7E13C7CD" w14:textId="77777777" w:rsidR="00C00DD1" w:rsidRDefault="00C00DD1">
      <w:pPr>
        <w:widowControl w:val="0"/>
        <w:tabs>
          <w:tab w:val="clear" w:pos="567"/>
        </w:tabs>
        <w:spacing w:line="240" w:lineRule="auto"/>
        <w:ind w:left="567" w:hanging="567"/>
        <w:rPr>
          <w:snapToGrid/>
          <w:szCs w:val="22"/>
          <w:lang w:val="lt-LT"/>
        </w:rPr>
      </w:pPr>
    </w:p>
    <w:p w14:paraId="57E511AF" w14:textId="77777777" w:rsidR="00C00DD1" w:rsidRDefault="00C260EB">
      <w:pPr>
        <w:widowControl w:val="0"/>
        <w:spacing w:line="240" w:lineRule="auto"/>
        <w:ind w:left="567" w:hanging="567"/>
        <w:outlineLvl w:val="1"/>
        <w:rPr>
          <w:b/>
          <w:snapToGrid/>
          <w:szCs w:val="22"/>
          <w:lang w:val="lt-LT"/>
        </w:rPr>
      </w:pPr>
      <w:r>
        <w:rPr>
          <w:b/>
          <w:snapToGrid/>
          <w:szCs w:val="22"/>
          <w:lang w:val="lt-LT"/>
        </w:rPr>
        <w:t>10.</w:t>
      </w:r>
      <w:r>
        <w:rPr>
          <w:b/>
          <w:snapToGrid/>
          <w:szCs w:val="22"/>
          <w:lang w:val="lt-LT"/>
        </w:rPr>
        <w:tab/>
        <w:t>TEKSTO PERŽIŪROS DATA</w:t>
      </w:r>
    </w:p>
    <w:p w14:paraId="09E45D7D" w14:textId="77777777" w:rsidR="00C00DD1" w:rsidRDefault="00C00DD1">
      <w:pPr>
        <w:widowControl w:val="0"/>
        <w:tabs>
          <w:tab w:val="clear" w:pos="567"/>
        </w:tabs>
        <w:spacing w:line="240" w:lineRule="auto"/>
        <w:ind w:left="567" w:hanging="567"/>
        <w:rPr>
          <w:bCs/>
          <w:caps/>
          <w:snapToGrid/>
          <w:szCs w:val="22"/>
          <w:lang w:val="lt-LT"/>
        </w:rPr>
      </w:pPr>
    </w:p>
    <w:p w14:paraId="18E34201" w14:textId="2AADC1B6" w:rsidR="00C00DD1" w:rsidRDefault="0006181B">
      <w:pPr>
        <w:widowControl w:val="0"/>
        <w:tabs>
          <w:tab w:val="clear" w:pos="567"/>
        </w:tabs>
        <w:spacing w:line="240" w:lineRule="auto"/>
        <w:ind w:left="567" w:hanging="567"/>
        <w:rPr>
          <w:noProof/>
          <w:szCs w:val="24"/>
          <w:lang w:val="lt-LT"/>
        </w:rPr>
      </w:pPr>
      <w:r>
        <w:rPr>
          <w:noProof/>
          <w:szCs w:val="24"/>
          <w:lang w:val="lt-LT"/>
        </w:rPr>
        <w:t>2026 m. liepos 17 d.</w:t>
      </w:r>
    </w:p>
    <w:p w14:paraId="6167DFAD" w14:textId="77777777" w:rsidR="00C00DD1" w:rsidRDefault="00C00DD1">
      <w:pPr>
        <w:widowControl w:val="0"/>
        <w:tabs>
          <w:tab w:val="clear" w:pos="567"/>
        </w:tabs>
        <w:spacing w:line="240" w:lineRule="auto"/>
        <w:ind w:left="567" w:hanging="567"/>
        <w:rPr>
          <w:bCs/>
          <w:caps/>
          <w:snapToGrid/>
          <w:szCs w:val="22"/>
          <w:lang w:val="lt-LT"/>
        </w:rPr>
      </w:pPr>
    </w:p>
    <w:p w14:paraId="68FCDC57" w14:textId="77777777" w:rsidR="00C00DD1" w:rsidRDefault="00C260EB">
      <w:pPr>
        <w:widowControl w:val="0"/>
        <w:tabs>
          <w:tab w:val="clear" w:pos="567"/>
          <w:tab w:val="left" w:pos="5954"/>
          <w:tab w:val="left" w:pos="6237"/>
          <w:tab w:val="left" w:pos="6663"/>
          <w:tab w:val="left" w:pos="6946"/>
        </w:tabs>
        <w:spacing w:line="240" w:lineRule="auto"/>
        <w:rPr>
          <w:snapToGrid/>
          <w:szCs w:val="22"/>
          <w:lang w:val="lt-LT"/>
        </w:rPr>
      </w:pPr>
      <w:r>
        <w:rPr>
          <w:rFonts w:eastAsia="SimSun"/>
          <w:snapToGrid/>
          <w:szCs w:val="22"/>
          <w:lang w:val="lt-LT"/>
        </w:rPr>
        <w:t>Išsami informacija apie šį vaistinį preparatą pateikiama Valstybinės vaistų kontrolės tarnybos prie Lietuvos Respublikos sveikatos apsaugos ministerijos tinklalapyje</w:t>
      </w:r>
      <w:r>
        <w:rPr>
          <w:rFonts w:eastAsia="SimSun"/>
          <w:i/>
          <w:snapToGrid/>
          <w:szCs w:val="22"/>
          <w:lang w:val="lt-LT"/>
        </w:rPr>
        <w:t xml:space="preserve"> </w:t>
      </w:r>
      <w:hyperlink r:id="rId9" w:history="1">
        <w:r>
          <w:rPr>
            <w:rFonts w:eastAsia="SimSun"/>
            <w:snapToGrid/>
            <w:color w:val="0000FF"/>
            <w:szCs w:val="22"/>
            <w:lang w:val="lt-LT"/>
          </w:rPr>
          <w:t>http://www.vvkt.lt</w:t>
        </w:r>
      </w:hyperlink>
      <w:r>
        <w:rPr>
          <w:rFonts w:eastAsia="TimesNewRoman"/>
          <w:snapToGrid/>
          <w:szCs w:val="22"/>
          <w:lang w:val="lt-LT"/>
        </w:rPr>
        <w:t>.</w:t>
      </w:r>
    </w:p>
    <w:p w14:paraId="479DF668" w14:textId="77777777" w:rsidR="00C00DD1" w:rsidRDefault="00C260EB">
      <w:pPr>
        <w:widowControl w:val="0"/>
        <w:spacing w:line="240" w:lineRule="auto"/>
        <w:ind w:left="567" w:hanging="567"/>
        <w:outlineLvl w:val="1"/>
        <w:rPr>
          <w:b/>
          <w:snapToGrid/>
          <w:szCs w:val="22"/>
          <w:lang w:val="lt-LT"/>
        </w:rPr>
      </w:pPr>
      <w:r>
        <w:rPr>
          <w:snapToGrid/>
          <w:szCs w:val="22"/>
          <w:lang w:val="lt-LT"/>
        </w:rPr>
        <w:br w:type="page"/>
      </w:r>
      <w:r>
        <w:rPr>
          <w:b/>
          <w:snapToGrid/>
          <w:szCs w:val="22"/>
          <w:lang w:val="lt-LT"/>
        </w:rPr>
        <w:lastRenderedPageBreak/>
        <w:t>1.</w:t>
      </w:r>
      <w:r>
        <w:rPr>
          <w:b/>
          <w:snapToGrid/>
          <w:szCs w:val="22"/>
          <w:lang w:val="lt-LT"/>
        </w:rPr>
        <w:tab/>
        <w:t>VAISTINIO PREPARATO PAVADINIMAS</w:t>
      </w:r>
    </w:p>
    <w:p w14:paraId="1202D6D7" w14:textId="77777777" w:rsidR="00C00DD1" w:rsidRDefault="00C00DD1">
      <w:pPr>
        <w:widowControl w:val="0"/>
        <w:tabs>
          <w:tab w:val="clear" w:pos="567"/>
        </w:tabs>
        <w:spacing w:line="240" w:lineRule="auto"/>
        <w:ind w:left="567" w:hanging="567"/>
        <w:rPr>
          <w:snapToGrid/>
          <w:szCs w:val="22"/>
          <w:lang w:val="lt-LT"/>
        </w:rPr>
      </w:pPr>
    </w:p>
    <w:p w14:paraId="11F8AE88"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r>
        <w:rPr>
          <w:snapToGrid/>
          <w:color w:val="000000"/>
          <w:szCs w:val="22"/>
          <w:lang w:val="lt-LT"/>
        </w:rPr>
        <w:t>Perindopril arginine/indapamide Krka 10 mg/2,5 mg tabletės</w:t>
      </w:r>
    </w:p>
    <w:p w14:paraId="0C4C4245" w14:textId="77777777" w:rsidR="00C00DD1" w:rsidRDefault="00C00DD1">
      <w:pPr>
        <w:widowControl w:val="0"/>
        <w:tabs>
          <w:tab w:val="clear" w:pos="567"/>
        </w:tabs>
        <w:spacing w:line="240" w:lineRule="auto"/>
        <w:ind w:left="567" w:hanging="567"/>
        <w:rPr>
          <w:snapToGrid/>
          <w:szCs w:val="22"/>
          <w:lang w:val="lt-LT"/>
        </w:rPr>
      </w:pPr>
    </w:p>
    <w:p w14:paraId="649700A5" w14:textId="77777777" w:rsidR="00C00DD1" w:rsidRDefault="00C00DD1">
      <w:pPr>
        <w:widowControl w:val="0"/>
        <w:tabs>
          <w:tab w:val="clear" w:pos="567"/>
        </w:tabs>
        <w:spacing w:line="240" w:lineRule="auto"/>
        <w:ind w:left="567" w:hanging="567"/>
        <w:rPr>
          <w:snapToGrid/>
          <w:szCs w:val="22"/>
          <w:lang w:val="lt-LT"/>
        </w:rPr>
      </w:pPr>
    </w:p>
    <w:p w14:paraId="1000A0E5" w14:textId="77777777" w:rsidR="00C00DD1" w:rsidRDefault="00C260EB">
      <w:pPr>
        <w:widowControl w:val="0"/>
        <w:spacing w:line="240" w:lineRule="auto"/>
        <w:ind w:left="567" w:hanging="567"/>
        <w:outlineLvl w:val="1"/>
        <w:rPr>
          <w:b/>
          <w:caps/>
          <w:snapToGrid/>
          <w:szCs w:val="22"/>
          <w:lang w:val="lt-LT"/>
        </w:rPr>
      </w:pPr>
      <w:r>
        <w:rPr>
          <w:b/>
          <w:snapToGrid/>
          <w:szCs w:val="22"/>
          <w:lang w:val="lt-LT"/>
        </w:rPr>
        <w:t>2.</w:t>
      </w:r>
      <w:r>
        <w:rPr>
          <w:b/>
          <w:snapToGrid/>
          <w:szCs w:val="22"/>
          <w:lang w:val="lt-LT"/>
        </w:rPr>
        <w:tab/>
        <w:t>KOKYBINĖ IR KIEKYBINĖ SUDĖTIS</w:t>
      </w:r>
    </w:p>
    <w:p w14:paraId="03293AB3" w14:textId="77777777" w:rsidR="00C00DD1" w:rsidRDefault="00C00DD1">
      <w:pPr>
        <w:widowControl w:val="0"/>
        <w:tabs>
          <w:tab w:val="clear" w:pos="567"/>
        </w:tabs>
        <w:spacing w:line="240" w:lineRule="auto"/>
        <w:rPr>
          <w:snapToGrid/>
          <w:szCs w:val="22"/>
          <w:lang w:val="lt-LT"/>
        </w:rPr>
      </w:pPr>
    </w:p>
    <w:p w14:paraId="5FBD9FC5"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Kiekvienoje tabletėje yra 10 mg perindoprilio arginino (atitinka 6,790 mg perindoprilio) ir 2,5 mg indapamido.</w:t>
      </w:r>
    </w:p>
    <w:p w14:paraId="08A731FF" w14:textId="77777777" w:rsidR="00C00DD1" w:rsidRDefault="00C00DD1">
      <w:pPr>
        <w:widowControl w:val="0"/>
        <w:tabs>
          <w:tab w:val="clear" w:pos="567"/>
        </w:tabs>
        <w:spacing w:line="240" w:lineRule="auto"/>
        <w:rPr>
          <w:rFonts w:eastAsia="TimesNewRoman"/>
          <w:snapToGrid/>
          <w:szCs w:val="22"/>
          <w:lang w:val="lt-LT"/>
        </w:rPr>
      </w:pPr>
    </w:p>
    <w:p w14:paraId="1135BD8F" w14:textId="77777777" w:rsidR="00C00DD1" w:rsidRDefault="00C260EB">
      <w:pPr>
        <w:widowControl w:val="0"/>
        <w:tabs>
          <w:tab w:val="clear" w:pos="567"/>
        </w:tabs>
        <w:spacing w:line="240" w:lineRule="auto"/>
        <w:rPr>
          <w:snapToGrid/>
          <w:szCs w:val="22"/>
          <w:lang w:val="lt-LT"/>
        </w:rPr>
      </w:pPr>
      <w:r>
        <w:rPr>
          <w:snapToGrid/>
          <w:szCs w:val="22"/>
          <w:lang w:val="lt-LT"/>
        </w:rPr>
        <w:t>Visos pagalbinės medžiagos išvardytos 6.1</w:t>
      </w:r>
      <w:r>
        <w:rPr>
          <w:snapToGrid/>
          <w:szCs w:val="24"/>
          <w:lang w:val="lt-LT"/>
        </w:rPr>
        <w:t> </w:t>
      </w:r>
      <w:r>
        <w:rPr>
          <w:snapToGrid/>
          <w:szCs w:val="22"/>
          <w:lang w:val="lt-LT"/>
        </w:rPr>
        <w:t>skyriuje.</w:t>
      </w:r>
    </w:p>
    <w:p w14:paraId="55B5DA15" w14:textId="77777777" w:rsidR="00C00DD1" w:rsidRDefault="00C00DD1">
      <w:pPr>
        <w:widowControl w:val="0"/>
        <w:tabs>
          <w:tab w:val="clear" w:pos="567"/>
        </w:tabs>
        <w:spacing w:line="240" w:lineRule="auto"/>
        <w:ind w:left="567" w:hanging="567"/>
        <w:rPr>
          <w:snapToGrid/>
          <w:szCs w:val="22"/>
          <w:lang w:val="lt-LT"/>
        </w:rPr>
      </w:pPr>
    </w:p>
    <w:p w14:paraId="3C7C4E3E" w14:textId="77777777" w:rsidR="00C00DD1" w:rsidRDefault="00C00DD1">
      <w:pPr>
        <w:widowControl w:val="0"/>
        <w:tabs>
          <w:tab w:val="clear" w:pos="567"/>
        </w:tabs>
        <w:spacing w:line="240" w:lineRule="auto"/>
        <w:ind w:left="567" w:hanging="567"/>
        <w:rPr>
          <w:snapToGrid/>
          <w:szCs w:val="22"/>
          <w:lang w:val="lt-LT"/>
        </w:rPr>
      </w:pPr>
    </w:p>
    <w:p w14:paraId="07D2689C" w14:textId="77777777" w:rsidR="00C00DD1" w:rsidRDefault="00C260EB">
      <w:pPr>
        <w:widowControl w:val="0"/>
        <w:spacing w:line="240" w:lineRule="auto"/>
        <w:ind w:left="567" w:hanging="567"/>
        <w:outlineLvl w:val="1"/>
        <w:rPr>
          <w:b/>
          <w:snapToGrid/>
          <w:szCs w:val="22"/>
          <w:lang w:val="lt-LT"/>
        </w:rPr>
      </w:pPr>
      <w:r>
        <w:rPr>
          <w:b/>
          <w:snapToGrid/>
          <w:szCs w:val="22"/>
          <w:lang w:val="lt-LT"/>
        </w:rPr>
        <w:t>3.</w:t>
      </w:r>
      <w:r>
        <w:rPr>
          <w:b/>
          <w:snapToGrid/>
          <w:szCs w:val="22"/>
          <w:lang w:val="lt-LT"/>
        </w:rPr>
        <w:tab/>
        <w:t>FARMACINĖ FORMA</w:t>
      </w:r>
    </w:p>
    <w:p w14:paraId="2E03D21C" w14:textId="77777777" w:rsidR="00C00DD1" w:rsidRDefault="00C00DD1">
      <w:pPr>
        <w:widowControl w:val="0"/>
        <w:tabs>
          <w:tab w:val="clear" w:pos="567"/>
        </w:tabs>
        <w:spacing w:line="240" w:lineRule="auto"/>
        <w:rPr>
          <w:snapToGrid/>
          <w:szCs w:val="22"/>
          <w:highlight w:val="yellow"/>
          <w:lang w:val="lt-LT"/>
        </w:rPr>
      </w:pPr>
    </w:p>
    <w:p w14:paraId="63A040CE" w14:textId="77777777" w:rsidR="00C00DD1" w:rsidRDefault="00C260EB">
      <w:pPr>
        <w:widowControl w:val="0"/>
        <w:tabs>
          <w:tab w:val="clear" w:pos="567"/>
        </w:tabs>
        <w:spacing w:line="240" w:lineRule="auto"/>
        <w:rPr>
          <w:snapToGrid/>
          <w:szCs w:val="22"/>
          <w:lang w:val="lt-LT"/>
        </w:rPr>
      </w:pPr>
      <w:r>
        <w:rPr>
          <w:snapToGrid/>
          <w:szCs w:val="22"/>
          <w:lang w:val="lt-LT"/>
        </w:rPr>
        <w:t>Tabletė</w:t>
      </w:r>
    </w:p>
    <w:p w14:paraId="15E3075D" w14:textId="77777777" w:rsidR="00C00DD1" w:rsidRDefault="00C00DD1">
      <w:pPr>
        <w:widowControl w:val="0"/>
        <w:tabs>
          <w:tab w:val="clear" w:pos="567"/>
        </w:tabs>
        <w:spacing w:line="240" w:lineRule="auto"/>
        <w:rPr>
          <w:snapToGrid/>
          <w:szCs w:val="22"/>
          <w:lang w:val="lt-LT"/>
        </w:rPr>
      </w:pPr>
    </w:p>
    <w:p w14:paraId="419E3D2C" w14:textId="77777777" w:rsidR="00C00DD1" w:rsidRDefault="00C260EB">
      <w:pPr>
        <w:widowControl w:val="0"/>
        <w:tabs>
          <w:tab w:val="clear" w:pos="567"/>
        </w:tabs>
        <w:spacing w:line="240" w:lineRule="auto"/>
        <w:rPr>
          <w:snapToGrid/>
          <w:color w:val="000000"/>
          <w:szCs w:val="22"/>
          <w:lang w:val="lt-LT"/>
        </w:rPr>
      </w:pPr>
      <w:r>
        <w:rPr>
          <w:snapToGrid/>
          <w:color w:val="000000"/>
          <w:szCs w:val="22"/>
          <w:lang w:val="lt-LT"/>
        </w:rPr>
        <w:t>Balta arba beveik balta apvali apibus išgaubta tabletė. Vienoje tabletės pusėje yra įspausta žyma „A2“. Tabletės matmenys: skersmuo maždaug 8 mm.</w:t>
      </w:r>
    </w:p>
    <w:p w14:paraId="6E9D9846" w14:textId="77777777" w:rsidR="00C00DD1" w:rsidRDefault="00C00DD1">
      <w:pPr>
        <w:widowControl w:val="0"/>
        <w:tabs>
          <w:tab w:val="clear" w:pos="567"/>
        </w:tabs>
        <w:spacing w:line="240" w:lineRule="auto"/>
        <w:ind w:left="567" w:hanging="567"/>
        <w:rPr>
          <w:snapToGrid/>
          <w:szCs w:val="22"/>
          <w:lang w:val="lt-LT"/>
        </w:rPr>
      </w:pPr>
    </w:p>
    <w:p w14:paraId="2EE7A6B9" w14:textId="77777777" w:rsidR="00C00DD1" w:rsidRDefault="00C00DD1">
      <w:pPr>
        <w:widowControl w:val="0"/>
        <w:tabs>
          <w:tab w:val="clear" w:pos="567"/>
        </w:tabs>
        <w:spacing w:line="240" w:lineRule="auto"/>
        <w:ind w:left="567" w:hanging="567"/>
        <w:rPr>
          <w:snapToGrid/>
          <w:szCs w:val="22"/>
          <w:lang w:val="lt-LT"/>
        </w:rPr>
      </w:pPr>
    </w:p>
    <w:p w14:paraId="07F3D343" w14:textId="77777777" w:rsidR="00C00DD1" w:rsidRDefault="00C260EB">
      <w:pPr>
        <w:widowControl w:val="0"/>
        <w:spacing w:line="240" w:lineRule="auto"/>
        <w:ind w:left="567" w:hanging="567"/>
        <w:outlineLvl w:val="1"/>
        <w:rPr>
          <w:b/>
          <w:snapToGrid/>
          <w:szCs w:val="22"/>
          <w:lang w:val="lt-LT"/>
        </w:rPr>
      </w:pPr>
      <w:r>
        <w:rPr>
          <w:b/>
          <w:snapToGrid/>
          <w:szCs w:val="22"/>
          <w:lang w:val="lt-LT"/>
        </w:rPr>
        <w:t>4.</w:t>
      </w:r>
      <w:r>
        <w:rPr>
          <w:b/>
          <w:snapToGrid/>
          <w:szCs w:val="22"/>
          <w:lang w:val="lt-LT"/>
        </w:rPr>
        <w:tab/>
        <w:t>KLINIKINĖ INFORMACIJA</w:t>
      </w:r>
    </w:p>
    <w:p w14:paraId="2FFC72D4" w14:textId="77777777" w:rsidR="00C00DD1" w:rsidRDefault="00C00DD1">
      <w:pPr>
        <w:widowControl w:val="0"/>
        <w:tabs>
          <w:tab w:val="clear" w:pos="567"/>
        </w:tabs>
        <w:spacing w:line="240" w:lineRule="auto"/>
        <w:ind w:left="567" w:hanging="567"/>
        <w:rPr>
          <w:snapToGrid/>
          <w:szCs w:val="22"/>
          <w:lang w:val="lt-LT"/>
        </w:rPr>
      </w:pPr>
    </w:p>
    <w:p w14:paraId="02CDFF6B"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4.1</w:t>
      </w:r>
      <w:r>
        <w:rPr>
          <w:b/>
          <w:snapToGrid/>
          <w:kern w:val="28"/>
          <w:szCs w:val="22"/>
          <w:lang w:val="lt-LT"/>
        </w:rPr>
        <w:tab/>
        <w:t>Terapinės indikacijos</w:t>
      </w:r>
    </w:p>
    <w:p w14:paraId="33CC5B87" w14:textId="77777777" w:rsidR="00C00DD1" w:rsidRDefault="00C00DD1">
      <w:pPr>
        <w:widowControl w:val="0"/>
        <w:tabs>
          <w:tab w:val="clear" w:pos="567"/>
        </w:tabs>
        <w:spacing w:line="240" w:lineRule="auto"/>
        <w:ind w:left="567" w:hanging="567"/>
        <w:rPr>
          <w:snapToGrid/>
          <w:szCs w:val="22"/>
          <w:lang w:val="lt-LT"/>
        </w:rPr>
      </w:pPr>
    </w:p>
    <w:p w14:paraId="41E0119A" w14:textId="77777777" w:rsidR="00C00DD1" w:rsidRDefault="00C260EB">
      <w:pPr>
        <w:widowControl w:val="0"/>
        <w:tabs>
          <w:tab w:val="clear" w:pos="567"/>
        </w:tabs>
        <w:autoSpaceDE w:val="0"/>
        <w:autoSpaceDN w:val="0"/>
        <w:adjustRightInd w:val="0"/>
        <w:spacing w:line="240" w:lineRule="auto"/>
        <w:rPr>
          <w:snapToGrid/>
          <w:szCs w:val="22"/>
          <w:lang w:val="lt-LT"/>
        </w:rPr>
      </w:pPr>
      <w:r>
        <w:rPr>
          <w:rFonts w:eastAsia="TimesNewRoman"/>
          <w:snapToGrid/>
          <w:szCs w:val="22"/>
          <w:lang w:val="lt-LT"/>
        </w:rPr>
        <w:t xml:space="preserve">Pirminės arterinės hipertenzijos pakeičiamasis gydymas </w:t>
      </w:r>
      <w:r>
        <w:rPr>
          <w:snapToGrid/>
          <w:color w:val="000000"/>
          <w:szCs w:val="22"/>
          <w:lang w:val="lt-LT"/>
        </w:rPr>
        <w:t xml:space="preserve">Perindopril arginine/indapamide Krka 10 mg/2,5 mg </w:t>
      </w:r>
      <w:r>
        <w:rPr>
          <w:rFonts w:eastAsia="TimesNewRoman"/>
          <w:snapToGrid/>
          <w:szCs w:val="22"/>
          <w:lang w:val="lt-LT"/>
        </w:rPr>
        <w:t>tabletėmis skirtas pacientams, kurių kraujospūdis jau sureguliuotas tokiomis pat atskirais vaistiniais preparatais kartu vartojamų perindoprilio ir indapamido dozėmis.</w:t>
      </w:r>
    </w:p>
    <w:p w14:paraId="4C101D55" w14:textId="77777777" w:rsidR="00C00DD1" w:rsidRDefault="00C00DD1">
      <w:pPr>
        <w:widowControl w:val="0"/>
        <w:tabs>
          <w:tab w:val="clear" w:pos="567"/>
        </w:tabs>
        <w:autoSpaceDE w:val="0"/>
        <w:autoSpaceDN w:val="0"/>
        <w:adjustRightInd w:val="0"/>
        <w:spacing w:line="240" w:lineRule="auto"/>
        <w:rPr>
          <w:snapToGrid/>
          <w:szCs w:val="22"/>
          <w:lang w:val="lt-LT"/>
        </w:rPr>
      </w:pPr>
    </w:p>
    <w:p w14:paraId="21421E4C" w14:textId="77777777" w:rsidR="00C00DD1" w:rsidRDefault="00C260EB">
      <w:pPr>
        <w:widowControl w:val="0"/>
        <w:spacing w:line="240" w:lineRule="auto"/>
        <w:ind w:left="567" w:hanging="567"/>
        <w:outlineLvl w:val="2"/>
        <w:rPr>
          <w:b/>
          <w:snapToGrid/>
          <w:szCs w:val="22"/>
          <w:lang w:val="lt-LT"/>
        </w:rPr>
      </w:pPr>
      <w:r>
        <w:rPr>
          <w:b/>
          <w:snapToGrid/>
          <w:kern w:val="28"/>
          <w:szCs w:val="22"/>
          <w:lang w:val="lt-LT"/>
        </w:rPr>
        <w:t>4.2</w:t>
      </w:r>
      <w:r>
        <w:rPr>
          <w:b/>
          <w:snapToGrid/>
          <w:kern w:val="28"/>
          <w:szCs w:val="22"/>
          <w:lang w:val="lt-LT"/>
        </w:rPr>
        <w:tab/>
        <w:t>Dozavimas ir vartojimo metodas</w:t>
      </w:r>
    </w:p>
    <w:p w14:paraId="009109FA" w14:textId="77777777" w:rsidR="00C00DD1" w:rsidRDefault="00C00DD1">
      <w:pPr>
        <w:widowControl w:val="0"/>
        <w:tabs>
          <w:tab w:val="clear" w:pos="567"/>
        </w:tabs>
        <w:spacing w:line="240" w:lineRule="auto"/>
        <w:rPr>
          <w:bCs/>
          <w:snapToGrid/>
          <w:szCs w:val="22"/>
          <w:lang w:val="lt-LT"/>
        </w:rPr>
      </w:pPr>
    </w:p>
    <w:p w14:paraId="5738706B" w14:textId="77777777" w:rsidR="00C00DD1" w:rsidRDefault="00C260EB">
      <w:pPr>
        <w:widowControl w:val="0"/>
        <w:tabs>
          <w:tab w:val="clear" w:pos="567"/>
        </w:tabs>
        <w:spacing w:line="240" w:lineRule="auto"/>
        <w:rPr>
          <w:snapToGrid/>
          <w:szCs w:val="22"/>
          <w:u w:val="single"/>
          <w:lang w:val="lt-LT"/>
        </w:rPr>
      </w:pPr>
      <w:r>
        <w:rPr>
          <w:snapToGrid/>
          <w:szCs w:val="22"/>
          <w:u w:val="single"/>
          <w:lang w:val="lt-LT"/>
        </w:rPr>
        <w:t>Dozavimas</w:t>
      </w:r>
    </w:p>
    <w:p w14:paraId="2B3DA658" w14:textId="77777777" w:rsidR="00C00DD1" w:rsidRDefault="00C260EB">
      <w:pPr>
        <w:widowControl w:val="0"/>
        <w:tabs>
          <w:tab w:val="clear" w:pos="567"/>
        </w:tabs>
        <w:spacing w:line="240" w:lineRule="auto"/>
        <w:rPr>
          <w:snapToGrid/>
          <w:szCs w:val="22"/>
          <w:lang w:val="lt-LT"/>
        </w:rPr>
      </w:pPr>
      <w:r>
        <w:rPr>
          <w:snapToGrid/>
          <w:szCs w:val="22"/>
          <w:lang w:val="lt-LT"/>
        </w:rPr>
        <w:t>Įprastinė dozė yra viena Perindopril arginine/indapamide Krka 10 mg/2,5 mg tabletė, ji geriama kartą per parą, geriausia ryte prieš pusryčius.</w:t>
      </w:r>
    </w:p>
    <w:p w14:paraId="77234B5E" w14:textId="77777777" w:rsidR="00C00DD1" w:rsidRDefault="00C00DD1">
      <w:pPr>
        <w:widowControl w:val="0"/>
        <w:tabs>
          <w:tab w:val="clear" w:pos="567"/>
        </w:tabs>
        <w:spacing w:line="240" w:lineRule="auto"/>
        <w:rPr>
          <w:snapToGrid/>
          <w:szCs w:val="22"/>
          <w:lang w:val="lt-LT"/>
        </w:rPr>
      </w:pPr>
    </w:p>
    <w:p w14:paraId="200F4757" w14:textId="77777777" w:rsidR="00C00DD1" w:rsidRDefault="00C260EB">
      <w:pPr>
        <w:widowControl w:val="0"/>
        <w:tabs>
          <w:tab w:val="clear" w:pos="567"/>
        </w:tabs>
        <w:spacing w:line="240" w:lineRule="auto"/>
        <w:rPr>
          <w:i/>
          <w:iCs/>
          <w:snapToGrid/>
          <w:szCs w:val="22"/>
          <w:lang w:val="lt-LT"/>
        </w:rPr>
      </w:pPr>
      <w:r>
        <w:rPr>
          <w:i/>
          <w:iCs/>
          <w:snapToGrid/>
          <w:szCs w:val="22"/>
          <w:lang w:val="lt-LT"/>
        </w:rPr>
        <w:t>Senyviems pacientams (žr. 4.4 skyrių)</w:t>
      </w:r>
    </w:p>
    <w:p w14:paraId="0530A78E" w14:textId="77777777" w:rsidR="00C00DD1" w:rsidRDefault="00C260EB">
      <w:pPr>
        <w:widowControl w:val="0"/>
        <w:tabs>
          <w:tab w:val="clear" w:pos="567"/>
        </w:tabs>
        <w:spacing w:line="240" w:lineRule="auto"/>
        <w:rPr>
          <w:snapToGrid/>
          <w:szCs w:val="22"/>
          <w:lang w:val="lt-LT"/>
        </w:rPr>
      </w:pPr>
      <w:r>
        <w:rPr>
          <w:snapToGrid/>
          <w:szCs w:val="22"/>
          <w:lang w:val="lt-LT"/>
        </w:rPr>
        <w:t>Senyvų pacientų kraujo plazmos kreatinino rodmenį reikia koreguoti atsižvelgiant į amžių, kūno svorį ir lytį. Senyvus pacientus galima gydyti, jeigu jų inkstų funkcija yra normali ir yra įvertinta kraujospūdžio reakcija.</w:t>
      </w:r>
    </w:p>
    <w:p w14:paraId="3698A8FC" w14:textId="77777777" w:rsidR="00C00DD1" w:rsidRDefault="00C00DD1">
      <w:pPr>
        <w:widowControl w:val="0"/>
        <w:tabs>
          <w:tab w:val="clear" w:pos="567"/>
        </w:tabs>
        <w:spacing w:line="240" w:lineRule="auto"/>
        <w:rPr>
          <w:snapToGrid/>
          <w:szCs w:val="22"/>
          <w:lang w:val="lt-LT"/>
        </w:rPr>
      </w:pPr>
    </w:p>
    <w:p w14:paraId="1997A071" w14:textId="77777777" w:rsidR="00C00DD1" w:rsidRDefault="00C260EB">
      <w:pPr>
        <w:widowControl w:val="0"/>
        <w:tabs>
          <w:tab w:val="clear" w:pos="567"/>
        </w:tabs>
        <w:spacing w:line="240" w:lineRule="auto"/>
        <w:rPr>
          <w:i/>
          <w:iCs/>
          <w:snapToGrid/>
          <w:szCs w:val="22"/>
          <w:lang w:val="lt-LT"/>
        </w:rPr>
      </w:pPr>
      <w:r>
        <w:rPr>
          <w:i/>
          <w:iCs/>
          <w:snapToGrid/>
          <w:szCs w:val="22"/>
          <w:lang w:val="lt-LT"/>
        </w:rPr>
        <w:t>Sutrikusi inkstų funkcija (žr. 4.4 skyrių)</w:t>
      </w:r>
    </w:p>
    <w:p w14:paraId="68F2E12C" w14:textId="77777777" w:rsidR="00C00DD1" w:rsidRDefault="00C260EB">
      <w:pPr>
        <w:widowControl w:val="0"/>
        <w:tabs>
          <w:tab w:val="clear" w:pos="567"/>
        </w:tabs>
        <w:spacing w:line="240" w:lineRule="auto"/>
        <w:rPr>
          <w:snapToGrid/>
          <w:szCs w:val="22"/>
          <w:lang w:val="lt-LT"/>
        </w:rPr>
      </w:pPr>
      <w:r>
        <w:rPr>
          <w:snapToGrid/>
          <w:szCs w:val="22"/>
          <w:lang w:val="lt-LT"/>
        </w:rPr>
        <w:t>Jeigu yra sunkus arba vidutinio sunkumo inkstų funkcijos sutrikimas (kreatinino klirensas yra mažesnis kaip 60 ml/min.), Perindopril arginine/indapamide Krka vartoti draudžiama.</w:t>
      </w:r>
    </w:p>
    <w:p w14:paraId="48B531D2" w14:textId="77777777" w:rsidR="00C00DD1" w:rsidRDefault="00C260EB">
      <w:pPr>
        <w:widowControl w:val="0"/>
        <w:tabs>
          <w:tab w:val="clear" w:pos="567"/>
        </w:tabs>
        <w:spacing w:line="240" w:lineRule="auto"/>
        <w:rPr>
          <w:snapToGrid/>
          <w:szCs w:val="22"/>
          <w:lang w:val="lt-LT"/>
        </w:rPr>
      </w:pPr>
      <w:r>
        <w:rPr>
          <w:snapToGrid/>
          <w:szCs w:val="22"/>
          <w:lang w:val="lt-LT"/>
        </w:rPr>
        <w:t>Be įprastinio medicininio stebėjimo, būtina dažnai tirti kreatinino ir kalio koncentraciją kraujyje.</w:t>
      </w:r>
    </w:p>
    <w:p w14:paraId="6A452126" w14:textId="77777777" w:rsidR="00C00DD1" w:rsidRDefault="00C00DD1">
      <w:pPr>
        <w:widowControl w:val="0"/>
        <w:tabs>
          <w:tab w:val="clear" w:pos="567"/>
        </w:tabs>
        <w:spacing w:line="240" w:lineRule="auto"/>
        <w:rPr>
          <w:snapToGrid/>
          <w:szCs w:val="22"/>
          <w:lang w:val="lt-LT"/>
        </w:rPr>
      </w:pPr>
    </w:p>
    <w:p w14:paraId="7915A32A" w14:textId="77777777" w:rsidR="00C00DD1" w:rsidRDefault="00C260EB">
      <w:pPr>
        <w:widowControl w:val="0"/>
        <w:tabs>
          <w:tab w:val="clear" w:pos="567"/>
        </w:tabs>
        <w:spacing w:line="240" w:lineRule="auto"/>
        <w:rPr>
          <w:i/>
          <w:iCs/>
          <w:snapToGrid/>
          <w:szCs w:val="22"/>
          <w:lang w:val="lt-LT"/>
        </w:rPr>
      </w:pPr>
      <w:r>
        <w:rPr>
          <w:i/>
          <w:iCs/>
          <w:snapToGrid/>
          <w:szCs w:val="22"/>
          <w:lang w:val="lt-LT"/>
        </w:rPr>
        <w:t>Sutrikusi kepenų funkcija (žr. 4.3, 4.4 ir 5.2 skyrius)</w:t>
      </w:r>
    </w:p>
    <w:p w14:paraId="4E2185D5" w14:textId="77777777" w:rsidR="00C00DD1" w:rsidRDefault="00C260EB">
      <w:pPr>
        <w:widowControl w:val="0"/>
        <w:tabs>
          <w:tab w:val="clear" w:pos="567"/>
        </w:tabs>
        <w:spacing w:line="240" w:lineRule="auto"/>
        <w:rPr>
          <w:snapToGrid/>
          <w:szCs w:val="22"/>
          <w:lang w:val="lt-LT"/>
        </w:rPr>
      </w:pPr>
      <w:r>
        <w:rPr>
          <w:snapToGrid/>
          <w:szCs w:val="22"/>
          <w:lang w:val="lt-LT"/>
        </w:rPr>
        <w:t>Jeigu yra sunkus kepenų funkcijos sutrikimas, Perindopril arginine/indapamide Krka vartoti draudžiama.</w:t>
      </w:r>
    </w:p>
    <w:p w14:paraId="771814B7" w14:textId="77777777" w:rsidR="00C00DD1" w:rsidRDefault="00C260EB">
      <w:pPr>
        <w:widowControl w:val="0"/>
        <w:tabs>
          <w:tab w:val="clear" w:pos="567"/>
        </w:tabs>
        <w:spacing w:line="240" w:lineRule="auto"/>
        <w:rPr>
          <w:snapToGrid/>
          <w:szCs w:val="22"/>
          <w:lang w:val="lt-LT"/>
        </w:rPr>
      </w:pPr>
      <w:r>
        <w:rPr>
          <w:snapToGrid/>
          <w:szCs w:val="22"/>
          <w:lang w:val="lt-LT"/>
        </w:rPr>
        <w:t>Jeigu yra vidutinio sunkumo kepenų funkcijos sutrikimas, dozės keisti nereikia.</w:t>
      </w:r>
    </w:p>
    <w:p w14:paraId="71DFB699" w14:textId="77777777" w:rsidR="00C00DD1" w:rsidRDefault="00C00DD1">
      <w:pPr>
        <w:widowControl w:val="0"/>
        <w:tabs>
          <w:tab w:val="clear" w:pos="567"/>
        </w:tabs>
        <w:spacing w:line="240" w:lineRule="auto"/>
        <w:rPr>
          <w:snapToGrid/>
          <w:szCs w:val="22"/>
          <w:lang w:val="lt-LT"/>
        </w:rPr>
      </w:pPr>
    </w:p>
    <w:p w14:paraId="2E6D112E" w14:textId="77777777" w:rsidR="00C00DD1" w:rsidRDefault="00C260EB">
      <w:pPr>
        <w:widowControl w:val="0"/>
        <w:tabs>
          <w:tab w:val="clear" w:pos="567"/>
        </w:tabs>
        <w:spacing w:line="240" w:lineRule="auto"/>
        <w:rPr>
          <w:i/>
          <w:iCs/>
          <w:snapToGrid/>
          <w:szCs w:val="22"/>
          <w:lang w:val="lt-LT"/>
        </w:rPr>
      </w:pPr>
      <w:r>
        <w:rPr>
          <w:i/>
          <w:iCs/>
          <w:snapToGrid/>
          <w:szCs w:val="22"/>
          <w:lang w:val="lt-LT"/>
        </w:rPr>
        <w:t>Vaikų populiacija</w:t>
      </w:r>
    </w:p>
    <w:p w14:paraId="2938E675" w14:textId="77777777" w:rsidR="00C00DD1" w:rsidRDefault="00C260EB">
      <w:pPr>
        <w:widowControl w:val="0"/>
        <w:tabs>
          <w:tab w:val="clear" w:pos="567"/>
        </w:tabs>
        <w:spacing w:line="240" w:lineRule="auto"/>
        <w:rPr>
          <w:snapToGrid/>
          <w:szCs w:val="22"/>
          <w:lang w:val="lt-LT"/>
        </w:rPr>
      </w:pPr>
      <w:r>
        <w:rPr>
          <w:snapToGrid/>
          <w:szCs w:val="22"/>
          <w:lang w:val="lt-LT"/>
        </w:rPr>
        <w:t>Perindoprilio arginino/indapamido</w:t>
      </w:r>
      <w:r>
        <w:rPr>
          <w:lang w:val="lt-LT"/>
        </w:rPr>
        <w:t xml:space="preserve"> </w:t>
      </w:r>
      <w:r>
        <w:rPr>
          <w:snapToGrid/>
          <w:szCs w:val="22"/>
          <w:lang w:val="lt-LT"/>
        </w:rPr>
        <w:t>saugumas ir veiksmingumas vaikams dar neištirti. Duomenų nėra.</w:t>
      </w:r>
    </w:p>
    <w:p w14:paraId="06EDDAB1" w14:textId="77777777" w:rsidR="00C00DD1" w:rsidRDefault="00C260EB">
      <w:pPr>
        <w:widowControl w:val="0"/>
        <w:tabs>
          <w:tab w:val="clear" w:pos="567"/>
        </w:tabs>
        <w:spacing w:line="240" w:lineRule="auto"/>
        <w:rPr>
          <w:snapToGrid/>
          <w:szCs w:val="22"/>
          <w:lang w:val="lt-LT"/>
        </w:rPr>
      </w:pPr>
      <w:r>
        <w:rPr>
          <w:snapToGrid/>
          <w:szCs w:val="22"/>
          <w:lang w:val="lt-LT"/>
        </w:rPr>
        <w:t>Perindopril arginine/indapamide Krka nevartotina vaikams ir paaugliams.</w:t>
      </w:r>
    </w:p>
    <w:p w14:paraId="6DEB7703" w14:textId="77777777" w:rsidR="00C00DD1" w:rsidRDefault="00C00DD1">
      <w:pPr>
        <w:widowControl w:val="0"/>
        <w:tabs>
          <w:tab w:val="clear" w:pos="567"/>
        </w:tabs>
        <w:spacing w:line="240" w:lineRule="auto"/>
        <w:rPr>
          <w:snapToGrid/>
          <w:szCs w:val="22"/>
          <w:lang w:val="lt-LT"/>
        </w:rPr>
      </w:pPr>
    </w:p>
    <w:p w14:paraId="7D41AF90" w14:textId="77777777" w:rsidR="00C00DD1" w:rsidRDefault="00C260EB">
      <w:pPr>
        <w:widowControl w:val="0"/>
        <w:tabs>
          <w:tab w:val="clear" w:pos="567"/>
        </w:tabs>
        <w:spacing w:line="240" w:lineRule="auto"/>
        <w:rPr>
          <w:snapToGrid/>
          <w:szCs w:val="22"/>
          <w:u w:val="single"/>
          <w:lang w:val="lt-LT"/>
        </w:rPr>
      </w:pPr>
      <w:r>
        <w:rPr>
          <w:snapToGrid/>
          <w:szCs w:val="22"/>
          <w:u w:val="single"/>
          <w:lang w:val="lt-LT"/>
        </w:rPr>
        <w:t>Vartojimo metodas</w:t>
      </w:r>
    </w:p>
    <w:p w14:paraId="5BF922B8" w14:textId="77777777" w:rsidR="00C00DD1" w:rsidRDefault="00C00DD1">
      <w:pPr>
        <w:widowControl w:val="0"/>
        <w:tabs>
          <w:tab w:val="clear" w:pos="567"/>
        </w:tabs>
        <w:spacing w:line="240" w:lineRule="auto"/>
        <w:rPr>
          <w:snapToGrid/>
          <w:szCs w:val="22"/>
          <w:lang w:val="lt-LT"/>
        </w:rPr>
      </w:pPr>
    </w:p>
    <w:p w14:paraId="7FB5CCF9" w14:textId="77777777" w:rsidR="00C00DD1" w:rsidRDefault="00C260EB">
      <w:pPr>
        <w:widowControl w:val="0"/>
        <w:tabs>
          <w:tab w:val="clear" w:pos="567"/>
        </w:tabs>
        <w:spacing w:line="240" w:lineRule="auto"/>
        <w:rPr>
          <w:snapToGrid/>
          <w:szCs w:val="22"/>
          <w:lang w:val="lt-LT"/>
        </w:rPr>
      </w:pPr>
      <w:r>
        <w:rPr>
          <w:snapToGrid/>
          <w:szCs w:val="22"/>
          <w:lang w:val="lt-LT"/>
        </w:rPr>
        <w:t>Vartoti per burną.</w:t>
      </w:r>
    </w:p>
    <w:p w14:paraId="7C856E61" w14:textId="77777777" w:rsidR="00C00DD1" w:rsidRDefault="00C00DD1">
      <w:pPr>
        <w:widowControl w:val="0"/>
        <w:tabs>
          <w:tab w:val="clear" w:pos="567"/>
        </w:tabs>
        <w:spacing w:line="240" w:lineRule="auto"/>
        <w:ind w:left="567" w:hanging="567"/>
        <w:rPr>
          <w:snapToGrid/>
          <w:szCs w:val="22"/>
          <w:lang w:val="lt-LT"/>
        </w:rPr>
      </w:pPr>
    </w:p>
    <w:p w14:paraId="25E87E3E"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4.3</w:t>
      </w:r>
      <w:r>
        <w:rPr>
          <w:b/>
          <w:snapToGrid/>
          <w:kern w:val="28"/>
          <w:szCs w:val="22"/>
          <w:lang w:val="lt-LT"/>
        </w:rPr>
        <w:tab/>
        <w:t>Kontraindikacijos</w:t>
      </w:r>
    </w:p>
    <w:p w14:paraId="633FE5DD" w14:textId="77777777" w:rsidR="00C00DD1" w:rsidRDefault="00C00DD1">
      <w:pPr>
        <w:widowControl w:val="0"/>
        <w:tabs>
          <w:tab w:val="clear" w:pos="567"/>
        </w:tabs>
        <w:spacing w:line="240" w:lineRule="auto"/>
        <w:ind w:left="567" w:hanging="567"/>
        <w:rPr>
          <w:snapToGrid/>
          <w:szCs w:val="22"/>
          <w:lang w:val="lt-LT"/>
        </w:rPr>
      </w:pPr>
    </w:p>
    <w:p w14:paraId="25624B38"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perindopriliu:</w:t>
      </w:r>
    </w:p>
    <w:p w14:paraId="46EC6774"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Padidėjęs jautrumas veikliajai medžiagai arba bet kuriam kitam angiotenziną konvertuojančio fermento (AKF) inhibitoriui.</w:t>
      </w:r>
    </w:p>
    <w:p w14:paraId="7649AB3F"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Buvusi angioneurozinė edema (Kvinkės edema), susijusi su ankstesniu gydymu AKF inhibitoriais (žr. 4.4 skyrių).</w:t>
      </w:r>
    </w:p>
    <w:p w14:paraId="033B957D"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Įgimta ar idiopatinė angioneurozinė edema.</w:t>
      </w:r>
    </w:p>
    <w:p w14:paraId="1FE28ACB" w14:textId="77777777" w:rsidR="00C00DD1" w:rsidRDefault="00C260EB">
      <w:pPr>
        <w:widowControl w:val="0"/>
        <w:numPr>
          <w:ilvl w:val="0"/>
          <w:numId w:val="14"/>
        </w:numPr>
        <w:tabs>
          <w:tab w:val="clear" w:pos="567"/>
        </w:tabs>
        <w:spacing w:line="240" w:lineRule="auto"/>
        <w:jc w:val="both"/>
        <w:rPr>
          <w:snapToGrid/>
          <w:szCs w:val="22"/>
          <w:lang w:val="lt-LT" w:eastAsia="sl-SI"/>
        </w:rPr>
      </w:pPr>
      <w:r>
        <w:rPr>
          <w:snapToGrid/>
          <w:szCs w:val="22"/>
          <w:lang w:val="lt-LT" w:eastAsia="sl-SI"/>
        </w:rPr>
        <w:t>Antras ir trečias nėštumo trimestrai (žr. 4.4 ir 4.6 skyrius).</w:t>
      </w:r>
    </w:p>
    <w:p w14:paraId="50F351EF" w14:textId="77777777" w:rsidR="00C00DD1" w:rsidRDefault="00C260EB">
      <w:pPr>
        <w:widowControl w:val="0"/>
        <w:numPr>
          <w:ilvl w:val="0"/>
          <w:numId w:val="14"/>
        </w:numPr>
        <w:tabs>
          <w:tab w:val="clear" w:pos="567"/>
        </w:tabs>
        <w:spacing w:line="240" w:lineRule="auto"/>
        <w:contextualSpacing/>
        <w:rPr>
          <w:iCs/>
          <w:snapToGrid/>
          <w:szCs w:val="22"/>
          <w:lang w:val="lt-LT"/>
        </w:rPr>
      </w:pPr>
      <w:r>
        <w:rPr>
          <w:rFonts w:eastAsia="Calibri"/>
          <w:iCs/>
          <w:snapToGrid/>
          <w:szCs w:val="22"/>
          <w:lang w:val="lt-LT"/>
        </w:rPr>
        <w:t>Pacientams, kurie serga cukriniu diabetu arba kurių inkstų funkcija sutrikusi (GFG &lt; 60 ml/min./1,73 m</w:t>
      </w:r>
      <w:r>
        <w:rPr>
          <w:rFonts w:eastAsia="Calibri"/>
          <w:iCs/>
          <w:snapToGrid/>
          <w:szCs w:val="22"/>
          <w:vertAlign w:val="superscript"/>
          <w:lang w:val="lt-LT"/>
        </w:rPr>
        <w:t>2</w:t>
      </w:r>
      <w:r>
        <w:rPr>
          <w:rFonts w:eastAsia="Calibri"/>
          <w:iCs/>
          <w:snapToGrid/>
          <w:szCs w:val="22"/>
          <w:lang w:val="lt-LT"/>
        </w:rPr>
        <w:t>), Perindopril arginine/indapamide Krka draudžiama vartoti kartu su vaistiniais preparatais, kurių sudėtyje yra aliskireno (žr. 4.5 ir 5.1 skyrius).</w:t>
      </w:r>
    </w:p>
    <w:p w14:paraId="219B138B" w14:textId="77777777" w:rsidR="00C00DD1" w:rsidRDefault="00C260EB">
      <w:pPr>
        <w:widowControl w:val="0"/>
        <w:numPr>
          <w:ilvl w:val="0"/>
          <w:numId w:val="14"/>
        </w:numPr>
        <w:spacing w:line="240" w:lineRule="auto"/>
        <w:contextualSpacing/>
        <w:rPr>
          <w:snapToGrid/>
          <w:szCs w:val="22"/>
          <w:lang w:val="lt-LT" w:eastAsia="sl-SI"/>
        </w:rPr>
      </w:pPr>
      <w:r>
        <w:rPr>
          <w:snapToGrid/>
          <w:szCs w:val="22"/>
          <w:lang w:val="lt-LT" w:eastAsia="sl-SI"/>
        </w:rPr>
        <w:t>Vartojimas kartu su sakubitrilu/valsartanu (žr. 4.4 ir 4.5 skyrius).</w:t>
      </w:r>
    </w:p>
    <w:p w14:paraId="55498D8B" w14:textId="77777777" w:rsidR="00C00DD1" w:rsidRDefault="00C260EB">
      <w:pPr>
        <w:widowControl w:val="0"/>
        <w:numPr>
          <w:ilvl w:val="0"/>
          <w:numId w:val="14"/>
        </w:numPr>
        <w:spacing w:line="240" w:lineRule="auto"/>
        <w:contextualSpacing/>
        <w:rPr>
          <w:snapToGrid/>
          <w:szCs w:val="22"/>
          <w:lang w:val="lt-LT" w:eastAsia="sl-SI"/>
        </w:rPr>
      </w:pPr>
      <w:r>
        <w:rPr>
          <w:snapToGrid/>
          <w:szCs w:val="22"/>
          <w:lang w:val="lt-LT" w:eastAsia="sl-SI"/>
        </w:rPr>
        <w:t>Ekstrakorporinis gydymas, dėl kurio kraujas sąveikauja su neigiamą krūvį turinčiais paviršiais (žr. 4.5 skyrių).</w:t>
      </w:r>
    </w:p>
    <w:p w14:paraId="01C7E35E" w14:textId="77777777" w:rsidR="00C00DD1" w:rsidRDefault="00C260EB">
      <w:pPr>
        <w:widowControl w:val="0"/>
        <w:numPr>
          <w:ilvl w:val="0"/>
          <w:numId w:val="14"/>
        </w:numPr>
        <w:spacing w:line="240" w:lineRule="auto"/>
        <w:contextualSpacing/>
        <w:rPr>
          <w:snapToGrid/>
          <w:szCs w:val="22"/>
          <w:lang w:val="lt-LT" w:eastAsia="sl-SI"/>
        </w:rPr>
      </w:pPr>
      <w:r>
        <w:rPr>
          <w:snapToGrid/>
          <w:szCs w:val="22"/>
          <w:lang w:val="lt-LT" w:eastAsia="sl-SI"/>
        </w:rPr>
        <w:t>Reikšminga abiejų inkstų arterijų stenozė arba vienintelio funkcionuojančio inksto arterijos stenozė (žr. 4.4 skyrių).</w:t>
      </w:r>
    </w:p>
    <w:p w14:paraId="6C6A46C4" w14:textId="77777777" w:rsidR="00C00DD1" w:rsidRDefault="00C00DD1">
      <w:pPr>
        <w:widowControl w:val="0"/>
        <w:tabs>
          <w:tab w:val="clear" w:pos="567"/>
        </w:tabs>
        <w:spacing w:line="240" w:lineRule="auto"/>
        <w:rPr>
          <w:snapToGrid/>
          <w:szCs w:val="22"/>
          <w:lang w:val="lt-LT" w:eastAsia="sl-SI"/>
        </w:rPr>
      </w:pPr>
    </w:p>
    <w:p w14:paraId="4429C132"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indapamidu:</w:t>
      </w:r>
    </w:p>
    <w:p w14:paraId="10E56C9D"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Padidėjęs jautrumas veikliajai medžiagai arba bet kuriam kitam sulfonamidui.</w:t>
      </w:r>
    </w:p>
    <w:p w14:paraId="4C848785"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Hepatinė encefalopatija.</w:t>
      </w:r>
    </w:p>
    <w:p w14:paraId="134FD3E8"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Sunkus kepenų funkcijos sutrikimas.</w:t>
      </w:r>
    </w:p>
    <w:p w14:paraId="788135E8"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Hipokalemija.</w:t>
      </w:r>
    </w:p>
    <w:p w14:paraId="0FFE0231" w14:textId="77777777" w:rsidR="00C00DD1" w:rsidRDefault="00C00DD1">
      <w:pPr>
        <w:widowControl w:val="0"/>
        <w:tabs>
          <w:tab w:val="clear" w:pos="567"/>
        </w:tabs>
        <w:spacing w:line="240" w:lineRule="auto"/>
        <w:rPr>
          <w:snapToGrid/>
          <w:szCs w:val="22"/>
          <w:lang w:val="lt-LT" w:eastAsia="sl-SI"/>
        </w:rPr>
      </w:pPr>
    </w:p>
    <w:p w14:paraId="1EA6BD7D"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 arginine/indapamide Krka:</w:t>
      </w:r>
    </w:p>
    <w:p w14:paraId="7DC013E9"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Padidėjęs jautrumas bet kuriai 6.1 skyriuje nurodytai pagalbinei medžiagai.</w:t>
      </w:r>
    </w:p>
    <w:p w14:paraId="4CC8D7FE"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Sunkus arba vidutinio sunkumo inkstų funkcijos sutrikimas (kreatinino klirensas mažesnis kaip 60 ml/min.).</w:t>
      </w:r>
    </w:p>
    <w:p w14:paraId="5012F8F9" w14:textId="77777777" w:rsidR="00C00DD1" w:rsidRDefault="00C00DD1">
      <w:pPr>
        <w:widowControl w:val="0"/>
        <w:tabs>
          <w:tab w:val="clear" w:pos="567"/>
        </w:tabs>
        <w:spacing w:line="240" w:lineRule="auto"/>
        <w:rPr>
          <w:snapToGrid/>
          <w:szCs w:val="22"/>
          <w:lang w:val="lt-LT" w:eastAsia="sl-SI"/>
        </w:rPr>
      </w:pPr>
    </w:p>
    <w:p w14:paraId="02E6502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Kadangi trūksta gydymo patirties, Perindopril arginine/indapamide Krka tablečių draudžiama vartoti:</w:t>
      </w:r>
    </w:p>
    <w:p w14:paraId="589DF75B"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dializėmis gydomiems pacientams;</w:t>
      </w:r>
    </w:p>
    <w:p w14:paraId="3F273C52" w14:textId="77777777" w:rsidR="00C00DD1" w:rsidRDefault="00C260EB">
      <w:pPr>
        <w:widowControl w:val="0"/>
        <w:numPr>
          <w:ilvl w:val="0"/>
          <w:numId w:val="14"/>
        </w:numPr>
        <w:tabs>
          <w:tab w:val="clear" w:pos="567"/>
        </w:tabs>
        <w:autoSpaceDE w:val="0"/>
        <w:autoSpaceDN w:val="0"/>
        <w:spacing w:line="240" w:lineRule="auto"/>
        <w:rPr>
          <w:snapToGrid/>
          <w:szCs w:val="22"/>
          <w:lang w:val="lt-LT" w:eastAsia="sl-SI"/>
        </w:rPr>
      </w:pPr>
      <w:r>
        <w:rPr>
          <w:snapToGrid/>
          <w:szCs w:val="22"/>
          <w:lang w:val="lt-LT" w:eastAsia="sl-SI"/>
        </w:rPr>
        <w:t>pacientams, sergantiems negydytu dekompensuotu širdies nepakankamumu.</w:t>
      </w:r>
    </w:p>
    <w:p w14:paraId="5F41F399"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002B1E4F" w14:textId="77777777" w:rsidR="00C00DD1" w:rsidRDefault="00C260EB">
      <w:pPr>
        <w:widowControl w:val="0"/>
        <w:spacing w:line="240" w:lineRule="auto"/>
        <w:ind w:left="567" w:hanging="567"/>
        <w:outlineLvl w:val="2"/>
        <w:rPr>
          <w:b/>
          <w:snapToGrid/>
          <w:szCs w:val="22"/>
          <w:lang w:val="lt-LT"/>
        </w:rPr>
      </w:pPr>
      <w:r>
        <w:rPr>
          <w:b/>
          <w:snapToGrid/>
          <w:kern w:val="28"/>
          <w:szCs w:val="22"/>
          <w:lang w:val="lt-LT"/>
        </w:rPr>
        <w:t>4.4</w:t>
      </w:r>
      <w:r>
        <w:rPr>
          <w:b/>
          <w:snapToGrid/>
          <w:kern w:val="28"/>
          <w:szCs w:val="22"/>
          <w:lang w:val="lt-LT"/>
        </w:rPr>
        <w:tab/>
        <w:t>Specialūs įspėjimai ir atsargumo priemonės</w:t>
      </w:r>
    </w:p>
    <w:p w14:paraId="11367B7E" w14:textId="77777777" w:rsidR="00C00DD1" w:rsidRDefault="00C00DD1">
      <w:pPr>
        <w:widowControl w:val="0"/>
        <w:tabs>
          <w:tab w:val="clear" w:pos="567"/>
        </w:tabs>
        <w:spacing w:line="240" w:lineRule="auto"/>
        <w:ind w:left="567" w:hanging="567"/>
        <w:rPr>
          <w:bCs/>
          <w:snapToGrid/>
          <w:szCs w:val="22"/>
          <w:lang w:val="lt-LT"/>
        </w:rPr>
      </w:pPr>
    </w:p>
    <w:p w14:paraId="722C4C7D"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Specialūs įspėjimai</w:t>
      </w:r>
    </w:p>
    <w:p w14:paraId="287F5D11" w14:textId="77777777" w:rsidR="00C00DD1" w:rsidRDefault="00C00DD1">
      <w:pPr>
        <w:widowControl w:val="0"/>
        <w:tabs>
          <w:tab w:val="clear" w:pos="567"/>
        </w:tabs>
        <w:spacing w:line="240" w:lineRule="auto"/>
        <w:rPr>
          <w:snapToGrid/>
          <w:szCs w:val="22"/>
          <w:lang w:val="lt-LT" w:eastAsia="sl-SI"/>
        </w:rPr>
      </w:pPr>
    </w:p>
    <w:p w14:paraId="39221265" w14:textId="77777777" w:rsidR="00C00DD1" w:rsidRDefault="00C260EB">
      <w:pPr>
        <w:widowControl w:val="0"/>
        <w:tabs>
          <w:tab w:val="clear" w:pos="567"/>
        </w:tabs>
        <w:spacing w:line="240" w:lineRule="auto"/>
        <w:rPr>
          <w:i/>
          <w:iCs/>
          <w:snapToGrid/>
          <w:szCs w:val="22"/>
          <w:u w:val="single"/>
          <w:lang w:val="lt-LT" w:eastAsia="sl-SI"/>
        </w:rPr>
      </w:pPr>
      <w:r>
        <w:rPr>
          <w:i/>
          <w:iCs/>
          <w:snapToGrid/>
          <w:szCs w:val="22"/>
          <w:u w:val="single"/>
          <w:lang w:val="lt-LT" w:eastAsia="sl-SI"/>
        </w:rPr>
        <w:t>Bendrieji įspėjimai, susiję su perindopriliu ir indapamidu:</w:t>
      </w:r>
    </w:p>
    <w:p w14:paraId="6B286F86" w14:textId="77777777" w:rsidR="00C00DD1" w:rsidRDefault="00C00DD1">
      <w:pPr>
        <w:widowControl w:val="0"/>
        <w:tabs>
          <w:tab w:val="clear" w:pos="567"/>
        </w:tabs>
        <w:spacing w:line="240" w:lineRule="auto"/>
        <w:rPr>
          <w:snapToGrid/>
          <w:szCs w:val="22"/>
          <w:lang w:val="lt-LT" w:eastAsia="sl-SI"/>
        </w:rPr>
      </w:pPr>
    </w:p>
    <w:p w14:paraId="094B68C9"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Litis</w:t>
      </w:r>
    </w:p>
    <w:p w14:paraId="2CFF994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Paprastai ličio vaistinių preparatų nerekomenduojama vartoti kartu su kombinuotuoju perindoprilio ir indapamido vaistiniu preparatu (žr. 4.5 skyrių).</w:t>
      </w:r>
    </w:p>
    <w:p w14:paraId="64A8CDE0" w14:textId="77777777" w:rsidR="00C00DD1" w:rsidRDefault="00C00DD1">
      <w:pPr>
        <w:widowControl w:val="0"/>
        <w:tabs>
          <w:tab w:val="clear" w:pos="567"/>
        </w:tabs>
        <w:spacing w:line="240" w:lineRule="auto"/>
        <w:rPr>
          <w:snapToGrid/>
          <w:szCs w:val="22"/>
          <w:lang w:val="lt-LT" w:eastAsia="sl-SI"/>
        </w:rPr>
      </w:pPr>
    </w:p>
    <w:p w14:paraId="3AEEFF57"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 su perindopriliu:</w:t>
      </w:r>
    </w:p>
    <w:p w14:paraId="7DC674D5" w14:textId="77777777" w:rsidR="00C00DD1" w:rsidRDefault="00C00DD1">
      <w:pPr>
        <w:widowControl w:val="0"/>
        <w:tabs>
          <w:tab w:val="clear" w:pos="567"/>
        </w:tabs>
        <w:spacing w:line="240" w:lineRule="auto"/>
        <w:rPr>
          <w:i/>
          <w:snapToGrid/>
          <w:szCs w:val="22"/>
          <w:u w:val="single"/>
          <w:lang w:val="lt-LT" w:eastAsia="sl-SI"/>
        </w:rPr>
      </w:pPr>
    </w:p>
    <w:p w14:paraId="417D137A" w14:textId="77777777" w:rsidR="00C00DD1" w:rsidRDefault="00C260EB">
      <w:pPr>
        <w:widowControl w:val="0"/>
        <w:spacing w:line="240" w:lineRule="auto"/>
        <w:rPr>
          <w:i/>
          <w:snapToGrid/>
          <w:szCs w:val="22"/>
          <w:lang w:val="lt-LT" w:eastAsia="sl-SI"/>
        </w:rPr>
      </w:pPr>
      <w:r>
        <w:rPr>
          <w:i/>
          <w:snapToGrid/>
          <w:szCs w:val="22"/>
          <w:lang w:val="lt-LT" w:eastAsia="sl-SI"/>
        </w:rPr>
        <w:t>Dvigubas renino, angiotenzino ir aldosterono sistemos (RAAS) nuslopinimas</w:t>
      </w:r>
    </w:p>
    <w:p w14:paraId="76611226" w14:textId="77777777" w:rsidR="00C00DD1" w:rsidRDefault="00C260EB">
      <w:pPr>
        <w:widowControl w:val="0"/>
        <w:spacing w:line="240" w:lineRule="auto"/>
        <w:rPr>
          <w:snapToGrid/>
          <w:szCs w:val="22"/>
          <w:lang w:val="lt-LT" w:eastAsia="sl-SI"/>
        </w:rPr>
      </w:pPr>
      <w:r>
        <w:rPr>
          <w:snapToGrid/>
          <w:szCs w:val="22"/>
          <w:lang w:val="lt-LT" w:eastAsia="sl-SI"/>
        </w:rPr>
        <w:t>Turima įrodymų, kad kartu vartojant AKF inhibitorių, angiotenzino II receptorių blokatorių ar aliskireną padidėja hipotenzijos, hiperkalemijos ir inkstų funkcijos susilpnėjimo (įskaitant ūminį inkstų nepakankamumą) rizika. Todėl nerekomenduojama dvigubai nuslopinti RAAS, vartojant AKF inhibitorių, angiotenzino II receptorių blokatorių ar aliskireno derinį (žr. 4.5 ir 5.1 skyrius).</w:t>
      </w:r>
    </w:p>
    <w:p w14:paraId="05022C0D" w14:textId="77777777" w:rsidR="00C00DD1" w:rsidRDefault="00C260EB">
      <w:pPr>
        <w:widowControl w:val="0"/>
        <w:spacing w:line="240" w:lineRule="auto"/>
        <w:rPr>
          <w:snapToGrid/>
          <w:szCs w:val="22"/>
          <w:lang w:val="lt-LT" w:eastAsia="sl-SI"/>
        </w:rPr>
      </w:pPr>
      <w:r>
        <w:rPr>
          <w:snapToGrid/>
          <w:szCs w:val="22"/>
          <w:lang w:val="lt-LT" w:eastAsia="sl-SI"/>
        </w:rPr>
        <w:t>Vis dėlto, jeigu dvigubas nuslopinimas laikomas absoliučiai būtinu, šis gydymas turi būti atliekamas tik prižiūrint specialistams ir dažnai bei atidžiai tiriant inkstų funkciją, elektrolitų koncentraciją bei kraujospūdį.</w:t>
      </w:r>
    </w:p>
    <w:p w14:paraId="3F60A618" w14:textId="77777777" w:rsidR="00C00DD1" w:rsidRDefault="00C260EB">
      <w:pPr>
        <w:widowControl w:val="0"/>
        <w:spacing w:line="240" w:lineRule="auto"/>
        <w:rPr>
          <w:snapToGrid/>
          <w:szCs w:val="22"/>
          <w:lang w:val="lt-LT" w:eastAsia="sl-SI"/>
        </w:rPr>
      </w:pPr>
      <w:r>
        <w:rPr>
          <w:snapToGrid/>
          <w:szCs w:val="22"/>
          <w:lang w:val="lt-LT" w:eastAsia="sl-SI"/>
        </w:rPr>
        <w:t>Pacientams, sergantiems diabetine nefropatija, negalima kartu vartoti AKF inhibitorių ir angiotenzino II receptorių blokatorių.</w:t>
      </w:r>
    </w:p>
    <w:p w14:paraId="79D0C979" w14:textId="77777777" w:rsidR="00C00DD1" w:rsidRDefault="00C00DD1">
      <w:pPr>
        <w:widowControl w:val="0"/>
        <w:tabs>
          <w:tab w:val="clear" w:pos="567"/>
        </w:tabs>
        <w:spacing w:line="240" w:lineRule="auto"/>
        <w:rPr>
          <w:i/>
          <w:snapToGrid/>
          <w:szCs w:val="22"/>
          <w:u w:val="single"/>
          <w:lang w:val="lt-LT" w:eastAsia="sl-SI"/>
        </w:rPr>
      </w:pPr>
    </w:p>
    <w:p w14:paraId="59CE103B"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lastRenderedPageBreak/>
        <w:t>Kalį organizme sulaikantys vaistiniai preparatai, kalio papildai arba druskų papildai, kurių sudėtyje yra kalio</w:t>
      </w:r>
    </w:p>
    <w:p w14:paraId="51518937" w14:textId="77777777" w:rsidR="00C00DD1" w:rsidRDefault="00C260EB">
      <w:pPr>
        <w:widowControl w:val="0"/>
        <w:tabs>
          <w:tab w:val="clear" w:pos="567"/>
        </w:tabs>
        <w:spacing w:line="240" w:lineRule="auto"/>
        <w:rPr>
          <w:iCs/>
          <w:snapToGrid/>
          <w:szCs w:val="22"/>
          <w:lang w:val="lt-LT" w:eastAsia="sl-SI"/>
        </w:rPr>
      </w:pPr>
      <w:r>
        <w:rPr>
          <w:iCs/>
          <w:snapToGrid/>
          <w:szCs w:val="22"/>
          <w:lang w:val="lt-LT" w:eastAsia="sl-SI"/>
        </w:rPr>
        <w:t>Perindoprilio paprastai nerekomenduojama vartoti kartu su kalį organizme sulaikančiais vaistiniais preparatais, kalio papildais ar druskų papildais, kuriuose yra kalio (žr. 4.5 skyrių).</w:t>
      </w:r>
    </w:p>
    <w:p w14:paraId="4009DE65" w14:textId="77777777" w:rsidR="00C00DD1" w:rsidRDefault="00C00DD1">
      <w:pPr>
        <w:widowControl w:val="0"/>
        <w:tabs>
          <w:tab w:val="clear" w:pos="567"/>
        </w:tabs>
        <w:spacing w:line="240" w:lineRule="auto"/>
        <w:rPr>
          <w:i/>
          <w:snapToGrid/>
          <w:szCs w:val="22"/>
          <w:lang w:val="lt-LT" w:eastAsia="sl-SI"/>
        </w:rPr>
      </w:pPr>
    </w:p>
    <w:p w14:paraId="55A5933E"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Neutropenija, agranulocitozė,</w:t>
      </w:r>
      <w:r>
        <w:rPr>
          <w:rFonts w:eastAsia="Calibri"/>
          <w:i/>
          <w:snapToGrid/>
          <w:szCs w:val="22"/>
          <w:lang w:val="lt-LT" w:eastAsia="sl-SI"/>
        </w:rPr>
        <w:t xml:space="preserve"> trombocitopenija, anemija</w:t>
      </w:r>
    </w:p>
    <w:p w14:paraId="4C0EA776"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Kai kuriems AKF inhibitoriais gydomiems pacientams pasireiškė neutropenija, agranulocitozė, trombocitopenija bei anemija. Jeigu inkstų funkcija normali ir nėra kitokių rizikos veiksnių, neutropenija atsiranda retai. Pacientus, kuriems yra kolageno (kraujagyslių) liga, kurie gydomi imuninę sistemą slopinančiais vaistiniais preparatais, kurie vartoja alopurinolio ar prokainamido, arba kuriems yra keli minėti rizikos veiksniai (ypač tuo atveju, jeigu prieš gydymą jau buvo sutrikusi inkstų funkcija), perindopriliu reikia gydyti itin atsargiai. Kai kuriems iš minėtų pacientų gydymo metu pasireiškė sunki infekcinė liga, kurios intensyvus gydymas antibiotikais keliais atvejais buvo neveiksmingas. Tokius pacientus gydant perindopriliu, reikia periodiškai tirti leukocitų kiekį kraujyje ir pacientus įspėti, kad atsiradus bet kokių infekcijos požymių, pvz., gerklės skausmui ar karščiavimui, apie tai informuotų gydytoją </w:t>
      </w:r>
      <w:r>
        <w:rPr>
          <w:rFonts w:eastAsia="Calibri"/>
          <w:snapToGrid/>
          <w:szCs w:val="22"/>
          <w:lang w:val="lt-LT"/>
        </w:rPr>
        <w:t>(žr. 4.5 ir 4.8 skyrius)</w:t>
      </w:r>
      <w:r>
        <w:rPr>
          <w:snapToGrid/>
          <w:szCs w:val="22"/>
          <w:lang w:val="lt-LT" w:eastAsia="sl-SI"/>
        </w:rPr>
        <w:t>.</w:t>
      </w:r>
    </w:p>
    <w:p w14:paraId="693B2FF5" w14:textId="77777777" w:rsidR="00C00DD1" w:rsidRDefault="00C00DD1">
      <w:pPr>
        <w:widowControl w:val="0"/>
        <w:tabs>
          <w:tab w:val="clear" w:pos="567"/>
        </w:tabs>
        <w:spacing w:line="240" w:lineRule="auto"/>
        <w:rPr>
          <w:snapToGrid/>
          <w:szCs w:val="22"/>
          <w:lang w:val="lt-LT" w:eastAsia="sl-SI"/>
        </w:rPr>
      </w:pPr>
    </w:p>
    <w:p w14:paraId="1EABBEE5"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Renovaskulinė hipertenzija</w:t>
      </w:r>
    </w:p>
    <w:p w14:paraId="3DC7187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Padidėjusi hipotenzijos ir inkstų nepakankamumo rizika yra pacientams, sergantiems abipuse inkstų arterijos stenoze ar vieno funkcionuojančio inksto arterijos stenoze, jeigu jie gydomi AKF inhibitoriais (žr. 4.3 skyrių). Gydymas diuretikais gali būti riziką didinantis veiksnys. Inkstų funkcijos pablogėjimas gali pasireikšti tik nedideliais kreatinino koncentracijos kraujo serume pokyčiais net pacientams, sergantiems vienpuse inkstų arterijos stenoze.</w:t>
      </w:r>
    </w:p>
    <w:p w14:paraId="1A01FC00" w14:textId="77777777" w:rsidR="00C00DD1" w:rsidRDefault="00C00DD1">
      <w:pPr>
        <w:widowControl w:val="0"/>
        <w:tabs>
          <w:tab w:val="clear" w:pos="567"/>
        </w:tabs>
        <w:spacing w:line="240" w:lineRule="auto"/>
        <w:rPr>
          <w:snapToGrid/>
          <w:szCs w:val="22"/>
          <w:lang w:val="lt-LT" w:eastAsia="sl-SI"/>
        </w:rPr>
      </w:pPr>
    </w:p>
    <w:p w14:paraId="592D4804"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Padidėjęs jautrumas/angioneurozinė edema</w:t>
      </w:r>
    </w:p>
    <w:p w14:paraId="3930AE40" w14:textId="77777777" w:rsidR="00C00DD1" w:rsidRDefault="00C260EB">
      <w:pPr>
        <w:widowControl w:val="0"/>
        <w:spacing w:line="240" w:lineRule="auto"/>
        <w:rPr>
          <w:snapToGrid/>
          <w:szCs w:val="22"/>
          <w:lang w:val="lt-LT" w:eastAsia="sl-SI"/>
        </w:rPr>
      </w:pPr>
      <w:r>
        <w:rPr>
          <w:snapToGrid/>
          <w:szCs w:val="22"/>
          <w:lang w:val="lt-LT" w:eastAsia="sl-SI"/>
        </w:rPr>
        <w:t>Kai kuriems pacientams, gydytiems angiotenziną konvertuojančio fermento inhibitoriais, įskaitant perindoprilį, retais atvejais atsirado veido, galūnių, lūpų, liežuvio, tikrojo balso aparato ir (arba) gerklų angioneurozinė edema (žr. 4.8 skyrių). Ji gali atsirasti bet kuriuo gydymo metu. Tokiai edemai pasireiškus, perindoprilio vartojimą būtina tuoj pat nutraukti, pacientą būtina tinkamai stebėti tol, kol išnyks visi simptomai. Nors veidą ir lūpas apimanti edema paprastai išnykdavo savaime, simptomai buvo sėkmingai šalinami vartojant antihistamininių vaistinių preparatų.</w:t>
      </w:r>
    </w:p>
    <w:p w14:paraId="1B999D33" w14:textId="77777777" w:rsidR="00C00DD1" w:rsidRDefault="00C00DD1">
      <w:pPr>
        <w:widowControl w:val="0"/>
        <w:spacing w:line="240" w:lineRule="auto"/>
        <w:rPr>
          <w:snapToGrid/>
          <w:szCs w:val="22"/>
          <w:lang w:val="lt-LT" w:eastAsia="sl-SI"/>
        </w:rPr>
      </w:pPr>
    </w:p>
    <w:p w14:paraId="6F308019" w14:textId="77777777" w:rsidR="00C00DD1" w:rsidRDefault="00C260EB">
      <w:pPr>
        <w:widowControl w:val="0"/>
        <w:spacing w:line="240" w:lineRule="auto"/>
        <w:rPr>
          <w:snapToGrid/>
          <w:szCs w:val="22"/>
          <w:lang w:val="lt-LT" w:eastAsia="sl-SI"/>
        </w:rPr>
      </w:pPr>
      <w:r>
        <w:rPr>
          <w:snapToGrid/>
          <w:szCs w:val="22"/>
          <w:lang w:val="lt-LT" w:eastAsia="sl-SI"/>
        </w:rPr>
        <w:t>Su gerklų edema susijusi angioneurozinė edema gali būti mirtina. Jeigu edema apima liežuvį, tikrąjį balso aparatą ar gerklas, galima kvėpavimo takų obstrukcija, todėl tokiam pacientui būtina skubiai skirti tinkamą gydymą: reikia tuoj pat po oda suleisti 0,3–0,5 ml epinefrino tirpalo (1:1000) ir (arba) imtis priemonių kvėpavimo takų praeinamumui palaikyti.</w:t>
      </w:r>
    </w:p>
    <w:p w14:paraId="32AF1F5E" w14:textId="77777777" w:rsidR="00C00DD1" w:rsidRDefault="00C00DD1">
      <w:pPr>
        <w:widowControl w:val="0"/>
        <w:spacing w:line="240" w:lineRule="auto"/>
        <w:rPr>
          <w:snapToGrid/>
          <w:szCs w:val="22"/>
          <w:lang w:val="lt-LT" w:eastAsia="sl-SI"/>
        </w:rPr>
      </w:pPr>
    </w:p>
    <w:p w14:paraId="03531C5D" w14:textId="77777777" w:rsidR="00C00DD1" w:rsidRDefault="00C260EB">
      <w:pPr>
        <w:widowControl w:val="0"/>
        <w:spacing w:line="240" w:lineRule="auto"/>
        <w:rPr>
          <w:snapToGrid/>
          <w:szCs w:val="22"/>
          <w:lang w:val="lt-LT" w:eastAsia="sl-SI"/>
        </w:rPr>
      </w:pPr>
      <w:r>
        <w:rPr>
          <w:snapToGrid/>
          <w:szCs w:val="22"/>
          <w:lang w:val="lt-LT" w:eastAsia="sl-SI"/>
        </w:rPr>
        <w:t>Gauta duomenų, kad juodaodžiams AKF inhibitoriai angioneurozinę edemą sukelia dažniau negu nejuodaodžiams.</w:t>
      </w:r>
    </w:p>
    <w:p w14:paraId="2673CCA4" w14:textId="77777777" w:rsidR="00C00DD1" w:rsidRDefault="00C00DD1">
      <w:pPr>
        <w:widowControl w:val="0"/>
        <w:spacing w:line="240" w:lineRule="auto"/>
        <w:rPr>
          <w:snapToGrid/>
          <w:szCs w:val="22"/>
          <w:lang w:val="lt-LT" w:eastAsia="sl-SI"/>
        </w:rPr>
      </w:pPr>
    </w:p>
    <w:p w14:paraId="437E738A" w14:textId="77777777" w:rsidR="00C00DD1" w:rsidRDefault="00C260EB">
      <w:pPr>
        <w:widowControl w:val="0"/>
        <w:spacing w:line="240" w:lineRule="auto"/>
        <w:rPr>
          <w:snapToGrid/>
          <w:szCs w:val="22"/>
          <w:lang w:val="lt-LT" w:eastAsia="sl-SI"/>
        </w:rPr>
      </w:pPr>
      <w:r>
        <w:rPr>
          <w:snapToGrid/>
          <w:szCs w:val="22"/>
          <w:lang w:val="lt-LT" w:eastAsia="sl-SI"/>
        </w:rPr>
        <w:t>Pacientams, kuriems buvo pasireiškusi su AKF inhibitoriais nesusijusi angioneurozinė edema, jos pasireiškimo rizika vartojant AKF inhibitorių gali būti didesnė (žr. 4.3 skyrių).</w:t>
      </w:r>
    </w:p>
    <w:p w14:paraId="65235C4F" w14:textId="77777777" w:rsidR="00C00DD1" w:rsidRDefault="00C00DD1">
      <w:pPr>
        <w:widowControl w:val="0"/>
        <w:tabs>
          <w:tab w:val="clear" w:pos="567"/>
        </w:tabs>
        <w:spacing w:line="240" w:lineRule="auto"/>
        <w:rPr>
          <w:i/>
          <w:snapToGrid/>
          <w:szCs w:val="22"/>
          <w:lang w:val="lt-LT" w:eastAsia="sl-SI"/>
        </w:rPr>
      </w:pPr>
    </w:p>
    <w:p w14:paraId="1899211D" w14:textId="77777777" w:rsidR="00C00DD1" w:rsidRDefault="00C260EB">
      <w:pPr>
        <w:widowControl w:val="0"/>
        <w:tabs>
          <w:tab w:val="clear" w:pos="567"/>
        </w:tabs>
        <w:spacing w:line="240" w:lineRule="auto"/>
        <w:rPr>
          <w:rFonts w:eastAsia="Calibri"/>
          <w:snapToGrid/>
          <w:szCs w:val="22"/>
          <w:lang w:val="lt-LT" w:eastAsia="sl-SI"/>
        </w:rPr>
      </w:pPr>
      <w:r>
        <w:rPr>
          <w:rFonts w:eastAsia="Calibri"/>
          <w:snapToGrid/>
          <w:szCs w:val="22"/>
          <w:lang w:val="lt-LT" w:eastAsia="sl-SI"/>
        </w:rPr>
        <w:t>AKF inhibitoriais gydomiems pacientams buvo retų žarnų angioneurozinės edemos atvejų. Toks poveikis pasireiškia pilvo skausmu (pykinimas ar vėmimas gali būti arba nebūti), kai kuriems pacientams veido angioneurozinės edemos prieš tai neatsirado, C-1 esterazės koncentracija buvo normali. Angioneurozinė edema diagnozuota remiantis procedūrų (pilvo KT, ultragarsinio tyrimo ar operacijos) duomenimis, simptomai išnykdavo nutraukus AKF inhibitorių vartojimą. Jeigu AKF inhibitoriumi gydomam pacientui pradeda skaudėti pilvą, nustatant tokio simptomo priežastį, reikia pagalvoti apie žarnų angioneurozinę edemą.</w:t>
      </w:r>
    </w:p>
    <w:p w14:paraId="459803EA" w14:textId="77777777" w:rsidR="00C00DD1" w:rsidRDefault="00C00DD1">
      <w:pPr>
        <w:widowControl w:val="0"/>
        <w:tabs>
          <w:tab w:val="clear" w:pos="567"/>
        </w:tabs>
        <w:spacing w:line="240" w:lineRule="auto"/>
        <w:rPr>
          <w:snapToGrid/>
          <w:szCs w:val="22"/>
          <w:lang w:val="lt-LT" w:eastAsia="sl-SI"/>
        </w:rPr>
      </w:pPr>
    </w:p>
    <w:p w14:paraId="73DB128E" w14:textId="77777777" w:rsidR="00C00DD1" w:rsidRDefault="00C260EB">
      <w:pPr>
        <w:widowControl w:val="0"/>
        <w:spacing w:line="240" w:lineRule="auto"/>
        <w:rPr>
          <w:snapToGrid/>
          <w:szCs w:val="22"/>
          <w:lang w:val="lt-LT" w:eastAsia="sl-SI"/>
        </w:rPr>
      </w:pPr>
      <w:r>
        <w:rPr>
          <w:snapToGrid/>
          <w:szCs w:val="22"/>
          <w:lang w:val="lt-LT" w:eastAsia="sl-SI"/>
        </w:rPr>
        <w:t xml:space="preserve">Dėl padidėjusios angioneurozinės edemos rizikos AKF inhibitorių draudžiama skirti kartu su sakubitrilo ir valsartano deriniu (žr. 4.3 skyrių). Gydymą sakubitrilo ir valsartano deriniu draudžiama pradėti nepraėjus 36 valandoms po paskutinės perindoprilio dozės pavartojimo. Jeigu gydymas sakubitrilo ir valsartano deriniu sustabdomas, gydymą perindopriliu draudžiama pradėti nepraėjus 36 valandoms po paskutinės sakubitrilo ir valsartano derinio dozės pavartojimo (žr. 4.3 ir 4.5 skyrius). AKF inhibitorius vartojant kartu su NEP (angl. </w:t>
      </w:r>
      <w:r>
        <w:rPr>
          <w:i/>
          <w:iCs/>
          <w:snapToGrid/>
          <w:szCs w:val="22"/>
          <w:lang w:val="lt-LT" w:eastAsia="sl-SI"/>
        </w:rPr>
        <w:t>neutral endopeptidase</w:t>
      </w:r>
      <w:r>
        <w:rPr>
          <w:snapToGrid/>
          <w:szCs w:val="22"/>
          <w:lang w:val="lt-LT" w:eastAsia="sl-SI"/>
        </w:rPr>
        <w:t xml:space="preserve">) inhibitoriais (pvz., </w:t>
      </w:r>
      <w:r>
        <w:rPr>
          <w:snapToGrid/>
          <w:szCs w:val="22"/>
          <w:lang w:val="lt-LT" w:eastAsia="sl-SI"/>
        </w:rPr>
        <w:lastRenderedPageBreak/>
        <w:t>racekadotriliu), gali būti didesnė angioneurozinės edemos atsiradimo rizika (žr. 4.5 skyrių). Dėl to prieš pradedant perindoprilio vartojančio paciento gydymą NEP inhibitoriumi (pvz., racekadotriliu), būtina atidžiai įvertinti naudą ir riziką.</w:t>
      </w:r>
    </w:p>
    <w:p w14:paraId="3663B6AA" w14:textId="77777777" w:rsidR="00C00DD1" w:rsidRDefault="00C00DD1">
      <w:pPr>
        <w:widowControl w:val="0"/>
        <w:spacing w:line="240" w:lineRule="auto"/>
        <w:rPr>
          <w:snapToGrid/>
          <w:szCs w:val="22"/>
          <w:lang w:val="lt-LT" w:eastAsia="sl-SI"/>
        </w:rPr>
      </w:pPr>
    </w:p>
    <w:p w14:paraId="2A6372F2" w14:textId="77777777" w:rsidR="00C00DD1" w:rsidRDefault="00C260EB">
      <w:pPr>
        <w:widowControl w:val="0"/>
        <w:spacing w:line="240" w:lineRule="auto"/>
        <w:rPr>
          <w:i/>
          <w:iCs/>
          <w:snapToGrid/>
          <w:szCs w:val="22"/>
          <w:lang w:val="lt-LT" w:eastAsia="sl-SI"/>
        </w:rPr>
      </w:pPr>
      <w:r>
        <w:rPr>
          <w:i/>
          <w:iCs/>
          <w:snapToGrid/>
          <w:szCs w:val="22"/>
          <w:lang w:val="lt-LT" w:eastAsia="sl-SI"/>
        </w:rPr>
        <w:t xml:space="preserve">Vartojimas kartu su mTOR </w:t>
      </w:r>
      <w:r>
        <w:rPr>
          <w:snapToGrid/>
          <w:szCs w:val="22"/>
          <w:lang w:val="lt-LT" w:eastAsia="sl-SI"/>
        </w:rPr>
        <w:t xml:space="preserve">(angl. </w:t>
      </w:r>
      <w:r>
        <w:rPr>
          <w:i/>
          <w:iCs/>
          <w:snapToGrid/>
          <w:szCs w:val="22"/>
          <w:lang w:val="lt-LT" w:eastAsia="sl-SI"/>
        </w:rPr>
        <w:t>mammalian target of rapamycin</w:t>
      </w:r>
      <w:r>
        <w:rPr>
          <w:snapToGrid/>
          <w:szCs w:val="22"/>
          <w:lang w:val="lt-LT" w:eastAsia="sl-SI"/>
        </w:rPr>
        <w:t xml:space="preserve">) </w:t>
      </w:r>
      <w:r>
        <w:rPr>
          <w:i/>
          <w:iCs/>
          <w:snapToGrid/>
          <w:szCs w:val="22"/>
          <w:lang w:val="lt-LT" w:eastAsia="sl-SI"/>
        </w:rPr>
        <w:t>inhibitoriais (pvz., sirolimuzu, everolimuzu, temsirolimuzu)</w:t>
      </w:r>
    </w:p>
    <w:p w14:paraId="443D89ED" w14:textId="77777777" w:rsidR="00C00DD1" w:rsidRDefault="00C260EB">
      <w:pPr>
        <w:widowControl w:val="0"/>
        <w:spacing w:line="240" w:lineRule="auto"/>
        <w:rPr>
          <w:snapToGrid/>
          <w:szCs w:val="22"/>
          <w:lang w:val="lt-LT" w:eastAsia="sl-SI"/>
        </w:rPr>
      </w:pPr>
      <w:r>
        <w:rPr>
          <w:snapToGrid/>
          <w:szCs w:val="22"/>
          <w:lang w:val="lt-LT" w:eastAsia="sl-SI"/>
        </w:rPr>
        <w:t>Pacientams, kurie vartoja ir mTOR inhibitorių (pvz., sirolimuzo, everolimuzo, temsirolimuzo), gali būti didesnė angioneurozinės edemos (pvz., kvėpavimo takų ir liežuvio patinimo su kvėpavimo sutrikimu arba be jo) atsiradimo rizika (žr. 4.5 skyrių).</w:t>
      </w:r>
    </w:p>
    <w:p w14:paraId="07E1250A" w14:textId="77777777" w:rsidR="00C00DD1" w:rsidRDefault="00C00DD1">
      <w:pPr>
        <w:widowControl w:val="0"/>
        <w:spacing w:line="240" w:lineRule="auto"/>
        <w:rPr>
          <w:snapToGrid/>
          <w:szCs w:val="22"/>
          <w:lang w:val="lt-LT" w:eastAsia="sl-SI"/>
        </w:rPr>
      </w:pPr>
    </w:p>
    <w:p w14:paraId="63569F3D"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Desensibilizuojamojo gydymo metu pasireiškiančios anafilaktoidinės reakcijos</w:t>
      </w:r>
    </w:p>
    <w:p w14:paraId="0D27C04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kurie desensibilizacijos plėviasparnių vabzdžių (bičių, vapsvų) nuodais metu vartojo AKF inhibitorių, pavieniais atvejais pasireiškė užsitęsusi gyvybei pavojinga anafilaktoidinė reakcija. Desensibilizuojamus alergiškus pacientus AKF inhibitoriais reikia gydyti atsargiai, o pacientų, kuriems taikoma imunoterapija nuodais, šiais vaistiniais preparatais gydyti nerekomenduojama. Jeigu pacientui būtinas gydymas AKF inhibitoriais ir desensibilizuojamasis gydymas, tokių reakcijų galima išvengti, jeigu AKF inhibitorių vartojimas laikinai nutraukiamas iki desensibilizacijos likus mažiausiai 24 valandoms.</w:t>
      </w:r>
    </w:p>
    <w:p w14:paraId="49072FF7" w14:textId="77777777" w:rsidR="00C00DD1" w:rsidRDefault="00C00DD1">
      <w:pPr>
        <w:widowControl w:val="0"/>
        <w:tabs>
          <w:tab w:val="clear" w:pos="567"/>
        </w:tabs>
        <w:spacing w:line="240" w:lineRule="auto"/>
        <w:rPr>
          <w:snapToGrid/>
          <w:szCs w:val="22"/>
          <w:lang w:val="lt-LT" w:eastAsia="sl-SI"/>
        </w:rPr>
      </w:pPr>
    </w:p>
    <w:p w14:paraId="33C7F2F8"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MTL aferezės metu pasireiškiančios anafilaktoidinės reakcijos</w:t>
      </w:r>
    </w:p>
    <w:p w14:paraId="18C0DE9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AKF inhibitorių vartojantiems pacientams, kurių mažo tankio lipoproteinų (MTL) aferezei buvo naudota dekstrano sulfato, retais atvejais procedūros metu pasireikšdavo gyvybei pavojinga anafilaktoidinė reakcija. Prieš kiekvieną aferezę AKF inhibitorių vartojimą laikinai nutraukus, tokios reakcijos atvejų nebuvo.</w:t>
      </w:r>
    </w:p>
    <w:p w14:paraId="3A277602" w14:textId="77777777" w:rsidR="00C00DD1" w:rsidRDefault="00C00DD1">
      <w:pPr>
        <w:widowControl w:val="0"/>
        <w:tabs>
          <w:tab w:val="clear" w:pos="567"/>
        </w:tabs>
        <w:spacing w:line="240" w:lineRule="auto"/>
        <w:rPr>
          <w:snapToGrid/>
          <w:szCs w:val="22"/>
          <w:lang w:val="lt-LT" w:eastAsia="sl-SI"/>
        </w:rPr>
      </w:pPr>
    </w:p>
    <w:p w14:paraId="16E704F1"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Hemodialize gydomi pacientai</w:t>
      </w:r>
    </w:p>
    <w:p w14:paraId="37B55FB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AKF inhibitorių vartojantiems pacientams, kuriems buvo atliekama dializė ir naudojamos didelio laidumo membranos (pvz., AN69), buvo anafilaktoidinių reakcijų atvejų. Reikia apsvarstyti galimybę tokiems pacientams naudoti kitokio tipo dializės membranas arba skirti kitos klasės vaistinių preparatų hipertenzijai gydyti.</w:t>
      </w:r>
    </w:p>
    <w:p w14:paraId="4425412D" w14:textId="77777777" w:rsidR="00C00DD1" w:rsidRDefault="00C00DD1">
      <w:pPr>
        <w:widowControl w:val="0"/>
        <w:tabs>
          <w:tab w:val="clear" w:pos="567"/>
          <w:tab w:val="left" w:pos="0"/>
        </w:tabs>
        <w:autoSpaceDE w:val="0"/>
        <w:autoSpaceDN w:val="0"/>
        <w:adjustRightInd w:val="0"/>
        <w:spacing w:line="240" w:lineRule="auto"/>
        <w:rPr>
          <w:i/>
          <w:snapToGrid/>
          <w:szCs w:val="22"/>
          <w:highlight w:val="green"/>
          <w:lang w:val="lt-LT" w:eastAsia="en-GB"/>
        </w:rPr>
      </w:pPr>
    </w:p>
    <w:p w14:paraId="64422B72" w14:textId="77777777" w:rsidR="00C00DD1" w:rsidRDefault="00C260EB">
      <w:pPr>
        <w:widowControl w:val="0"/>
        <w:tabs>
          <w:tab w:val="clear" w:pos="567"/>
          <w:tab w:val="left" w:pos="0"/>
        </w:tabs>
        <w:autoSpaceDE w:val="0"/>
        <w:autoSpaceDN w:val="0"/>
        <w:adjustRightInd w:val="0"/>
        <w:spacing w:line="240" w:lineRule="auto"/>
        <w:rPr>
          <w:i/>
          <w:snapToGrid/>
          <w:szCs w:val="22"/>
          <w:lang w:val="lt-LT" w:eastAsia="en-GB"/>
        </w:rPr>
      </w:pPr>
      <w:r>
        <w:rPr>
          <w:i/>
          <w:snapToGrid/>
          <w:szCs w:val="22"/>
          <w:lang w:val="lt-LT" w:eastAsia="en-GB"/>
        </w:rPr>
        <w:t>Pirminis aldosteronizmas</w:t>
      </w:r>
    </w:p>
    <w:p w14:paraId="598994EC" w14:textId="77777777" w:rsidR="00C00DD1" w:rsidRDefault="00C260EB">
      <w:pPr>
        <w:widowControl w:val="0"/>
        <w:spacing w:line="240" w:lineRule="auto"/>
        <w:jc w:val="both"/>
        <w:rPr>
          <w:snapToGrid/>
          <w:szCs w:val="22"/>
          <w:lang w:val="lt-LT" w:eastAsia="en-GB"/>
        </w:rPr>
      </w:pPr>
      <w:r>
        <w:rPr>
          <w:snapToGrid/>
          <w:szCs w:val="22"/>
          <w:lang w:val="lt-LT" w:eastAsia="en-GB"/>
        </w:rPr>
        <w:t>Pacientai, kuriems pasireiškia pirminis hiperaldosteronizmas, paprastai nereaguoja į antihipertenzinius vaistinius preparatus, slopinančius renino ir angiotenzino sistemą. Todėl šio vaistinio preparato vartoti nerekomenduojama.</w:t>
      </w:r>
    </w:p>
    <w:p w14:paraId="0E22F9C7" w14:textId="77777777" w:rsidR="00C00DD1" w:rsidRDefault="00C00DD1">
      <w:pPr>
        <w:widowControl w:val="0"/>
        <w:tabs>
          <w:tab w:val="clear" w:pos="567"/>
        </w:tabs>
        <w:spacing w:line="240" w:lineRule="auto"/>
        <w:rPr>
          <w:snapToGrid/>
          <w:szCs w:val="22"/>
          <w:lang w:val="lt-LT" w:eastAsia="sl-SI"/>
        </w:rPr>
      </w:pPr>
    </w:p>
    <w:p w14:paraId="6ED50B2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Nėštumas</w:t>
      </w:r>
    </w:p>
    <w:p w14:paraId="7E1AACEA"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Nėščių moterų pradėti gydyti AKF inhibitoriais negalima. Išskyrus atvejus, kai tolesnis gydymas AKF inhibitoriais yra laikomas būtinu, pastoti planuojančioms moterims juos reikia keisti kitokiais antihipertenziniais vaistiniais preparatais, kurių vartojimo saugumas nėštumo metu ištirtas. Nustačius nėštumą, AKF inhibitorių vartojimą būtina nedelsiant nutraukti ir, jeigu reikia, skirti kitokį tinkamą gydymą (žr. 4.3 ir 4.6 skyrius).</w:t>
      </w:r>
    </w:p>
    <w:p w14:paraId="606878AE" w14:textId="77777777" w:rsidR="00C00DD1" w:rsidRDefault="00C00DD1">
      <w:pPr>
        <w:widowControl w:val="0"/>
        <w:tabs>
          <w:tab w:val="clear" w:pos="567"/>
        </w:tabs>
        <w:spacing w:line="240" w:lineRule="auto"/>
        <w:rPr>
          <w:snapToGrid/>
          <w:szCs w:val="22"/>
          <w:lang w:val="lt-LT" w:eastAsia="sl-SI"/>
        </w:rPr>
      </w:pPr>
    </w:p>
    <w:p w14:paraId="22EA85CD"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 su indapamidu:</w:t>
      </w:r>
    </w:p>
    <w:p w14:paraId="1A1BD41B" w14:textId="77777777" w:rsidR="00C00DD1" w:rsidRDefault="00C00DD1">
      <w:pPr>
        <w:widowControl w:val="0"/>
        <w:tabs>
          <w:tab w:val="clear" w:pos="567"/>
        </w:tabs>
        <w:spacing w:line="240" w:lineRule="auto"/>
        <w:rPr>
          <w:i/>
          <w:snapToGrid/>
          <w:szCs w:val="22"/>
          <w:lang w:val="lt-LT" w:eastAsia="sl-SI"/>
        </w:rPr>
      </w:pPr>
    </w:p>
    <w:p w14:paraId="38A4BFF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Hepatinė encefalopatija</w:t>
      </w:r>
    </w:p>
    <w:p w14:paraId="23661EE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Esant sutrikusiai kepenų funkcijai tiazidai ir panašaus poveikio diuretikai gali sukelti hepatinę encefalopatiją (ypač esant elektrolitų pusiausvyros sutrikimui), kuri gali progresuoti iki hepatinės komos. Tokiu atveju reikia tuoj pat nutraukti diuretikų vartojimą.</w:t>
      </w:r>
    </w:p>
    <w:p w14:paraId="1FBB9301" w14:textId="77777777" w:rsidR="00C00DD1" w:rsidRDefault="00C00DD1">
      <w:pPr>
        <w:widowControl w:val="0"/>
        <w:tabs>
          <w:tab w:val="clear" w:pos="567"/>
        </w:tabs>
        <w:spacing w:line="240" w:lineRule="auto"/>
        <w:rPr>
          <w:snapToGrid/>
          <w:szCs w:val="22"/>
          <w:lang w:val="lt-LT" w:eastAsia="sl-SI"/>
        </w:rPr>
      </w:pPr>
    </w:p>
    <w:p w14:paraId="7A034B1A"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Jautrumas šviesai</w:t>
      </w:r>
    </w:p>
    <w:p w14:paraId="6B65180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Vartojant tiazidus ir panašaus poveikio diuretikus buvo padidėjusio jautrumo šviesai reakcijų atvejų (žr. 4.8 skyrių). Jeigu gydymo metu pasireiškia padidėjusio jautrumo šviesai reakcija, gydymą rekomenduojama nutraukti. Jeigu būtina vėl vartoti diuretikus, rekomenduojama apsaugoti atviras kūno vietas nuo saulės ar dirbtinių ultravioletinių spindulių.</w:t>
      </w:r>
    </w:p>
    <w:p w14:paraId="2058DBC8" w14:textId="77777777" w:rsidR="00C00DD1" w:rsidRDefault="00C00DD1">
      <w:pPr>
        <w:widowControl w:val="0"/>
        <w:tabs>
          <w:tab w:val="clear" w:pos="567"/>
        </w:tabs>
        <w:spacing w:line="240" w:lineRule="auto"/>
        <w:rPr>
          <w:snapToGrid/>
          <w:szCs w:val="22"/>
          <w:lang w:val="lt-LT" w:eastAsia="sl-SI"/>
        </w:rPr>
      </w:pPr>
    </w:p>
    <w:p w14:paraId="0BF44387" w14:textId="77777777" w:rsidR="00C00DD1" w:rsidRDefault="00C260EB">
      <w:pPr>
        <w:widowControl w:val="0"/>
        <w:tabs>
          <w:tab w:val="clear" w:pos="567"/>
        </w:tabs>
        <w:spacing w:line="240" w:lineRule="auto"/>
        <w:rPr>
          <w:i/>
          <w:iCs/>
          <w:snapToGrid/>
          <w:szCs w:val="22"/>
          <w:u w:val="single"/>
          <w:lang w:val="lt-LT" w:eastAsia="sl-SI"/>
        </w:rPr>
      </w:pPr>
      <w:r>
        <w:rPr>
          <w:i/>
          <w:iCs/>
          <w:snapToGrid/>
          <w:szCs w:val="22"/>
          <w:u w:val="single"/>
          <w:lang w:val="lt-LT" w:eastAsia="sl-SI"/>
        </w:rPr>
        <w:t>Atsargumo priemonės</w:t>
      </w:r>
    </w:p>
    <w:p w14:paraId="34CF4A8A" w14:textId="77777777" w:rsidR="00C00DD1" w:rsidRDefault="00C00DD1">
      <w:pPr>
        <w:widowControl w:val="0"/>
        <w:tabs>
          <w:tab w:val="clear" w:pos="567"/>
        </w:tabs>
        <w:spacing w:line="240" w:lineRule="auto"/>
        <w:rPr>
          <w:snapToGrid/>
          <w:szCs w:val="22"/>
          <w:lang w:val="lt-LT" w:eastAsia="sl-SI"/>
        </w:rPr>
      </w:pPr>
    </w:p>
    <w:p w14:paraId="0F6B6854"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perindopriliu ir indapamidu:</w:t>
      </w:r>
    </w:p>
    <w:p w14:paraId="268E09FA" w14:textId="77777777" w:rsidR="00C00DD1" w:rsidRDefault="00C00DD1">
      <w:pPr>
        <w:widowControl w:val="0"/>
        <w:tabs>
          <w:tab w:val="clear" w:pos="567"/>
        </w:tabs>
        <w:spacing w:line="240" w:lineRule="auto"/>
        <w:rPr>
          <w:i/>
          <w:snapToGrid/>
          <w:szCs w:val="22"/>
          <w:u w:val="single"/>
          <w:lang w:val="lt-LT" w:eastAsia="sl-SI"/>
        </w:rPr>
      </w:pPr>
    </w:p>
    <w:p w14:paraId="32217CC9"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Inkstų funkcijos sutrikimas</w:t>
      </w:r>
    </w:p>
    <w:p w14:paraId="49BCF10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yra sunkus arba vidutinio sunkumo inkstų funkcijos sutrikimas (kreatinino klirensas &lt;60 ml/min.), Perindopril arginine/indapamide Krka vartoti draudžiama.</w:t>
      </w:r>
    </w:p>
    <w:p w14:paraId="70767FDD" w14:textId="77777777" w:rsidR="00C00DD1" w:rsidRDefault="00C260EB">
      <w:pPr>
        <w:widowControl w:val="0"/>
        <w:numPr>
          <w:ilvl w:val="12"/>
          <w:numId w:val="0"/>
        </w:numPr>
        <w:tabs>
          <w:tab w:val="clear" w:pos="567"/>
          <w:tab w:val="left" w:pos="8505"/>
        </w:tabs>
        <w:spacing w:line="240" w:lineRule="auto"/>
        <w:ind w:right="-2"/>
        <w:rPr>
          <w:snapToGrid/>
          <w:szCs w:val="22"/>
          <w:lang w:val="lt-LT" w:eastAsia="sl-SI"/>
        </w:rPr>
      </w:pPr>
      <w:r>
        <w:rPr>
          <w:snapToGrid/>
          <w:szCs w:val="22"/>
          <w:lang w:val="lt-LT" w:eastAsia="sl-SI"/>
        </w:rPr>
        <w:t>Tam tikrų arterine hipertenzija sergančių pacientų, kuriems prieš pradedant gydyti aiškios inkstų pažaidos nebuvo, tačiau kurių kraujo tyrimai rodo funkcinį inkstų nepakankamumą, gydymą reikia nutraukti. Jį gali būti galima atnaujinti vėliau mažesnėmis dozėmis arba viena veikliąja medžiaga.</w:t>
      </w:r>
    </w:p>
    <w:p w14:paraId="0D142C96" w14:textId="77777777" w:rsidR="00C00DD1" w:rsidRDefault="00C260EB">
      <w:pPr>
        <w:widowControl w:val="0"/>
        <w:numPr>
          <w:ilvl w:val="12"/>
          <w:numId w:val="0"/>
        </w:numPr>
        <w:tabs>
          <w:tab w:val="clear" w:pos="567"/>
          <w:tab w:val="left" w:pos="8505"/>
        </w:tabs>
        <w:spacing w:line="240" w:lineRule="auto"/>
        <w:ind w:right="-2"/>
        <w:rPr>
          <w:snapToGrid/>
          <w:szCs w:val="22"/>
          <w:lang w:val="lt-LT" w:eastAsia="sl-SI"/>
        </w:rPr>
      </w:pPr>
      <w:r>
        <w:rPr>
          <w:snapToGrid/>
          <w:szCs w:val="22"/>
          <w:lang w:val="lt-LT" w:eastAsia="sl-SI"/>
        </w:rPr>
        <w:t>Įprastinis tokių pacientų stebėjimas turi apimti dažną kalio ir kreatinino koncentracijos nustatymą: po dviejų gydymo savaičių ir vėliau kas du mėnesius, kai vartojamos stabilios dozės. Inkstų nepakankamumas dažniausiai pasireiškė pacientams, sergantiems sunkiu širdies nepakankamumu, ar jau esant inkstų nepakankamumui, įskaitant inkstų arterijos stenozę.</w:t>
      </w:r>
    </w:p>
    <w:p w14:paraId="59FF2E2A" w14:textId="77777777" w:rsidR="00C00DD1" w:rsidRDefault="00C260EB">
      <w:pPr>
        <w:widowControl w:val="0"/>
        <w:numPr>
          <w:ilvl w:val="12"/>
          <w:numId w:val="0"/>
        </w:numPr>
        <w:tabs>
          <w:tab w:val="clear" w:pos="567"/>
          <w:tab w:val="left" w:pos="8505"/>
        </w:tabs>
        <w:spacing w:line="240" w:lineRule="auto"/>
        <w:ind w:right="-2"/>
        <w:rPr>
          <w:snapToGrid/>
          <w:szCs w:val="22"/>
          <w:lang w:val="lt-LT" w:eastAsia="sl-SI"/>
        </w:rPr>
      </w:pPr>
      <w:r>
        <w:rPr>
          <w:snapToGrid/>
          <w:szCs w:val="22"/>
          <w:lang w:val="lt-LT" w:eastAsia="sl-SI"/>
        </w:rPr>
        <w:t>Vaistinio preparato paprastai nerekomenduojama vartoti esant abipusei inkstų arterijos stenozei ar tik vienam funkcionuojančiam inkstui.</w:t>
      </w:r>
    </w:p>
    <w:p w14:paraId="2D9AD986" w14:textId="77777777" w:rsidR="00C00DD1" w:rsidRDefault="00C00DD1">
      <w:pPr>
        <w:widowControl w:val="0"/>
        <w:tabs>
          <w:tab w:val="clear" w:pos="567"/>
        </w:tabs>
        <w:spacing w:line="240" w:lineRule="auto"/>
        <w:rPr>
          <w:snapToGrid/>
          <w:szCs w:val="22"/>
          <w:lang w:val="lt-LT" w:eastAsia="sl-SI"/>
        </w:rPr>
      </w:pPr>
    </w:p>
    <w:p w14:paraId="2897C279"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Hipotenzija, skysčių ir elektrolitų trūkumas organizme</w:t>
      </w:r>
    </w:p>
    <w:p w14:paraId="610C58C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kurių organizme trūksta natrio (ypač jeigu yra inksto arterijos stenozė), gali staigiai pasireikšti hipotenzija. Būtina nuolat stebėti, ar tokiems pacientams neatsiranda klinikinių skysčių ir elektrolitų stokos (pvz., sukeltos protarpinio viduriavimo arba vėmimo) požymių. Būtina reguliariai matuoti elektrolitų koncentraciją tokių pacientų kraujo plazmoje.</w:t>
      </w:r>
    </w:p>
    <w:p w14:paraId="31B776D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pasireiškia sunki hipotenzija, į veną gali reikėti infuzuoti izotoninio natrio chlorido tirpalo.</w:t>
      </w:r>
    </w:p>
    <w:p w14:paraId="6656925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pasireiškia laikina hipotenzija, gydymą tęsti galima. Kai kraujo tūris ir kraujospūdis tampa tinkami, galima pradėti gydyti arba mažesne doze, arba tik viena iš veikliųjų medžiagų.</w:t>
      </w:r>
    </w:p>
    <w:p w14:paraId="2239AA1E" w14:textId="77777777" w:rsidR="00C00DD1" w:rsidRDefault="00C00DD1">
      <w:pPr>
        <w:widowControl w:val="0"/>
        <w:tabs>
          <w:tab w:val="clear" w:pos="567"/>
        </w:tabs>
        <w:spacing w:line="240" w:lineRule="auto"/>
        <w:rPr>
          <w:snapToGrid/>
          <w:szCs w:val="22"/>
          <w:lang w:val="lt-LT" w:eastAsia="sl-SI"/>
        </w:rPr>
      </w:pPr>
    </w:p>
    <w:p w14:paraId="193FFA72"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Kalio koncentracija</w:t>
      </w:r>
    </w:p>
    <w:p w14:paraId="4677AE1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Perindoprilio vartojimas kartu su indapamidu nuo hipokalemijos neapsaugo (ypač jeigu yra cukrinis diabetas arba inkstų nepakankamumas). Kaip ir vartojant kitokių kombinuotųjų antihipertenzinių vaistinių preparatų, kurių sudėtyje yra diuretikų, reikia reguliariai nustatinėti kalio koncentraciją kraujo plazmoje.</w:t>
      </w:r>
    </w:p>
    <w:p w14:paraId="785DCD64" w14:textId="77777777" w:rsidR="00C00DD1" w:rsidRDefault="00C00DD1">
      <w:pPr>
        <w:widowControl w:val="0"/>
        <w:tabs>
          <w:tab w:val="clear" w:pos="567"/>
        </w:tabs>
        <w:spacing w:line="240" w:lineRule="auto"/>
        <w:rPr>
          <w:i/>
          <w:snapToGrid/>
          <w:szCs w:val="22"/>
          <w:lang w:val="lt-LT" w:eastAsia="sl-SI"/>
        </w:rPr>
      </w:pPr>
    </w:p>
    <w:p w14:paraId="419D61E6"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perindopriliu:</w:t>
      </w:r>
    </w:p>
    <w:p w14:paraId="4DC19609" w14:textId="77777777" w:rsidR="00C00DD1" w:rsidRDefault="00C00DD1">
      <w:pPr>
        <w:widowControl w:val="0"/>
        <w:tabs>
          <w:tab w:val="clear" w:pos="567"/>
        </w:tabs>
        <w:spacing w:line="240" w:lineRule="auto"/>
        <w:rPr>
          <w:i/>
          <w:snapToGrid/>
          <w:szCs w:val="22"/>
          <w:lang w:val="lt-LT" w:eastAsia="sl-SI"/>
        </w:rPr>
      </w:pPr>
    </w:p>
    <w:p w14:paraId="16A5BD2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Kosulys</w:t>
      </w:r>
    </w:p>
    <w:p w14:paraId="6F571C0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Gauta duomenų apie angiotenziną konvertuojančio fermento inhibitorių vartojantiems pacientams pasireiškiantį sausą kosulį. Jis būna nuolatinis ir nutraukus minėtų vaistinių preparatų vartojimą išnyksta. Reikia turėti omenyje, kad tokio simptomo priežastis gali būti jatrogeninė. Jeigu manoma, kad gydymas angiotenziną konvertuojančio fermento inhibitoriumi reikalingas, galima apsvarstyti vaistinio preparato vartojimo tęsimą.</w:t>
      </w:r>
    </w:p>
    <w:p w14:paraId="7BDAE040" w14:textId="77777777" w:rsidR="00C00DD1" w:rsidRDefault="00C00DD1">
      <w:pPr>
        <w:widowControl w:val="0"/>
        <w:tabs>
          <w:tab w:val="clear" w:pos="567"/>
        </w:tabs>
        <w:spacing w:line="240" w:lineRule="auto"/>
        <w:rPr>
          <w:snapToGrid/>
          <w:szCs w:val="22"/>
          <w:lang w:val="lt-LT" w:eastAsia="sl-SI"/>
        </w:rPr>
      </w:pPr>
    </w:p>
    <w:p w14:paraId="16DA01F2"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Vaikų populiacija</w:t>
      </w:r>
    </w:p>
    <w:p w14:paraId="44895CC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Vaikų ir paauglių gydymo perindopriliu (vien juo ar kartu su kitais vaistiniais preparatais) veiksmingumas ir toleravimas nenustatyti.</w:t>
      </w:r>
    </w:p>
    <w:p w14:paraId="64B94383" w14:textId="77777777" w:rsidR="00C00DD1" w:rsidRDefault="00C00DD1">
      <w:pPr>
        <w:widowControl w:val="0"/>
        <w:tabs>
          <w:tab w:val="clear" w:pos="567"/>
        </w:tabs>
        <w:spacing w:line="240" w:lineRule="auto"/>
        <w:rPr>
          <w:snapToGrid/>
          <w:szCs w:val="22"/>
          <w:lang w:val="lt-LT" w:eastAsia="sl-SI"/>
        </w:rPr>
      </w:pPr>
    </w:p>
    <w:p w14:paraId="325FF725"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Arterinės hipotenzijos ir (arba) inkstų nepakankamumo rizika (jeigu yra širdies nepakankamumas, skysčių ir elektrolitų trūkumas ir kt.)</w:t>
      </w:r>
    </w:p>
    <w:p w14:paraId="2699184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kurių pradinis kraujospūdis mažas, kuriems yra inkstų arterijos stenozė, stazinis širdies nepakankamumas arba kepenų cirozė su edema ir ascitu, labai padidėja renino, angiotenzino ir aldosterono sistemos aktyvumas, ypač jeigu organizme labai trūksta vandens ir (arba) elektrolitų (pvz., dėl druskos kiekio maiste ribojimo ar ilgalaikio gydymo diuretikais).</w:t>
      </w:r>
    </w:p>
    <w:p w14:paraId="5A44A9AA"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Tokiems pacientams angiotenziną konvertuojančio fermento inhibitoriai, slopindami minėtą sistemą (ypač po pirmos dozės išgėrimo bei per pirmąsias dvi gydymo savaites), gali staiga sumažinti kraujospūdį ir (arba) padidinti kreatinino koncentraciją kraujo plazmoje, sukeldami funkcinį inkstų nepakankamumą. Kartais tai gali įvykti staiga, nors tai būna retai, ir pasireikšti įvairiu laiku.</w:t>
      </w:r>
    </w:p>
    <w:p w14:paraId="172DCB1B" w14:textId="77777777" w:rsidR="00C00DD1" w:rsidRDefault="00C260EB">
      <w:pPr>
        <w:widowControl w:val="0"/>
        <w:tabs>
          <w:tab w:val="clear" w:pos="567"/>
        </w:tabs>
        <w:spacing w:line="240" w:lineRule="auto"/>
        <w:rPr>
          <w:snapToGrid/>
          <w:szCs w:val="22"/>
          <w:lang w:val="lt-LT" w:eastAsia="sl-SI"/>
        </w:rPr>
      </w:pPr>
      <w:r>
        <w:rPr>
          <w:snapToGrid/>
          <w:color w:val="000000"/>
          <w:szCs w:val="22"/>
          <w:lang w:val="lt-LT" w:eastAsia="sl-SI"/>
        </w:rPr>
        <w:t>Tokius pacientus reikia pradėti gydyti mažesne doze ir ją didinti palaipsniui.</w:t>
      </w:r>
    </w:p>
    <w:p w14:paraId="52D5974F" w14:textId="77777777" w:rsidR="00C00DD1" w:rsidRDefault="00C00DD1">
      <w:pPr>
        <w:widowControl w:val="0"/>
        <w:tabs>
          <w:tab w:val="clear" w:pos="567"/>
        </w:tabs>
        <w:spacing w:line="240" w:lineRule="auto"/>
        <w:rPr>
          <w:snapToGrid/>
          <w:szCs w:val="22"/>
          <w:lang w:val="lt-LT" w:eastAsia="sl-SI"/>
        </w:rPr>
      </w:pPr>
    </w:p>
    <w:p w14:paraId="671A9CFF"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Senyvi žmonės</w:t>
      </w:r>
    </w:p>
    <w:p w14:paraId="0305C0A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lastRenderedPageBreak/>
        <w:t>Prieš gydymą būtina ištirti senyvų žmonių inkstų funkciją ir nustatyti kalio koncentraciją. Kad neatsirastų staigios hipotenzijos, pradinę dozę reikia laipsniškai koreguoti atsižvelgiant į kraujospūdžio reakciją, ypač jeigu paciento organizme trūksta vandens ir elektrolitų.</w:t>
      </w:r>
    </w:p>
    <w:p w14:paraId="0EBD5EC1" w14:textId="77777777" w:rsidR="00C00DD1" w:rsidRDefault="00C00DD1">
      <w:pPr>
        <w:widowControl w:val="0"/>
        <w:tabs>
          <w:tab w:val="clear" w:pos="567"/>
        </w:tabs>
        <w:spacing w:line="240" w:lineRule="auto"/>
        <w:rPr>
          <w:i/>
          <w:snapToGrid/>
          <w:szCs w:val="22"/>
          <w:lang w:val="lt-LT" w:eastAsia="sl-SI"/>
        </w:rPr>
      </w:pPr>
    </w:p>
    <w:p w14:paraId="11E8C48C"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Aterosklerozė</w:t>
      </w:r>
    </w:p>
    <w:p w14:paraId="29C8DC5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Hipotenzija gali pasireikšti visiems pacientams, tačiau ypač atsargiai būtina gydyti išemine širdies liga arba galvos smegenų kraujotakos nepakankamumu sergančius pacientus. Jiems pradinė dozė turi būti maža.</w:t>
      </w:r>
    </w:p>
    <w:p w14:paraId="19B9D943" w14:textId="77777777" w:rsidR="00C00DD1" w:rsidRDefault="00C00DD1">
      <w:pPr>
        <w:widowControl w:val="0"/>
        <w:tabs>
          <w:tab w:val="clear" w:pos="567"/>
        </w:tabs>
        <w:spacing w:line="240" w:lineRule="auto"/>
        <w:rPr>
          <w:snapToGrid/>
          <w:szCs w:val="22"/>
          <w:lang w:val="lt-LT" w:eastAsia="sl-SI"/>
        </w:rPr>
      </w:pPr>
    </w:p>
    <w:p w14:paraId="09D0A926"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Renovaskulinė hipertenzija</w:t>
      </w:r>
    </w:p>
    <w:p w14:paraId="24F5C70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Renovaskulinės hipertenzijos gydymas yra revaskuliarizacija. Vis dėlto pacientams, kurie laukia koreguojamosios operacijos arba kuriems jos atlikti neįmanoma, gydymas angiotenziną konvertuojančio fermento inhibitoriais gali būti naudingas.</w:t>
      </w:r>
    </w:p>
    <w:p w14:paraId="03E2636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Gydymas Perindopril arginine/indapamide Krka 10 mg/2,5 mg pacientui, kuriam yra arba įtariama, kad yra inksto arterijos stenozė, netinka, nes gydymą būtina pradėti gydyti ligoninėje ir reikia skirti mažesnę dozę nei yra Perindopril arginine/indapamide Krka 10 mg/2,5 mg tabletėje.</w:t>
      </w:r>
    </w:p>
    <w:p w14:paraId="1F0BBE1C" w14:textId="77777777" w:rsidR="00C00DD1" w:rsidRDefault="00C00DD1">
      <w:pPr>
        <w:widowControl w:val="0"/>
        <w:tabs>
          <w:tab w:val="clear" w:pos="567"/>
        </w:tabs>
        <w:spacing w:line="240" w:lineRule="auto"/>
        <w:rPr>
          <w:snapToGrid/>
          <w:szCs w:val="22"/>
          <w:lang w:val="lt-LT" w:eastAsia="sl-SI"/>
        </w:rPr>
      </w:pPr>
    </w:p>
    <w:p w14:paraId="2088F64A"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Širdies nepakankamumas, sunkus širdies nepakankamumas</w:t>
      </w:r>
    </w:p>
    <w:p w14:paraId="415D3E9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Pacientus, kurie serga sunkiu širdies nepakankamumu (IV funkcinės klasės), gydyti būtina pradėti atidžiai stebint medikui ir mažesne pradine doze, todėl Perindopril arginine/indapamide Krka 10 mg/2,5 mg gydymui netinka. Jeigu pacientas serga hipertenzija, jo vainikinė kraujotaka yra nepakankama ir jis gydomas beta adrenoreceptorių blokatoriais, jų vartojimo nereikia nutraukti: AKF inhibitorių reikia skirti vartoti kartu su beta adrenoreceptorių blokatoriumi.</w:t>
      </w:r>
    </w:p>
    <w:p w14:paraId="3137DCAF" w14:textId="77777777" w:rsidR="00C00DD1" w:rsidRDefault="00C00DD1">
      <w:pPr>
        <w:widowControl w:val="0"/>
        <w:tabs>
          <w:tab w:val="clear" w:pos="567"/>
        </w:tabs>
        <w:spacing w:line="240" w:lineRule="auto"/>
        <w:rPr>
          <w:snapToGrid/>
          <w:szCs w:val="22"/>
          <w:lang w:val="lt-LT" w:eastAsia="sl-SI"/>
        </w:rPr>
      </w:pPr>
    </w:p>
    <w:p w14:paraId="471A02A3"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Cukriniu diabetu sergantys pacientai</w:t>
      </w:r>
    </w:p>
    <w:p w14:paraId="4BE3F19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sergantiems nuo insulino priklausomu cukriniu diabetu (savaiminis polinkis atsirasti didelei kalio koncentracijai), gydymą reikia pradėti prižiūrint gydytojui ir mažesne pradine doze, todėl Perindopril arginine/indapamide Krka 10 mg/2,5 mg tabletės gydymui netinka.</w:t>
      </w:r>
    </w:p>
    <w:p w14:paraId="02B9226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Cukriniu diabetu sergantiems pacientams, anksčiau gydytiems geriamaisiais vaistiniais preparatais nuo cukrinio diabeto arba insulinu, reikia dažnai tirti gliukozės koncentraciją kraujyje, ypač pirmąjį gydymo AKF inhibitoriumi mėnesį (žr. 4.5 skyrių).</w:t>
      </w:r>
    </w:p>
    <w:p w14:paraId="13698164" w14:textId="77777777" w:rsidR="00C00DD1" w:rsidRDefault="00C00DD1">
      <w:pPr>
        <w:widowControl w:val="0"/>
        <w:tabs>
          <w:tab w:val="clear" w:pos="567"/>
        </w:tabs>
        <w:spacing w:line="240" w:lineRule="auto"/>
        <w:rPr>
          <w:snapToGrid/>
          <w:szCs w:val="22"/>
          <w:lang w:val="lt-LT" w:eastAsia="sl-SI"/>
        </w:rPr>
      </w:pPr>
    </w:p>
    <w:p w14:paraId="5195A71B"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Etniniai skirtumai</w:t>
      </w:r>
    </w:p>
    <w:p w14:paraId="7538961D" w14:textId="77777777" w:rsidR="00C00DD1" w:rsidRDefault="00C260EB">
      <w:pPr>
        <w:widowControl w:val="0"/>
        <w:spacing w:line="240" w:lineRule="auto"/>
        <w:rPr>
          <w:snapToGrid/>
          <w:szCs w:val="22"/>
          <w:lang w:val="lt-LT" w:eastAsia="sl-SI"/>
        </w:rPr>
      </w:pPr>
      <w:r>
        <w:rPr>
          <w:snapToGrid/>
          <w:szCs w:val="22"/>
          <w:lang w:val="lt-LT" w:eastAsia="sl-SI"/>
        </w:rPr>
        <w:t>Perindoprilis, kaip ir kitokie angiotenziną konvertuojančio fermento inhibitoriai, juodaodžių kraujospūdį mažina silpniau negu nejuodaodžių galbūt todėl, kad hipertenzija sergančių juodaodžių kraujyje renino kiekis dažnai būna mažas.</w:t>
      </w:r>
    </w:p>
    <w:p w14:paraId="16E3D88A" w14:textId="77777777" w:rsidR="00C00DD1" w:rsidRDefault="00C00DD1">
      <w:pPr>
        <w:widowControl w:val="0"/>
        <w:tabs>
          <w:tab w:val="clear" w:pos="567"/>
        </w:tabs>
        <w:spacing w:line="240" w:lineRule="auto"/>
        <w:rPr>
          <w:snapToGrid/>
          <w:szCs w:val="22"/>
          <w:lang w:val="lt-LT" w:eastAsia="sl-SI"/>
        </w:rPr>
      </w:pPr>
    </w:p>
    <w:p w14:paraId="3DF6DF4E"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Operacija, anestezija</w:t>
      </w:r>
    </w:p>
    <w:p w14:paraId="42E17D8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Anestezijos metu angiotenziną konvertuojančio fermento inhibitorių vartojantiems pacientams gali pasireikšti hipotenzija, ypač tuo atveju, jeigu anestezija sukeliama kraujospūdį mažinti galinčiu vaistiniu preparatu.</w:t>
      </w:r>
    </w:p>
    <w:p w14:paraId="5F99040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Dėl to, jeigu įmanoma, ilgai veikiančių angiotenziną konvertuojančio fermento inhibitorių, pvz., perindoprilio, vartojimą reikia nutraukti iki operacijos likus vienai parai.</w:t>
      </w:r>
    </w:p>
    <w:p w14:paraId="0C3D2B10" w14:textId="77777777" w:rsidR="00C00DD1" w:rsidRDefault="00C00DD1">
      <w:pPr>
        <w:widowControl w:val="0"/>
        <w:tabs>
          <w:tab w:val="clear" w:pos="567"/>
        </w:tabs>
        <w:spacing w:line="240" w:lineRule="auto"/>
        <w:rPr>
          <w:snapToGrid/>
          <w:szCs w:val="22"/>
          <w:lang w:val="lt-LT" w:eastAsia="sl-SI"/>
        </w:rPr>
      </w:pPr>
    </w:p>
    <w:p w14:paraId="21A9AB1A"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Aortos arba dviburio vožtuvo stenozė, hipertrofinė kardiomiopatija</w:t>
      </w:r>
    </w:p>
    <w:p w14:paraId="0515D752" w14:textId="77777777" w:rsidR="00C00DD1" w:rsidRDefault="00C260EB">
      <w:pPr>
        <w:widowControl w:val="0"/>
        <w:spacing w:line="240" w:lineRule="auto"/>
        <w:rPr>
          <w:snapToGrid/>
          <w:szCs w:val="22"/>
          <w:lang w:val="lt-LT" w:eastAsia="sl-SI"/>
        </w:rPr>
      </w:pPr>
      <w:r>
        <w:rPr>
          <w:snapToGrid/>
          <w:szCs w:val="22"/>
          <w:lang w:val="lt-LT" w:eastAsia="sl-SI"/>
        </w:rPr>
        <w:t>Jeigu yra kraujo nutekėjimo iš kairiojo skilvelio obstrukcija, AKF inhibitoriais reikia gydyti atsargiai.</w:t>
      </w:r>
    </w:p>
    <w:p w14:paraId="31F21438" w14:textId="77777777" w:rsidR="00C00DD1" w:rsidRDefault="00C00DD1">
      <w:pPr>
        <w:widowControl w:val="0"/>
        <w:tabs>
          <w:tab w:val="clear" w:pos="567"/>
        </w:tabs>
        <w:spacing w:line="240" w:lineRule="auto"/>
        <w:rPr>
          <w:snapToGrid/>
          <w:szCs w:val="22"/>
          <w:lang w:val="lt-LT" w:eastAsia="sl-SI"/>
        </w:rPr>
      </w:pPr>
    </w:p>
    <w:p w14:paraId="2EFE815C"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Kepenų nepakankamumas</w:t>
      </w:r>
    </w:p>
    <w:p w14:paraId="74B5782A"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Retais atvejais AKF inhibitorių vartojimas buvo susijęs su sindromu, kuris prasideda cholestazine gelta, progresuoja į žaibinę kepenų nekrozę ir (kartais) baigiasi mirtimi. Šio sindromo mechanizmas nėra aiškus. AKF inhibitorių vartojantys pacientai, kuriems pasireiškia gelta arba labai padidėja kepenų fermentų aktyvumas, turi nutraukti AKF inhibitorių vartojimą ir būti atitinkamai prižiūrimi medikų (žr. 4.8 skyrių).</w:t>
      </w:r>
    </w:p>
    <w:p w14:paraId="70CFE9FA" w14:textId="77777777" w:rsidR="00C00DD1" w:rsidRDefault="00C00DD1">
      <w:pPr>
        <w:widowControl w:val="0"/>
        <w:tabs>
          <w:tab w:val="clear" w:pos="567"/>
        </w:tabs>
        <w:spacing w:line="240" w:lineRule="auto"/>
        <w:rPr>
          <w:snapToGrid/>
          <w:szCs w:val="22"/>
          <w:lang w:val="lt-LT" w:eastAsia="sl-SI"/>
        </w:rPr>
      </w:pPr>
    </w:p>
    <w:p w14:paraId="73500C6F" w14:textId="77777777" w:rsidR="00C00DD1" w:rsidRDefault="00C260EB">
      <w:pPr>
        <w:widowControl w:val="0"/>
        <w:tabs>
          <w:tab w:val="clear" w:pos="567"/>
        </w:tabs>
        <w:spacing w:line="240" w:lineRule="auto"/>
        <w:rPr>
          <w:rFonts w:eastAsia="Calibri"/>
          <w:i/>
          <w:snapToGrid/>
          <w:szCs w:val="22"/>
          <w:lang w:val="lt-LT" w:eastAsia="sl-SI"/>
        </w:rPr>
      </w:pPr>
      <w:r>
        <w:rPr>
          <w:rFonts w:eastAsia="Calibri"/>
          <w:i/>
          <w:snapToGrid/>
          <w:szCs w:val="22"/>
          <w:lang w:val="lt-LT" w:eastAsia="sl-SI"/>
        </w:rPr>
        <w:t>Hiperkalemija</w:t>
      </w:r>
    </w:p>
    <w:p w14:paraId="60F9FED3" w14:textId="77777777" w:rsidR="00C00DD1" w:rsidRDefault="00C260EB">
      <w:pPr>
        <w:widowControl w:val="0"/>
        <w:tabs>
          <w:tab w:val="clear" w:pos="567"/>
        </w:tabs>
        <w:spacing w:line="240" w:lineRule="auto"/>
        <w:rPr>
          <w:rFonts w:eastAsia="Calibri"/>
          <w:snapToGrid/>
          <w:szCs w:val="22"/>
          <w:lang w:val="lt-LT" w:eastAsia="sl-SI"/>
        </w:rPr>
      </w:pPr>
      <w:r>
        <w:rPr>
          <w:snapToGrid/>
          <w:szCs w:val="22"/>
          <w:lang w:val="lt-LT" w:eastAsia="sl-SI"/>
        </w:rPr>
        <w:t xml:space="preserve">Kai kuriems pacientams, gydomiems AKF inhibitoriais, įskaitant ir perindoprilį, pasireiškė kalio koncentracijos kraujo serume padidėjimas. Hiperkalemijos atsiradimo rizikos veiksniai yra inkstų </w:t>
      </w:r>
      <w:r>
        <w:rPr>
          <w:snapToGrid/>
          <w:szCs w:val="22"/>
          <w:lang w:val="lt-LT" w:eastAsia="sl-SI"/>
        </w:rPr>
        <w:lastRenderedPageBreak/>
        <w:t>nepakankamumas, inkstų funkcijos pablogėjimas, amžius (&gt; 70 metų), cukrinis diabetas, kitos būklės, ypač dehidratacija, ūminė širdies dekompensacija, metabolinė acidozė ir kartu vartojami kalį organizme sulaikantys diuretikai (pvz., spironolaktonas, eplerenonas, triamterenas, amiloridas), kalio papildai ar druskų pakaitalai, kurių sudėtyje yra kalio, bei kiti vaistiniai preparatai, galintys padidinti kalio koncentraciją kraujo serume (pvz., heparino preparatai, kotrimoksazolas, kuris dar vadinamas trimetoprimu/sulfametoksazolu, kiti AKF inhibitoriai, angiotenzino II receptorių antagonistai, 3 g ir didesnės acetilsalicilo rūgšties paros dozės, neselektyvaus poveikio NVNU, imuninę sistemą slopinantys vaistiniai preparatai (pvz., ciklosporinas ar takrolimuzas), trimetoprimas). Kalio papildų, kalį organizme sulaikančių diuretikų ar druskos papildų, kurių sudėtyje yra kalio, vartojimas gali sukelti reikšmingą kalio koncentracijos kraujo serume padidėjimą, ypač pacientams, kurių inkstų funkcija yra sutrikusi. Hiperkalemija gali sukelti sunkias, kartais mirtinas aritmijas. Jeigu manoma, kad paminėtus vaistinius preparatus vartoti kartu būtina, būtina imtis atsargumo priemonių ir dažnai matuoti kalio koncentraciją kraujo serume (žr. 4.5 skyrių).</w:t>
      </w:r>
    </w:p>
    <w:p w14:paraId="71B1D245" w14:textId="77777777" w:rsidR="00C00DD1" w:rsidRDefault="00C00DD1">
      <w:pPr>
        <w:widowControl w:val="0"/>
        <w:tabs>
          <w:tab w:val="clear" w:pos="567"/>
        </w:tabs>
        <w:spacing w:line="240" w:lineRule="auto"/>
        <w:rPr>
          <w:snapToGrid/>
          <w:szCs w:val="22"/>
          <w:lang w:val="lt-LT" w:eastAsia="sl-SI"/>
        </w:rPr>
      </w:pPr>
    </w:p>
    <w:p w14:paraId="4DDC974E"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Susijusios su indapamidu:</w:t>
      </w:r>
    </w:p>
    <w:p w14:paraId="22A55717" w14:textId="77777777" w:rsidR="00C00DD1" w:rsidRDefault="00C00DD1">
      <w:pPr>
        <w:widowControl w:val="0"/>
        <w:tabs>
          <w:tab w:val="clear" w:pos="567"/>
        </w:tabs>
        <w:spacing w:line="240" w:lineRule="auto"/>
        <w:rPr>
          <w:i/>
          <w:snapToGrid/>
          <w:szCs w:val="22"/>
          <w:lang w:val="lt-LT" w:eastAsia="sl-SI"/>
        </w:rPr>
      </w:pPr>
    </w:p>
    <w:p w14:paraId="3C0AD955"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Skysčių ir elektrolitų pusiausvyra</w:t>
      </w:r>
    </w:p>
    <w:p w14:paraId="074072C4"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Natrio koncentracija</w:t>
      </w:r>
    </w:p>
    <w:p w14:paraId="4E7F775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Natrio koncentracija turi būti išmatuota prieš pradedant gydymą ir po to tikrinama reguliariai. Natrio koncentracijos sumažėjimas iš pradžių gali nesukelti jokių simptomų, todėl būtina reguliariai ją matuoti. Dažnesni tyrimai reikalingi senyviems ir kepenų ciroze sergantiems pacientams (žr. 4.8 ir 4.9 skyrius).</w:t>
      </w:r>
    </w:p>
    <w:p w14:paraId="0B12DA1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Gydant bet kuriais diuretikais gali pasireikšti hiponatremija, kurios pasekmės kartais gali būti labai sunkios. Dėl hiponatremijos su hipovolemija gali pasireikšti dehidratacija ir ortostatinė hipotenzija. Dėl kartu prarastų chlorido jonų gali pasireikšti antrinė kompensacinė metabolinė alkalozė: toks poveikis pasireiškia nedažnai ir būna nestiprus.</w:t>
      </w:r>
    </w:p>
    <w:p w14:paraId="6D448940" w14:textId="77777777" w:rsidR="00C00DD1" w:rsidRDefault="00C00DD1">
      <w:pPr>
        <w:widowControl w:val="0"/>
        <w:tabs>
          <w:tab w:val="clear" w:pos="567"/>
        </w:tabs>
        <w:spacing w:line="240" w:lineRule="auto"/>
        <w:rPr>
          <w:snapToGrid/>
          <w:szCs w:val="22"/>
          <w:lang w:val="lt-LT" w:eastAsia="sl-SI"/>
        </w:rPr>
      </w:pPr>
    </w:p>
    <w:p w14:paraId="79525C99"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Kalio koncentracija</w:t>
      </w:r>
    </w:p>
    <w:p w14:paraId="67B75FA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Kalio netekimo ir kartu hipokalemijos rizika, vartojant tiazidinius ir į juos panašius diuretikus, yra didelė. Hipokalemija gali sukelti raumenų sutrikimus. Buvo pranešta apie rabdomiolizės atvejus, daugiausia esant sunkiai hipokalemijai. Hipokalemijos (&lt; 3,4 mmol/l) pasireiškimo riziką reikia panaikinti kai kurių didelės rizikos grupių pacientams: senyviems ir (arba) blogos mitybos asmenims, nepriklausomai nuo to, ar jie yra gydomi keliais vaistiniais preparatais, pacientams, sergantiems kepenų ciroze su edema ir ascitu, vainikine širdies liga ar širdies nepakankamumu.</w:t>
      </w:r>
    </w:p>
    <w:p w14:paraId="00DC7BA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Tokiais atvejais hipokalemija sustiprina širdies glikozidų toksinį poveikį ir padidina širdies ritmo sutrikimų pasireiškimo riziką.</w:t>
      </w:r>
    </w:p>
    <w:p w14:paraId="2581940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Rizikos grupei priklauso ir pacientai, kurių yra ilgas QT intervalas (įgimtas ar jatrogeninis). Hipokalemija, kaip ir bradikardija, gali sukelti sunkius ritmo sutrikimus, ypač polimorfinę skilvelinę tachikardiją (</w:t>
      </w:r>
      <w:r>
        <w:rPr>
          <w:i/>
          <w:iCs/>
          <w:snapToGrid/>
          <w:szCs w:val="22"/>
          <w:lang w:val="lt-LT" w:eastAsia="sl-SI"/>
        </w:rPr>
        <w:t>torsades de pointes</w:t>
      </w:r>
      <w:r>
        <w:rPr>
          <w:snapToGrid/>
          <w:szCs w:val="22"/>
          <w:lang w:val="lt-LT" w:eastAsia="sl-SI"/>
        </w:rPr>
        <w:t>), kuri gali būti mirtina.</w:t>
      </w:r>
    </w:p>
    <w:p w14:paraId="7718DE3B" w14:textId="77777777" w:rsidR="00C00DD1" w:rsidRDefault="00C00DD1">
      <w:pPr>
        <w:widowControl w:val="0"/>
        <w:tabs>
          <w:tab w:val="clear" w:pos="567"/>
        </w:tabs>
        <w:spacing w:line="240" w:lineRule="auto"/>
        <w:rPr>
          <w:snapToGrid/>
          <w:szCs w:val="22"/>
          <w:lang w:val="lt-LT" w:eastAsia="sl-SI"/>
        </w:rPr>
      </w:pPr>
    </w:p>
    <w:p w14:paraId="1012754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Visais šiais atvejais reikia dažniau tirti kalio koncentraciją. Pirmą kartą kalio koncentraciją kraujo plazmoje reikia išmatuoti per pirmąją savaitę nuo gydymo pradžios. Jeigu kalio koncentracija yra maža, ją reikia koreguoti. Hipokalemija kartu su maža magnio koncentracija kraujo serume gali nereaguoti į gydymą, kol nekoreguojama magnio koncentracija kraujo serume.</w:t>
      </w:r>
    </w:p>
    <w:p w14:paraId="2F2A2658" w14:textId="77777777" w:rsidR="00C00DD1" w:rsidRDefault="00C00DD1">
      <w:pPr>
        <w:widowControl w:val="0"/>
        <w:tabs>
          <w:tab w:val="clear" w:pos="567"/>
        </w:tabs>
        <w:spacing w:line="240" w:lineRule="auto"/>
        <w:rPr>
          <w:snapToGrid/>
          <w:szCs w:val="22"/>
          <w:lang w:val="lt-LT" w:eastAsia="sl-SI"/>
        </w:rPr>
      </w:pPr>
    </w:p>
    <w:p w14:paraId="7F0DD9FA"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Magnio koncentracija kraujo plazmoje</w:t>
      </w:r>
    </w:p>
    <w:p w14:paraId="51704E1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Tiazidiniai ir panašaus poveikio diuretikai, įskaitant indapamidą, gali didinti magnio išsiskyrimą su šlapimu ir sukelti hipomagnezemiją (žr. 4.5 ir 4.8 skyrius).</w:t>
      </w:r>
    </w:p>
    <w:p w14:paraId="5C71D04E" w14:textId="77777777" w:rsidR="00C00DD1" w:rsidRDefault="00C00DD1">
      <w:pPr>
        <w:widowControl w:val="0"/>
        <w:tabs>
          <w:tab w:val="clear" w:pos="567"/>
        </w:tabs>
        <w:spacing w:line="240" w:lineRule="auto"/>
        <w:rPr>
          <w:snapToGrid/>
          <w:szCs w:val="22"/>
          <w:lang w:val="lt-LT" w:eastAsia="sl-SI"/>
        </w:rPr>
      </w:pPr>
    </w:p>
    <w:p w14:paraId="15512066"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Kalcio koncentracija</w:t>
      </w:r>
    </w:p>
    <w:p w14:paraId="6454974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Tiazidiniai ir panašaus poveikio diuretikai gali mažinti kalcio išsiskyrimą su šlapimu ir laikinai šiek tiek padidinti kalcio koncentraciją kraujo plazmoje. Gerokai padidėjęs kalcio kiekis gali būti susijęs su nediagnozuota hiperparatiroze. Tokiais atvejais prieš priešskydinės liaukos funkcijos tyrimą gydymą reikia nutraukti.</w:t>
      </w:r>
    </w:p>
    <w:p w14:paraId="1C3CA822" w14:textId="77777777" w:rsidR="00C00DD1" w:rsidRDefault="00C00DD1">
      <w:pPr>
        <w:widowControl w:val="0"/>
        <w:tabs>
          <w:tab w:val="clear" w:pos="567"/>
        </w:tabs>
        <w:spacing w:line="240" w:lineRule="auto"/>
        <w:rPr>
          <w:snapToGrid/>
          <w:szCs w:val="22"/>
          <w:lang w:val="lt-LT" w:eastAsia="sl-SI"/>
        </w:rPr>
      </w:pPr>
    </w:p>
    <w:p w14:paraId="5E0AE74F"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Gliukozės koncentracija kraujyje</w:t>
      </w:r>
    </w:p>
    <w:p w14:paraId="63589C1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Būtina stebėti cukriniu diabetu sergančių pacientų gliukozės koncentraciją kraujyje, ypač jeigu kalio </w:t>
      </w:r>
      <w:r>
        <w:rPr>
          <w:snapToGrid/>
          <w:szCs w:val="22"/>
          <w:lang w:val="lt-LT" w:eastAsia="sl-SI"/>
        </w:rPr>
        <w:lastRenderedPageBreak/>
        <w:t>koncentracija kraujyje yra maža.</w:t>
      </w:r>
    </w:p>
    <w:p w14:paraId="5967EDE6" w14:textId="77777777" w:rsidR="00C00DD1" w:rsidRDefault="00C00DD1">
      <w:pPr>
        <w:widowControl w:val="0"/>
        <w:tabs>
          <w:tab w:val="clear" w:pos="567"/>
        </w:tabs>
        <w:spacing w:line="240" w:lineRule="auto"/>
        <w:rPr>
          <w:snapToGrid/>
          <w:szCs w:val="22"/>
          <w:lang w:val="lt-LT" w:eastAsia="sl-SI"/>
        </w:rPr>
      </w:pPr>
    </w:p>
    <w:p w14:paraId="031E7377"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Šlapimo rūgštis</w:t>
      </w:r>
    </w:p>
    <w:p w14:paraId="424046B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yra hiperurikemija, gali padidėti polinkis į podagros priepuolius.</w:t>
      </w:r>
    </w:p>
    <w:p w14:paraId="36E5B3F3" w14:textId="77777777" w:rsidR="00C00DD1" w:rsidRDefault="00C00DD1">
      <w:pPr>
        <w:widowControl w:val="0"/>
        <w:tabs>
          <w:tab w:val="clear" w:pos="567"/>
        </w:tabs>
        <w:spacing w:line="240" w:lineRule="auto"/>
        <w:rPr>
          <w:snapToGrid/>
          <w:szCs w:val="22"/>
          <w:lang w:val="lt-LT" w:eastAsia="sl-SI"/>
        </w:rPr>
      </w:pPr>
    </w:p>
    <w:p w14:paraId="2535371D" w14:textId="77777777" w:rsidR="00C00DD1" w:rsidRDefault="00C260EB">
      <w:pPr>
        <w:widowControl w:val="0"/>
        <w:tabs>
          <w:tab w:val="clear" w:pos="567"/>
        </w:tabs>
        <w:spacing w:line="240" w:lineRule="auto"/>
        <w:rPr>
          <w:snapToGrid/>
          <w:szCs w:val="22"/>
          <w:lang w:val="lt-LT" w:eastAsia="sl-SI"/>
        </w:rPr>
      </w:pPr>
      <w:r>
        <w:rPr>
          <w:i/>
          <w:snapToGrid/>
          <w:szCs w:val="22"/>
          <w:lang w:val="lt-LT" w:eastAsia="sl-SI"/>
        </w:rPr>
        <w:t>Inkstų funkcija ir diuretikai</w:t>
      </w:r>
    </w:p>
    <w:p w14:paraId="0590121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Visiškas tiazidinių ir panašaus poveikio diuretikų poveikis pasireiškia tik tada, jeigu inkstų funkcija yra normali arba tik šiek tiek sutrikusi (kreatinino koncentracija suaugusių žmonių kraujo plazmoje mažesnė kaip maždaug 25 mg/l, t. y. &lt;220 mikromolių/l).</w:t>
      </w:r>
    </w:p>
    <w:p w14:paraId="03133CA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 xml:space="preserve">Senyviems žmonėms kreatinino koncentraciją kraujo plazmoje būtina perskaičiuoti atsižvelgiant į amžių, kūno svorį ir lytį. Naudojama </w:t>
      </w:r>
      <w:r>
        <w:rPr>
          <w:i/>
          <w:snapToGrid/>
          <w:szCs w:val="22"/>
          <w:lang w:val="lt-LT" w:eastAsia="sl-SI"/>
        </w:rPr>
        <w:t>Cockroft</w:t>
      </w:r>
      <w:r>
        <w:rPr>
          <w:snapToGrid/>
          <w:szCs w:val="22"/>
          <w:lang w:val="lt-LT" w:eastAsia="sl-SI"/>
        </w:rPr>
        <w:t xml:space="preserve"> formulė:</w:t>
      </w:r>
    </w:p>
    <w:p w14:paraId="14097D0D" w14:textId="77777777" w:rsidR="00C00DD1" w:rsidRDefault="00C00DD1">
      <w:pPr>
        <w:widowControl w:val="0"/>
        <w:tabs>
          <w:tab w:val="clear" w:pos="567"/>
        </w:tabs>
        <w:spacing w:line="240" w:lineRule="auto"/>
        <w:rPr>
          <w:snapToGrid/>
          <w:szCs w:val="22"/>
          <w:lang w:val="lt-LT" w:eastAsia="sl-SI"/>
        </w:rPr>
      </w:pPr>
    </w:p>
    <w:p w14:paraId="4B0F14A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Cl</w:t>
      </w:r>
      <w:r>
        <w:rPr>
          <w:snapToGrid/>
          <w:szCs w:val="22"/>
          <w:vertAlign w:val="subscript"/>
          <w:lang w:val="lt-LT" w:eastAsia="sl-SI"/>
        </w:rPr>
        <w:t>cr</w:t>
      </w:r>
      <w:r>
        <w:rPr>
          <w:snapToGrid/>
          <w:szCs w:val="22"/>
          <w:lang w:val="lt-LT" w:eastAsia="sl-SI"/>
        </w:rPr>
        <w:t xml:space="preserve"> = (140 – amžius) x kūno svoris / 0,814 x kreatinino koncentracija kraujo plazmoje</w:t>
      </w:r>
    </w:p>
    <w:p w14:paraId="1C98D6C4" w14:textId="77777777" w:rsidR="00C00DD1" w:rsidRDefault="00C00DD1">
      <w:pPr>
        <w:widowControl w:val="0"/>
        <w:tabs>
          <w:tab w:val="clear" w:pos="567"/>
        </w:tabs>
        <w:spacing w:line="240" w:lineRule="auto"/>
        <w:rPr>
          <w:snapToGrid/>
          <w:szCs w:val="22"/>
          <w:lang w:val="lt-LT" w:eastAsia="sl-SI"/>
        </w:rPr>
      </w:pPr>
    </w:p>
    <w:p w14:paraId="2E73CD3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(amžius metais, kūno svoris kilogramais, kreatinino koncentracija kraujo plazmoje mikromoliais/l).</w:t>
      </w:r>
    </w:p>
    <w:p w14:paraId="2B953AD5" w14:textId="77777777" w:rsidR="00C00DD1" w:rsidRDefault="00C00DD1">
      <w:pPr>
        <w:widowControl w:val="0"/>
        <w:tabs>
          <w:tab w:val="clear" w:pos="567"/>
        </w:tabs>
        <w:spacing w:line="240" w:lineRule="auto"/>
        <w:rPr>
          <w:snapToGrid/>
          <w:szCs w:val="22"/>
          <w:lang w:val="lt-LT" w:eastAsia="sl-SI"/>
        </w:rPr>
      </w:pPr>
    </w:p>
    <w:p w14:paraId="16FED486"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Ši formulė tinka senyviems vyrams. Moterims gautą rezultatą reikia padauginti iš 0,85.</w:t>
      </w:r>
    </w:p>
    <w:p w14:paraId="492BD5AC" w14:textId="77777777" w:rsidR="00C00DD1" w:rsidRDefault="00C00DD1">
      <w:pPr>
        <w:widowControl w:val="0"/>
        <w:tabs>
          <w:tab w:val="clear" w:pos="567"/>
        </w:tabs>
        <w:spacing w:line="240" w:lineRule="auto"/>
        <w:rPr>
          <w:snapToGrid/>
          <w:szCs w:val="22"/>
          <w:lang w:val="lt-LT" w:eastAsia="sl-SI"/>
        </w:rPr>
      </w:pPr>
    </w:p>
    <w:p w14:paraId="31B0FBC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Gydymo pradžioje diuretikų sukelta hipovolemija (antrinė dėl padidėjusio natrio ir vandens netekimo) sumažina glomerulų filtraciją, todėl gali didėti šlapalo bei kreatinino koncentracija kraujyje. Jeigu inkstų funkcija normali, toks laikinas funkcinis inkstų nepakankamumas nepageidaujamų pasekmių nesukelia, tačiau jeigu inkstų funkcijos sutrikimas jau buvo, jis gali pasunkėti.</w:t>
      </w:r>
    </w:p>
    <w:p w14:paraId="6DB7E864" w14:textId="77777777" w:rsidR="00C00DD1" w:rsidRDefault="00C00DD1">
      <w:pPr>
        <w:widowControl w:val="0"/>
        <w:tabs>
          <w:tab w:val="clear" w:pos="567"/>
        </w:tabs>
        <w:spacing w:line="240" w:lineRule="auto"/>
        <w:rPr>
          <w:snapToGrid/>
          <w:szCs w:val="22"/>
          <w:lang w:val="lt-LT" w:eastAsia="sl-SI"/>
        </w:rPr>
      </w:pPr>
    </w:p>
    <w:p w14:paraId="435B4222"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Sportininkai</w:t>
      </w:r>
    </w:p>
    <w:p w14:paraId="1F04EB4B"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Sportininkus reikia informuoti, kad vaistiniame preparate esanti veiklioji medžiaga gali lemti teigiamą dopingo testo rezultatą.</w:t>
      </w:r>
    </w:p>
    <w:p w14:paraId="1AC36707" w14:textId="77777777" w:rsidR="00C00DD1" w:rsidRDefault="00C00DD1">
      <w:pPr>
        <w:widowControl w:val="0"/>
        <w:tabs>
          <w:tab w:val="clear" w:pos="567"/>
        </w:tabs>
        <w:spacing w:line="240" w:lineRule="auto"/>
        <w:rPr>
          <w:rFonts w:eastAsia="Calibri"/>
          <w:i/>
          <w:snapToGrid/>
          <w:szCs w:val="22"/>
          <w:highlight w:val="green"/>
          <w:lang w:val="lt-LT"/>
        </w:rPr>
      </w:pPr>
    </w:p>
    <w:p w14:paraId="555435A8" w14:textId="77777777" w:rsidR="00C00DD1" w:rsidRDefault="00C260EB">
      <w:pPr>
        <w:widowControl w:val="0"/>
        <w:tabs>
          <w:tab w:val="clear" w:pos="567"/>
        </w:tabs>
        <w:spacing w:line="240" w:lineRule="auto"/>
        <w:rPr>
          <w:rFonts w:eastAsia="Calibri"/>
          <w:snapToGrid/>
          <w:szCs w:val="22"/>
          <w:lang w:val="lt-LT"/>
        </w:rPr>
      </w:pPr>
      <w:r>
        <w:rPr>
          <w:rFonts w:eastAsia="Calibri"/>
          <w:i/>
          <w:snapToGrid/>
          <w:szCs w:val="22"/>
          <w:lang w:val="lt-LT"/>
        </w:rPr>
        <w:t>Skysčio susikaupimas tarp akies gyslainės ir skleros, ūminė miopija ir antrinė uždaro kampo glaukoma</w:t>
      </w:r>
    </w:p>
    <w:p w14:paraId="1A9B5E20" w14:textId="77777777" w:rsidR="00C00DD1" w:rsidRDefault="00C260EB">
      <w:pPr>
        <w:widowControl w:val="0"/>
        <w:tabs>
          <w:tab w:val="clear" w:pos="567"/>
          <w:tab w:val="left" w:pos="0"/>
          <w:tab w:val="left" w:pos="284"/>
          <w:tab w:val="left" w:pos="709"/>
        </w:tabs>
        <w:spacing w:line="240" w:lineRule="auto"/>
        <w:rPr>
          <w:rFonts w:eastAsia="Calibri"/>
          <w:snapToGrid/>
          <w:szCs w:val="22"/>
          <w:lang w:val="lt-LT"/>
        </w:rPr>
      </w:pPr>
      <w:r>
        <w:rPr>
          <w:rFonts w:eastAsia="Calibri"/>
          <w:snapToGrid/>
          <w:szCs w:val="22"/>
          <w:lang w:val="lt-LT"/>
        </w:rPr>
        <w:t>Sulfonamidai arba sulfonamidų dariniai gali sukelti idosinkrazinę reakciją, dėl kurios pasireiškia skysčio susikaupimas tarp akies gyslainės ir skleros su regėjimo lauko defektu, laikina miopija ir ūminė uždaro kampo glaukoma. Galimi simptomai yra staiga sumažėjęs regos aštrumas ar akies skausmas, jie paprastai pasireiškia po</w:t>
      </w:r>
      <w:r>
        <w:rPr>
          <w:snapToGrid/>
          <w:szCs w:val="22"/>
          <w:lang w:val="lt-LT" w:eastAsia="sl-SI"/>
        </w:rPr>
        <w:t xml:space="preserve"> kelių valandų ar savaičių nuo vaistinio preparato vartojimo pradžios. </w:t>
      </w:r>
      <w:r>
        <w:rPr>
          <w:rFonts w:eastAsia="Calibri"/>
          <w:snapToGrid/>
          <w:szCs w:val="22"/>
          <w:lang w:val="lt-LT"/>
        </w:rPr>
        <w:t>Negydant ūminės uždaro kampo glaukomos, galimas apakimas visam laikui. Gydant, pirmiausia reikia kiek galima greičiau nutraukti vaistinio preparato vartojimą. Gali tekti spręsti dėl skubaus medikamentinio ar chirurginio gydymo, jeigu akispūdis ir toliau išlieka nekontroliuojamas. Ūminės uždaro kampo glaukomos atsiradimo rizikos veiksniai gali būti buvusi alergija sulfonamidams arba penicilinui.</w:t>
      </w:r>
    </w:p>
    <w:p w14:paraId="5576C146" w14:textId="77777777" w:rsidR="00C00DD1" w:rsidRDefault="00C00DD1">
      <w:pPr>
        <w:widowControl w:val="0"/>
        <w:tabs>
          <w:tab w:val="clear" w:pos="567"/>
          <w:tab w:val="left" w:pos="0"/>
          <w:tab w:val="left" w:pos="284"/>
          <w:tab w:val="left" w:pos="709"/>
        </w:tabs>
        <w:spacing w:line="240" w:lineRule="auto"/>
        <w:rPr>
          <w:rFonts w:eastAsia="Calibri"/>
          <w:snapToGrid/>
          <w:szCs w:val="22"/>
          <w:lang w:val="lt-LT"/>
        </w:rPr>
      </w:pPr>
    </w:p>
    <w:p w14:paraId="47E1777E" w14:textId="77777777" w:rsidR="00C00DD1" w:rsidRDefault="00C260EB">
      <w:pPr>
        <w:widowControl w:val="0"/>
        <w:tabs>
          <w:tab w:val="clear" w:pos="567"/>
          <w:tab w:val="left" w:pos="0"/>
          <w:tab w:val="left" w:pos="284"/>
          <w:tab w:val="left" w:pos="709"/>
        </w:tabs>
        <w:spacing w:line="240" w:lineRule="auto"/>
        <w:rPr>
          <w:rFonts w:eastAsia="Calibri"/>
          <w:i/>
          <w:iCs/>
          <w:snapToGrid/>
          <w:szCs w:val="22"/>
          <w:lang w:val="lt-LT"/>
        </w:rPr>
      </w:pPr>
      <w:r>
        <w:rPr>
          <w:rFonts w:eastAsia="Calibri"/>
          <w:i/>
          <w:iCs/>
          <w:snapToGrid/>
          <w:szCs w:val="22"/>
          <w:lang w:val="lt-LT"/>
        </w:rPr>
        <w:t>Pagalbinės medžiagos</w:t>
      </w:r>
    </w:p>
    <w:p w14:paraId="2FB1E72E"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Šio vaistinio preparato tabletėje yra mažiau kaip 1 mmol natrio (23 mg), t. y. jis beveik neturi reikšmės.</w:t>
      </w:r>
    </w:p>
    <w:p w14:paraId="56FE9159" w14:textId="77777777" w:rsidR="00C00DD1" w:rsidRDefault="00C00DD1">
      <w:pPr>
        <w:widowControl w:val="0"/>
        <w:tabs>
          <w:tab w:val="clear" w:pos="567"/>
        </w:tabs>
        <w:spacing w:line="240" w:lineRule="auto"/>
        <w:ind w:left="567" w:hanging="567"/>
        <w:rPr>
          <w:snapToGrid/>
          <w:szCs w:val="22"/>
          <w:lang w:val="lt-LT"/>
        </w:rPr>
      </w:pPr>
    </w:p>
    <w:p w14:paraId="7F1AE1AA"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4.5</w:t>
      </w:r>
      <w:r>
        <w:rPr>
          <w:b/>
          <w:snapToGrid/>
          <w:kern w:val="28"/>
          <w:szCs w:val="22"/>
          <w:lang w:val="lt-LT"/>
        </w:rPr>
        <w:tab/>
        <w:t>Sąveika su kitais vaistiniais preparatais ir kitokia sąveika</w:t>
      </w:r>
    </w:p>
    <w:p w14:paraId="45502AE6" w14:textId="77777777" w:rsidR="00C00DD1" w:rsidRDefault="00C00DD1">
      <w:pPr>
        <w:widowControl w:val="0"/>
        <w:tabs>
          <w:tab w:val="clear" w:pos="567"/>
        </w:tabs>
        <w:spacing w:line="240" w:lineRule="auto"/>
        <w:ind w:left="567" w:hanging="567"/>
        <w:rPr>
          <w:bCs/>
          <w:snapToGrid/>
          <w:szCs w:val="22"/>
          <w:lang w:val="lt-LT"/>
        </w:rPr>
      </w:pPr>
    </w:p>
    <w:p w14:paraId="2F8A8203"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 su perindopriliu ir indapamidu:</w:t>
      </w:r>
    </w:p>
    <w:p w14:paraId="6FAA795D" w14:textId="77777777" w:rsidR="00C00DD1" w:rsidRDefault="00C00DD1">
      <w:pPr>
        <w:widowControl w:val="0"/>
        <w:tabs>
          <w:tab w:val="clear" w:pos="567"/>
        </w:tabs>
        <w:spacing w:line="240" w:lineRule="auto"/>
        <w:rPr>
          <w:snapToGrid/>
          <w:szCs w:val="22"/>
          <w:lang w:val="lt-LT" w:eastAsia="sl-SI"/>
        </w:rPr>
      </w:pPr>
    </w:p>
    <w:p w14:paraId="79FEE18A"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ir indapamidu vartoti nerekomenduojama:</w:t>
      </w:r>
    </w:p>
    <w:p w14:paraId="421F559B" w14:textId="77777777" w:rsidR="00C00DD1" w:rsidRDefault="00C260EB">
      <w:pPr>
        <w:widowControl w:val="0"/>
        <w:numPr>
          <w:ilvl w:val="0"/>
          <w:numId w:val="18"/>
        </w:numPr>
        <w:tabs>
          <w:tab w:val="clear" w:pos="567"/>
        </w:tabs>
        <w:spacing w:line="240" w:lineRule="auto"/>
        <w:ind w:left="567" w:hanging="567"/>
        <w:rPr>
          <w:i/>
          <w:snapToGrid/>
          <w:szCs w:val="22"/>
          <w:lang w:val="lt-LT" w:eastAsia="sl-SI"/>
        </w:rPr>
      </w:pPr>
      <w:r>
        <w:rPr>
          <w:snapToGrid/>
          <w:szCs w:val="22"/>
          <w:lang w:val="lt-LT" w:eastAsia="sl-SI"/>
        </w:rPr>
        <w:t>Ličio preparatai. Kartu su AKF inhibitoriais vartojant ličio, kai kuriems pacientams laikinai padidėdavo ličio koncentracija kraujo serume ir sustiprėdavo toksinis poveikis. Kartu su perindopriliu ir indapamidu ličio preparatų vartoti nerekomenduojama. Jeigu taip gydyti būtina, reikia dažnai tirti ličio koncentraciją kraujo serume (žr. 4.4 skyrių).</w:t>
      </w:r>
    </w:p>
    <w:p w14:paraId="4723F97E" w14:textId="77777777" w:rsidR="00C00DD1" w:rsidRDefault="00C00DD1">
      <w:pPr>
        <w:widowControl w:val="0"/>
        <w:tabs>
          <w:tab w:val="clear" w:pos="567"/>
        </w:tabs>
        <w:spacing w:line="240" w:lineRule="auto"/>
        <w:rPr>
          <w:snapToGrid/>
          <w:szCs w:val="22"/>
          <w:u w:val="single"/>
          <w:lang w:val="lt-LT" w:eastAsia="sl-SI"/>
        </w:rPr>
      </w:pPr>
    </w:p>
    <w:p w14:paraId="4A273CFA"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ir indapamidu reikia vartoti itin atsargiai:</w:t>
      </w:r>
    </w:p>
    <w:p w14:paraId="5E5B135E"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Baklofenas. Antihipertenzinio poveikio sustiprėjimas. Būtina stebėti kraujospūdį ir, prireikus, koreguoti antihipertenzinių vaistinių preparatų dozę.</w:t>
      </w:r>
    </w:p>
    <w:p w14:paraId="6702E11A"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 xml:space="preserve">Nesteroidiniai vaistiniai preparatai nuo uždegimo (NVNU) (įskaitant 3 g ir didesnes </w:t>
      </w:r>
      <w:r>
        <w:rPr>
          <w:snapToGrid/>
          <w:szCs w:val="22"/>
          <w:lang w:val="lt-LT" w:eastAsia="sl-SI"/>
        </w:rPr>
        <w:lastRenderedPageBreak/>
        <w:t>acetilsalicilo rūgšties paros dozes). AKF inhibitorius vartojant kartu su nesteroidiniais vaistiniais preparatais nuo uždegimo (pvz., acetilsalicilo rūgšties dozėmis nuo uždegimo, COX</w:t>
      </w:r>
      <w:r>
        <w:rPr>
          <w:snapToGrid/>
          <w:szCs w:val="22"/>
          <w:lang w:val="lt-LT" w:eastAsia="sl-SI"/>
        </w:rPr>
        <w:noBreakHyphen/>
        <w:t>2 inhibitoriais ir neselektyviaisiais NVNU), gali sumažėti jų kraujospūdį mažinantis poveikis. Kartu vartojant AKF inhibitorius ir NVNU gali padidėti inkstų funkcijos pablogėjimo rizika, įskaitant ūminio inkstų nepakankamumo galimybę, ir padidėti kalio koncentracija kraujo serume, ypač tiems pacientams, kurių inkstų funkcija ir anksčiau buvo bloga. Skirti vartoti šį derinį reikia atsargiai, ypač senyviems pacientams. Paciento organizme turi būti pakankamas skysčio kiekis, o inkstų funkciją reikia įvertinti kombinuotojo gydymo pradžioje ir reguliariai stebėti gydymo metu.</w:t>
      </w:r>
    </w:p>
    <w:p w14:paraId="7482881F" w14:textId="77777777" w:rsidR="00C00DD1" w:rsidRDefault="00C00DD1">
      <w:pPr>
        <w:widowControl w:val="0"/>
        <w:tabs>
          <w:tab w:val="clear" w:pos="567"/>
        </w:tabs>
        <w:spacing w:line="240" w:lineRule="auto"/>
        <w:rPr>
          <w:snapToGrid/>
          <w:szCs w:val="22"/>
          <w:lang w:val="lt-LT" w:eastAsia="sl-SI"/>
        </w:rPr>
      </w:pPr>
    </w:p>
    <w:p w14:paraId="4EACF9C2"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ir indapamidu reikia vartoti atsargiai:</w:t>
      </w:r>
    </w:p>
    <w:p w14:paraId="5CF661EA"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Imipramino tipo (tricikliai) antidepresantai, neuroleptikai. Stiprėja antihipertenzinis poveikis, didėja ortostatinės hipotenzijos rizika (poveikis adityvus).</w:t>
      </w:r>
    </w:p>
    <w:p w14:paraId="7317310F" w14:textId="77777777" w:rsidR="00C00DD1" w:rsidRDefault="00C00DD1">
      <w:pPr>
        <w:widowControl w:val="0"/>
        <w:tabs>
          <w:tab w:val="clear" w:pos="567"/>
        </w:tabs>
        <w:spacing w:line="240" w:lineRule="auto"/>
        <w:rPr>
          <w:snapToGrid/>
          <w:szCs w:val="22"/>
          <w:lang w:val="lt-LT" w:eastAsia="sl-SI"/>
        </w:rPr>
      </w:pPr>
    </w:p>
    <w:p w14:paraId="5BC21198"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 su perindopriliu:</w:t>
      </w:r>
    </w:p>
    <w:p w14:paraId="3F29EBE1" w14:textId="77777777" w:rsidR="00C00DD1" w:rsidRDefault="00C00DD1">
      <w:pPr>
        <w:widowControl w:val="0"/>
        <w:tabs>
          <w:tab w:val="clear" w:pos="567"/>
        </w:tabs>
        <w:spacing w:line="240" w:lineRule="auto"/>
        <w:rPr>
          <w:snapToGrid/>
          <w:szCs w:val="22"/>
          <w:lang w:val="lt-LT" w:eastAsia="sl-SI"/>
        </w:rPr>
      </w:pPr>
    </w:p>
    <w:p w14:paraId="464AF3A6" w14:textId="77777777" w:rsidR="00C00DD1" w:rsidRDefault="00C260EB">
      <w:pPr>
        <w:widowControl w:val="0"/>
        <w:tabs>
          <w:tab w:val="clear" w:pos="567"/>
        </w:tabs>
        <w:spacing w:line="240" w:lineRule="auto"/>
        <w:contextualSpacing/>
        <w:rPr>
          <w:snapToGrid/>
          <w:szCs w:val="22"/>
          <w:lang w:val="lt-LT" w:eastAsia="sl-SI"/>
        </w:rPr>
      </w:pPr>
      <w:r>
        <w:rPr>
          <w:snapToGrid/>
          <w:szCs w:val="22"/>
          <w:lang w:val="lt-LT" w:eastAsia="sl-SI"/>
        </w:rPr>
        <w:t>Klinikinių tyrimų duomenys parodė, kad, palyginti su vieno renino, angiotenzino ir aldosterono sistemos (RAAS) veikiančio preparato vartojimu, dvigubas RAAS nuslopinimas, kai vartojamas AKF inhibitorių, angiotenzino II receptorių blokatorių ar aliskireno derinys, siejamas su dažniau pasitaikančiais nepageidaujamais reiškiniais, tokiais kaip hipotenzija, hiperkalemija ir inkstų funkcijos susilpnėjimas (įskaitant ūminį inkstų nepakankamumą) (žr. 4.3, 4.4 ir 5.1 skyrius).</w:t>
      </w:r>
    </w:p>
    <w:p w14:paraId="44720A23" w14:textId="77777777" w:rsidR="00C00DD1" w:rsidRDefault="00C00DD1">
      <w:pPr>
        <w:widowControl w:val="0"/>
        <w:tabs>
          <w:tab w:val="clear" w:pos="567"/>
        </w:tabs>
        <w:spacing w:line="240" w:lineRule="auto"/>
        <w:rPr>
          <w:snapToGrid/>
          <w:szCs w:val="22"/>
          <w:lang w:val="lt-LT" w:eastAsia="sl-SI"/>
        </w:rPr>
      </w:pPr>
    </w:p>
    <w:p w14:paraId="65FBAA98"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Hiperkalemiją sukeliantys vaistiniai preparatai</w:t>
      </w:r>
    </w:p>
    <w:p w14:paraId="02CC66C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Kai kurie arba kai kurių terapinių grupių vaistiniai preparatai gali didinti hiperkalemijos atsiradimo riziką: aliskirenas, kalio druskos, kalį organizme sulaikantys diuretikai, AKF inhibitoriai, angiotenzino II receptorių antagonistai, NVNU, heparino preparatai, imuninę sistemą slopinantys vaistiniai preparatai (pvz., ciklosporinas ar takrolimuzas), trimetoprimas. Kartu vartojami šie vaistiniai preparatai didina hiperkalemijos riziką.</w:t>
      </w:r>
    </w:p>
    <w:p w14:paraId="7690C1A7" w14:textId="77777777" w:rsidR="00C00DD1" w:rsidRDefault="00C00DD1">
      <w:pPr>
        <w:widowControl w:val="0"/>
        <w:tabs>
          <w:tab w:val="clear" w:pos="567"/>
        </w:tabs>
        <w:spacing w:line="240" w:lineRule="auto"/>
        <w:rPr>
          <w:rFonts w:eastAsia="Calibri"/>
          <w:i/>
          <w:snapToGrid/>
          <w:szCs w:val="22"/>
          <w:lang w:val="lt-LT" w:eastAsia="sl-SI"/>
        </w:rPr>
      </w:pPr>
    </w:p>
    <w:p w14:paraId="2A621530" w14:textId="77777777" w:rsidR="00C00DD1" w:rsidRDefault="00C260EB">
      <w:pPr>
        <w:widowControl w:val="0"/>
        <w:tabs>
          <w:tab w:val="clear" w:pos="567"/>
        </w:tabs>
        <w:spacing w:line="240" w:lineRule="auto"/>
        <w:rPr>
          <w:rFonts w:eastAsia="Calibri"/>
          <w:i/>
          <w:snapToGrid/>
          <w:szCs w:val="22"/>
          <w:lang w:val="lt-LT" w:eastAsia="sl-SI"/>
        </w:rPr>
      </w:pPr>
      <w:r>
        <w:rPr>
          <w:rFonts w:eastAsia="Calibri"/>
          <w:i/>
          <w:snapToGrid/>
          <w:szCs w:val="22"/>
          <w:lang w:val="lt-LT" w:eastAsia="sl-SI"/>
        </w:rPr>
        <w:t>Vaistiniai preparatai, kurių kartu vartoti draudžiama (žr. 4.3 skyrių):</w:t>
      </w:r>
    </w:p>
    <w:p w14:paraId="0FD3A40A" w14:textId="77777777" w:rsidR="00C00DD1" w:rsidRDefault="00C260EB">
      <w:pPr>
        <w:widowControl w:val="0"/>
        <w:numPr>
          <w:ilvl w:val="0"/>
          <w:numId w:val="19"/>
        </w:numPr>
        <w:tabs>
          <w:tab w:val="clear" w:pos="567"/>
        </w:tabs>
        <w:spacing w:line="240" w:lineRule="auto"/>
        <w:ind w:left="567" w:hanging="567"/>
        <w:rPr>
          <w:rFonts w:eastAsia="Calibri"/>
          <w:snapToGrid/>
          <w:szCs w:val="22"/>
          <w:lang w:val="lt-LT"/>
        </w:rPr>
      </w:pPr>
      <w:r>
        <w:rPr>
          <w:rFonts w:eastAsia="Calibri"/>
          <w:snapToGrid/>
          <w:szCs w:val="22"/>
          <w:lang w:val="lt-LT"/>
        </w:rPr>
        <w:t>Aliskirenas. Cukriniu diabetu sergantiems pacientams arba pacientams, kurių inkstų funkcija sutrikusi, padidėja hiperkalemijos, inkstų funkcijos pablogėjimo ir kardiovaskulinio sergamumo bei mirtingumo rizika.</w:t>
      </w:r>
    </w:p>
    <w:p w14:paraId="4548BFB1" w14:textId="77777777" w:rsidR="00C00DD1" w:rsidRDefault="00C260EB">
      <w:pPr>
        <w:widowControl w:val="0"/>
        <w:numPr>
          <w:ilvl w:val="0"/>
          <w:numId w:val="19"/>
        </w:numPr>
        <w:tabs>
          <w:tab w:val="clear" w:pos="567"/>
        </w:tabs>
        <w:spacing w:line="240" w:lineRule="auto"/>
        <w:ind w:left="567" w:hanging="567"/>
        <w:rPr>
          <w:snapToGrid/>
          <w:szCs w:val="22"/>
          <w:lang w:val="lt-LT" w:eastAsia="sl-SI"/>
        </w:rPr>
      </w:pPr>
      <w:r>
        <w:rPr>
          <w:snapToGrid/>
          <w:szCs w:val="22"/>
          <w:lang w:val="lt-LT" w:eastAsia="sl-SI"/>
        </w:rPr>
        <w:t xml:space="preserve">Ekstrakorporinis gydymas. </w:t>
      </w:r>
      <w:r>
        <w:rPr>
          <w:szCs w:val="22"/>
          <w:lang w:val="lt-LT" w:eastAsia="sl-SI"/>
        </w:rPr>
        <w:t>Ekstrakorporinio gydymo, dėl kurio kraujas sąveikauja su neigiamą krūvį turinčiais paviršiais, pavyzdžiui, dializės arba hemofiltracijos metu naudojant tam tikras didelio pralaidumo membranas (pvz., poliakrilonitrilo membranas) ar atliekant mažo tankio lipoproteinų aferezę su dekstrano sulfatu, metu gali padidėti sunkių anafilaktoidinių reakcijų rizika (žr. 4.3 skyrių). Jeigu reikia tokio gydymo, būtina apsvarstyti kitokio tipo dializės membranos naudojimą arba kitos grupės antihipertenzinio vaistinio preparato skyrimą.</w:t>
      </w:r>
    </w:p>
    <w:p w14:paraId="12EEBBA6" w14:textId="77777777" w:rsidR="00C00DD1" w:rsidRDefault="00C260EB">
      <w:pPr>
        <w:widowControl w:val="0"/>
        <w:numPr>
          <w:ilvl w:val="0"/>
          <w:numId w:val="16"/>
        </w:numPr>
        <w:tabs>
          <w:tab w:val="clear" w:pos="567"/>
        </w:tabs>
        <w:spacing w:line="240" w:lineRule="auto"/>
        <w:ind w:left="567" w:hanging="567"/>
        <w:contextualSpacing/>
        <w:rPr>
          <w:rFonts w:eastAsia="Calibri"/>
          <w:snapToGrid/>
          <w:szCs w:val="22"/>
          <w:lang w:val="lt-LT" w:eastAsia="sl-SI"/>
        </w:rPr>
      </w:pPr>
      <w:r>
        <w:rPr>
          <w:rFonts w:eastAsia="Calibri"/>
          <w:snapToGrid/>
          <w:szCs w:val="22"/>
          <w:lang w:val="lt-LT" w:eastAsia="sl-SI"/>
        </w:rPr>
        <w:t>Sakubitrilas/valsartanas. Dėl bendro nepriliziną ir angiotenziną konvertuojančio faktoriaus inhibuojančio poveikio ir padidėjusios angioneurozinės edemos rizikos, perindoprilio draudžiama skirti kartu su sakubitrilo ir valsartano deriniu. Gydymą sakubitrilo ir valsartano deriniu draudžiama pradėti nepraėjus 36 valandoms po paskutinės perindoprilio dozės pavartojimo. Gydymą perindopriliu draudžiama pradėti nepraėjus 36 valandoms po paskutinės sakubitrilo ir valsartano derinio dozės pavartojimo (žr. 4.3 ir 4.4 skyrius).</w:t>
      </w:r>
    </w:p>
    <w:p w14:paraId="6BA19AAE" w14:textId="77777777" w:rsidR="00C00DD1" w:rsidRDefault="00C00DD1">
      <w:pPr>
        <w:widowControl w:val="0"/>
        <w:tabs>
          <w:tab w:val="clear" w:pos="567"/>
        </w:tabs>
        <w:spacing w:line="240" w:lineRule="auto"/>
        <w:rPr>
          <w:rFonts w:eastAsia="Calibri"/>
          <w:snapToGrid/>
          <w:szCs w:val="22"/>
          <w:lang w:val="lt-LT" w:eastAsia="sl-SI"/>
        </w:rPr>
      </w:pPr>
    </w:p>
    <w:p w14:paraId="31B7FB13" w14:textId="77777777" w:rsidR="00C00DD1" w:rsidRDefault="00C260EB">
      <w:pPr>
        <w:widowControl w:val="0"/>
        <w:tabs>
          <w:tab w:val="clear" w:pos="567"/>
        </w:tabs>
        <w:spacing w:line="240" w:lineRule="auto"/>
        <w:rPr>
          <w:rFonts w:eastAsia="Calibri"/>
          <w:i/>
          <w:snapToGrid/>
          <w:szCs w:val="22"/>
          <w:lang w:val="lt-LT" w:eastAsia="sl-SI"/>
        </w:rPr>
      </w:pPr>
      <w:r>
        <w:rPr>
          <w:rFonts w:eastAsia="Calibri"/>
          <w:i/>
          <w:snapToGrid/>
          <w:szCs w:val="22"/>
          <w:lang w:val="lt-LT" w:eastAsia="sl-SI"/>
        </w:rPr>
        <w:t>Vaistiniai preparatai, kurių kartu su perindopriliu vartoti nerekomenduojama:</w:t>
      </w:r>
    </w:p>
    <w:p w14:paraId="7A27D719" w14:textId="77777777" w:rsidR="00C00DD1" w:rsidRDefault="00C260EB">
      <w:pPr>
        <w:widowControl w:val="0"/>
        <w:numPr>
          <w:ilvl w:val="0"/>
          <w:numId w:val="19"/>
        </w:numPr>
        <w:tabs>
          <w:tab w:val="clear" w:pos="567"/>
        </w:tabs>
        <w:spacing w:line="240" w:lineRule="auto"/>
        <w:ind w:left="567" w:hanging="567"/>
        <w:rPr>
          <w:rFonts w:eastAsia="Calibri"/>
          <w:bCs/>
          <w:iCs/>
          <w:snapToGrid/>
          <w:szCs w:val="22"/>
          <w:lang w:val="lt-LT"/>
        </w:rPr>
      </w:pPr>
      <w:r>
        <w:rPr>
          <w:rFonts w:eastAsia="Calibri"/>
          <w:bCs/>
          <w:iCs/>
          <w:snapToGrid/>
          <w:szCs w:val="22"/>
          <w:lang w:val="lt-LT"/>
        </w:rPr>
        <w:t xml:space="preserve">Aliskirenas. </w:t>
      </w:r>
      <w:r>
        <w:rPr>
          <w:rFonts w:eastAsia="Calibri"/>
          <w:snapToGrid/>
          <w:szCs w:val="22"/>
          <w:lang w:val="lt-LT"/>
        </w:rPr>
        <w:t>Hiperkalemijos, inkstų funkcijos pablogėjimo ir kardiovaskulinio sergamumo bei mirtingumo rizika</w:t>
      </w:r>
      <w:r>
        <w:rPr>
          <w:rFonts w:eastAsia="Calibri"/>
          <w:bCs/>
          <w:iCs/>
          <w:snapToGrid/>
          <w:szCs w:val="22"/>
          <w:lang w:val="lt-LT"/>
        </w:rPr>
        <w:t xml:space="preserve"> gali padidėti ir kitiems pacientams, ne tik tiems, kurie serga cukriniu diabetu arba kuriems yra inkstų funkcijos sutrikimas (žr. 4.4 skyrių).</w:t>
      </w:r>
    </w:p>
    <w:p w14:paraId="6573DA0F"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Vartojimas kartu su AKF inhibitoriumi ir angiotenzino receptorių blokatoriumi. Mokslinėje literatūroje yra pranešimų, kad AKF inhibitoriaus ar angiotenzino receptorių blokatoriaus vartojimas kartu pacientams, kuriems yra diagnozuota aterosklerozinė liga, širdies nepakankamumas arba cukrinis diabetas su organų</w:t>
      </w:r>
      <w:r>
        <w:rPr>
          <w:rFonts w:eastAsia="Calibri"/>
          <w:bCs/>
          <w:iCs/>
          <w:snapToGrid/>
          <w:szCs w:val="22"/>
          <w:lang w:val="lt-LT"/>
        </w:rPr>
        <w:noBreakHyphen/>
        <w:t xml:space="preserve">taikinių pažaida, yra susijęs su dažnesne hipotenzija, apalpimu, hiperkalemija ir inkstų funkcijos pablogėjimu (įskaitant ūminį inkstų funkcijos nepakankamumą), palyginti su vieno renino, angiotenzino ir aldosterono sistemą veikiančio vaistinio preparato vartojimu. Dviguba blokada (pvz., AKF inhibitoriaus vartojimas </w:t>
      </w:r>
      <w:r>
        <w:rPr>
          <w:rFonts w:eastAsia="Calibri"/>
          <w:bCs/>
          <w:iCs/>
          <w:snapToGrid/>
          <w:szCs w:val="22"/>
          <w:lang w:val="lt-LT"/>
        </w:rPr>
        <w:lastRenderedPageBreak/>
        <w:t>kartu su angiotenzino II receptorių blokatoriumi) turėtų būti skiriama tik išskirtiniais atvejais, atidžiai stebint inkstų funkciją, matuojant kalio koncentraciją ir kraujospūdį (žr. 4.4 skyrių).</w:t>
      </w:r>
    </w:p>
    <w:p w14:paraId="28815495"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Estramustinas. Padidėja tokio nepageidaujamo poveikio kaip angioneurozinė edema (angioedema) rizika.</w:t>
      </w:r>
    </w:p>
    <w:p w14:paraId="04969786"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Kotrimoksazolas (trimetoprimas/sulfametoksazolas). Pacientams, kartu vartojantiems kotrimoksazolą (trimetoprimą/sulfametoksazolą), gali padidėti hiperkalemijos rizika (žr. 4.4 skyrių).</w:t>
      </w:r>
    </w:p>
    <w:p w14:paraId="203F966B" w14:textId="77777777" w:rsidR="00C00DD1" w:rsidRDefault="00C260EB">
      <w:pPr>
        <w:widowControl w:val="0"/>
        <w:tabs>
          <w:tab w:val="clear" w:pos="567"/>
        </w:tabs>
        <w:spacing w:line="240" w:lineRule="auto"/>
        <w:ind w:left="567" w:hanging="567"/>
        <w:rPr>
          <w:rFonts w:eastAsia="Calibri"/>
          <w:bCs/>
          <w:iCs/>
          <w:snapToGrid/>
          <w:szCs w:val="22"/>
          <w:lang w:val="lt-LT"/>
        </w:rPr>
      </w:pPr>
      <w:r>
        <w:rPr>
          <w:rFonts w:eastAsia="Calibri"/>
          <w:bCs/>
          <w:iCs/>
          <w:snapToGrid/>
          <w:szCs w:val="22"/>
          <w:lang w:val="lt-LT"/>
        </w:rPr>
        <w:t>-</w:t>
      </w:r>
      <w:r>
        <w:rPr>
          <w:rFonts w:eastAsia="Calibri"/>
          <w:bCs/>
          <w:iCs/>
          <w:snapToGrid/>
          <w:szCs w:val="22"/>
          <w:lang w:val="lt-LT"/>
        </w:rPr>
        <w:tab/>
        <w:t>Kalį organizme sulaikantys diuretikai (triamterenas, amiloridas), kalio druskos. Hiperkalemija (gali būti mirtina), ypač jeigu kartu yra inkstų funkcijos sutrikimas (adityvus hiperkalemiją sukeliantis poveikis). Minėtų vaistinių preparatų vartoti kartu su perindopriliu nerekomenduojama (žr. 4.4 skyrių). Vis dėlto jeigu toks kombinuotasis gydymas būtinas, minėtų vaistinių preparatų reikia vartoti atsargiai, be to, būtina dažnai tirti kalio koncentraciją kraujo serume. Informacijos apie spironolaktono vartojimą sergant širdies nepakankamumu pateikiama poskyryje „Vaistiniai preparatai, kurių kartu su perindopriliu reikia vartoti ypač atsargiai“.</w:t>
      </w:r>
    </w:p>
    <w:p w14:paraId="427A5D30" w14:textId="77777777" w:rsidR="00C00DD1" w:rsidRDefault="00C00DD1">
      <w:pPr>
        <w:widowControl w:val="0"/>
        <w:spacing w:line="240" w:lineRule="auto"/>
        <w:rPr>
          <w:snapToGrid/>
          <w:szCs w:val="22"/>
          <w:lang w:val="lt-LT" w:eastAsia="sl-SI"/>
        </w:rPr>
      </w:pPr>
    </w:p>
    <w:p w14:paraId="6B55DDDD"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reikia vartoti ypač atsargiai:</w:t>
      </w:r>
    </w:p>
    <w:p w14:paraId="582D68E9" w14:textId="77777777" w:rsidR="00C00DD1" w:rsidRDefault="00C260EB">
      <w:pPr>
        <w:widowControl w:val="0"/>
        <w:numPr>
          <w:ilvl w:val="0"/>
          <w:numId w:val="19"/>
        </w:numPr>
        <w:tabs>
          <w:tab w:val="clear"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Vaistiniai preparatai cukriniam diabetui gydyti (insulinas, geriamieji gliukozės kiekį mažinantys vaistiniai preparatai). Epidemiologiniai tyrimai rodo, kad AKF inhibitorių ir vaistinių preparatų diabetui gydyti (insulino preparatų, geriamųjų gliukozės kiekį mažinančių vaistinių preparatų) vartojimas kartu gali sustiprinti gliukozės kiekį mažinantį poveikį ir kelti hipoglikemijos atsiradimo riziką. Pastebėta, kad toks reiškinys yra labiau tikėtinas per pirmąsias kombinuotojo gydymo savaites ir pacientams, kuriems pasireiškia inkstų funkcijos sutrikimas.</w:t>
      </w:r>
    </w:p>
    <w:p w14:paraId="611E95C6" w14:textId="77777777" w:rsidR="00C00DD1" w:rsidRDefault="00C260EB">
      <w:pPr>
        <w:widowControl w:val="0"/>
        <w:numPr>
          <w:ilvl w:val="0"/>
          <w:numId w:val="19"/>
        </w:numPr>
        <w:tabs>
          <w:tab w:val="clear"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Kalio organizme nesulaikantys diuretikai. Pradėjus gydymą AKF inhibitoriumi, gali labai sumažėti diuretikų vartojančių pacientų, ypač tų, kurių organizme trūksta skysčių ir (arba) elektrolitų, kraujospūdis. Hipotenzinio poveikio tikimybę galima sumažinti nutraukus diuretikų vartojimą, padidinus skysčių kiekį organizme arba pavartojus druskų prieš pradedant gydymą mažomis, palaipsniui didinamomis perindoprilio dozėmis.</w:t>
      </w:r>
    </w:p>
    <w:p w14:paraId="6D64B2AE" w14:textId="77777777" w:rsidR="00C00DD1" w:rsidRDefault="00C260EB">
      <w:pPr>
        <w:widowControl w:val="0"/>
        <w:tabs>
          <w:tab w:val="clear" w:pos="567"/>
        </w:tabs>
        <w:spacing w:line="240" w:lineRule="auto"/>
        <w:ind w:left="567"/>
        <w:rPr>
          <w:rFonts w:eastAsia="Calibri"/>
          <w:snapToGrid/>
          <w:szCs w:val="22"/>
          <w:lang w:val="lt-LT"/>
        </w:rPr>
      </w:pPr>
      <w:r>
        <w:rPr>
          <w:rFonts w:eastAsia="Calibri"/>
          <w:i/>
          <w:snapToGrid/>
          <w:szCs w:val="22"/>
          <w:lang w:val="lt-LT"/>
        </w:rPr>
        <w:t>Arterinės hipertenzijos atveju</w:t>
      </w:r>
      <w:r>
        <w:rPr>
          <w:rFonts w:eastAsia="Calibri"/>
          <w:snapToGrid/>
          <w:szCs w:val="22"/>
          <w:lang w:val="lt-LT"/>
        </w:rPr>
        <w:t>, jeigu ankstesnis gydymas diuretikais galėjo sukelti elektrolitų ar skysčių trūkumą, reikia arba nutraukti diuretiko vartojimą prieš pradedant vartoti AKF inhibitorių (šiuo atveju vėliau galima skirti kalio organizme nesulaikantį diuretiką), arba iš pradžių reikia skirti mažą AKF inhibitoriaus dozę ir ją palaipsniui didinti.</w:t>
      </w:r>
    </w:p>
    <w:p w14:paraId="4B27B0AD" w14:textId="77777777" w:rsidR="00C00DD1" w:rsidRDefault="00C260EB">
      <w:pPr>
        <w:widowControl w:val="0"/>
        <w:tabs>
          <w:tab w:val="clear" w:pos="567"/>
        </w:tabs>
        <w:autoSpaceDE w:val="0"/>
        <w:autoSpaceDN w:val="0"/>
        <w:adjustRightInd w:val="0"/>
        <w:spacing w:line="240" w:lineRule="auto"/>
        <w:ind w:left="567"/>
        <w:rPr>
          <w:rFonts w:eastAsia="SimSun"/>
          <w:snapToGrid/>
          <w:color w:val="000000"/>
          <w:szCs w:val="22"/>
          <w:lang w:val="lt-LT" w:eastAsia="zh-CN"/>
        </w:rPr>
      </w:pPr>
      <w:r>
        <w:rPr>
          <w:rFonts w:eastAsia="SimSun"/>
          <w:i/>
          <w:snapToGrid/>
          <w:color w:val="000000"/>
          <w:szCs w:val="22"/>
          <w:lang w:val="lt-LT" w:eastAsia="zh-CN"/>
        </w:rPr>
        <w:t>Diuretikais gydant stazinį širdies nepakankamumą</w:t>
      </w:r>
      <w:r>
        <w:rPr>
          <w:rFonts w:eastAsia="SimSun"/>
          <w:snapToGrid/>
          <w:color w:val="000000"/>
          <w:szCs w:val="22"/>
          <w:lang w:val="lt-LT" w:eastAsia="zh-CN"/>
        </w:rPr>
        <w:t>, iš pradžių reikia vartoti labai mažą AKF inhibitoriaus dozę, galbūt po to, kai sumažinama kartu vartojamo kalio organizme nesulaikančio diuretiko dozė.</w:t>
      </w:r>
    </w:p>
    <w:p w14:paraId="4CB1B33D" w14:textId="77777777" w:rsidR="00C00DD1" w:rsidRDefault="00C260EB">
      <w:pPr>
        <w:widowControl w:val="0"/>
        <w:tabs>
          <w:tab w:val="clear" w:pos="567"/>
        </w:tabs>
        <w:spacing w:line="240" w:lineRule="auto"/>
        <w:ind w:left="567"/>
        <w:rPr>
          <w:rFonts w:eastAsia="Calibri"/>
          <w:snapToGrid/>
          <w:szCs w:val="22"/>
          <w:lang w:val="lt-LT"/>
        </w:rPr>
      </w:pPr>
      <w:r>
        <w:rPr>
          <w:rFonts w:eastAsia="Calibri"/>
          <w:snapToGrid/>
          <w:szCs w:val="22"/>
          <w:lang w:val="lt-LT"/>
        </w:rPr>
        <w:t>Visais atvejais pirmosiomis keliomis gydymo AKF inhibitoriumi savaitėmis reikia stebėti inkstų funkciją (kreatinino koncentraciją).</w:t>
      </w:r>
    </w:p>
    <w:p w14:paraId="5836158F" w14:textId="77777777" w:rsidR="00C00DD1" w:rsidRDefault="00C260EB">
      <w:pPr>
        <w:widowControl w:val="0"/>
        <w:numPr>
          <w:ilvl w:val="0"/>
          <w:numId w:val="19"/>
        </w:numPr>
        <w:tabs>
          <w:tab w:val="clear"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Kalį organizme sulaikantys diuretikai (eplerenonas, spironolaktonas). Vartojant nuo 12,5 mg iki 50 mg eplerenono ar spironolaktono paros dozes kartu su mažomis AKF inhibitorių dozėmis: gydant II–V klasės (pagal NYHA) širdies nepakankamumą, kai išstūmimo frakcija yra mažesnė nei 40 %, jeigu anksčiau vartota AKF inhibitorių ir Henlės kilpoje veikiančių diuretikų, galima hiperkalemijos, kuri gali būti mirtina, pasireiškimo rizika, ypač jeigu nesilaikoma šio derinio skyrimo rekomendacijų.</w:t>
      </w:r>
    </w:p>
    <w:p w14:paraId="2DE5E618" w14:textId="77777777" w:rsidR="00C00DD1" w:rsidRDefault="00C260EB">
      <w:pPr>
        <w:widowControl w:val="0"/>
        <w:tabs>
          <w:tab w:val="clear" w:pos="567"/>
        </w:tabs>
        <w:spacing w:line="240" w:lineRule="auto"/>
        <w:ind w:left="567"/>
        <w:rPr>
          <w:rFonts w:eastAsia="Calibri"/>
          <w:snapToGrid/>
          <w:szCs w:val="22"/>
          <w:lang w:val="lt-LT"/>
        </w:rPr>
      </w:pPr>
      <w:r>
        <w:rPr>
          <w:rFonts w:eastAsia="Calibri"/>
          <w:snapToGrid/>
          <w:szCs w:val="22"/>
          <w:lang w:val="lt-LT"/>
        </w:rPr>
        <w:t>Prieš skiriant tokį derinį būtina įvertinti, ar nėra hiperkalemijos ir inkstų funkcijos sutrikimo.</w:t>
      </w:r>
    </w:p>
    <w:p w14:paraId="67B8E3B5" w14:textId="77777777" w:rsidR="00C00DD1" w:rsidRDefault="00C260EB">
      <w:pPr>
        <w:widowControl w:val="0"/>
        <w:tabs>
          <w:tab w:val="clear" w:pos="567"/>
        </w:tabs>
        <w:spacing w:line="240" w:lineRule="auto"/>
        <w:ind w:left="567"/>
        <w:rPr>
          <w:rFonts w:eastAsia="Calibri"/>
          <w:snapToGrid/>
          <w:szCs w:val="22"/>
          <w:lang w:val="lt-LT"/>
        </w:rPr>
      </w:pPr>
      <w:r>
        <w:rPr>
          <w:rFonts w:eastAsia="Calibri"/>
          <w:snapToGrid/>
          <w:szCs w:val="22"/>
          <w:lang w:val="lt-LT"/>
        </w:rPr>
        <w:t>Rekomenduojamas atidus kalio ir kreatinino kiekio kraujyje stebėjimas: pirmąjį mėnesį − kartą per savaitę, vėliau – kartą per mėnesį.</w:t>
      </w:r>
    </w:p>
    <w:p w14:paraId="3B04916A" w14:textId="77777777" w:rsidR="00C00DD1" w:rsidRDefault="00C260EB">
      <w:pPr>
        <w:widowControl w:val="0"/>
        <w:numPr>
          <w:ilvl w:val="0"/>
          <w:numId w:val="19"/>
        </w:numPr>
        <w:shd w:val="clear" w:color="auto" w:fill="FFFFFF"/>
        <w:tabs>
          <w:tab w:val="clear" w:pos="567"/>
        </w:tabs>
        <w:spacing w:line="240" w:lineRule="auto"/>
        <w:ind w:left="567" w:hanging="567"/>
        <w:rPr>
          <w:rFonts w:eastAsia="Calibri"/>
          <w:bCs/>
          <w:iCs/>
          <w:snapToGrid/>
          <w:szCs w:val="22"/>
          <w:lang w:val="lt-LT"/>
        </w:rPr>
      </w:pPr>
      <w:r>
        <w:rPr>
          <w:rFonts w:eastAsia="Calibri"/>
          <w:bCs/>
          <w:iCs/>
          <w:snapToGrid/>
          <w:szCs w:val="22"/>
          <w:lang w:val="lt-LT"/>
        </w:rPr>
        <w:t>Racekadotrilis. Žinoma, kad AKF inhibitoriai (pvz., perindoprilis) gali sukelti angioneurozinę edemą. Ši rizika gali padidėti kartu vartojant racekadotrilį (vaistinį preparatą, kuriuo gydomas ūminis viduriavimas).</w:t>
      </w:r>
    </w:p>
    <w:p w14:paraId="394B503F" w14:textId="77777777" w:rsidR="00C00DD1" w:rsidRDefault="00C260EB">
      <w:pPr>
        <w:widowControl w:val="0"/>
        <w:numPr>
          <w:ilvl w:val="0"/>
          <w:numId w:val="19"/>
        </w:numPr>
        <w:shd w:val="clear" w:color="auto" w:fill="FFFFFF"/>
        <w:tabs>
          <w:tab w:val="clear" w:pos="567"/>
        </w:tabs>
        <w:spacing w:line="240" w:lineRule="auto"/>
        <w:ind w:left="567" w:hanging="567"/>
        <w:rPr>
          <w:rFonts w:eastAsia="Calibri"/>
          <w:bCs/>
          <w:iCs/>
          <w:snapToGrid/>
          <w:szCs w:val="22"/>
          <w:lang w:val="lt-LT"/>
        </w:rPr>
      </w:pPr>
      <w:r>
        <w:rPr>
          <w:rFonts w:eastAsia="Calibri"/>
          <w:bCs/>
          <w:iCs/>
          <w:snapToGrid/>
          <w:szCs w:val="22"/>
          <w:lang w:val="lt-LT"/>
        </w:rPr>
        <w:t>mTOR inhibitoriai (pvz., sirolimuzas, everolimuzas, temsirolimuzas). Pacientams, tuo pat metu gydomiems mTOR inhibitoriais, gali būti didesnė angioneurozinės edemos pasireiškimo rizika (žr. 4.4 skyrių).</w:t>
      </w:r>
    </w:p>
    <w:p w14:paraId="19525855" w14:textId="77777777" w:rsidR="00C00DD1" w:rsidRDefault="00C00DD1">
      <w:pPr>
        <w:widowControl w:val="0"/>
        <w:tabs>
          <w:tab w:val="clear" w:pos="567"/>
        </w:tabs>
        <w:autoSpaceDE w:val="0"/>
        <w:autoSpaceDN w:val="0"/>
        <w:spacing w:line="240" w:lineRule="auto"/>
        <w:rPr>
          <w:snapToGrid/>
          <w:szCs w:val="22"/>
          <w:lang w:val="lt-LT" w:eastAsia="sl-SI"/>
        </w:rPr>
      </w:pPr>
    </w:p>
    <w:p w14:paraId="07136762"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perindopriliu reikia vartoti atsargiai:</w:t>
      </w:r>
    </w:p>
    <w:p w14:paraId="0E71DE6A" w14:textId="77777777" w:rsidR="00C00DD1" w:rsidRDefault="00C260EB">
      <w:pPr>
        <w:widowControl w:val="0"/>
        <w:numPr>
          <w:ilvl w:val="0"/>
          <w:numId w:val="20"/>
        </w:numPr>
        <w:tabs>
          <w:tab w:val="num" w:pos="567"/>
        </w:tabs>
        <w:autoSpaceDE w:val="0"/>
        <w:autoSpaceDN w:val="0"/>
        <w:adjustRightInd w:val="0"/>
        <w:spacing w:line="240" w:lineRule="auto"/>
        <w:ind w:left="567" w:hanging="567"/>
        <w:rPr>
          <w:rFonts w:eastAsia="SimSun"/>
          <w:snapToGrid/>
          <w:color w:val="000000"/>
          <w:szCs w:val="22"/>
          <w:lang w:val="lt-LT" w:eastAsia="zh-CN"/>
        </w:rPr>
      </w:pPr>
      <w:r>
        <w:rPr>
          <w:rFonts w:eastAsia="SimSun"/>
          <w:snapToGrid/>
          <w:color w:val="000000"/>
          <w:szCs w:val="22"/>
          <w:lang w:val="lt-LT" w:eastAsia="zh-CN"/>
        </w:rPr>
        <w:t xml:space="preserve">Antihipertenziniai vaistiniai preparatai ir vazodilatatoriai. Šių vaistinių preparatų vartojimas kartu gali sustiprinti perindoprilio kraujospūdį mažinantį poveikį. Vartojant kartu su nitroglicerinu ir kitokiais nitratais ar kitokiais vazodilatatoriais, kraujospūdis gali dar labiau </w:t>
      </w:r>
      <w:r>
        <w:rPr>
          <w:rFonts w:eastAsia="SimSun"/>
          <w:snapToGrid/>
          <w:color w:val="000000"/>
          <w:szCs w:val="22"/>
          <w:lang w:val="lt-LT" w:eastAsia="zh-CN"/>
        </w:rPr>
        <w:lastRenderedPageBreak/>
        <w:t>sumažėti.</w:t>
      </w:r>
    </w:p>
    <w:p w14:paraId="416E4ABF"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Alopurinolis, citostatikai, imuninę sistemą slopinantys vaistiniai preparatai, sisteminio poveikio kortikosteroidai ar prokainamidas. Šių vaistinių preparatų vartojant kartu su AKF inhibitoriais, didėja leukopenijos atsiradimo rizika (žr. 4.4 skyrių).</w:t>
      </w:r>
    </w:p>
    <w:p w14:paraId="3F364ABE"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Anestetikai. AKF inhibitoriai gali stiprinti kraujospūdį mažinantį kai kurių anestetikų poveikį (žr. 4.4 skyrių).</w:t>
      </w:r>
    </w:p>
    <w:p w14:paraId="20DE2E32" w14:textId="77777777" w:rsidR="00C00DD1" w:rsidRDefault="00C260EB">
      <w:pPr>
        <w:widowControl w:val="0"/>
        <w:numPr>
          <w:ilvl w:val="0"/>
          <w:numId w:val="15"/>
        </w:numPr>
        <w:autoSpaceDE w:val="0"/>
        <w:autoSpaceDN w:val="0"/>
        <w:spacing w:line="240" w:lineRule="auto"/>
        <w:contextualSpacing/>
        <w:rPr>
          <w:rFonts w:eastAsia="Calibri"/>
          <w:snapToGrid/>
          <w:szCs w:val="22"/>
          <w:lang w:val="lt-LT"/>
        </w:rPr>
      </w:pPr>
      <w:r>
        <w:rPr>
          <w:rFonts w:eastAsia="Calibri"/>
          <w:snapToGrid/>
          <w:szCs w:val="22"/>
          <w:lang w:val="lt-LT"/>
        </w:rPr>
        <w:t>Gliptinai (linagliptinas, saksagliptinas, sitagliptinas, vildagliptinas). Pacientams, tuo pat metu gydomiems AKF inhibitoriais, kyla didesnė angioneurozinės edemos rizika dėl gliptinų sukeliamo dipeptidilpeptidazės IV (DPP-IV) aktyvumo sumažėjimo.</w:t>
      </w:r>
    </w:p>
    <w:p w14:paraId="069EFF79" w14:textId="77777777" w:rsidR="00C00DD1" w:rsidRDefault="00C260EB">
      <w:pPr>
        <w:widowControl w:val="0"/>
        <w:numPr>
          <w:ilvl w:val="0"/>
          <w:numId w:val="15"/>
        </w:numPr>
        <w:autoSpaceDE w:val="0"/>
        <w:autoSpaceDN w:val="0"/>
        <w:adjustRightInd w:val="0"/>
        <w:spacing w:line="240" w:lineRule="auto"/>
        <w:rPr>
          <w:snapToGrid/>
          <w:color w:val="000000"/>
          <w:szCs w:val="22"/>
          <w:lang w:val="lt-LT" w:eastAsia="sl-SI"/>
        </w:rPr>
      </w:pPr>
      <w:r>
        <w:rPr>
          <w:bCs/>
          <w:snapToGrid/>
          <w:color w:val="000000"/>
          <w:szCs w:val="22"/>
          <w:lang w:val="lt-LT" w:eastAsia="sl-SI"/>
        </w:rPr>
        <w:t>Simpatomimetikai</w:t>
      </w:r>
      <w:r>
        <w:rPr>
          <w:snapToGrid/>
          <w:color w:val="000000"/>
          <w:szCs w:val="22"/>
          <w:lang w:val="lt-LT" w:eastAsia="sl-SI"/>
        </w:rPr>
        <w:t>. Simpatomimetikai gali mažinti AKF inhibitorių antihipertenzinį poveikį.</w:t>
      </w:r>
    </w:p>
    <w:p w14:paraId="1CBB6720" w14:textId="77777777" w:rsidR="00C00DD1" w:rsidRDefault="00C260EB">
      <w:pPr>
        <w:numPr>
          <w:ilvl w:val="0"/>
          <w:numId w:val="15"/>
        </w:numPr>
        <w:spacing w:line="240" w:lineRule="auto"/>
        <w:rPr>
          <w:snapToGrid/>
          <w:szCs w:val="22"/>
          <w:lang w:val="lt-LT" w:eastAsia="sl-SI"/>
        </w:rPr>
      </w:pPr>
      <w:r>
        <w:rPr>
          <w:snapToGrid/>
          <w:szCs w:val="22"/>
          <w:lang w:val="lt-LT" w:eastAsia="sl-SI"/>
        </w:rPr>
        <w:t>Aukso preparatai. Pacientams, gydomiems injekciniais aukso preparatais (natrio aurotiomalatu) kartu su AKF inhibitoriais, įskaitant perindoprilį, retais atvejais atsirado ūminių nitritoidinių reakcijų (galimi simptomai yra veido paraudimas, pykinimas, vėmimas ir hipotenzija).</w:t>
      </w:r>
    </w:p>
    <w:p w14:paraId="5C7009DE" w14:textId="77777777" w:rsidR="00C00DD1" w:rsidRDefault="00C00DD1">
      <w:pPr>
        <w:widowControl w:val="0"/>
        <w:tabs>
          <w:tab w:val="clear" w:pos="567"/>
        </w:tabs>
        <w:spacing w:line="240" w:lineRule="auto"/>
        <w:rPr>
          <w:snapToGrid/>
          <w:szCs w:val="22"/>
          <w:u w:val="single"/>
          <w:lang w:val="lt-LT" w:eastAsia="sl-SI"/>
        </w:rPr>
      </w:pPr>
    </w:p>
    <w:p w14:paraId="51378248"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Susijusi su indapamidu:</w:t>
      </w:r>
    </w:p>
    <w:p w14:paraId="598DEEEE" w14:textId="77777777" w:rsidR="00C00DD1" w:rsidRDefault="00C00DD1">
      <w:pPr>
        <w:widowControl w:val="0"/>
        <w:tabs>
          <w:tab w:val="clear" w:pos="567"/>
        </w:tabs>
        <w:spacing w:line="240" w:lineRule="auto"/>
        <w:rPr>
          <w:snapToGrid/>
          <w:szCs w:val="22"/>
          <w:lang w:val="lt-LT" w:eastAsia="sl-SI"/>
        </w:rPr>
      </w:pPr>
    </w:p>
    <w:p w14:paraId="3513F415"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Vaistiniai preparatai, kurių kartu su indapamidu reikia vartoti ypač atsargiai:</w:t>
      </w:r>
    </w:p>
    <w:p w14:paraId="59879861"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Vaistiniai preparatai, kurie gali sukelti polimorfinę skilvelinę tachikardiją (</w:t>
      </w:r>
      <w:r>
        <w:rPr>
          <w:i/>
          <w:snapToGrid/>
          <w:szCs w:val="22"/>
          <w:lang w:val="lt-LT" w:eastAsia="sl-SI"/>
        </w:rPr>
        <w:t>torsades de pointes</w:t>
      </w:r>
      <w:r>
        <w:rPr>
          <w:snapToGrid/>
          <w:szCs w:val="22"/>
          <w:lang w:val="lt-LT" w:eastAsia="sl-SI"/>
        </w:rPr>
        <w:t>). Kadangi kyla hipokalemijos rizika, indapamido būtina atsargiai vartoti su vaistiniais preparatais,</w:t>
      </w:r>
      <w:r>
        <w:rPr>
          <w:rFonts w:ascii="Calibri" w:eastAsia="Calibri" w:hAnsi="Calibri"/>
          <w:snapToGrid/>
          <w:szCs w:val="22"/>
          <w:lang w:val="lt-LT"/>
        </w:rPr>
        <w:t xml:space="preserve"> </w:t>
      </w:r>
      <w:r>
        <w:rPr>
          <w:snapToGrid/>
          <w:szCs w:val="22"/>
          <w:lang w:val="lt-LT" w:eastAsia="sl-SI"/>
        </w:rPr>
        <w:t>kurie gali sukelti polimorfinę skilvelinę tachikardiją (</w:t>
      </w:r>
      <w:r>
        <w:rPr>
          <w:i/>
          <w:snapToGrid/>
          <w:szCs w:val="22"/>
          <w:lang w:val="lt-LT" w:eastAsia="sl-SI"/>
        </w:rPr>
        <w:t>torsades de pointes</w:t>
      </w:r>
      <w:r>
        <w:rPr>
          <w:snapToGrid/>
          <w:szCs w:val="22"/>
          <w:lang w:val="lt-LT" w:eastAsia="sl-SI"/>
        </w:rPr>
        <w:t xml:space="preserve">) </w:t>
      </w:r>
      <w:r>
        <w:rPr>
          <w:szCs w:val="22"/>
          <w:lang w:val="lt-LT"/>
        </w:rPr>
        <w:t>(sąrašas nėra baigtinis)</w:t>
      </w:r>
      <w:r>
        <w:rPr>
          <w:snapToGrid/>
          <w:szCs w:val="22"/>
          <w:lang w:val="lt-LT" w:eastAsia="sl-SI"/>
        </w:rPr>
        <w:t>: IA klasės antiaritminiais vaistiniais preparatais (pvz., kvinidinu, hidrokvinidinu, dizopiramidu), III klasės antiaritminiais vaistiniais preparatais (pvz., amjodaronu, dofetilidu, ibutilidu, bretiliu, sotaloliu), kai kuriais fenotiazinų grupės vaistiniais preparatais nuo psichozės (pvz., chlorpromazinu, ciamemazinu, levomepromazinu, tioridazinu, trifluoperazinu), benzamidais (pvz., amisulpridu, sulpiridu, sultopridu, tiapridu), butirofenonais (pvz., droperidoliu, haloperidoliu), kitais neuroleptikais (pvz., pimozidu), kitais vaistiniais preparatais (pvz., bepridiliu, cisapridu, difemaniliu, į veną leidžiamu eritromicinu, halofantrinu, mizolastinu, moksifloksacinu, pentamidinu, sparfloksacinu, į veną leidžiamu vinkaminu, metadonu, astemizolu, terfenadinu). Būtina neleisti sumažėti kalio koncentracijai, koreguoti pasireiškusią hipokalemiją ir, jeigu reikia, stebėti QT intervalą.</w:t>
      </w:r>
    </w:p>
    <w:p w14:paraId="41ED9768"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Kalio kiekį mažinantys vaistiniai preparatai (į veną leidžiamas amfotercinas B, sisteminio poveikio gliukokortikoidai ir mineralokortikoidai, tetrakozaktidas, stimuliuojamojo poveikio vidurių laisvinamieji preparatai). Didėja hipokalemijos rizika (poveikis būna adityvus). Būtina matuoti ir, jeigu reikia, koreguoti kalio koncentraciją kraujo plazmoje. Ypatingas atsargumas būtinas, jeigu vartojama širdį veikiančių glikozidų. Rekomenduojama vartoti stimuliuojamojo poveikio nesukeliančių vidurių laisvinamųjų preparatų.</w:t>
      </w:r>
    </w:p>
    <w:p w14:paraId="52D64646" w14:textId="77777777" w:rsidR="00C00DD1" w:rsidRDefault="00C260EB">
      <w:pPr>
        <w:numPr>
          <w:ilvl w:val="0"/>
          <w:numId w:val="15"/>
        </w:numPr>
        <w:spacing w:line="240" w:lineRule="auto"/>
        <w:rPr>
          <w:snapToGrid/>
          <w:szCs w:val="22"/>
          <w:lang w:val="lt-LT" w:eastAsia="sl-SI"/>
        </w:rPr>
      </w:pPr>
      <w:r>
        <w:rPr>
          <w:snapToGrid/>
          <w:szCs w:val="22"/>
          <w:lang w:val="lt-LT" w:eastAsia="sl-SI"/>
        </w:rPr>
        <w:t>Širdį veikiantys glikozidai. Hipokalemija ir hipomagnezemija skatina toksinio širdį veikiančių glikozidų poveikio atsiradimą. Būtina stebėti kalio ir magnio koncentraciją kraujo plazmoje bei EKG ir, jeigu reikia, keisti gydymą.</w:t>
      </w:r>
    </w:p>
    <w:p w14:paraId="0152CEF0" w14:textId="77777777" w:rsidR="00C00DD1" w:rsidRDefault="00C260EB">
      <w:pPr>
        <w:widowControl w:val="0"/>
        <w:numPr>
          <w:ilvl w:val="0"/>
          <w:numId w:val="15"/>
        </w:numPr>
        <w:autoSpaceDE w:val="0"/>
        <w:autoSpaceDN w:val="0"/>
        <w:spacing w:line="240" w:lineRule="auto"/>
        <w:rPr>
          <w:snapToGrid/>
          <w:szCs w:val="22"/>
          <w:lang w:val="lt-LT" w:eastAsia="sl-SI"/>
        </w:rPr>
      </w:pPr>
      <w:r>
        <w:rPr>
          <w:snapToGrid/>
          <w:szCs w:val="22"/>
          <w:lang w:val="lt-LT" w:eastAsia="sl-SI"/>
        </w:rPr>
        <w:t>Alopurinolis. Vartojant kartu su indapamidu, gali dažniau pasireikšti padidėjusio jautrumo reakcija į alopurinolį.</w:t>
      </w:r>
    </w:p>
    <w:p w14:paraId="60D9890E" w14:textId="77777777" w:rsidR="00C00DD1" w:rsidRDefault="00C00DD1">
      <w:pPr>
        <w:widowControl w:val="0"/>
        <w:tabs>
          <w:tab w:val="clear" w:pos="567"/>
        </w:tabs>
        <w:spacing w:line="240" w:lineRule="auto"/>
        <w:rPr>
          <w:snapToGrid/>
          <w:szCs w:val="22"/>
          <w:lang w:val="lt-LT" w:eastAsia="sl-SI"/>
        </w:rPr>
      </w:pPr>
    </w:p>
    <w:p w14:paraId="146BBCF3"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Preparatai, kurių kartu su indapamidu reikia vartoti atsargiai:</w:t>
      </w:r>
    </w:p>
    <w:p w14:paraId="043C7393"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Kalį organizme sulaikantys diuretikai (amiloridas, spironolaktonas, triamterenas). Nors racionalus derinys kai kuriems pacientams yra naudingas, vis tiek gali pasireikšti hipokalemija arba hiperkalemija (ypač pacientams, kuriems yra inkstų nepakankamumas arba cukrinis diabetas). Reikia stebėti kalio koncentraciją kraujo plazmoje bei registruoti EKG ir, jeigu reikia, peržiūrėti gydymą.</w:t>
      </w:r>
    </w:p>
    <w:p w14:paraId="1E2A71D9"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Metforminas. Metformino sukeliama laktatų acidozė siejama su diuretikų, ypač veikiančių Henlės kilpoje, sukeliamu funkciniu inkstų nepakankamumu. Jeigu vyrų kraujo plazmoje kreatinino koncentracija yra didesnė negu 15 mg/l (13 mikromoliai/l), o moterų − 12 mg/l (110 mikromolių/l), metforminu gydyti negalima.</w:t>
      </w:r>
    </w:p>
    <w:p w14:paraId="5D5E4216"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Jodo turinčios kontrastinės medžiagos. Jeigu yra diuretikų sukelta dehidratacija, didėja ūminio inkstų nepakankamumo rizika, ypač jeigu vartojamos didelės jodo turinčių kontrastinių medžiagų dozės. Prieš jodo turinčių kontrastinių medžiagų vartojimą būtina koreguoti skysčių kiekį organizme.</w:t>
      </w:r>
    </w:p>
    <w:p w14:paraId="041A1EF0"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 xml:space="preserve">Kalcio druskos. Kadangi mažėja kalcio išsiskyrimas su šlapimu, kyla kalcio koncentracijos </w:t>
      </w:r>
      <w:r>
        <w:rPr>
          <w:snapToGrid/>
          <w:szCs w:val="22"/>
          <w:lang w:val="lt-LT" w:eastAsia="sl-SI"/>
        </w:rPr>
        <w:lastRenderedPageBreak/>
        <w:t>kraujyje padidėjimo rizika.</w:t>
      </w:r>
    </w:p>
    <w:p w14:paraId="79218199" w14:textId="77777777" w:rsidR="00C00DD1" w:rsidRDefault="00C260EB">
      <w:pPr>
        <w:widowControl w:val="0"/>
        <w:numPr>
          <w:ilvl w:val="0"/>
          <w:numId w:val="15"/>
        </w:numPr>
        <w:tabs>
          <w:tab w:val="clear" w:pos="567"/>
        </w:tabs>
        <w:autoSpaceDE w:val="0"/>
        <w:autoSpaceDN w:val="0"/>
        <w:spacing w:line="240" w:lineRule="auto"/>
        <w:rPr>
          <w:snapToGrid/>
          <w:szCs w:val="22"/>
          <w:lang w:val="lt-LT" w:eastAsia="sl-SI"/>
        </w:rPr>
      </w:pPr>
      <w:r>
        <w:rPr>
          <w:snapToGrid/>
          <w:szCs w:val="22"/>
          <w:lang w:val="lt-LT" w:eastAsia="sl-SI"/>
        </w:rPr>
        <w:t>Ciklosporinas, takrolimuzas. Kreatinino koncentracija gali padidėti (ciklosporino koncentracija nekinta) net tuo atveju, jeigu druskų ir vandens organizme netrūksta.</w:t>
      </w:r>
    </w:p>
    <w:p w14:paraId="1575D56D" w14:textId="77777777" w:rsidR="00C00DD1" w:rsidRDefault="00C260EB">
      <w:pPr>
        <w:widowControl w:val="0"/>
        <w:numPr>
          <w:ilvl w:val="0"/>
          <w:numId w:val="15"/>
        </w:numPr>
        <w:autoSpaceDE w:val="0"/>
        <w:autoSpaceDN w:val="0"/>
        <w:spacing w:line="240" w:lineRule="auto"/>
        <w:rPr>
          <w:snapToGrid/>
          <w:szCs w:val="22"/>
          <w:lang w:val="lt-LT" w:eastAsia="sl-SI"/>
        </w:rPr>
      </w:pPr>
      <w:r>
        <w:rPr>
          <w:rFonts w:eastAsia="Calibri"/>
          <w:snapToGrid/>
          <w:szCs w:val="22"/>
          <w:lang w:val="lt-LT"/>
        </w:rPr>
        <w:t>Kortikosteroidai, tetrakozaktidas (sisteminio poveikio). Antihipertenzinio poveikio susilpnėjimas (kortikosteroidų sukeltas druskų ir skysčių susilaikymas).</w:t>
      </w:r>
    </w:p>
    <w:p w14:paraId="64898066"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0A0FC60A" w14:textId="77777777" w:rsidR="00C00DD1" w:rsidRDefault="00C260EB">
      <w:pPr>
        <w:widowControl w:val="0"/>
        <w:spacing w:line="240" w:lineRule="auto"/>
        <w:ind w:left="567" w:hanging="567"/>
        <w:outlineLvl w:val="2"/>
        <w:rPr>
          <w:b/>
          <w:snapToGrid/>
          <w:szCs w:val="22"/>
          <w:lang w:val="lt-LT"/>
        </w:rPr>
      </w:pPr>
      <w:r>
        <w:rPr>
          <w:b/>
          <w:snapToGrid/>
          <w:kern w:val="28"/>
          <w:szCs w:val="22"/>
          <w:lang w:val="lt-LT"/>
        </w:rPr>
        <w:t>4.6</w:t>
      </w:r>
      <w:r>
        <w:rPr>
          <w:b/>
          <w:snapToGrid/>
          <w:kern w:val="28"/>
          <w:szCs w:val="22"/>
          <w:lang w:val="lt-LT"/>
        </w:rPr>
        <w:tab/>
        <w:t>Vaisingumas, nėštumo ir žindymo laikotarpis</w:t>
      </w:r>
    </w:p>
    <w:p w14:paraId="1A2D2036" w14:textId="77777777" w:rsidR="00C00DD1" w:rsidRDefault="00C00DD1">
      <w:pPr>
        <w:widowControl w:val="0"/>
        <w:tabs>
          <w:tab w:val="clear" w:pos="567"/>
        </w:tabs>
        <w:spacing w:line="240" w:lineRule="auto"/>
        <w:rPr>
          <w:i/>
          <w:snapToGrid/>
          <w:szCs w:val="22"/>
          <w:lang w:val="lt-LT"/>
        </w:rPr>
      </w:pPr>
    </w:p>
    <w:p w14:paraId="50398265"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Atsižvelgiant į atskirų šio sudėtinio preparato veikliųjų medžiagų poveikį nėštumui ir žindymui, Perindopril arginine/indapamide Krka nerekomenduojama vartoti pirmąjį nėštumo trimestrą. Perindopril arginine/indapamide Krka draudžiama vartoti antrąjį ir trečiąjį nėštumo trimestrais.</w:t>
      </w:r>
    </w:p>
    <w:p w14:paraId="494C412C"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vartoti žindymo metu nerekomenduojama. Reikia nuspręsti, ar nustoti žindyti, ar nustoti vartoti Perindopril arginine/indapamide Krka, atsižvelgiant į tai, kiek svarbus yra šis gydymas motinai.</w:t>
      </w:r>
    </w:p>
    <w:p w14:paraId="0D6CFEB8" w14:textId="77777777" w:rsidR="00C00DD1" w:rsidRDefault="00C00DD1">
      <w:pPr>
        <w:tabs>
          <w:tab w:val="clear" w:pos="567"/>
        </w:tabs>
        <w:spacing w:line="240" w:lineRule="auto"/>
        <w:rPr>
          <w:rFonts w:eastAsia="Calibri"/>
          <w:snapToGrid/>
          <w:szCs w:val="22"/>
          <w:lang w:val="lt-LT"/>
        </w:rPr>
      </w:pPr>
    </w:p>
    <w:p w14:paraId="29748222" w14:textId="77777777" w:rsidR="00C00DD1" w:rsidRDefault="00C260EB">
      <w:pPr>
        <w:tabs>
          <w:tab w:val="clear" w:pos="567"/>
        </w:tabs>
        <w:spacing w:line="240" w:lineRule="auto"/>
        <w:rPr>
          <w:rFonts w:eastAsia="Calibri"/>
          <w:i/>
          <w:iCs/>
          <w:snapToGrid/>
          <w:szCs w:val="22"/>
          <w:lang w:val="lt-LT"/>
        </w:rPr>
      </w:pPr>
      <w:r>
        <w:rPr>
          <w:rFonts w:eastAsia="Calibri"/>
          <w:i/>
          <w:iCs/>
          <w:snapToGrid/>
          <w:szCs w:val="22"/>
          <w:lang w:val="lt-LT"/>
        </w:rPr>
        <w:t>Nėštumas</w:t>
      </w:r>
    </w:p>
    <w:p w14:paraId="75B1090C" w14:textId="77777777" w:rsidR="00C00DD1" w:rsidRDefault="00C00DD1">
      <w:pPr>
        <w:tabs>
          <w:tab w:val="clear" w:pos="567"/>
        </w:tabs>
        <w:spacing w:line="240" w:lineRule="auto"/>
        <w:rPr>
          <w:rFonts w:eastAsia="Calibri"/>
          <w:i/>
          <w:snapToGrid/>
          <w:szCs w:val="22"/>
          <w:lang w:val="lt-LT"/>
        </w:rPr>
      </w:pPr>
    </w:p>
    <w:p w14:paraId="23B50221" w14:textId="77777777" w:rsidR="00C00DD1" w:rsidRDefault="00C260EB">
      <w:pPr>
        <w:widowControl w:val="0"/>
        <w:spacing w:line="240" w:lineRule="auto"/>
        <w:rPr>
          <w:i/>
          <w:szCs w:val="22"/>
          <w:u w:val="single"/>
          <w:lang w:val="lt-LT"/>
        </w:rPr>
      </w:pPr>
      <w:r>
        <w:rPr>
          <w:i/>
          <w:szCs w:val="22"/>
          <w:u w:val="single"/>
          <w:lang w:val="lt-LT"/>
        </w:rPr>
        <w:t>Informacija, susijusi su perindopriliu:</w:t>
      </w:r>
    </w:p>
    <w:p w14:paraId="721F6DB3" w14:textId="77777777" w:rsidR="00C00DD1" w:rsidRDefault="00C00DD1">
      <w:pPr>
        <w:tabs>
          <w:tab w:val="clear" w:pos="567"/>
        </w:tabs>
        <w:spacing w:line="240" w:lineRule="auto"/>
        <w:rPr>
          <w:rFonts w:eastAsia="Calibri"/>
          <w:snapToGrid/>
          <w:szCs w:val="22"/>
          <w:lang w:val="lt-LT"/>
        </w:rPr>
      </w:pPr>
    </w:p>
    <w:p w14:paraId="3AC05155" w14:textId="77777777" w:rsidR="00C00DD1" w:rsidRDefault="00C260EB">
      <w:pPr>
        <w:pBdr>
          <w:top w:val="single" w:sz="4" w:space="1" w:color="auto"/>
          <w:left w:val="single" w:sz="4" w:space="4" w:color="auto"/>
          <w:bottom w:val="single" w:sz="4" w:space="1" w:color="auto"/>
          <w:right w:val="single" w:sz="4" w:space="4" w:color="auto"/>
        </w:pBdr>
        <w:spacing w:line="240" w:lineRule="auto"/>
        <w:rPr>
          <w:rFonts w:eastAsia="Calibri"/>
          <w:snapToGrid/>
          <w:szCs w:val="22"/>
          <w:lang w:val="lt-LT"/>
        </w:rPr>
      </w:pPr>
      <w:r>
        <w:rPr>
          <w:rFonts w:eastAsia="Calibri"/>
          <w:snapToGrid/>
          <w:szCs w:val="22"/>
          <w:lang w:val="lt-LT"/>
        </w:rPr>
        <w:t>Pirmuoju nėštumo trimestru AKF inhibitorių vartoti nerekomenduojama (žr. 4.4 skyrių). Antruoju ir trečiuoju nėštumo trimestrais jų vartoti draudžiama (žr. 4.3 ir 4.4 skyrius).</w:t>
      </w:r>
    </w:p>
    <w:p w14:paraId="7EFCF388" w14:textId="77777777" w:rsidR="00C00DD1" w:rsidRDefault="00C00DD1">
      <w:pPr>
        <w:tabs>
          <w:tab w:val="clear" w:pos="567"/>
        </w:tabs>
        <w:spacing w:line="240" w:lineRule="auto"/>
        <w:rPr>
          <w:rFonts w:eastAsia="Calibri"/>
          <w:snapToGrid/>
          <w:szCs w:val="22"/>
          <w:lang w:val="lt-LT"/>
        </w:rPr>
      </w:pPr>
    </w:p>
    <w:p w14:paraId="49179773"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Epidemiologinių tyrimų duomenys dėl pirmuoju nėštumo trimestru vartojamų AKF inhibitorių teratogeninio poveikio nėra galutiniai, tačiau nedidelio rizikos padidėjimo atmesti negalima. Išskyrus atvejus, kai tolesnis gydymas AKF inhibitoriais yra būtinas, pastoti planuojančioms moterims juos reikia keisti kitokiais antihipertenziniais vaistiniais preparatais, kurių vartojimo nėštumo metu saugumas ištirtas.</w:t>
      </w:r>
    </w:p>
    <w:p w14:paraId="2919F81C"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Nustačius nėštumą, AKF inhibitorių vartojimą būtina nedelsiant nutraukti ir, jeigu reikia, skirti kitokį tinkamą gydymą.</w:t>
      </w:r>
    </w:p>
    <w:p w14:paraId="64502223"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 xml:space="preserve">Žinoma, kad antruoju arba trečiuoju nėštumo trimestrais vartojami AKF inhibitoriai sukelia toksinį poveikį žmogaus vaisiui (inkstų funkcijos susilpnėjimą, oligohidramnioną, kaukolės kaulėjimo sulėtėjimą) ir naujagimiui (inkstų nepakankamumą, hipotenziją, hiperkalemiją) (žr. 5.3 skyrių). </w:t>
      </w:r>
    </w:p>
    <w:p w14:paraId="713A7BFE"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 xml:space="preserve">Jeigu moteris antruoju arba trečiuoju nėštumo trimestru vartojo AKF inhibitorių, reikia ultragarsu stebėti vaisiaus inkstų funkciją ir kaukolę. Reikia atidžiai sekti, ar naujagimiams, kurių motinos nėštumo metu vartojo AKF inhibitorių, nepasireiškia hipotenzija (žr. 4.3 ir 4.4 skyrius). </w:t>
      </w:r>
    </w:p>
    <w:p w14:paraId="6BB3B2F6" w14:textId="77777777" w:rsidR="00C00DD1" w:rsidRDefault="00C00DD1">
      <w:pPr>
        <w:tabs>
          <w:tab w:val="clear" w:pos="567"/>
        </w:tabs>
        <w:spacing w:line="240" w:lineRule="auto"/>
        <w:rPr>
          <w:rFonts w:eastAsia="Calibri"/>
          <w:snapToGrid/>
          <w:szCs w:val="22"/>
          <w:lang w:val="lt-LT"/>
        </w:rPr>
      </w:pPr>
    </w:p>
    <w:p w14:paraId="67E57296"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Informacija, susijusi su indapamidu:</w:t>
      </w:r>
    </w:p>
    <w:p w14:paraId="6869E1FF" w14:textId="77777777" w:rsidR="00C00DD1" w:rsidRDefault="00C260EB">
      <w:pPr>
        <w:widowControl w:val="0"/>
        <w:tabs>
          <w:tab w:val="clear" w:pos="567"/>
        </w:tabs>
        <w:spacing w:line="240" w:lineRule="auto"/>
        <w:rPr>
          <w:snapToGrid/>
          <w:szCs w:val="22"/>
          <w:lang w:val="lt-LT" w:eastAsia="sl-SI"/>
        </w:rPr>
      </w:pPr>
      <w:r>
        <w:rPr>
          <w:rFonts w:eastAsia="Calibri"/>
          <w:bCs/>
          <w:iCs/>
          <w:snapToGrid/>
          <w:szCs w:val="22"/>
          <w:lang w:val="lt-LT"/>
        </w:rPr>
        <w:t xml:space="preserve">Duomenų apie indapamido vartojimą moterims nėštumo metu nėra arba jų yra nedaug (duomenų yra mažiau kaip apie 300 nėštumų baigčių). </w:t>
      </w:r>
      <w:r>
        <w:rPr>
          <w:snapToGrid/>
          <w:szCs w:val="22"/>
          <w:lang w:val="lt-LT" w:eastAsia="sl-SI"/>
        </w:rPr>
        <w:t>Ilgalaikė tiazidų ekspozicija trečiuoju nėštumo trimestru gali mažinti moters plazmos tūrį bei gimdos ir placentos kraujotaką, todėl gali pasireikšti vaisiaus ir placentos išemija bei sulėtėti vaisiaus augimas.</w:t>
      </w:r>
    </w:p>
    <w:p w14:paraId="410FD6FE" w14:textId="77777777" w:rsidR="00C00DD1" w:rsidRDefault="00C260EB">
      <w:pPr>
        <w:widowControl w:val="0"/>
        <w:tabs>
          <w:tab w:val="clear" w:pos="567"/>
        </w:tabs>
        <w:autoSpaceDE w:val="0"/>
        <w:autoSpaceDN w:val="0"/>
        <w:adjustRightInd w:val="0"/>
        <w:spacing w:line="240" w:lineRule="auto"/>
        <w:rPr>
          <w:rFonts w:eastAsia="SimSun"/>
          <w:snapToGrid/>
          <w:color w:val="000000"/>
          <w:szCs w:val="22"/>
          <w:lang w:val="lt-LT" w:eastAsia="zh-CN"/>
        </w:rPr>
      </w:pPr>
      <w:r>
        <w:rPr>
          <w:rFonts w:eastAsia="SimSun"/>
          <w:snapToGrid/>
          <w:color w:val="000000"/>
          <w:szCs w:val="22"/>
          <w:lang w:val="lt-LT" w:eastAsia="zh-CN"/>
        </w:rPr>
        <w:t>Tyrimai su gyvūnais tiesioginio ar netiesioginio kenksmingo toksinio poveikio reprodukcijai neparodė (žr. 5.3 skyrių).</w:t>
      </w:r>
    </w:p>
    <w:p w14:paraId="17B7A292" w14:textId="77777777" w:rsidR="00C00DD1" w:rsidRDefault="00C260EB">
      <w:pPr>
        <w:widowControl w:val="0"/>
        <w:tabs>
          <w:tab w:val="left" w:pos="284"/>
          <w:tab w:val="left" w:pos="709"/>
        </w:tabs>
        <w:spacing w:line="240" w:lineRule="auto"/>
        <w:rPr>
          <w:rFonts w:eastAsia="SimSun"/>
          <w:bCs/>
          <w:snapToGrid/>
          <w:szCs w:val="22"/>
          <w:lang w:val="lt-LT" w:eastAsia="zh-CN"/>
        </w:rPr>
      </w:pPr>
      <w:r>
        <w:rPr>
          <w:rFonts w:eastAsia="SimSun"/>
          <w:bCs/>
          <w:snapToGrid/>
          <w:szCs w:val="22"/>
          <w:lang w:val="lt-LT" w:eastAsia="zh-CN"/>
        </w:rPr>
        <w:t>Nėštumo metu indapamido geriau nevartoti.</w:t>
      </w:r>
    </w:p>
    <w:p w14:paraId="7AE47BC6" w14:textId="77777777" w:rsidR="00C00DD1" w:rsidRDefault="00C00DD1">
      <w:pPr>
        <w:widowControl w:val="0"/>
        <w:tabs>
          <w:tab w:val="clear" w:pos="567"/>
        </w:tabs>
        <w:spacing w:line="240" w:lineRule="auto"/>
        <w:rPr>
          <w:snapToGrid/>
          <w:szCs w:val="22"/>
          <w:lang w:val="lt-LT" w:eastAsia="sl-SI"/>
        </w:rPr>
      </w:pPr>
    </w:p>
    <w:p w14:paraId="2A6D58BC" w14:textId="77777777" w:rsidR="00C00DD1" w:rsidRDefault="00C260EB">
      <w:pPr>
        <w:tabs>
          <w:tab w:val="clear" w:pos="567"/>
        </w:tabs>
        <w:spacing w:line="240" w:lineRule="auto"/>
        <w:rPr>
          <w:rFonts w:eastAsia="Calibri"/>
          <w:i/>
          <w:iCs/>
          <w:snapToGrid/>
          <w:szCs w:val="22"/>
          <w:lang w:val="lt-LT"/>
        </w:rPr>
      </w:pPr>
      <w:r>
        <w:rPr>
          <w:rFonts w:eastAsia="Calibri"/>
          <w:i/>
          <w:iCs/>
          <w:snapToGrid/>
          <w:szCs w:val="22"/>
          <w:lang w:val="lt-LT"/>
        </w:rPr>
        <w:t>Žindymas</w:t>
      </w:r>
    </w:p>
    <w:p w14:paraId="3FF1FD3D"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žindymo laikotarpiu vartoti nerekomenduojama.</w:t>
      </w:r>
    </w:p>
    <w:p w14:paraId="418CD7F0" w14:textId="77777777" w:rsidR="00C00DD1" w:rsidRDefault="00C00DD1">
      <w:pPr>
        <w:tabs>
          <w:tab w:val="clear" w:pos="567"/>
        </w:tabs>
        <w:spacing w:line="240" w:lineRule="auto"/>
        <w:rPr>
          <w:rFonts w:eastAsia="Calibri"/>
          <w:snapToGrid/>
          <w:szCs w:val="22"/>
          <w:lang w:val="lt-LT"/>
        </w:rPr>
      </w:pPr>
    </w:p>
    <w:p w14:paraId="5344F6AA" w14:textId="77777777" w:rsidR="00C00DD1" w:rsidRDefault="00C260EB">
      <w:pPr>
        <w:widowControl w:val="0"/>
        <w:spacing w:line="240" w:lineRule="auto"/>
        <w:rPr>
          <w:i/>
          <w:szCs w:val="22"/>
          <w:u w:val="single"/>
          <w:lang w:val="lt-LT"/>
        </w:rPr>
      </w:pPr>
      <w:r>
        <w:rPr>
          <w:i/>
          <w:szCs w:val="22"/>
          <w:u w:val="single"/>
          <w:lang w:val="lt-LT"/>
        </w:rPr>
        <w:t>Informacija, susijusi su perindopriliu:</w:t>
      </w:r>
    </w:p>
    <w:p w14:paraId="17B7C7DA"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Kadangi nėra informacijos apie perindoprilio vartojimą žindymo metu, jo vartoti nerekomenduojama, ir alternatyvus gydymas vaistiniu preparatu, geriau ištirtu dėl saugumo žindymo metu, yra tinkamesnis, ypač žindant naujagimius bei neišnešiotus gimusius kūdikius.</w:t>
      </w:r>
    </w:p>
    <w:p w14:paraId="007AC5D9" w14:textId="77777777" w:rsidR="00C00DD1" w:rsidRDefault="00C00DD1">
      <w:pPr>
        <w:tabs>
          <w:tab w:val="clear" w:pos="567"/>
        </w:tabs>
        <w:spacing w:line="240" w:lineRule="auto"/>
        <w:rPr>
          <w:rFonts w:eastAsia="Calibri"/>
          <w:snapToGrid/>
          <w:szCs w:val="22"/>
          <w:lang w:val="lt-LT"/>
        </w:rPr>
      </w:pPr>
    </w:p>
    <w:p w14:paraId="0104CC89" w14:textId="77777777" w:rsidR="00C00DD1" w:rsidRDefault="00C260EB">
      <w:pPr>
        <w:widowControl w:val="0"/>
        <w:spacing w:line="240" w:lineRule="auto"/>
        <w:rPr>
          <w:i/>
          <w:szCs w:val="22"/>
          <w:u w:val="single"/>
          <w:lang w:val="lt-LT"/>
        </w:rPr>
      </w:pPr>
      <w:r>
        <w:rPr>
          <w:i/>
          <w:szCs w:val="22"/>
          <w:u w:val="single"/>
          <w:lang w:val="lt-LT"/>
        </w:rPr>
        <w:t>Informacija, susijusi su indapamidu:</w:t>
      </w:r>
    </w:p>
    <w:p w14:paraId="302747D0" w14:textId="77777777" w:rsidR="00C00DD1" w:rsidRDefault="00C260EB">
      <w:pPr>
        <w:tabs>
          <w:tab w:val="clear" w:pos="567"/>
        </w:tabs>
        <w:spacing w:line="240" w:lineRule="auto"/>
        <w:rPr>
          <w:rFonts w:eastAsia="SimSun"/>
          <w:snapToGrid/>
          <w:color w:val="000000"/>
          <w:szCs w:val="22"/>
          <w:lang w:val="lt-LT"/>
        </w:rPr>
      </w:pPr>
      <w:r>
        <w:rPr>
          <w:rFonts w:eastAsia="SimSun"/>
          <w:snapToGrid/>
          <w:color w:val="000000"/>
          <w:szCs w:val="22"/>
          <w:lang w:val="lt-LT" w:eastAsia="zh-CN"/>
        </w:rPr>
        <w:t>Nėra pakankamai informacijos apie tai, ar indapamidas arba jo metabolitai</w:t>
      </w:r>
      <w:r>
        <w:rPr>
          <w:rFonts w:eastAsia="SimSun"/>
          <w:snapToGrid/>
          <w:color w:val="000000"/>
          <w:szCs w:val="22"/>
          <w:lang w:val="lt-LT"/>
        </w:rPr>
        <w:t xml:space="preserve"> išsiskiria į motinos pieną. </w:t>
      </w:r>
      <w:r>
        <w:rPr>
          <w:rFonts w:eastAsia="Calibri"/>
          <w:snapToGrid/>
          <w:szCs w:val="22"/>
          <w:lang w:val="lt-LT"/>
        </w:rPr>
        <w:t xml:space="preserve">Gali pasireikšti padidėjusio jautrumo reakcijos sulfonamidų grupės vaistiniams preparatams ir hipokalemija. </w:t>
      </w:r>
      <w:r>
        <w:rPr>
          <w:rFonts w:eastAsia="SimSun"/>
          <w:snapToGrid/>
          <w:color w:val="000000"/>
          <w:szCs w:val="22"/>
          <w:lang w:val="lt-LT" w:eastAsia="zh-CN"/>
        </w:rPr>
        <w:t xml:space="preserve">Pavojaus žindomiems naujagimiams </w:t>
      </w:r>
      <w:r>
        <w:rPr>
          <w:rFonts w:eastAsia="SimSun"/>
          <w:snapToGrid/>
          <w:szCs w:val="22"/>
          <w:lang w:val="lt-LT" w:eastAsia="zh-CN"/>
        </w:rPr>
        <w:t>ar</w:t>
      </w:r>
      <w:r>
        <w:rPr>
          <w:rFonts w:eastAsia="SimSun"/>
          <w:i/>
          <w:iCs/>
          <w:snapToGrid/>
          <w:color w:val="000000"/>
          <w:szCs w:val="22"/>
          <w:lang w:val="lt-LT" w:eastAsia="zh-CN"/>
        </w:rPr>
        <w:t xml:space="preserve"> </w:t>
      </w:r>
      <w:r>
        <w:rPr>
          <w:rFonts w:eastAsia="SimSun"/>
          <w:snapToGrid/>
          <w:color w:val="000000"/>
          <w:szCs w:val="22"/>
          <w:lang w:val="lt-LT" w:eastAsia="zh-CN"/>
        </w:rPr>
        <w:t>kūdikiams negalima atmesti.</w:t>
      </w:r>
    </w:p>
    <w:p w14:paraId="6DFAC3B2" w14:textId="77777777" w:rsidR="00C00DD1" w:rsidRDefault="00C00DD1">
      <w:pPr>
        <w:tabs>
          <w:tab w:val="clear" w:pos="567"/>
        </w:tabs>
        <w:spacing w:line="240" w:lineRule="auto"/>
        <w:rPr>
          <w:rFonts w:eastAsia="Calibri"/>
          <w:snapToGrid/>
          <w:szCs w:val="22"/>
          <w:lang w:val="lt-LT"/>
        </w:rPr>
      </w:pPr>
    </w:p>
    <w:p w14:paraId="48328002"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Indapamidas yra labai panašus į tiazidinius diuretikus, kurių vartojimas žindymo laikotarpiu yra siejamas su pieno išsiskyrimo sumažėjimu ar net slopinimu.</w:t>
      </w:r>
    </w:p>
    <w:p w14:paraId="5465A404" w14:textId="77777777" w:rsidR="00C00DD1" w:rsidRDefault="00C260EB">
      <w:pPr>
        <w:tabs>
          <w:tab w:val="clear" w:pos="567"/>
        </w:tabs>
        <w:autoSpaceDE w:val="0"/>
        <w:autoSpaceDN w:val="0"/>
        <w:adjustRightInd w:val="0"/>
        <w:spacing w:line="240" w:lineRule="auto"/>
        <w:rPr>
          <w:rFonts w:eastAsia="SimSun"/>
          <w:snapToGrid/>
          <w:color w:val="000000"/>
          <w:szCs w:val="22"/>
          <w:lang w:val="lt-LT" w:eastAsia="zh-CN"/>
        </w:rPr>
      </w:pPr>
      <w:r>
        <w:rPr>
          <w:rFonts w:eastAsia="SimSun"/>
          <w:snapToGrid/>
          <w:color w:val="000000"/>
          <w:szCs w:val="22"/>
          <w:lang w:val="lt-LT" w:eastAsia="zh-CN"/>
        </w:rPr>
        <w:t>Indapamido nerekomenduojama vartoti žindymo metu.</w:t>
      </w:r>
    </w:p>
    <w:p w14:paraId="5A521EBE" w14:textId="77777777" w:rsidR="00C00DD1" w:rsidRDefault="00C00DD1">
      <w:pPr>
        <w:tabs>
          <w:tab w:val="clear" w:pos="567"/>
        </w:tabs>
        <w:autoSpaceDE w:val="0"/>
        <w:autoSpaceDN w:val="0"/>
        <w:adjustRightInd w:val="0"/>
        <w:spacing w:line="240" w:lineRule="auto"/>
        <w:rPr>
          <w:rFonts w:eastAsia="SimSun"/>
          <w:snapToGrid/>
          <w:color w:val="000000"/>
          <w:szCs w:val="22"/>
          <w:lang w:val="lt-LT" w:eastAsia="zh-CN"/>
        </w:rPr>
      </w:pPr>
    </w:p>
    <w:p w14:paraId="1B725171" w14:textId="77777777" w:rsidR="00C00DD1" w:rsidRDefault="00C260EB">
      <w:pPr>
        <w:keepNext/>
        <w:tabs>
          <w:tab w:val="clear" w:pos="567"/>
        </w:tabs>
        <w:spacing w:line="240" w:lineRule="auto"/>
        <w:rPr>
          <w:rFonts w:eastAsia="SimSun"/>
          <w:snapToGrid/>
          <w:color w:val="000000"/>
          <w:szCs w:val="22"/>
          <w:u w:val="single"/>
          <w:lang w:val="lt-LT" w:eastAsia="zh-CN"/>
        </w:rPr>
      </w:pPr>
      <w:r>
        <w:rPr>
          <w:rFonts w:eastAsia="SimSun"/>
          <w:snapToGrid/>
          <w:color w:val="000000"/>
          <w:szCs w:val="22"/>
          <w:u w:val="single"/>
          <w:lang w:val="lt-LT" w:eastAsia="zh-CN"/>
        </w:rPr>
        <w:t>Vaisingumas</w:t>
      </w:r>
    </w:p>
    <w:p w14:paraId="0BAB1D8B" w14:textId="77777777" w:rsidR="00C00DD1" w:rsidRDefault="00C00DD1">
      <w:pPr>
        <w:keepNext/>
        <w:tabs>
          <w:tab w:val="clear" w:pos="567"/>
        </w:tabs>
        <w:spacing w:line="240" w:lineRule="auto"/>
        <w:rPr>
          <w:rFonts w:eastAsia="Calibri"/>
          <w:bCs/>
          <w:i/>
          <w:snapToGrid/>
          <w:szCs w:val="22"/>
          <w:lang w:val="lt-LT"/>
        </w:rPr>
      </w:pPr>
    </w:p>
    <w:p w14:paraId="3E990788" w14:textId="77777777" w:rsidR="00C00DD1" w:rsidRDefault="00C260EB">
      <w:pPr>
        <w:keepNext/>
        <w:tabs>
          <w:tab w:val="clear" w:pos="567"/>
        </w:tabs>
        <w:spacing w:line="240" w:lineRule="auto"/>
        <w:rPr>
          <w:rFonts w:eastAsia="Calibri"/>
          <w:bCs/>
          <w:i/>
          <w:snapToGrid/>
          <w:szCs w:val="22"/>
          <w:lang w:val="lt-LT"/>
        </w:rPr>
      </w:pPr>
      <w:r>
        <w:rPr>
          <w:rFonts w:eastAsia="Calibri"/>
          <w:bCs/>
          <w:i/>
          <w:snapToGrid/>
          <w:szCs w:val="22"/>
          <w:lang w:val="lt-LT"/>
        </w:rPr>
        <w:t>Perindoprilis ir indapamidas</w:t>
      </w:r>
    </w:p>
    <w:p w14:paraId="0FC2C26D" w14:textId="77777777" w:rsidR="00C00DD1" w:rsidRDefault="00C00DD1">
      <w:pPr>
        <w:keepNext/>
        <w:tabs>
          <w:tab w:val="clear" w:pos="567"/>
        </w:tabs>
        <w:spacing w:line="240" w:lineRule="auto"/>
        <w:rPr>
          <w:rFonts w:eastAsia="Calibri"/>
          <w:bCs/>
          <w:snapToGrid/>
          <w:szCs w:val="22"/>
          <w:lang w:val="lt-LT"/>
        </w:rPr>
      </w:pPr>
    </w:p>
    <w:p w14:paraId="3DA99728" w14:textId="77777777" w:rsidR="00C00DD1" w:rsidRDefault="00C260EB">
      <w:pPr>
        <w:tabs>
          <w:tab w:val="clear" w:pos="567"/>
        </w:tabs>
        <w:spacing w:line="240" w:lineRule="auto"/>
        <w:rPr>
          <w:rFonts w:eastAsia="Calibri"/>
          <w:bCs/>
          <w:snapToGrid/>
          <w:szCs w:val="22"/>
          <w:lang w:val="lt-LT"/>
        </w:rPr>
      </w:pPr>
      <w:r>
        <w:rPr>
          <w:rFonts w:eastAsia="Calibri"/>
          <w:bCs/>
          <w:snapToGrid/>
          <w:szCs w:val="22"/>
          <w:lang w:val="lt-LT"/>
        </w:rPr>
        <w:t>Toksinio poveikio reprodukcijai tyrimai poveikio žiurkių patelių ar patinų vaisingumui neparodė (žr. 5.3 skyrių). Poveikio žmogaus vaisingumui nesitikima.</w:t>
      </w:r>
    </w:p>
    <w:p w14:paraId="2E189EEB" w14:textId="77777777" w:rsidR="00C00DD1" w:rsidRDefault="00C00DD1">
      <w:pPr>
        <w:widowControl w:val="0"/>
        <w:tabs>
          <w:tab w:val="clear" w:pos="567"/>
        </w:tabs>
        <w:spacing w:line="240" w:lineRule="auto"/>
        <w:ind w:left="567" w:hanging="567"/>
        <w:rPr>
          <w:snapToGrid/>
          <w:szCs w:val="22"/>
          <w:lang w:val="lt-LT"/>
        </w:rPr>
      </w:pPr>
    </w:p>
    <w:p w14:paraId="0195587E"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4.7</w:t>
      </w:r>
      <w:r>
        <w:rPr>
          <w:b/>
          <w:snapToGrid/>
          <w:kern w:val="28"/>
          <w:szCs w:val="22"/>
          <w:lang w:val="lt-LT"/>
        </w:rPr>
        <w:tab/>
        <w:t>Poveikis gebėjimui vairuoti ir valdyti mechanizmus</w:t>
      </w:r>
    </w:p>
    <w:p w14:paraId="59709950" w14:textId="77777777" w:rsidR="00C00DD1" w:rsidRDefault="00C00DD1">
      <w:pPr>
        <w:widowControl w:val="0"/>
        <w:tabs>
          <w:tab w:val="clear" w:pos="567"/>
        </w:tabs>
        <w:spacing w:line="240" w:lineRule="auto"/>
        <w:ind w:left="567" w:hanging="567"/>
        <w:rPr>
          <w:snapToGrid/>
          <w:szCs w:val="22"/>
          <w:lang w:val="lt-LT"/>
        </w:rPr>
      </w:pPr>
    </w:p>
    <w:p w14:paraId="4FB66D1A" w14:textId="77777777" w:rsidR="00C00DD1" w:rsidRDefault="00C260E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Susijęs su perindopriliu, indapamidu ir Perindopril arginine/indapamide Krka</w:t>
      </w:r>
    </w:p>
    <w:p w14:paraId="248457FD"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Nė viena iš Perindopril arginine/indapamide Krka veikliųjų medžiagų budrumo neveikia, tačiau kai kuriems pacientams, ypač gydymo pradžioje arba kartu vartojantiems kitokių antihipertenzinių vaistinių preparatų, gali atsirasti su kraujospūdžio sumažėjimu susijusių reakcijų.</w:t>
      </w:r>
    </w:p>
    <w:p w14:paraId="04303AB6"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Dėl minėto poveikio gebėjimas vairuoti arba valdyti mechanizmus gali sutrikti.</w:t>
      </w:r>
    </w:p>
    <w:p w14:paraId="49491BA1"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14B5BC38"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4.8</w:t>
      </w:r>
      <w:r>
        <w:rPr>
          <w:b/>
          <w:snapToGrid/>
          <w:kern w:val="28"/>
          <w:szCs w:val="22"/>
          <w:lang w:val="lt-LT"/>
        </w:rPr>
        <w:tab/>
        <w:t>Nepageidaujamas poveikis</w:t>
      </w:r>
    </w:p>
    <w:p w14:paraId="1B0263D2" w14:textId="77777777" w:rsidR="00C00DD1" w:rsidRDefault="00C00DD1">
      <w:pPr>
        <w:widowControl w:val="0"/>
        <w:tabs>
          <w:tab w:val="clear" w:pos="567"/>
        </w:tabs>
        <w:spacing w:line="240" w:lineRule="auto"/>
        <w:rPr>
          <w:i/>
          <w:snapToGrid/>
          <w:szCs w:val="22"/>
          <w:lang w:val="lt-LT"/>
        </w:rPr>
      </w:pPr>
    </w:p>
    <w:p w14:paraId="45BC40F6" w14:textId="77777777" w:rsidR="00C00DD1" w:rsidRDefault="00C260EB">
      <w:pPr>
        <w:widowControl w:val="0"/>
        <w:numPr>
          <w:ilvl w:val="0"/>
          <w:numId w:val="33"/>
        </w:numPr>
        <w:tabs>
          <w:tab w:val="clear" w:pos="567"/>
        </w:tabs>
        <w:spacing w:line="240" w:lineRule="auto"/>
        <w:ind w:left="567" w:hanging="567"/>
        <w:rPr>
          <w:rFonts w:eastAsia="Calibri"/>
          <w:snapToGrid/>
          <w:szCs w:val="22"/>
          <w:lang w:val="lt-LT"/>
        </w:rPr>
      </w:pPr>
      <w:r>
        <w:rPr>
          <w:rFonts w:eastAsia="Calibri"/>
          <w:iCs/>
          <w:snapToGrid/>
          <w:szCs w:val="22"/>
          <w:lang w:val="lt-LT" w:eastAsia="lt-LT"/>
        </w:rPr>
        <w:t>Saugumo duomenų santrauka</w:t>
      </w:r>
    </w:p>
    <w:p w14:paraId="6214F6C1" w14:textId="77777777" w:rsidR="00C00DD1" w:rsidRDefault="00C00DD1">
      <w:pPr>
        <w:widowControl w:val="0"/>
        <w:tabs>
          <w:tab w:val="clear" w:pos="567"/>
        </w:tabs>
        <w:spacing w:line="240" w:lineRule="auto"/>
        <w:rPr>
          <w:snapToGrid/>
          <w:szCs w:val="22"/>
          <w:lang w:val="lt-LT" w:eastAsia="sl-SI"/>
        </w:rPr>
      </w:pPr>
    </w:p>
    <w:p w14:paraId="594B3EB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slopina renino, angiotenzino ir aldosterono sistemą bei mažina indapamido sukeliamą kalio netekimą.</w:t>
      </w:r>
    </w:p>
    <w:p w14:paraId="36B14B25" w14:textId="77777777" w:rsidR="00C00DD1" w:rsidRDefault="00C00DD1">
      <w:pPr>
        <w:widowControl w:val="0"/>
        <w:tabs>
          <w:tab w:val="clear" w:pos="567"/>
        </w:tabs>
        <w:spacing w:line="240" w:lineRule="auto"/>
        <w:rPr>
          <w:snapToGrid/>
          <w:szCs w:val="22"/>
          <w:lang w:val="lt-LT" w:eastAsia="sl-SI"/>
        </w:rPr>
      </w:pPr>
    </w:p>
    <w:p w14:paraId="4A9C966B" w14:textId="77777777" w:rsidR="00C00DD1" w:rsidRDefault="00C260EB">
      <w:pPr>
        <w:widowControl w:val="0"/>
        <w:tabs>
          <w:tab w:val="clear" w:pos="567"/>
          <w:tab w:val="left" w:pos="0"/>
          <w:tab w:val="left" w:pos="284"/>
        </w:tabs>
        <w:spacing w:line="240" w:lineRule="auto"/>
        <w:rPr>
          <w:rFonts w:eastAsia="Calibri"/>
          <w:snapToGrid/>
          <w:szCs w:val="22"/>
          <w:lang w:val="lt-LT"/>
        </w:rPr>
      </w:pPr>
      <w:r>
        <w:rPr>
          <w:rFonts w:eastAsia="Calibri"/>
          <w:snapToGrid/>
          <w:szCs w:val="22"/>
          <w:lang w:val="lt-LT"/>
        </w:rPr>
        <w:t>Dažniausiai pasireiškusios nepageidaujamos reakcijos yra:</w:t>
      </w:r>
    </w:p>
    <w:p w14:paraId="744367C0" w14:textId="77777777" w:rsidR="00C00DD1" w:rsidRDefault="00C260EB">
      <w:pPr>
        <w:widowControl w:val="0"/>
        <w:numPr>
          <w:ilvl w:val="0"/>
          <w:numId w:val="20"/>
        </w:numPr>
        <w:tabs>
          <w:tab w:val="num" w:pos="567"/>
        </w:tabs>
        <w:spacing w:line="240" w:lineRule="auto"/>
        <w:ind w:left="567" w:hanging="567"/>
        <w:rPr>
          <w:rFonts w:eastAsia="Calibri"/>
          <w:snapToGrid/>
          <w:szCs w:val="22"/>
          <w:lang w:val="lt-LT"/>
        </w:rPr>
      </w:pPr>
      <w:r>
        <w:rPr>
          <w:rFonts w:eastAsia="Calibri"/>
          <w:snapToGrid/>
          <w:szCs w:val="22"/>
          <w:lang w:val="lt-LT"/>
        </w:rPr>
        <w:t>vartojant perindoprilio: svaigulys, galvos skausmas, parestezija, skonio pojūčio sutrikimas, regos sutrikimas, svaigimas (</w:t>
      </w:r>
      <w:r>
        <w:rPr>
          <w:rFonts w:eastAsia="Calibri"/>
          <w:i/>
          <w:snapToGrid/>
          <w:szCs w:val="22"/>
          <w:lang w:val="lt-LT"/>
        </w:rPr>
        <w:t>vertigo</w:t>
      </w:r>
      <w:r>
        <w:rPr>
          <w:rFonts w:eastAsia="Calibri"/>
          <w:snapToGrid/>
          <w:szCs w:val="22"/>
          <w:lang w:val="lt-LT"/>
        </w:rPr>
        <w:t>), ūžesys (</w:t>
      </w:r>
      <w:r>
        <w:rPr>
          <w:i/>
          <w:snapToGrid/>
          <w:szCs w:val="22"/>
          <w:lang w:val="lt-LT" w:eastAsia="sl-SI"/>
        </w:rPr>
        <w:t>tinnitus</w:t>
      </w:r>
      <w:r>
        <w:rPr>
          <w:snapToGrid/>
          <w:szCs w:val="22"/>
          <w:lang w:val="lt-LT" w:eastAsia="sl-SI"/>
        </w:rPr>
        <w:t>)</w:t>
      </w:r>
      <w:r>
        <w:rPr>
          <w:rFonts w:eastAsia="Calibri"/>
          <w:snapToGrid/>
          <w:szCs w:val="22"/>
          <w:lang w:val="lt-LT"/>
        </w:rPr>
        <w:t>, hipotenzija, kosulys, dusulys, pilvo skausmas, vidurių užkietėjimas, dispepsija, viduriavimas, pykinimas, vėmimas, niežėjimas, išbėrimas, raumenų spazmai, astenija;</w:t>
      </w:r>
    </w:p>
    <w:p w14:paraId="58F02BA2" w14:textId="77777777" w:rsidR="00C00DD1" w:rsidRDefault="00C260EB">
      <w:pPr>
        <w:widowControl w:val="0"/>
        <w:numPr>
          <w:ilvl w:val="0"/>
          <w:numId w:val="20"/>
        </w:numPr>
        <w:tabs>
          <w:tab w:val="num" w:pos="567"/>
        </w:tabs>
        <w:spacing w:line="240" w:lineRule="auto"/>
        <w:ind w:left="567" w:hanging="567"/>
        <w:rPr>
          <w:rFonts w:eastAsia="Calibri"/>
          <w:snapToGrid/>
          <w:szCs w:val="22"/>
          <w:lang w:val="lt-LT"/>
        </w:rPr>
      </w:pPr>
      <w:r>
        <w:rPr>
          <w:rFonts w:eastAsia="Calibri"/>
          <w:snapToGrid/>
          <w:szCs w:val="22"/>
          <w:lang w:val="lt-LT"/>
        </w:rPr>
        <w:t>vartojant indapamido: hipokalemija, padidėjusio jautrumo reakcijos (daugiausiai odos reakcijos) asmenims, kurie turi polinkį į alergines arba astmines reakcijas bei makulopapulinį bėrimą.</w:t>
      </w:r>
    </w:p>
    <w:p w14:paraId="10C6BB7F" w14:textId="77777777" w:rsidR="00C00DD1" w:rsidRDefault="00C00DD1">
      <w:pPr>
        <w:widowControl w:val="0"/>
        <w:tabs>
          <w:tab w:val="clear" w:pos="567"/>
        </w:tabs>
        <w:spacing w:line="240" w:lineRule="auto"/>
        <w:rPr>
          <w:rFonts w:eastAsia="Calibri"/>
          <w:snapToGrid/>
          <w:szCs w:val="22"/>
          <w:lang w:val="lt-LT"/>
        </w:rPr>
      </w:pPr>
    </w:p>
    <w:p w14:paraId="3313C237" w14:textId="77777777" w:rsidR="00C00DD1" w:rsidRDefault="00C260EB">
      <w:pPr>
        <w:widowControl w:val="0"/>
        <w:numPr>
          <w:ilvl w:val="0"/>
          <w:numId w:val="33"/>
        </w:numPr>
        <w:tabs>
          <w:tab w:val="clear" w:pos="567"/>
        </w:tabs>
        <w:spacing w:line="240" w:lineRule="auto"/>
        <w:ind w:left="567" w:hanging="567"/>
        <w:rPr>
          <w:snapToGrid/>
          <w:szCs w:val="22"/>
          <w:lang w:val="lt-LT" w:eastAsia="sl-SI"/>
        </w:rPr>
      </w:pPr>
      <w:r>
        <w:rPr>
          <w:iCs/>
          <w:snapToGrid/>
          <w:szCs w:val="22"/>
          <w:lang w:val="lt-LT" w:eastAsia="lt-LT"/>
        </w:rPr>
        <w:t>Nepageidaujamų reakcijų santrauka lentelėje</w:t>
      </w:r>
    </w:p>
    <w:p w14:paraId="180E91F9" w14:textId="77777777" w:rsidR="00C00DD1" w:rsidRDefault="00C00DD1">
      <w:pPr>
        <w:widowControl w:val="0"/>
        <w:tabs>
          <w:tab w:val="clear" w:pos="567"/>
        </w:tabs>
        <w:spacing w:line="240" w:lineRule="auto"/>
        <w:rPr>
          <w:snapToGrid/>
          <w:szCs w:val="22"/>
          <w:lang w:val="lt-LT" w:eastAsia="sl-SI"/>
        </w:rPr>
      </w:pPr>
    </w:p>
    <w:p w14:paraId="0202B6B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Toliau pateiktos nepageidaujamos reakcijos buvo užfiksuotos klinikinių tyrimų metu ir (arba) poregistraciniu laikotarpiu.</w:t>
      </w:r>
    </w:p>
    <w:p w14:paraId="3D27E88A" w14:textId="77777777" w:rsidR="00C00DD1" w:rsidRDefault="00C00DD1">
      <w:pPr>
        <w:widowControl w:val="0"/>
        <w:tabs>
          <w:tab w:val="clear" w:pos="567"/>
        </w:tabs>
        <w:spacing w:line="240" w:lineRule="auto"/>
        <w:rPr>
          <w:snapToGrid/>
          <w:szCs w:val="22"/>
          <w:lang w:val="lt-LT" w:eastAsia="sl-SI"/>
        </w:rPr>
      </w:pPr>
    </w:p>
    <w:p w14:paraId="3F10C51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Gydymo metu galinčio pasireikšti nepageidaujamo poveikio dažnis apibūdinamas taip:</w:t>
      </w:r>
    </w:p>
    <w:p w14:paraId="01669EE3"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labai dažnas (≥ 1/10);</w:t>
      </w:r>
    </w:p>
    <w:p w14:paraId="58EA2A87"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dažnas (nuo ≥ 1/100 iki &lt; 1/10);</w:t>
      </w:r>
    </w:p>
    <w:p w14:paraId="2A6E6280"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nedažnas (nuo ≥ 1/1 000 iki &lt; 1/100);</w:t>
      </w:r>
    </w:p>
    <w:p w14:paraId="67C58531"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retas (nuo ≥ 1/10 000 iki &lt; 1/1 000);</w:t>
      </w:r>
    </w:p>
    <w:p w14:paraId="1F938796" w14:textId="77777777" w:rsidR="00C00DD1" w:rsidRDefault="00C260EB">
      <w:pPr>
        <w:widowControl w:val="0"/>
        <w:numPr>
          <w:ilvl w:val="0"/>
          <w:numId w:val="21"/>
        </w:numPr>
        <w:tabs>
          <w:tab w:val="clear" w:pos="567"/>
        </w:tabs>
        <w:spacing w:line="240" w:lineRule="auto"/>
        <w:ind w:left="567" w:hanging="567"/>
        <w:contextualSpacing/>
        <w:rPr>
          <w:snapToGrid/>
          <w:szCs w:val="22"/>
          <w:lang w:val="lt-LT" w:eastAsia="sl-SI"/>
        </w:rPr>
      </w:pPr>
      <w:r>
        <w:rPr>
          <w:snapToGrid/>
          <w:szCs w:val="22"/>
          <w:lang w:val="lt-LT" w:eastAsia="sl-SI"/>
        </w:rPr>
        <w:t>labai retas (&lt; 1/10 000);</w:t>
      </w:r>
    </w:p>
    <w:p w14:paraId="79C556B6" w14:textId="77777777" w:rsidR="00C00DD1" w:rsidRDefault="00C260EB">
      <w:pPr>
        <w:widowControl w:val="0"/>
        <w:numPr>
          <w:ilvl w:val="0"/>
          <w:numId w:val="21"/>
        </w:numPr>
        <w:tabs>
          <w:tab w:val="clear" w:pos="567"/>
          <w:tab w:val="left" w:pos="0"/>
        </w:tabs>
        <w:spacing w:line="240" w:lineRule="auto"/>
        <w:ind w:left="567" w:hanging="567"/>
        <w:contextualSpacing/>
        <w:rPr>
          <w:snapToGrid/>
          <w:szCs w:val="22"/>
          <w:lang w:val="lt-LT" w:eastAsia="sl-SI"/>
        </w:rPr>
      </w:pPr>
      <w:r>
        <w:rPr>
          <w:snapToGrid/>
          <w:szCs w:val="22"/>
          <w:lang w:val="lt-LT" w:eastAsia="sl-SI"/>
        </w:rPr>
        <w:t>nežinomas (negali būti apskaičiuotas pagal turimus duomenis).</w:t>
      </w:r>
    </w:p>
    <w:p w14:paraId="229C806D" w14:textId="77777777" w:rsidR="00C00DD1" w:rsidRDefault="00C00DD1">
      <w:pPr>
        <w:widowControl w:val="0"/>
        <w:tabs>
          <w:tab w:val="clear" w:pos="567"/>
        </w:tabs>
        <w:spacing w:line="240" w:lineRule="auto"/>
        <w:rPr>
          <w:snapToGrid/>
          <w:szCs w:val="22"/>
          <w:lang w:val="lt-LT" w:eastAsia="sl-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3939"/>
        <w:gridCol w:w="1680"/>
        <w:gridCol w:w="1518"/>
      </w:tblGrid>
      <w:tr w:rsidR="00C00DD1" w14:paraId="6939E4BB" w14:textId="77777777">
        <w:tc>
          <w:tcPr>
            <w:tcW w:w="1923" w:type="dxa"/>
            <w:vMerge w:val="restart"/>
          </w:tcPr>
          <w:p w14:paraId="68F79642" w14:textId="77777777" w:rsidR="00C00DD1" w:rsidRDefault="00C260EB">
            <w:pPr>
              <w:widowControl w:val="0"/>
              <w:tabs>
                <w:tab w:val="clear" w:pos="567"/>
              </w:tabs>
              <w:spacing w:line="240" w:lineRule="auto"/>
              <w:rPr>
                <w:rFonts w:eastAsia="Calibri"/>
                <w:iCs/>
                <w:snapToGrid/>
                <w:szCs w:val="22"/>
                <w:lang w:val="lt-LT"/>
              </w:rPr>
            </w:pPr>
            <w:r>
              <w:rPr>
                <w:rFonts w:eastAsia="Calibri"/>
                <w:i/>
                <w:iCs/>
                <w:snapToGrid/>
                <w:szCs w:val="22"/>
                <w:lang w:val="lt-LT"/>
              </w:rPr>
              <w:t>MedDRA</w:t>
            </w:r>
            <w:r>
              <w:rPr>
                <w:rFonts w:eastAsia="Calibri"/>
                <w:iCs/>
                <w:snapToGrid/>
                <w:szCs w:val="22"/>
                <w:lang w:val="lt-LT"/>
              </w:rPr>
              <w:t xml:space="preserve"> organų sistemų klasės</w:t>
            </w:r>
          </w:p>
        </w:tc>
        <w:tc>
          <w:tcPr>
            <w:tcW w:w="3940" w:type="dxa"/>
            <w:vMerge w:val="restart"/>
          </w:tcPr>
          <w:p w14:paraId="7D4C58C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Nepageidaujamas poveikis</w:t>
            </w:r>
          </w:p>
        </w:tc>
        <w:tc>
          <w:tcPr>
            <w:tcW w:w="3198" w:type="dxa"/>
            <w:gridSpan w:val="2"/>
          </w:tcPr>
          <w:p w14:paraId="74F8008C" w14:textId="77777777" w:rsidR="00C00DD1" w:rsidRDefault="00C260EB">
            <w:pPr>
              <w:widowControl w:val="0"/>
              <w:tabs>
                <w:tab w:val="clear" w:pos="567"/>
              </w:tabs>
              <w:spacing w:line="240" w:lineRule="auto"/>
              <w:jc w:val="center"/>
              <w:rPr>
                <w:rFonts w:eastAsia="Calibri"/>
                <w:iCs/>
                <w:snapToGrid/>
                <w:szCs w:val="22"/>
                <w:lang w:val="lt-LT"/>
              </w:rPr>
            </w:pPr>
            <w:r>
              <w:rPr>
                <w:rFonts w:eastAsia="Calibri"/>
                <w:iCs/>
                <w:snapToGrid/>
                <w:szCs w:val="22"/>
                <w:lang w:val="lt-LT"/>
              </w:rPr>
              <w:t>Dažnis</w:t>
            </w:r>
          </w:p>
        </w:tc>
      </w:tr>
      <w:tr w:rsidR="00C00DD1" w14:paraId="50E01837" w14:textId="77777777">
        <w:tc>
          <w:tcPr>
            <w:tcW w:w="1923" w:type="dxa"/>
            <w:vMerge/>
          </w:tcPr>
          <w:p w14:paraId="6D08CD19" w14:textId="77777777" w:rsidR="00C00DD1" w:rsidRDefault="00C00DD1">
            <w:pPr>
              <w:widowControl w:val="0"/>
              <w:tabs>
                <w:tab w:val="clear" w:pos="567"/>
              </w:tabs>
              <w:spacing w:line="240" w:lineRule="auto"/>
              <w:rPr>
                <w:rFonts w:eastAsia="Calibri"/>
                <w:iCs/>
                <w:snapToGrid/>
                <w:szCs w:val="22"/>
                <w:lang w:val="lt-LT"/>
              </w:rPr>
            </w:pPr>
          </w:p>
        </w:tc>
        <w:tc>
          <w:tcPr>
            <w:tcW w:w="3940" w:type="dxa"/>
            <w:vMerge/>
          </w:tcPr>
          <w:p w14:paraId="05B118E5" w14:textId="77777777" w:rsidR="00C00DD1" w:rsidRDefault="00C00DD1">
            <w:pPr>
              <w:widowControl w:val="0"/>
              <w:tabs>
                <w:tab w:val="clear" w:pos="567"/>
              </w:tabs>
              <w:spacing w:line="240" w:lineRule="auto"/>
              <w:rPr>
                <w:rFonts w:eastAsia="Calibri"/>
                <w:iCs/>
                <w:snapToGrid/>
                <w:szCs w:val="22"/>
                <w:lang w:val="lt-LT"/>
              </w:rPr>
            </w:pPr>
          </w:p>
        </w:tc>
        <w:tc>
          <w:tcPr>
            <w:tcW w:w="1680" w:type="dxa"/>
          </w:tcPr>
          <w:p w14:paraId="7614B06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Perindoprilis</w:t>
            </w:r>
          </w:p>
        </w:tc>
        <w:tc>
          <w:tcPr>
            <w:tcW w:w="1518" w:type="dxa"/>
          </w:tcPr>
          <w:p w14:paraId="12BF530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Indapamidas</w:t>
            </w:r>
          </w:p>
        </w:tc>
      </w:tr>
      <w:tr w:rsidR="00C00DD1" w14:paraId="231E2ADC" w14:textId="77777777">
        <w:tc>
          <w:tcPr>
            <w:tcW w:w="1923" w:type="dxa"/>
          </w:tcPr>
          <w:p w14:paraId="400DE16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Infekcijos ir infestacijos</w:t>
            </w:r>
          </w:p>
        </w:tc>
        <w:tc>
          <w:tcPr>
            <w:tcW w:w="3940" w:type="dxa"/>
          </w:tcPr>
          <w:p w14:paraId="6F8DFE9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Rinitas </w:t>
            </w:r>
          </w:p>
        </w:tc>
        <w:tc>
          <w:tcPr>
            <w:tcW w:w="1680" w:type="dxa"/>
          </w:tcPr>
          <w:p w14:paraId="356BF71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09F1FA5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08F11CF" w14:textId="77777777">
        <w:tc>
          <w:tcPr>
            <w:tcW w:w="1923" w:type="dxa"/>
            <w:vMerge w:val="restart"/>
          </w:tcPr>
          <w:p w14:paraId="575EFD6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Kraujo ir limfinės sistemos sutrikimai</w:t>
            </w:r>
          </w:p>
        </w:tc>
        <w:tc>
          <w:tcPr>
            <w:tcW w:w="3940" w:type="dxa"/>
          </w:tcPr>
          <w:p w14:paraId="722D580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Eozinofilija</w:t>
            </w:r>
          </w:p>
        </w:tc>
        <w:tc>
          <w:tcPr>
            <w:tcW w:w="1680" w:type="dxa"/>
          </w:tcPr>
          <w:p w14:paraId="5097C49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95C9A0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F207D60" w14:textId="77777777">
        <w:tc>
          <w:tcPr>
            <w:tcW w:w="1923" w:type="dxa"/>
            <w:vMerge/>
          </w:tcPr>
          <w:p w14:paraId="2BAAFC4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99E087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Agranulocitozė (žr. 4.4 skyrių)</w:t>
            </w:r>
          </w:p>
        </w:tc>
        <w:tc>
          <w:tcPr>
            <w:tcW w:w="1680" w:type="dxa"/>
          </w:tcPr>
          <w:p w14:paraId="1EB785B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01907D3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5CCEB5CA" w14:textId="77777777">
        <w:tc>
          <w:tcPr>
            <w:tcW w:w="1923" w:type="dxa"/>
            <w:vMerge/>
          </w:tcPr>
          <w:p w14:paraId="3C768FE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B7BC04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Aplazinė anemija</w:t>
            </w:r>
          </w:p>
        </w:tc>
        <w:tc>
          <w:tcPr>
            <w:tcW w:w="1680" w:type="dxa"/>
          </w:tcPr>
          <w:p w14:paraId="458CA28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F45335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0DA8E555" w14:textId="77777777">
        <w:tc>
          <w:tcPr>
            <w:tcW w:w="1923" w:type="dxa"/>
            <w:vMerge/>
          </w:tcPr>
          <w:p w14:paraId="012100E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A2C03F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Pancitopenija</w:t>
            </w:r>
          </w:p>
        </w:tc>
        <w:tc>
          <w:tcPr>
            <w:tcW w:w="1680" w:type="dxa"/>
          </w:tcPr>
          <w:p w14:paraId="35A206F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23F1C89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0429F4A" w14:textId="77777777">
        <w:tc>
          <w:tcPr>
            <w:tcW w:w="1923" w:type="dxa"/>
            <w:vMerge/>
          </w:tcPr>
          <w:p w14:paraId="2372A24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FC7702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Leukopenija</w:t>
            </w:r>
          </w:p>
        </w:tc>
        <w:tc>
          <w:tcPr>
            <w:tcW w:w="1680" w:type="dxa"/>
          </w:tcPr>
          <w:p w14:paraId="2127630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7F0E3CE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48FD4FE6" w14:textId="77777777">
        <w:tc>
          <w:tcPr>
            <w:tcW w:w="1923" w:type="dxa"/>
            <w:vMerge/>
          </w:tcPr>
          <w:p w14:paraId="76E5B704"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5AB0C3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Neutropenija (žr. 4.4 skyrių)</w:t>
            </w:r>
          </w:p>
        </w:tc>
        <w:tc>
          <w:tcPr>
            <w:tcW w:w="1680" w:type="dxa"/>
          </w:tcPr>
          <w:p w14:paraId="6DFF717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7BB0CEE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B03C9F5" w14:textId="77777777">
        <w:tc>
          <w:tcPr>
            <w:tcW w:w="1923" w:type="dxa"/>
            <w:vMerge/>
          </w:tcPr>
          <w:p w14:paraId="38EF136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6C74E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Hemolizinė anemija</w:t>
            </w:r>
          </w:p>
        </w:tc>
        <w:tc>
          <w:tcPr>
            <w:tcW w:w="1680" w:type="dxa"/>
          </w:tcPr>
          <w:p w14:paraId="671B4B4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1D24E22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623E3113" w14:textId="77777777">
        <w:tc>
          <w:tcPr>
            <w:tcW w:w="1923" w:type="dxa"/>
            <w:vMerge/>
          </w:tcPr>
          <w:p w14:paraId="4B6777C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B6BA50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Trombocitopenija (žr. 4.4 skyrių)</w:t>
            </w:r>
          </w:p>
        </w:tc>
        <w:tc>
          <w:tcPr>
            <w:tcW w:w="1680" w:type="dxa"/>
          </w:tcPr>
          <w:p w14:paraId="4BA5CD5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32C2478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3FA774A8" w14:textId="77777777">
        <w:tc>
          <w:tcPr>
            <w:tcW w:w="1923" w:type="dxa"/>
          </w:tcPr>
          <w:p w14:paraId="06ED80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Imuninės sistemos sutrikimai</w:t>
            </w:r>
          </w:p>
        </w:tc>
        <w:tc>
          <w:tcPr>
            <w:tcW w:w="3940" w:type="dxa"/>
          </w:tcPr>
          <w:p w14:paraId="60672C6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Padidėjęs jautrumas (reakcijos, daugiausiai odos, asmenims, kurie turi polinkį į alergines ir astmines reakcijas)</w:t>
            </w:r>
          </w:p>
        </w:tc>
        <w:tc>
          <w:tcPr>
            <w:tcW w:w="1680" w:type="dxa"/>
          </w:tcPr>
          <w:p w14:paraId="711F41F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57324C5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r>
      <w:tr w:rsidR="00C00DD1" w14:paraId="24FB0718" w14:textId="77777777">
        <w:tc>
          <w:tcPr>
            <w:tcW w:w="1923" w:type="dxa"/>
          </w:tcPr>
          <w:p w14:paraId="16331CB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Endokrininiai sutrikimai</w:t>
            </w:r>
          </w:p>
        </w:tc>
        <w:tc>
          <w:tcPr>
            <w:tcW w:w="3940" w:type="dxa"/>
          </w:tcPr>
          <w:p w14:paraId="41E1372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Sutrikusios antidiurezinio hormono sekrecijos sindromas (SAHSS)</w:t>
            </w:r>
          </w:p>
        </w:tc>
        <w:tc>
          <w:tcPr>
            <w:tcW w:w="1680" w:type="dxa"/>
          </w:tcPr>
          <w:p w14:paraId="780CABA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192113A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B83F89D" w14:textId="77777777">
        <w:tc>
          <w:tcPr>
            <w:tcW w:w="1923" w:type="dxa"/>
            <w:vMerge w:val="restart"/>
          </w:tcPr>
          <w:p w14:paraId="4D4BE40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Metabolizmo ir mitybos sutrikimai</w:t>
            </w:r>
          </w:p>
        </w:tc>
        <w:tc>
          <w:tcPr>
            <w:tcW w:w="3940" w:type="dxa"/>
          </w:tcPr>
          <w:p w14:paraId="7376F4B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Hipoglikemija (žr. 4.4 ir 4.5 skyrius) </w:t>
            </w:r>
          </w:p>
        </w:tc>
        <w:tc>
          <w:tcPr>
            <w:tcW w:w="1680" w:type="dxa"/>
          </w:tcPr>
          <w:p w14:paraId="3597287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02F7124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12E4587" w14:textId="77777777">
        <w:tc>
          <w:tcPr>
            <w:tcW w:w="1923" w:type="dxa"/>
            <w:vMerge/>
          </w:tcPr>
          <w:p w14:paraId="70E5974B"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2EA1D8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Hiperkalemija, kuri išnyksta nutraukus gydymą (žr. 4.4 skyrių)</w:t>
            </w:r>
          </w:p>
        </w:tc>
        <w:tc>
          <w:tcPr>
            <w:tcW w:w="1680" w:type="dxa"/>
          </w:tcPr>
          <w:p w14:paraId="5A7C3CB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B32A69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F409B2A" w14:textId="77777777">
        <w:tc>
          <w:tcPr>
            <w:tcW w:w="1923" w:type="dxa"/>
            <w:vMerge/>
          </w:tcPr>
          <w:p w14:paraId="372E0EF4"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D00885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Hiponatremija (žr. 4.4 skyrių)</w:t>
            </w:r>
          </w:p>
        </w:tc>
        <w:tc>
          <w:tcPr>
            <w:tcW w:w="1680" w:type="dxa"/>
          </w:tcPr>
          <w:p w14:paraId="187B92C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57BAAB0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00B55AB6" w14:textId="77777777">
        <w:tc>
          <w:tcPr>
            <w:tcW w:w="1923" w:type="dxa"/>
            <w:vMerge/>
          </w:tcPr>
          <w:p w14:paraId="5C8D6FC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904FC4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Hiperkalcemija </w:t>
            </w:r>
          </w:p>
        </w:tc>
        <w:tc>
          <w:tcPr>
            <w:tcW w:w="1680" w:type="dxa"/>
          </w:tcPr>
          <w:p w14:paraId="0F4E2BD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4F4DC5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453DB274" w14:textId="77777777">
        <w:tc>
          <w:tcPr>
            <w:tcW w:w="1923" w:type="dxa"/>
            <w:vMerge/>
          </w:tcPr>
          <w:p w14:paraId="4865A39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E4125B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Hipokalemija (žr. 4.4 skyrių)</w:t>
            </w:r>
          </w:p>
        </w:tc>
        <w:tc>
          <w:tcPr>
            <w:tcW w:w="1680" w:type="dxa"/>
          </w:tcPr>
          <w:p w14:paraId="2451486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5D529C2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r>
      <w:tr w:rsidR="00C00DD1" w14:paraId="29C2006B" w14:textId="77777777">
        <w:tc>
          <w:tcPr>
            <w:tcW w:w="1923" w:type="dxa"/>
            <w:vMerge/>
          </w:tcPr>
          <w:p w14:paraId="6AF3D2A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6E5013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Hipochloremija</w:t>
            </w:r>
          </w:p>
        </w:tc>
        <w:tc>
          <w:tcPr>
            <w:tcW w:w="1680" w:type="dxa"/>
          </w:tcPr>
          <w:p w14:paraId="3A6CB62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7794FD3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5BE86CF2" w14:textId="77777777">
        <w:tc>
          <w:tcPr>
            <w:tcW w:w="1923" w:type="dxa"/>
            <w:vMerge/>
          </w:tcPr>
          <w:p w14:paraId="1296C49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D00A5C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Hipomagnezemija</w:t>
            </w:r>
          </w:p>
        </w:tc>
        <w:tc>
          <w:tcPr>
            <w:tcW w:w="1680" w:type="dxa"/>
          </w:tcPr>
          <w:p w14:paraId="5CE4A3B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A69E7A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43D86A52" w14:textId="77777777">
        <w:tc>
          <w:tcPr>
            <w:tcW w:w="1923" w:type="dxa"/>
            <w:vMerge w:val="restart"/>
          </w:tcPr>
          <w:p w14:paraId="7EA86F1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Psichikos sutrikimai</w:t>
            </w:r>
          </w:p>
        </w:tc>
        <w:tc>
          <w:tcPr>
            <w:tcW w:w="3940" w:type="dxa"/>
          </w:tcPr>
          <w:p w14:paraId="1EBB4DE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Nuotaikos pokytis</w:t>
            </w:r>
          </w:p>
        </w:tc>
        <w:tc>
          <w:tcPr>
            <w:tcW w:w="1680" w:type="dxa"/>
          </w:tcPr>
          <w:p w14:paraId="12A9655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07A0EE0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76A1054" w14:textId="77777777">
        <w:tc>
          <w:tcPr>
            <w:tcW w:w="1923" w:type="dxa"/>
            <w:vMerge/>
          </w:tcPr>
          <w:p w14:paraId="6073953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D305F7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Miego sutrikimas</w:t>
            </w:r>
          </w:p>
        </w:tc>
        <w:tc>
          <w:tcPr>
            <w:tcW w:w="1680" w:type="dxa"/>
          </w:tcPr>
          <w:p w14:paraId="53CBDF3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4F3FA35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390E02C" w14:textId="77777777">
        <w:tc>
          <w:tcPr>
            <w:tcW w:w="1923" w:type="dxa"/>
            <w:vMerge/>
          </w:tcPr>
          <w:p w14:paraId="1B014A8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B95A32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Depresija</w:t>
            </w:r>
          </w:p>
        </w:tc>
        <w:tc>
          <w:tcPr>
            <w:tcW w:w="1680" w:type="dxa"/>
          </w:tcPr>
          <w:p w14:paraId="56A0847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670630F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A770A2B" w14:textId="77777777">
        <w:tc>
          <w:tcPr>
            <w:tcW w:w="1923" w:type="dxa"/>
            <w:vMerge/>
          </w:tcPr>
          <w:p w14:paraId="17F4E88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989564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Sumišimas</w:t>
            </w:r>
          </w:p>
        </w:tc>
        <w:tc>
          <w:tcPr>
            <w:tcW w:w="1680" w:type="dxa"/>
          </w:tcPr>
          <w:p w14:paraId="14C0272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2AAAEDF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FBC308D" w14:textId="77777777">
        <w:tc>
          <w:tcPr>
            <w:tcW w:w="1923" w:type="dxa"/>
            <w:vMerge w:val="restart"/>
          </w:tcPr>
          <w:p w14:paraId="43CE08B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Nervų sistemos sutrikimai</w:t>
            </w:r>
          </w:p>
        </w:tc>
        <w:tc>
          <w:tcPr>
            <w:tcW w:w="3940" w:type="dxa"/>
          </w:tcPr>
          <w:p w14:paraId="5231EA8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Svaigulys</w:t>
            </w:r>
          </w:p>
        </w:tc>
        <w:tc>
          <w:tcPr>
            <w:tcW w:w="1680" w:type="dxa"/>
          </w:tcPr>
          <w:p w14:paraId="5FFF8C9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69C1829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61EFA24" w14:textId="77777777">
        <w:tc>
          <w:tcPr>
            <w:tcW w:w="1923" w:type="dxa"/>
            <w:vMerge/>
          </w:tcPr>
          <w:p w14:paraId="319F6C9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C1493E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Galvos skausmas</w:t>
            </w:r>
          </w:p>
        </w:tc>
        <w:tc>
          <w:tcPr>
            <w:tcW w:w="1680" w:type="dxa"/>
          </w:tcPr>
          <w:p w14:paraId="4C7AB24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1A1516F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536314FF" w14:textId="77777777">
        <w:tc>
          <w:tcPr>
            <w:tcW w:w="1923" w:type="dxa"/>
            <w:vMerge/>
          </w:tcPr>
          <w:p w14:paraId="5D6F0CF2"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8507FE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Parestezija</w:t>
            </w:r>
          </w:p>
        </w:tc>
        <w:tc>
          <w:tcPr>
            <w:tcW w:w="1680" w:type="dxa"/>
          </w:tcPr>
          <w:p w14:paraId="1347682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35748D7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103CCA3A" w14:textId="77777777">
        <w:tc>
          <w:tcPr>
            <w:tcW w:w="1923" w:type="dxa"/>
            <w:vMerge/>
          </w:tcPr>
          <w:p w14:paraId="1B29588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C35D70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Skonio pojūčio sutrikimas</w:t>
            </w:r>
          </w:p>
        </w:tc>
        <w:tc>
          <w:tcPr>
            <w:tcW w:w="1680" w:type="dxa"/>
          </w:tcPr>
          <w:p w14:paraId="588648C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32A21CE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295E5BC" w14:textId="77777777">
        <w:tc>
          <w:tcPr>
            <w:tcW w:w="1923" w:type="dxa"/>
            <w:vMerge/>
          </w:tcPr>
          <w:p w14:paraId="0726DEE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941F0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Somnolencija</w:t>
            </w:r>
          </w:p>
        </w:tc>
        <w:tc>
          <w:tcPr>
            <w:tcW w:w="1680" w:type="dxa"/>
          </w:tcPr>
          <w:p w14:paraId="71B43B4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2A524E6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38EC0D6" w14:textId="77777777">
        <w:tc>
          <w:tcPr>
            <w:tcW w:w="1923" w:type="dxa"/>
            <w:vMerge/>
          </w:tcPr>
          <w:p w14:paraId="3B9B38D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CE1286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Apalpimas</w:t>
            </w:r>
          </w:p>
        </w:tc>
        <w:tc>
          <w:tcPr>
            <w:tcW w:w="1680" w:type="dxa"/>
          </w:tcPr>
          <w:p w14:paraId="74D831D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24FCDBF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768BAA9B" w14:textId="77777777">
        <w:tc>
          <w:tcPr>
            <w:tcW w:w="1923" w:type="dxa"/>
            <w:vMerge/>
          </w:tcPr>
          <w:p w14:paraId="6688972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11A881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Insultas, kuris gali būti antrinis ir pasireikšti dėl didelės hipotenzijos didelės rizikos grupės pacientams (žr. 4.4 skyrių)</w:t>
            </w:r>
          </w:p>
        </w:tc>
        <w:tc>
          <w:tcPr>
            <w:tcW w:w="1680" w:type="dxa"/>
          </w:tcPr>
          <w:p w14:paraId="11E459B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0052762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004FDC6" w14:textId="77777777">
        <w:tc>
          <w:tcPr>
            <w:tcW w:w="1923" w:type="dxa"/>
            <w:vMerge/>
          </w:tcPr>
          <w:p w14:paraId="671CE07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9DCFE1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Gali pasireikšti hepatinė encefalopatija kepenų nepakankamumu sergantiems pacientams (žr. 4.3 ir 4.4 skyrius)</w:t>
            </w:r>
          </w:p>
        </w:tc>
        <w:tc>
          <w:tcPr>
            <w:tcW w:w="1680" w:type="dxa"/>
          </w:tcPr>
          <w:p w14:paraId="0E0C9AA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14962B3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1F00EDD2" w14:textId="77777777">
        <w:tc>
          <w:tcPr>
            <w:tcW w:w="1923" w:type="dxa"/>
            <w:vMerge w:val="restart"/>
          </w:tcPr>
          <w:p w14:paraId="3A888D7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Akių sutrikimai</w:t>
            </w:r>
          </w:p>
        </w:tc>
        <w:tc>
          <w:tcPr>
            <w:tcW w:w="3940" w:type="dxa"/>
          </w:tcPr>
          <w:p w14:paraId="23A8D83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Regos sutrikimas</w:t>
            </w:r>
          </w:p>
        </w:tc>
        <w:tc>
          <w:tcPr>
            <w:tcW w:w="1680" w:type="dxa"/>
          </w:tcPr>
          <w:p w14:paraId="1F7B8DB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61F8C09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9305615" w14:textId="77777777">
        <w:tc>
          <w:tcPr>
            <w:tcW w:w="1923" w:type="dxa"/>
            <w:vMerge/>
          </w:tcPr>
          <w:p w14:paraId="01B0550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4BAA8C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Miopija (žr. 4.4 skyrių)</w:t>
            </w:r>
          </w:p>
        </w:tc>
        <w:tc>
          <w:tcPr>
            <w:tcW w:w="1680" w:type="dxa"/>
          </w:tcPr>
          <w:p w14:paraId="67EB010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D93C66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42E974DA" w14:textId="77777777">
        <w:tc>
          <w:tcPr>
            <w:tcW w:w="1923" w:type="dxa"/>
            <w:vMerge/>
          </w:tcPr>
          <w:p w14:paraId="7E63419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0D80F2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Matomo vaizdo neryškumas</w:t>
            </w:r>
          </w:p>
        </w:tc>
        <w:tc>
          <w:tcPr>
            <w:tcW w:w="1680" w:type="dxa"/>
          </w:tcPr>
          <w:p w14:paraId="3BCA282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557349F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46833357" w14:textId="77777777">
        <w:tc>
          <w:tcPr>
            <w:tcW w:w="1923" w:type="dxa"/>
            <w:vMerge/>
          </w:tcPr>
          <w:p w14:paraId="1134AD2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CE3A8D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Ūminė uždaro kampo glaukoma</w:t>
            </w:r>
          </w:p>
        </w:tc>
        <w:tc>
          <w:tcPr>
            <w:tcW w:w="1680" w:type="dxa"/>
          </w:tcPr>
          <w:p w14:paraId="34D0A9E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413CBE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188E2438" w14:textId="77777777">
        <w:tc>
          <w:tcPr>
            <w:tcW w:w="1923" w:type="dxa"/>
            <w:vMerge/>
          </w:tcPr>
          <w:p w14:paraId="32556E3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271229F" w14:textId="77777777" w:rsidR="00C00DD1" w:rsidRDefault="00C260EB">
            <w:pPr>
              <w:widowControl w:val="0"/>
              <w:tabs>
                <w:tab w:val="clear" w:pos="567"/>
              </w:tabs>
              <w:spacing w:line="240" w:lineRule="auto"/>
              <w:rPr>
                <w:rFonts w:eastAsia="Calibri"/>
                <w:iCs/>
                <w:snapToGrid/>
                <w:szCs w:val="22"/>
                <w:lang w:val="lt-LT"/>
              </w:rPr>
            </w:pPr>
            <w:r>
              <w:rPr>
                <w:snapToGrid/>
                <w:szCs w:val="22"/>
                <w:shd w:val="clear" w:color="auto" w:fill="FFFFFF"/>
                <w:lang w:val="lt-LT" w:eastAsia="sl-SI"/>
              </w:rPr>
              <w:t>Skysčio susikaupimas tarp akies gyslainės ir skleros</w:t>
            </w:r>
          </w:p>
        </w:tc>
        <w:tc>
          <w:tcPr>
            <w:tcW w:w="1680" w:type="dxa"/>
          </w:tcPr>
          <w:p w14:paraId="1949F8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45DF09F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445AEE2F" w14:textId="77777777">
        <w:tc>
          <w:tcPr>
            <w:tcW w:w="1923" w:type="dxa"/>
            <w:vMerge w:val="restart"/>
          </w:tcPr>
          <w:p w14:paraId="201049D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Ausų ir labirintų sutrikimai</w:t>
            </w:r>
          </w:p>
        </w:tc>
        <w:tc>
          <w:tcPr>
            <w:tcW w:w="3940" w:type="dxa"/>
          </w:tcPr>
          <w:p w14:paraId="2BEE951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Svaigimas (</w:t>
            </w:r>
            <w:r>
              <w:rPr>
                <w:rFonts w:eastAsia="Calibri"/>
                <w:i/>
                <w:iCs/>
                <w:snapToGrid/>
                <w:szCs w:val="22"/>
                <w:lang w:val="lt-LT"/>
              </w:rPr>
              <w:t>vertigo</w:t>
            </w:r>
            <w:r>
              <w:rPr>
                <w:rFonts w:eastAsia="Calibri"/>
                <w:iCs/>
                <w:snapToGrid/>
                <w:szCs w:val="22"/>
                <w:lang w:val="lt-LT"/>
              </w:rPr>
              <w:t>)</w:t>
            </w:r>
          </w:p>
        </w:tc>
        <w:tc>
          <w:tcPr>
            <w:tcW w:w="1680" w:type="dxa"/>
          </w:tcPr>
          <w:p w14:paraId="7ADADCE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3959C80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538661A7" w14:textId="77777777">
        <w:tc>
          <w:tcPr>
            <w:tcW w:w="1923" w:type="dxa"/>
            <w:vMerge/>
          </w:tcPr>
          <w:p w14:paraId="6F706BC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6E35795" w14:textId="77777777" w:rsidR="00C00DD1" w:rsidRDefault="00C260EB">
            <w:pPr>
              <w:widowControl w:val="0"/>
              <w:tabs>
                <w:tab w:val="clear" w:pos="567"/>
              </w:tabs>
              <w:spacing w:line="240" w:lineRule="auto"/>
              <w:rPr>
                <w:rFonts w:eastAsia="Calibri"/>
                <w:iCs/>
                <w:snapToGrid/>
                <w:szCs w:val="22"/>
                <w:lang w:val="lt-LT"/>
              </w:rPr>
            </w:pPr>
            <w:r>
              <w:rPr>
                <w:rFonts w:eastAsia="Calibri"/>
                <w:snapToGrid/>
                <w:szCs w:val="22"/>
                <w:lang w:val="lt-LT"/>
              </w:rPr>
              <w:t>Ūžesys (</w:t>
            </w:r>
            <w:r>
              <w:rPr>
                <w:i/>
                <w:snapToGrid/>
                <w:szCs w:val="22"/>
                <w:lang w:val="lt-LT" w:eastAsia="sl-SI"/>
              </w:rPr>
              <w:t>tinnitus</w:t>
            </w:r>
            <w:r>
              <w:rPr>
                <w:snapToGrid/>
                <w:szCs w:val="22"/>
                <w:lang w:val="lt-LT" w:eastAsia="sl-SI"/>
              </w:rPr>
              <w:t>)</w:t>
            </w:r>
          </w:p>
        </w:tc>
        <w:tc>
          <w:tcPr>
            <w:tcW w:w="1680" w:type="dxa"/>
          </w:tcPr>
          <w:p w14:paraId="1AA3C21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17592FA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4EC20CD3" w14:textId="77777777">
        <w:tc>
          <w:tcPr>
            <w:tcW w:w="1923" w:type="dxa"/>
            <w:vMerge w:val="restart"/>
          </w:tcPr>
          <w:p w14:paraId="655D15C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Širdies sutrikimai</w:t>
            </w:r>
          </w:p>
        </w:tc>
        <w:tc>
          <w:tcPr>
            <w:tcW w:w="3940" w:type="dxa"/>
          </w:tcPr>
          <w:p w14:paraId="3F19C33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Palpitacijos</w:t>
            </w:r>
          </w:p>
        </w:tc>
        <w:tc>
          <w:tcPr>
            <w:tcW w:w="1680" w:type="dxa"/>
          </w:tcPr>
          <w:p w14:paraId="5A63173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267E1A4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0C1A82F" w14:textId="77777777">
        <w:tc>
          <w:tcPr>
            <w:tcW w:w="1923" w:type="dxa"/>
            <w:vMerge/>
          </w:tcPr>
          <w:p w14:paraId="0572D2FF"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1153A0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Tachikardija</w:t>
            </w:r>
          </w:p>
        </w:tc>
        <w:tc>
          <w:tcPr>
            <w:tcW w:w="1680" w:type="dxa"/>
          </w:tcPr>
          <w:p w14:paraId="466023F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71518E0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4EE1AB3B" w14:textId="77777777">
        <w:tc>
          <w:tcPr>
            <w:tcW w:w="1923" w:type="dxa"/>
            <w:vMerge/>
          </w:tcPr>
          <w:p w14:paraId="005DFB9A"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08A055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Krūtinės angina (žr. 4.4 skyrių)</w:t>
            </w:r>
          </w:p>
        </w:tc>
        <w:tc>
          <w:tcPr>
            <w:tcW w:w="1680" w:type="dxa"/>
          </w:tcPr>
          <w:p w14:paraId="39FB652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7C65224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2AD7523" w14:textId="77777777">
        <w:tc>
          <w:tcPr>
            <w:tcW w:w="1923" w:type="dxa"/>
            <w:vMerge/>
          </w:tcPr>
          <w:p w14:paraId="4272C662"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831702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Aritmija (įskaitant bradikardiją, skilvelinę tachikardiją, prieširdžių virpėjimą)</w:t>
            </w:r>
          </w:p>
        </w:tc>
        <w:tc>
          <w:tcPr>
            <w:tcW w:w="1680" w:type="dxa"/>
          </w:tcPr>
          <w:p w14:paraId="2BA9284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137AA23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0C04281B" w14:textId="77777777">
        <w:tc>
          <w:tcPr>
            <w:tcW w:w="1923" w:type="dxa"/>
            <w:vMerge/>
          </w:tcPr>
          <w:p w14:paraId="3373AE2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7ED2AB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Miokardo infarktas, kuris gali būti antrinis ir pasireikšti dėl didelės hipotenzijos didelės rizikos grupės pacientams (žr. 4.4 skyrių)</w:t>
            </w:r>
          </w:p>
        </w:tc>
        <w:tc>
          <w:tcPr>
            <w:tcW w:w="1680" w:type="dxa"/>
          </w:tcPr>
          <w:p w14:paraId="608BB34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6A6A532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77345C0" w14:textId="77777777">
        <w:tc>
          <w:tcPr>
            <w:tcW w:w="1923" w:type="dxa"/>
            <w:vMerge/>
          </w:tcPr>
          <w:p w14:paraId="168344B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4F0D197" w14:textId="77777777" w:rsidR="00C00DD1" w:rsidRDefault="00C260EB">
            <w:pPr>
              <w:widowControl w:val="0"/>
              <w:tabs>
                <w:tab w:val="clear" w:pos="567"/>
              </w:tabs>
              <w:spacing w:line="240" w:lineRule="auto"/>
              <w:rPr>
                <w:rFonts w:eastAsia="Calibri"/>
                <w:iCs/>
                <w:snapToGrid/>
                <w:szCs w:val="22"/>
                <w:lang w:val="lt-LT"/>
              </w:rPr>
            </w:pPr>
            <w:r>
              <w:rPr>
                <w:rFonts w:eastAsia="Calibri"/>
                <w:snapToGrid/>
                <w:szCs w:val="22"/>
                <w:lang w:val="lt-LT"/>
              </w:rPr>
              <w:t>Polimorfinė skilvelinė tachikardija</w:t>
            </w:r>
            <w:r>
              <w:rPr>
                <w:rFonts w:eastAsia="Calibri"/>
                <w:iCs/>
                <w:snapToGrid/>
                <w:szCs w:val="22"/>
                <w:lang w:val="lt-LT"/>
              </w:rPr>
              <w:t xml:space="preserve"> (gali būti mirtina) (žr. 4.4 ir 4.5 skyrius)</w:t>
            </w:r>
          </w:p>
        </w:tc>
        <w:tc>
          <w:tcPr>
            <w:tcW w:w="1680" w:type="dxa"/>
          </w:tcPr>
          <w:p w14:paraId="65A559E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1377012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1183BD0D" w14:textId="77777777">
        <w:tc>
          <w:tcPr>
            <w:tcW w:w="1923" w:type="dxa"/>
            <w:vMerge w:val="restart"/>
          </w:tcPr>
          <w:p w14:paraId="7C47ACC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lastRenderedPageBreak/>
              <w:t>Kraujagyslių sutrikimai</w:t>
            </w:r>
          </w:p>
        </w:tc>
        <w:tc>
          <w:tcPr>
            <w:tcW w:w="3940" w:type="dxa"/>
          </w:tcPr>
          <w:p w14:paraId="64BBC91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Hipotenzija (ir su hipotenzija susiję reiškiniai) (žr. 4.4 skyrių)</w:t>
            </w:r>
          </w:p>
        </w:tc>
        <w:tc>
          <w:tcPr>
            <w:tcW w:w="1680" w:type="dxa"/>
          </w:tcPr>
          <w:p w14:paraId="131F961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3DCD8C1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3AFC2729" w14:textId="77777777">
        <w:tc>
          <w:tcPr>
            <w:tcW w:w="1923" w:type="dxa"/>
            <w:vMerge/>
          </w:tcPr>
          <w:p w14:paraId="05F850C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23F867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Vaskulitas</w:t>
            </w:r>
          </w:p>
        </w:tc>
        <w:tc>
          <w:tcPr>
            <w:tcW w:w="1680" w:type="dxa"/>
          </w:tcPr>
          <w:p w14:paraId="7A17129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23233D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788BB5C" w14:textId="77777777">
        <w:tc>
          <w:tcPr>
            <w:tcW w:w="1923" w:type="dxa"/>
            <w:vMerge/>
          </w:tcPr>
          <w:p w14:paraId="7677181F"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1E5615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Paraudimas</w:t>
            </w:r>
          </w:p>
        </w:tc>
        <w:tc>
          <w:tcPr>
            <w:tcW w:w="1680" w:type="dxa"/>
          </w:tcPr>
          <w:p w14:paraId="67D4E94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6E052C7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215260C" w14:textId="77777777">
        <w:tc>
          <w:tcPr>
            <w:tcW w:w="1923" w:type="dxa"/>
            <w:vMerge/>
          </w:tcPr>
          <w:p w14:paraId="33888D51"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8A22E8D" w14:textId="77777777" w:rsidR="00C00DD1" w:rsidRDefault="00C260EB">
            <w:pPr>
              <w:widowControl w:val="0"/>
              <w:tabs>
                <w:tab w:val="clear" w:pos="567"/>
              </w:tabs>
              <w:spacing w:line="240" w:lineRule="auto"/>
              <w:rPr>
                <w:rFonts w:eastAsia="Calibri"/>
                <w:iCs/>
                <w:snapToGrid/>
                <w:szCs w:val="22"/>
                <w:lang w:val="lt-LT"/>
              </w:rPr>
            </w:pPr>
            <w:r>
              <w:rPr>
                <w:rFonts w:eastAsia="Calibri"/>
                <w:snapToGrid/>
                <w:szCs w:val="22"/>
                <w:lang w:val="lt-LT"/>
              </w:rPr>
              <w:t>Reino (</w:t>
            </w:r>
            <w:r>
              <w:rPr>
                <w:rFonts w:eastAsia="Calibri"/>
                <w:i/>
                <w:snapToGrid/>
                <w:szCs w:val="22"/>
                <w:lang w:val="lt-LT"/>
              </w:rPr>
              <w:t>Raynaud</w:t>
            </w:r>
            <w:r>
              <w:rPr>
                <w:rFonts w:eastAsia="Calibri"/>
                <w:snapToGrid/>
                <w:szCs w:val="22"/>
                <w:lang w:val="lt-LT"/>
              </w:rPr>
              <w:t>) fenomenas</w:t>
            </w:r>
          </w:p>
        </w:tc>
        <w:tc>
          <w:tcPr>
            <w:tcW w:w="1680" w:type="dxa"/>
          </w:tcPr>
          <w:p w14:paraId="20E08DB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c>
          <w:tcPr>
            <w:tcW w:w="1518" w:type="dxa"/>
          </w:tcPr>
          <w:p w14:paraId="61A8C186" w14:textId="77777777" w:rsidR="00C00DD1" w:rsidRDefault="00C00DD1">
            <w:pPr>
              <w:widowControl w:val="0"/>
              <w:tabs>
                <w:tab w:val="clear" w:pos="567"/>
              </w:tabs>
              <w:spacing w:line="240" w:lineRule="auto"/>
              <w:rPr>
                <w:rFonts w:eastAsia="Calibri"/>
                <w:iCs/>
                <w:snapToGrid/>
                <w:szCs w:val="22"/>
                <w:lang w:val="lt-LT"/>
              </w:rPr>
            </w:pPr>
          </w:p>
        </w:tc>
      </w:tr>
      <w:tr w:rsidR="00C00DD1" w14:paraId="161BD004" w14:textId="77777777">
        <w:tc>
          <w:tcPr>
            <w:tcW w:w="1923" w:type="dxa"/>
            <w:vMerge w:val="restart"/>
          </w:tcPr>
          <w:p w14:paraId="2061513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Kvėpavimo sistemos, krūtinės ląstos ir tarpuplaučio sutrikimai</w:t>
            </w:r>
          </w:p>
        </w:tc>
        <w:tc>
          <w:tcPr>
            <w:tcW w:w="3940" w:type="dxa"/>
          </w:tcPr>
          <w:p w14:paraId="5075369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Kosulys (žr. 4.4 skyrių)</w:t>
            </w:r>
          </w:p>
        </w:tc>
        <w:tc>
          <w:tcPr>
            <w:tcW w:w="1680" w:type="dxa"/>
          </w:tcPr>
          <w:p w14:paraId="3BBC44F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40AF09E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0303781" w14:textId="77777777">
        <w:tc>
          <w:tcPr>
            <w:tcW w:w="1923" w:type="dxa"/>
            <w:vMerge/>
          </w:tcPr>
          <w:p w14:paraId="4407EEE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F65491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Dusulys</w:t>
            </w:r>
          </w:p>
        </w:tc>
        <w:tc>
          <w:tcPr>
            <w:tcW w:w="1680" w:type="dxa"/>
          </w:tcPr>
          <w:p w14:paraId="6BB1FF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26A3ACF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16CF9CA" w14:textId="77777777">
        <w:tc>
          <w:tcPr>
            <w:tcW w:w="1923" w:type="dxa"/>
            <w:vMerge/>
          </w:tcPr>
          <w:p w14:paraId="04CE48A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8C5DAA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Bronchų spazmas</w:t>
            </w:r>
          </w:p>
        </w:tc>
        <w:tc>
          <w:tcPr>
            <w:tcW w:w="1680" w:type="dxa"/>
          </w:tcPr>
          <w:p w14:paraId="5962040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2042100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509F238" w14:textId="77777777">
        <w:tc>
          <w:tcPr>
            <w:tcW w:w="1923" w:type="dxa"/>
            <w:vMerge/>
          </w:tcPr>
          <w:p w14:paraId="6CB784C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76DFB0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Eozinofilinė pneumonija</w:t>
            </w:r>
          </w:p>
        </w:tc>
        <w:tc>
          <w:tcPr>
            <w:tcW w:w="1680" w:type="dxa"/>
          </w:tcPr>
          <w:p w14:paraId="3143CD2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11221EF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3180293" w14:textId="77777777">
        <w:tc>
          <w:tcPr>
            <w:tcW w:w="1923" w:type="dxa"/>
            <w:vMerge w:val="restart"/>
          </w:tcPr>
          <w:p w14:paraId="499E330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Virškinimo trakto sutrikimai</w:t>
            </w:r>
          </w:p>
        </w:tc>
        <w:tc>
          <w:tcPr>
            <w:tcW w:w="3940" w:type="dxa"/>
          </w:tcPr>
          <w:p w14:paraId="551931F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Pilvo skausmas</w:t>
            </w:r>
          </w:p>
        </w:tc>
        <w:tc>
          <w:tcPr>
            <w:tcW w:w="1680" w:type="dxa"/>
          </w:tcPr>
          <w:p w14:paraId="429FC6E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069F29E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08848058" w14:textId="77777777">
        <w:tc>
          <w:tcPr>
            <w:tcW w:w="1923" w:type="dxa"/>
            <w:vMerge/>
          </w:tcPr>
          <w:p w14:paraId="6B2791F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816FB3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Vidurių užkietėjimas</w:t>
            </w:r>
          </w:p>
        </w:tc>
        <w:tc>
          <w:tcPr>
            <w:tcW w:w="1680" w:type="dxa"/>
          </w:tcPr>
          <w:p w14:paraId="54B0EC4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22649A6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247440D9" w14:textId="77777777">
        <w:tc>
          <w:tcPr>
            <w:tcW w:w="1923" w:type="dxa"/>
            <w:vMerge/>
          </w:tcPr>
          <w:p w14:paraId="5E3C6D6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F3E2CE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Viduriavimas</w:t>
            </w:r>
          </w:p>
        </w:tc>
        <w:tc>
          <w:tcPr>
            <w:tcW w:w="1680" w:type="dxa"/>
          </w:tcPr>
          <w:p w14:paraId="1F4CCED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60A7E7C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B3DCE91" w14:textId="77777777">
        <w:tc>
          <w:tcPr>
            <w:tcW w:w="1923" w:type="dxa"/>
            <w:vMerge/>
          </w:tcPr>
          <w:p w14:paraId="1AE8801A"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48732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Dispepsija</w:t>
            </w:r>
          </w:p>
        </w:tc>
        <w:tc>
          <w:tcPr>
            <w:tcW w:w="1680" w:type="dxa"/>
          </w:tcPr>
          <w:p w14:paraId="31B95A8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2ED2E23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E98AD19" w14:textId="77777777">
        <w:tc>
          <w:tcPr>
            <w:tcW w:w="1923" w:type="dxa"/>
            <w:vMerge/>
          </w:tcPr>
          <w:p w14:paraId="3D2A886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3C0082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Pykinimas</w:t>
            </w:r>
          </w:p>
        </w:tc>
        <w:tc>
          <w:tcPr>
            <w:tcW w:w="1680" w:type="dxa"/>
          </w:tcPr>
          <w:p w14:paraId="19066CA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268244D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1B9EEE82" w14:textId="77777777">
        <w:tc>
          <w:tcPr>
            <w:tcW w:w="1923" w:type="dxa"/>
            <w:vMerge/>
          </w:tcPr>
          <w:p w14:paraId="7235779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83AB2A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Vėmimas</w:t>
            </w:r>
          </w:p>
        </w:tc>
        <w:tc>
          <w:tcPr>
            <w:tcW w:w="1680" w:type="dxa"/>
          </w:tcPr>
          <w:p w14:paraId="4EE48AC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30ADEE6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18AC5BC4" w14:textId="77777777">
        <w:tc>
          <w:tcPr>
            <w:tcW w:w="1923" w:type="dxa"/>
            <w:vMerge/>
          </w:tcPr>
          <w:p w14:paraId="3B30C0F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8670E4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Burnos džiūvimas</w:t>
            </w:r>
          </w:p>
        </w:tc>
        <w:tc>
          <w:tcPr>
            <w:tcW w:w="1680" w:type="dxa"/>
          </w:tcPr>
          <w:p w14:paraId="049CB2F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0A8B2F9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7415BFCB" w14:textId="77777777">
        <w:tc>
          <w:tcPr>
            <w:tcW w:w="1923" w:type="dxa"/>
            <w:vMerge/>
          </w:tcPr>
          <w:p w14:paraId="2749276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C78580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Pankreatitas</w:t>
            </w:r>
          </w:p>
        </w:tc>
        <w:tc>
          <w:tcPr>
            <w:tcW w:w="1680" w:type="dxa"/>
          </w:tcPr>
          <w:p w14:paraId="6FD6E42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21FCA36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695FA752" w14:textId="77777777">
        <w:tc>
          <w:tcPr>
            <w:tcW w:w="1923" w:type="dxa"/>
            <w:vMerge w:val="restart"/>
          </w:tcPr>
          <w:p w14:paraId="016BC7F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Kepenų, tulžies pūslės ir latakų sutrikimai</w:t>
            </w:r>
          </w:p>
        </w:tc>
        <w:tc>
          <w:tcPr>
            <w:tcW w:w="3940" w:type="dxa"/>
          </w:tcPr>
          <w:p w14:paraId="1EE3BE2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Hepatitas (žr. 4.4 skyrių)</w:t>
            </w:r>
          </w:p>
        </w:tc>
        <w:tc>
          <w:tcPr>
            <w:tcW w:w="1680" w:type="dxa"/>
          </w:tcPr>
          <w:p w14:paraId="2201B89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3712DAC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0BD4F8BD" w14:textId="77777777">
        <w:tc>
          <w:tcPr>
            <w:tcW w:w="1923" w:type="dxa"/>
            <w:vMerge/>
          </w:tcPr>
          <w:p w14:paraId="15A2DE9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4420C9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Nenormali kepenų funkcija</w:t>
            </w:r>
          </w:p>
        </w:tc>
        <w:tc>
          <w:tcPr>
            <w:tcW w:w="1680" w:type="dxa"/>
          </w:tcPr>
          <w:p w14:paraId="14EAC10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0CFAC7F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71D8F28C" w14:textId="77777777">
        <w:tc>
          <w:tcPr>
            <w:tcW w:w="1923" w:type="dxa"/>
            <w:vMerge w:val="restart"/>
          </w:tcPr>
          <w:p w14:paraId="0457272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Odos ir poodinio audinio sutrikimai</w:t>
            </w:r>
          </w:p>
        </w:tc>
        <w:tc>
          <w:tcPr>
            <w:tcW w:w="3940" w:type="dxa"/>
          </w:tcPr>
          <w:p w14:paraId="1E84E6D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Niežėjimas</w:t>
            </w:r>
          </w:p>
        </w:tc>
        <w:tc>
          <w:tcPr>
            <w:tcW w:w="1680" w:type="dxa"/>
          </w:tcPr>
          <w:p w14:paraId="6B99B03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020AC29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E262B57" w14:textId="77777777">
        <w:tc>
          <w:tcPr>
            <w:tcW w:w="1923" w:type="dxa"/>
            <w:vMerge/>
          </w:tcPr>
          <w:p w14:paraId="2ADDEC2F"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EBA934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Išbėrimas</w:t>
            </w:r>
          </w:p>
        </w:tc>
        <w:tc>
          <w:tcPr>
            <w:tcW w:w="1680" w:type="dxa"/>
          </w:tcPr>
          <w:p w14:paraId="76B0DA3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79B05E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00D172DE" w14:textId="77777777">
        <w:tc>
          <w:tcPr>
            <w:tcW w:w="1923" w:type="dxa"/>
            <w:vMerge/>
          </w:tcPr>
          <w:p w14:paraId="1959968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CF07E8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Makulopapulinis išbėrimas</w:t>
            </w:r>
          </w:p>
        </w:tc>
        <w:tc>
          <w:tcPr>
            <w:tcW w:w="1680" w:type="dxa"/>
          </w:tcPr>
          <w:p w14:paraId="5131DCF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00F6381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r>
      <w:tr w:rsidR="00C00DD1" w14:paraId="4A5E6513" w14:textId="77777777">
        <w:tc>
          <w:tcPr>
            <w:tcW w:w="1923" w:type="dxa"/>
            <w:vMerge/>
          </w:tcPr>
          <w:p w14:paraId="7E3052D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EE6DD2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Dilgėlinė (žr. 4.4 skyrių)</w:t>
            </w:r>
          </w:p>
        </w:tc>
        <w:tc>
          <w:tcPr>
            <w:tcW w:w="1680" w:type="dxa"/>
          </w:tcPr>
          <w:p w14:paraId="19BFFB9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7522929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315A12A5" w14:textId="77777777">
        <w:tc>
          <w:tcPr>
            <w:tcW w:w="1923" w:type="dxa"/>
            <w:vMerge/>
          </w:tcPr>
          <w:p w14:paraId="225868F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4C078A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Angioneurozinė edema (žr. 4.4 skyrių)</w:t>
            </w:r>
          </w:p>
        </w:tc>
        <w:tc>
          <w:tcPr>
            <w:tcW w:w="1680" w:type="dxa"/>
          </w:tcPr>
          <w:p w14:paraId="56E1176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144B8C8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2243C1BB" w14:textId="77777777">
        <w:tc>
          <w:tcPr>
            <w:tcW w:w="1923" w:type="dxa"/>
            <w:vMerge/>
          </w:tcPr>
          <w:p w14:paraId="678A1F5A"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8E1B09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Purpura</w:t>
            </w:r>
          </w:p>
        </w:tc>
        <w:tc>
          <w:tcPr>
            <w:tcW w:w="1680" w:type="dxa"/>
          </w:tcPr>
          <w:p w14:paraId="4541469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743EA4C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54E0452F" w14:textId="77777777">
        <w:tc>
          <w:tcPr>
            <w:tcW w:w="1923" w:type="dxa"/>
            <w:vMerge/>
          </w:tcPr>
          <w:p w14:paraId="1C6BE43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21E340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Pernelyg stiprus prakaitavimas</w:t>
            </w:r>
          </w:p>
        </w:tc>
        <w:tc>
          <w:tcPr>
            <w:tcW w:w="1680" w:type="dxa"/>
          </w:tcPr>
          <w:p w14:paraId="0BBE863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272F190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D671593" w14:textId="77777777">
        <w:tc>
          <w:tcPr>
            <w:tcW w:w="1923" w:type="dxa"/>
            <w:vMerge/>
          </w:tcPr>
          <w:p w14:paraId="3ACB10E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B53B52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Padidėjusio jautrumo šviesai reakcija</w:t>
            </w:r>
          </w:p>
        </w:tc>
        <w:tc>
          <w:tcPr>
            <w:tcW w:w="1680" w:type="dxa"/>
          </w:tcPr>
          <w:p w14:paraId="75584C3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5771A22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CE0E314" w14:textId="77777777">
        <w:tc>
          <w:tcPr>
            <w:tcW w:w="1923" w:type="dxa"/>
            <w:vMerge/>
          </w:tcPr>
          <w:p w14:paraId="36B38CF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13363B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Pemfigoidas</w:t>
            </w:r>
          </w:p>
        </w:tc>
        <w:tc>
          <w:tcPr>
            <w:tcW w:w="1680" w:type="dxa"/>
          </w:tcPr>
          <w:p w14:paraId="4B84BB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3E2A03C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19574523" w14:textId="77777777">
        <w:tc>
          <w:tcPr>
            <w:tcW w:w="1923" w:type="dxa"/>
            <w:vMerge/>
          </w:tcPr>
          <w:p w14:paraId="0A747007"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FFA767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Psoriazės paūmėjimas</w:t>
            </w:r>
          </w:p>
        </w:tc>
        <w:tc>
          <w:tcPr>
            <w:tcW w:w="1680" w:type="dxa"/>
          </w:tcPr>
          <w:p w14:paraId="369F765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r>
              <w:rPr>
                <w:rFonts w:eastAsia="Calibri"/>
                <w:iCs/>
                <w:snapToGrid/>
                <w:szCs w:val="22"/>
                <w:vertAlign w:val="superscript"/>
                <w:lang w:val="lt-LT"/>
              </w:rPr>
              <w:t>*</w:t>
            </w:r>
          </w:p>
        </w:tc>
        <w:tc>
          <w:tcPr>
            <w:tcW w:w="1518" w:type="dxa"/>
          </w:tcPr>
          <w:p w14:paraId="1E8CC46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504820E" w14:textId="77777777">
        <w:tc>
          <w:tcPr>
            <w:tcW w:w="1923" w:type="dxa"/>
            <w:vMerge/>
          </w:tcPr>
          <w:p w14:paraId="44041F8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D39CF9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Daugiaformė eritema</w:t>
            </w:r>
          </w:p>
        </w:tc>
        <w:tc>
          <w:tcPr>
            <w:tcW w:w="1680" w:type="dxa"/>
          </w:tcPr>
          <w:p w14:paraId="5DDD960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18D1004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474A79D" w14:textId="77777777">
        <w:tc>
          <w:tcPr>
            <w:tcW w:w="1923" w:type="dxa"/>
            <w:vMerge/>
          </w:tcPr>
          <w:p w14:paraId="38FE19E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734329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Toksinė epidermio nekrolizė</w:t>
            </w:r>
          </w:p>
        </w:tc>
        <w:tc>
          <w:tcPr>
            <w:tcW w:w="1680" w:type="dxa"/>
          </w:tcPr>
          <w:p w14:paraId="7886BBB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63DCB0B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4E8DA188" w14:textId="77777777">
        <w:tc>
          <w:tcPr>
            <w:tcW w:w="1923" w:type="dxa"/>
            <w:vMerge/>
          </w:tcPr>
          <w:p w14:paraId="2A4EF5E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23D27F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Stivenso-Džonsono (</w:t>
            </w:r>
            <w:r>
              <w:rPr>
                <w:rFonts w:eastAsia="Calibri"/>
                <w:i/>
                <w:snapToGrid/>
                <w:szCs w:val="22"/>
                <w:lang w:val="lt-LT"/>
              </w:rPr>
              <w:t>Stevens-Johnson</w:t>
            </w:r>
            <w:r>
              <w:rPr>
                <w:rFonts w:eastAsia="Calibri"/>
                <w:iCs/>
                <w:snapToGrid/>
                <w:szCs w:val="22"/>
                <w:lang w:val="lt-LT"/>
              </w:rPr>
              <w:t>) sindromas</w:t>
            </w:r>
          </w:p>
        </w:tc>
        <w:tc>
          <w:tcPr>
            <w:tcW w:w="1680" w:type="dxa"/>
          </w:tcPr>
          <w:p w14:paraId="6F320DC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6E47AB9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54DA3408" w14:textId="77777777">
        <w:tc>
          <w:tcPr>
            <w:tcW w:w="1923" w:type="dxa"/>
            <w:vMerge w:val="restart"/>
          </w:tcPr>
          <w:p w14:paraId="2A7ABFB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Skeleto, raumenų ir jungiamojo audinio sutrikimai</w:t>
            </w:r>
          </w:p>
        </w:tc>
        <w:tc>
          <w:tcPr>
            <w:tcW w:w="3940" w:type="dxa"/>
          </w:tcPr>
          <w:p w14:paraId="421A8DA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Raumenų spazmai</w:t>
            </w:r>
          </w:p>
        </w:tc>
        <w:tc>
          <w:tcPr>
            <w:tcW w:w="1680" w:type="dxa"/>
          </w:tcPr>
          <w:p w14:paraId="0FB8166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2440611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C4092FA" w14:textId="77777777">
        <w:tc>
          <w:tcPr>
            <w:tcW w:w="1923" w:type="dxa"/>
            <w:vMerge/>
          </w:tcPr>
          <w:p w14:paraId="520AEDF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85845D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Galimas buvusios ūminės sisteminės raudonosios vilkligės paūmėjimas</w:t>
            </w:r>
          </w:p>
        </w:tc>
        <w:tc>
          <w:tcPr>
            <w:tcW w:w="1680" w:type="dxa"/>
          </w:tcPr>
          <w:p w14:paraId="3D7C47E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63DE8FD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7F640C8C" w14:textId="77777777">
        <w:tc>
          <w:tcPr>
            <w:tcW w:w="1923" w:type="dxa"/>
            <w:vMerge/>
          </w:tcPr>
          <w:p w14:paraId="04536E4B"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FBAF54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Artralgija</w:t>
            </w:r>
          </w:p>
        </w:tc>
        <w:tc>
          <w:tcPr>
            <w:tcW w:w="1680" w:type="dxa"/>
          </w:tcPr>
          <w:p w14:paraId="125FBFC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7E4D87E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9871A91" w14:textId="77777777">
        <w:tc>
          <w:tcPr>
            <w:tcW w:w="1923" w:type="dxa"/>
            <w:vMerge/>
          </w:tcPr>
          <w:p w14:paraId="3C425078"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715DDF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Mialgija</w:t>
            </w:r>
          </w:p>
        </w:tc>
        <w:tc>
          <w:tcPr>
            <w:tcW w:w="1680" w:type="dxa"/>
          </w:tcPr>
          <w:p w14:paraId="7CF031E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25B846F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519365C" w14:textId="77777777">
        <w:tc>
          <w:tcPr>
            <w:tcW w:w="1923" w:type="dxa"/>
            <w:vMerge/>
          </w:tcPr>
          <w:p w14:paraId="3F13064A"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57E5280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Raumenų silpnumas</w:t>
            </w:r>
          </w:p>
        </w:tc>
        <w:tc>
          <w:tcPr>
            <w:tcW w:w="1680" w:type="dxa"/>
          </w:tcPr>
          <w:p w14:paraId="0D3CE0D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738A8B9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69625D92" w14:textId="77777777">
        <w:tc>
          <w:tcPr>
            <w:tcW w:w="1923" w:type="dxa"/>
            <w:vMerge/>
          </w:tcPr>
          <w:p w14:paraId="5347247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B4FAAA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Rabdomiolizė</w:t>
            </w:r>
          </w:p>
        </w:tc>
        <w:tc>
          <w:tcPr>
            <w:tcW w:w="1680" w:type="dxa"/>
          </w:tcPr>
          <w:p w14:paraId="6A536B7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1D4E8C2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5FB8D7EB" w14:textId="77777777">
        <w:tc>
          <w:tcPr>
            <w:tcW w:w="1923" w:type="dxa"/>
            <w:vMerge w:val="restart"/>
          </w:tcPr>
          <w:p w14:paraId="7DACA1D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Inkstų ir šlapimo takų sutrikimai</w:t>
            </w:r>
          </w:p>
        </w:tc>
        <w:tc>
          <w:tcPr>
            <w:tcW w:w="3940" w:type="dxa"/>
          </w:tcPr>
          <w:p w14:paraId="62C9ECA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Inkstų nepakankamumas</w:t>
            </w:r>
          </w:p>
        </w:tc>
        <w:tc>
          <w:tcPr>
            <w:tcW w:w="1680" w:type="dxa"/>
          </w:tcPr>
          <w:p w14:paraId="7789A9F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7749A7D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B0F86BB" w14:textId="77777777">
        <w:tc>
          <w:tcPr>
            <w:tcW w:w="1923" w:type="dxa"/>
            <w:vMerge/>
          </w:tcPr>
          <w:p w14:paraId="5140331A"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6F5596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Anurija/oligurija</w:t>
            </w:r>
          </w:p>
        </w:tc>
        <w:tc>
          <w:tcPr>
            <w:tcW w:w="1680" w:type="dxa"/>
          </w:tcPr>
          <w:p w14:paraId="2D732F3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36E71B4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ACCC08A" w14:textId="77777777">
        <w:tc>
          <w:tcPr>
            <w:tcW w:w="1923" w:type="dxa"/>
            <w:vMerge/>
          </w:tcPr>
          <w:p w14:paraId="7DB09663"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7A8647B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Ūminis inkstų nepakankamumas</w:t>
            </w:r>
          </w:p>
        </w:tc>
        <w:tc>
          <w:tcPr>
            <w:tcW w:w="1680" w:type="dxa"/>
          </w:tcPr>
          <w:p w14:paraId="0C7A9CD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56DF97B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r>
      <w:tr w:rsidR="00C00DD1" w14:paraId="21F139E4" w14:textId="77777777">
        <w:tc>
          <w:tcPr>
            <w:tcW w:w="1923" w:type="dxa"/>
          </w:tcPr>
          <w:p w14:paraId="7C0365A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Lytinės sistemos ir krūties sutrikimai</w:t>
            </w:r>
          </w:p>
        </w:tc>
        <w:tc>
          <w:tcPr>
            <w:tcW w:w="3940" w:type="dxa"/>
          </w:tcPr>
          <w:p w14:paraId="295F39E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Erekcijos disfunkcija</w:t>
            </w:r>
          </w:p>
        </w:tc>
        <w:tc>
          <w:tcPr>
            <w:tcW w:w="1680" w:type="dxa"/>
          </w:tcPr>
          <w:p w14:paraId="453DB13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c>
          <w:tcPr>
            <w:tcW w:w="1518" w:type="dxa"/>
          </w:tcPr>
          <w:p w14:paraId="6AC4FB7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p>
        </w:tc>
      </w:tr>
      <w:tr w:rsidR="00C00DD1" w14:paraId="46A7CEBD" w14:textId="77777777">
        <w:tc>
          <w:tcPr>
            <w:tcW w:w="1923" w:type="dxa"/>
            <w:vMerge w:val="restart"/>
          </w:tcPr>
          <w:p w14:paraId="3E4691F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 xml:space="preserve">Bendrieji sutrikimai ir vartojimo vietos </w:t>
            </w:r>
            <w:r>
              <w:rPr>
                <w:rFonts w:eastAsia="Calibri"/>
                <w:iCs/>
                <w:snapToGrid/>
                <w:szCs w:val="22"/>
                <w:lang w:val="lt-LT"/>
              </w:rPr>
              <w:lastRenderedPageBreak/>
              <w:t>pažeidimai</w:t>
            </w:r>
          </w:p>
        </w:tc>
        <w:tc>
          <w:tcPr>
            <w:tcW w:w="3940" w:type="dxa"/>
          </w:tcPr>
          <w:p w14:paraId="345A2B5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lastRenderedPageBreak/>
              <w:t>Astenija</w:t>
            </w:r>
          </w:p>
        </w:tc>
        <w:tc>
          <w:tcPr>
            <w:tcW w:w="1680" w:type="dxa"/>
          </w:tcPr>
          <w:p w14:paraId="023D5917"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Dažnas</w:t>
            </w:r>
          </w:p>
        </w:tc>
        <w:tc>
          <w:tcPr>
            <w:tcW w:w="1518" w:type="dxa"/>
          </w:tcPr>
          <w:p w14:paraId="068F687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4641BE7D" w14:textId="77777777">
        <w:tc>
          <w:tcPr>
            <w:tcW w:w="1923" w:type="dxa"/>
            <w:vMerge/>
          </w:tcPr>
          <w:p w14:paraId="2EB2FEE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3E9645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Krūtinės skausmas</w:t>
            </w:r>
          </w:p>
        </w:tc>
        <w:tc>
          <w:tcPr>
            <w:tcW w:w="1680" w:type="dxa"/>
          </w:tcPr>
          <w:p w14:paraId="4BBC476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110D4CA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29ADE6A0" w14:textId="77777777">
        <w:tc>
          <w:tcPr>
            <w:tcW w:w="1923" w:type="dxa"/>
            <w:vMerge/>
          </w:tcPr>
          <w:p w14:paraId="6335A0D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B694E3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Bendrasis negalavimas</w:t>
            </w:r>
          </w:p>
        </w:tc>
        <w:tc>
          <w:tcPr>
            <w:tcW w:w="1680" w:type="dxa"/>
          </w:tcPr>
          <w:p w14:paraId="31EAB7E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149EC31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09E0A95" w14:textId="77777777">
        <w:tc>
          <w:tcPr>
            <w:tcW w:w="1923" w:type="dxa"/>
            <w:vMerge/>
          </w:tcPr>
          <w:p w14:paraId="0F75493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21877D1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Periferinė edema</w:t>
            </w:r>
          </w:p>
        </w:tc>
        <w:tc>
          <w:tcPr>
            <w:tcW w:w="1680" w:type="dxa"/>
          </w:tcPr>
          <w:p w14:paraId="65D652E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6A36BA8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61213D65" w14:textId="77777777">
        <w:tc>
          <w:tcPr>
            <w:tcW w:w="1923" w:type="dxa"/>
            <w:vMerge/>
          </w:tcPr>
          <w:p w14:paraId="5A08CB8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E75966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Karščiavimas</w:t>
            </w:r>
          </w:p>
        </w:tc>
        <w:tc>
          <w:tcPr>
            <w:tcW w:w="1680" w:type="dxa"/>
          </w:tcPr>
          <w:p w14:paraId="2017870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41A48F7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DE9E097" w14:textId="77777777">
        <w:tc>
          <w:tcPr>
            <w:tcW w:w="1923" w:type="dxa"/>
            <w:vMerge/>
          </w:tcPr>
          <w:p w14:paraId="533D321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DB88E5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Nuovargis</w:t>
            </w:r>
          </w:p>
        </w:tc>
        <w:tc>
          <w:tcPr>
            <w:tcW w:w="1680" w:type="dxa"/>
          </w:tcPr>
          <w:p w14:paraId="5C39EA4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4DDD96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r>
      <w:tr w:rsidR="00C00DD1" w14:paraId="10D9DD93" w14:textId="77777777">
        <w:tc>
          <w:tcPr>
            <w:tcW w:w="1923" w:type="dxa"/>
            <w:vMerge w:val="restart"/>
          </w:tcPr>
          <w:p w14:paraId="5059E61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Tyrimai</w:t>
            </w:r>
          </w:p>
          <w:p w14:paraId="23DC9CAE"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1738C0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Šlapalo koncentracijos kraujyje padidėjimas</w:t>
            </w:r>
          </w:p>
        </w:tc>
        <w:tc>
          <w:tcPr>
            <w:tcW w:w="1680" w:type="dxa"/>
          </w:tcPr>
          <w:p w14:paraId="28CF2FE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2F6D581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7A41CCC6" w14:textId="77777777">
        <w:tc>
          <w:tcPr>
            <w:tcW w:w="1923" w:type="dxa"/>
            <w:vMerge/>
          </w:tcPr>
          <w:p w14:paraId="11161B1C"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81AB852"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Kreatinino koncentracijos kraujyje padidėjimas</w:t>
            </w:r>
          </w:p>
        </w:tc>
        <w:tc>
          <w:tcPr>
            <w:tcW w:w="1680" w:type="dxa"/>
          </w:tcPr>
          <w:p w14:paraId="541DEFA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1B7F35D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0C06CEB" w14:textId="77777777">
        <w:tc>
          <w:tcPr>
            <w:tcW w:w="1923" w:type="dxa"/>
            <w:vMerge/>
          </w:tcPr>
          <w:p w14:paraId="4959CD4D"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1525E91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Bilirubino koncentracijos kraujyje padidėjimas</w:t>
            </w:r>
          </w:p>
        </w:tc>
        <w:tc>
          <w:tcPr>
            <w:tcW w:w="1680" w:type="dxa"/>
          </w:tcPr>
          <w:p w14:paraId="6A6C540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58E0524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3CFD5A15" w14:textId="77777777">
        <w:tc>
          <w:tcPr>
            <w:tcW w:w="1923" w:type="dxa"/>
            <w:vMerge/>
          </w:tcPr>
          <w:p w14:paraId="611F3D06"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0674FE3A"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Kepenų fermentų suaktyvėjimas</w:t>
            </w:r>
          </w:p>
        </w:tc>
        <w:tc>
          <w:tcPr>
            <w:tcW w:w="1680" w:type="dxa"/>
          </w:tcPr>
          <w:p w14:paraId="5149B1E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Retas</w:t>
            </w:r>
          </w:p>
        </w:tc>
        <w:tc>
          <w:tcPr>
            <w:tcW w:w="1518" w:type="dxa"/>
          </w:tcPr>
          <w:p w14:paraId="133A41DC"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2E9C915B" w14:textId="77777777">
        <w:tc>
          <w:tcPr>
            <w:tcW w:w="1923" w:type="dxa"/>
            <w:vMerge/>
          </w:tcPr>
          <w:p w14:paraId="5E75A434"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2295128"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Hemoglobino koncentracijos kraujyje ir hematokrito sumažėjimas (žr. 4.4 skyrių)</w:t>
            </w:r>
          </w:p>
        </w:tc>
        <w:tc>
          <w:tcPr>
            <w:tcW w:w="1680" w:type="dxa"/>
          </w:tcPr>
          <w:p w14:paraId="661B457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Labai retas</w:t>
            </w:r>
          </w:p>
        </w:tc>
        <w:tc>
          <w:tcPr>
            <w:tcW w:w="1518" w:type="dxa"/>
          </w:tcPr>
          <w:p w14:paraId="3F43FF0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r w:rsidR="00C00DD1" w14:paraId="5624DC45" w14:textId="77777777">
        <w:tc>
          <w:tcPr>
            <w:tcW w:w="1923" w:type="dxa"/>
            <w:vMerge/>
          </w:tcPr>
          <w:p w14:paraId="47811EA9"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3F8201A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Gliukozės koncentracijos kraujyje padidėjimas</w:t>
            </w:r>
          </w:p>
        </w:tc>
        <w:tc>
          <w:tcPr>
            <w:tcW w:w="1680" w:type="dxa"/>
          </w:tcPr>
          <w:p w14:paraId="798534DB"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0649BEA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4675107B" w14:textId="77777777">
        <w:tc>
          <w:tcPr>
            <w:tcW w:w="1923" w:type="dxa"/>
            <w:vMerge/>
          </w:tcPr>
          <w:p w14:paraId="5F2332B5"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645D3C51"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Šlapimo rūgšties koncentracijos kraujyje padidėjimas</w:t>
            </w:r>
          </w:p>
        </w:tc>
        <w:tc>
          <w:tcPr>
            <w:tcW w:w="1680" w:type="dxa"/>
          </w:tcPr>
          <w:p w14:paraId="67DFE536"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13693724"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523EA073" w14:textId="77777777">
        <w:tc>
          <w:tcPr>
            <w:tcW w:w="1923" w:type="dxa"/>
            <w:vMerge/>
          </w:tcPr>
          <w:p w14:paraId="14062590" w14:textId="77777777" w:rsidR="00C00DD1" w:rsidRDefault="00C00DD1">
            <w:pPr>
              <w:widowControl w:val="0"/>
              <w:tabs>
                <w:tab w:val="clear" w:pos="567"/>
              </w:tabs>
              <w:spacing w:line="240" w:lineRule="auto"/>
              <w:rPr>
                <w:rFonts w:eastAsia="Calibri"/>
                <w:iCs/>
                <w:snapToGrid/>
                <w:szCs w:val="22"/>
                <w:lang w:val="lt-LT"/>
              </w:rPr>
            </w:pPr>
          </w:p>
        </w:tc>
        <w:tc>
          <w:tcPr>
            <w:tcW w:w="3940" w:type="dxa"/>
          </w:tcPr>
          <w:p w14:paraId="4ADBC7D9"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Elektrokardiogramos QT intervalo pailgėjimas (žr. 4.4 ir 4.5 skyrius)</w:t>
            </w:r>
          </w:p>
        </w:tc>
        <w:tc>
          <w:tcPr>
            <w:tcW w:w="1680" w:type="dxa"/>
          </w:tcPr>
          <w:p w14:paraId="6C8EB50F"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c>
          <w:tcPr>
            <w:tcW w:w="1518" w:type="dxa"/>
          </w:tcPr>
          <w:p w14:paraId="39C4E980"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Dažnis nežinomas</w:t>
            </w:r>
          </w:p>
        </w:tc>
      </w:tr>
      <w:tr w:rsidR="00C00DD1" w14:paraId="4C1B5EA4" w14:textId="77777777">
        <w:tc>
          <w:tcPr>
            <w:tcW w:w="1923" w:type="dxa"/>
          </w:tcPr>
          <w:p w14:paraId="479E4A85"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Sužalojimai, apsinuodijimai ir procedūrų komplikacijos</w:t>
            </w:r>
          </w:p>
        </w:tc>
        <w:tc>
          <w:tcPr>
            <w:tcW w:w="3940" w:type="dxa"/>
          </w:tcPr>
          <w:p w14:paraId="1E9DBBFE"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Griuvimas</w:t>
            </w:r>
          </w:p>
        </w:tc>
        <w:tc>
          <w:tcPr>
            <w:tcW w:w="1680" w:type="dxa"/>
          </w:tcPr>
          <w:p w14:paraId="2441B36D"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Nedažnas</w:t>
            </w:r>
            <w:r>
              <w:rPr>
                <w:rFonts w:eastAsia="Calibri"/>
                <w:iCs/>
                <w:snapToGrid/>
                <w:szCs w:val="22"/>
                <w:vertAlign w:val="superscript"/>
                <w:lang w:val="lt-LT"/>
              </w:rPr>
              <w:t>*</w:t>
            </w:r>
          </w:p>
        </w:tc>
        <w:tc>
          <w:tcPr>
            <w:tcW w:w="1518" w:type="dxa"/>
          </w:tcPr>
          <w:p w14:paraId="078D2043" w14:textId="77777777" w:rsidR="00C00DD1" w:rsidRDefault="00C260EB">
            <w:pPr>
              <w:widowControl w:val="0"/>
              <w:tabs>
                <w:tab w:val="clear" w:pos="567"/>
              </w:tabs>
              <w:spacing w:line="240" w:lineRule="auto"/>
              <w:rPr>
                <w:rFonts w:eastAsia="Calibri"/>
                <w:iCs/>
                <w:snapToGrid/>
                <w:szCs w:val="22"/>
                <w:lang w:val="lt-LT"/>
              </w:rPr>
            </w:pPr>
            <w:r>
              <w:rPr>
                <w:rFonts w:eastAsia="Calibri"/>
                <w:iCs/>
                <w:snapToGrid/>
                <w:szCs w:val="22"/>
                <w:lang w:val="lt-LT"/>
              </w:rPr>
              <w:t>-</w:t>
            </w:r>
          </w:p>
        </w:tc>
      </w:tr>
    </w:tbl>
    <w:p w14:paraId="510A8B2D" w14:textId="77777777" w:rsidR="00C00DD1" w:rsidRDefault="00C260EB">
      <w:pPr>
        <w:widowControl w:val="0"/>
        <w:tabs>
          <w:tab w:val="clear" w:pos="567"/>
          <w:tab w:val="left" w:pos="0"/>
          <w:tab w:val="left" w:pos="284"/>
        </w:tabs>
        <w:spacing w:line="240" w:lineRule="auto"/>
        <w:rPr>
          <w:rFonts w:eastAsia="Calibri"/>
          <w:snapToGrid/>
          <w:szCs w:val="22"/>
          <w:lang w:val="lt-LT"/>
        </w:rPr>
      </w:pPr>
      <w:r>
        <w:rPr>
          <w:rFonts w:eastAsia="Calibri"/>
          <w:bCs/>
          <w:iCs/>
          <w:snapToGrid/>
          <w:szCs w:val="22"/>
          <w:vertAlign w:val="superscript"/>
          <w:lang w:val="lt-LT"/>
        </w:rPr>
        <w:t>*</w:t>
      </w:r>
      <w:r>
        <w:rPr>
          <w:rFonts w:eastAsia="Calibri"/>
          <w:snapToGrid/>
          <w:szCs w:val="22"/>
          <w:lang w:val="lt-LT"/>
        </w:rPr>
        <w:t xml:space="preserve"> </w:t>
      </w:r>
      <w:r>
        <w:rPr>
          <w:rFonts w:eastAsia="Calibri"/>
          <w:i/>
          <w:snapToGrid/>
          <w:szCs w:val="22"/>
          <w:lang w:val="lt-LT"/>
        </w:rPr>
        <w:t>Nepageidaujamų reiškinių, duomenys apie kuriuos gauti spontaniniais pranešimais, dažnis apskaičiuotas remiantis klinikinių tyrimų duomenimis</w:t>
      </w:r>
      <w:r>
        <w:rPr>
          <w:rFonts w:eastAsia="Calibri"/>
          <w:snapToGrid/>
          <w:szCs w:val="22"/>
          <w:lang w:val="lt-LT"/>
        </w:rPr>
        <w:t>.</w:t>
      </w:r>
    </w:p>
    <w:p w14:paraId="1C8A0FC5" w14:textId="77777777" w:rsidR="00C00DD1" w:rsidRDefault="00C00DD1">
      <w:pPr>
        <w:widowControl w:val="0"/>
        <w:tabs>
          <w:tab w:val="clear" w:pos="567"/>
        </w:tabs>
        <w:autoSpaceDE w:val="0"/>
        <w:autoSpaceDN w:val="0"/>
        <w:adjustRightInd w:val="0"/>
        <w:spacing w:line="240" w:lineRule="auto"/>
        <w:rPr>
          <w:snapToGrid/>
          <w:szCs w:val="22"/>
          <w:lang w:val="lt-LT"/>
        </w:rPr>
      </w:pPr>
    </w:p>
    <w:p w14:paraId="778BCAE9"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II ir III fazės tyrimų metu lyginant indapamido 1,5 mg ir 2,5 mg dozes, kalio koncentracijos kraujo plazmoje analizė parodė nuo dozės priklausomą indapamido poveikį:</w:t>
      </w:r>
    </w:p>
    <w:p w14:paraId="48F43E63" w14:textId="77777777" w:rsidR="00C00DD1" w:rsidRDefault="00C260EB">
      <w:pPr>
        <w:widowControl w:val="0"/>
        <w:numPr>
          <w:ilvl w:val="0"/>
          <w:numId w:val="21"/>
        </w:numPr>
        <w:tabs>
          <w:tab w:val="clear" w:pos="567"/>
        </w:tabs>
        <w:autoSpaceDE w:val="0"/>
        <w:autoSpaceDN w:val="0"/>
        <w:adjustRightInd w:val="0"/>
        <w:spacing w:line="240" w:lineRule="auto"/>
        <w:ind w:left="567" w:hanging="567"/>
        <w:rPr>
          <w:snapToGrid/>
          <w:szCs w:val="22"/>
          <w:lang w:val="lt-LT"/>
        </w:rPr>
      </w:pPr>
      <w:r>
        <w:rPr>
          <w:snapToGrid/>
          <w:szCs w:val="22"/>
          <w:lang w:val="lt-LT"/>
        </w:rPr>
        <w:t>Indapamidas 1,5 mg. Po 4–6 gydymo savaičių kalio koncentracija kraujo plazmoje &lt; 3,4 mmol/l) buvo 10 % pacientų, &lt; 3,2 mmol/l − 4 % pacientų. Po 12 gydymo savaičių kalio koncentracija kraujo plazmoje sumažėjo vidutiniškai 0,23 mmol/l.</w:t>
      </w:r>
    </w:p>
    <w:p w14:paraId="5D0A2B9D" w14:textId="77777777" w:rsidR="00C00DD1" w:rsidRDefault="00C260EB">
      <w:pPr>
        <w:widowControl w:val="0"/>
        <w:numPr>
          <w:ilvl w:val="0"/>
          <w:numId w:val="21"/>
        </w:numPr>
        <w:tabs>
          <w:tab w:val="clear" w:pos="567"/>
        </w:tabs>
        <w:autoSpaceDE w:val="0"/>
        <w:autoSpaceDN w:val="0"/>
        <w:adjustRightInd w:val="0"/>
        <w:spacing w:line="240" w:lineRule="auto"/>
        <w:ind w:left="567" w:hanging="567"/>
        <w:rPr>
          <w:snapToGrid/>
          <w:szCs w:val="22"/>
          <w:lang w:val="lt-LT"/>
        </w:rPr>
      </w:pPr>
      <w:r>
        <w:rPr>
          <w:snapToGrid/>
          <w:szCs w:val="22"/>
          <w:lang w:val="lt-LT"/>
        </w:rPr>
        <w:t>Indapamidas 2,5 mg. Po 4–6 gydymo savaičių kalio koncentracija kraujo plazmoje &lt; 3,4 mmol/l) buvo 25 % pacientų, &lt; 3,2 mmol/l − 10 % pacientų. Po 12 gydymo savaičių kalio koncentracija kraujo plazmoje sumažėjo vidutiniškai 0,41 mmol/l.</w:t>
      </w:r>
    </w:p>
    <w:p w14:paraId="6A380318" w14:textId="77777777" w:rsidR="00C00DD1" w:rsidRDefault="00C00DD1">
      <w:pPr>
        <w:widowControl w:val="0"/>
        <w:tabs>
          <w:tab w:val="clear" w:pos="567"/>
        </w:tabs>
        <w:autoSpaceDE w:val="0"/>
        <w:autoSpaceDN w:val="0"/>
        <w:adjustRightInd w:val="0"/>
        <w:spacing w:line="240" w:lineRule="auto"/>
        <w:rPr>
          <w:bCs/>
          <w:snapToGrid/>
          <w:szCs w:val="22"/>
          <w:lang w:val="lt-LT"/>
        </w:rPr>
      </w:pPr>
    </w:p>
    <w:p w14:paraId="01DBA07D" w14:textId="77777777" w:rsidR="00C00DD1" w:rsidRDefault="00C260EB">
      <w:pPr>
        <w:widowControl w:val="0"/>
        <w:tabs>
          <w:tab w:val="clear" w:pos="567"/>
          <w:tab w:val="left" w:pos="540"/>
        </w:tabs>
        <w:spacing w:line="240" w:lineRule="auto"/>
        <w:rPr>
          <w:rFonts w:eastAsia="Calibri"/>
          <w:snapToGrid/>
          <w:szCs w:val="22"/>
          <w:u w:val="single"/>
          <w:lang w:val="lt-LT"/>
        </w:rPr>
      </w:pPr>
      <w:r>
        <w:rPr>
          <w:rFonts w:eastAsia="Calibri"/>
          <w:snapToGrid/>
          <w:szCs w:val="22"/>
          <w:u w:val="single"/>
          <w:lang w:val="lt-LT"/>
        </w:rPr>
        <w:t>Pranešimas apie įtariamas nepageidaujamas reakcijas</w:t>
      </w:r>
    </w:p>
    <w:p w14:paraId="61A89D0C"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tiesiogiai užpildę pranešimo formą internetu Tarnybos Vaistinių preparatų informacinėje sistemoje https://vapris.vvkt.lt/vvkt-web/public/nrvSpecialist arba užpildę Sveikatos priežiūros ar farmacijos specialisto pranešimo apie įtariamą nepageidaujamą reakciją formą, kuri skelbiama https://www.vvkt.lt/index.php?1399030386, ir atsiųsti elektroniniu paštu (adresu NepageidaujamaR@vvkt.lt).</w:t>
      </w:r>
    </w:p>
    <w:p w14:paraId="1C9DB3B3" w14:textId="77777777" w:rsidR="00C00DD1" w:rsidRDefault="00C00DD1">
      <w:pPr>
        <w:widowControl w:val="0"/>
        <w:tabs>
          <w:tab w:val="clear" w:pos="567"/>
        </w:tabs>
        <w:autoSpaceDE w:val="0"/>
        <w:autoSpaceDN w:val="0"/>
        <w:adjustRightInd w:val="0"/>
        <w:spacing w:line="240" w:lineRule="auto"/>
        <w:rPr>
          <w:bCs/>
          <w:snapToGrid/>
          <w:szCs w:val="22"/>
          <w:u w:val="single"/>
          <w:lang w:val="lt-LT"/>
        </w:rPr>
      </w:pPr>
    </w:p>
    <w:p w14:paraId="69039871"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4.9</w:t>
      </w:r>
      <w:r>
        <w:rPr>
          <w:b/>
          <w:snapToGrid/>
          <w:kern w:val="28"/>
          <w:szCs w:val="22"/>
          <w:lang w:val="lt-LT"/>
        </w:rPr>
        <w:tab/>
        <w:t>Perdozavimas</w:t>
      </w:r>
    </w:p>
    <w:p w14:paraId="49FC0CA7" w14:textId="77777777" w:rsidR="00C00DD1" w:rsidRDefault="00C00DD1">
      <w:pPr>
        <w:widowControl w:val="0"/>
        <w:tabs>
          <w:tab w:val="clear" w:pos="567"/>
        </w:tabs>
        <w:autoSpaceDE w:val="0"/>
        <w:autoSpaceDN w:val="0"/>
        <w:adjustRightInd w:val="0"/>
        <w:spacing w:line="240" w:lineRule="auto"/>
        <w:rPr>
          <w:bCs/>
          <w:snapToGrid/>
          <w:szCs w:val="22"/>
          <w:u w:val="single"/>
          <w:lang w:val="lt-LT"/>
        </w:rPr>
      </w:pPr>
    </w:p>
    <w:p w14:paraId="657E4832" w14:textId="77777777" w:rsidR="00C00DD1" w:rsidRDefault="00C260EB">
      <w:pPr>
        <w:widowControl w:val="0"/>
        <w:tabs>
          <w:tab w:val="clear" w:pos="567"/>
        </w:tabs>
        <w:autoSpaceDE w:val="0"/>
        <w:autoSpaceDN w:val="0"/>
        <w:adjustRightInd w:val="0"/>
        <w:spacing w:line="240" w:lineRule="auto"/>
        <w:rPr>
          <w:snapToGrid/>
          <w:szCs w:val="22"/>
          <w:u w:val="single"/>
          <w:lang w:val="lt-LT"/>
        </w:rPr>
      </w:pPr>
      <w:r>
        <w:rPr>
          <w:snapToGrid/>
          <w:szCs w:val="22"/>
          <w:u w:val="single"/>
          <w:lang w:val="lt-LT"/>
        </w:rPr>
        <w:t>Simptomai</w:t>
      </w:r>
    </w:p>
    <w:p w14:paraId="38A484B9"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Perdozavus labiausiai tikėtina nepageidaujama reakcija yra hipotenzija, kartais kartu gali pasireikšti pykinimas, vėmimas, raumenų mėšlungis, svaigulys, mieguistumas, sumišimas ir oligurija (dėl hipovolemijos ji gali progresuoti iki anurijos). Gali sutrikti elektrolitų ir skysčio pusiausvyra (pasireikšti hiponatremija ir hipokalemija).</w:t>
      </w:r>
    </w:p>
    <w:p w14:paraId="1A848FE4" w14:textId="77777777" w:rsidR="00C00DD1" w:rsidRDefault="00C00DD1">
      <w:pPr>
        <w:widowControl w:val="0"/>
        <w:tabs>
          <w:tab w:val="clear" w:pos="567"/>
        </w:tabs>
        <w:autoSpaceDE w:val="0"/>
        <w:autoSpaceDN w:val="0"/>
        <w:adjustRightInd w:val="0"/>
        <w:spacing w:line="240" w:lineRule="auto"/>
        <w:rPr>
          <w:snapToGrid/>
          <w:szCs w:val="22"/>
          <w:lang w:val="lt-LT"/>
        </w:rPr>
      </w:pPr>
    </w:p>
    <w:p w14:paraId="6A90D9C5" w14:textId="77777777" w:rsidR="00C00DD1" w:rsidRDefault="00C260EB">
      <w:pPr>
        <w:widowControl w:val="0"/>
        <w:tabs>
          <w:tab w:val="clear" w:pos="567"/>
        </w:tabs>
        <w:autoSpaceDE w:val="0"/>
        <w:autoSpaceDN w:val="0"/>
        <w:adjustRightInd w:val="0"/>
        <w:spacing w:line="240" w:lineRule="auto"/>
        <w:rPr>
          <w:snapToGrid/>
          <w:szCs w:val="22"/>
          <w:u w:val="single"/>
          <w:lang w:val="lt-LT"/>
        </w:rPr>
      </w:pPr>
      <w:r>
        <w:rPr>
          <w:snapToGrid/>
          <w:szCs w:val="22"/>
          <w:u w:val="single"/>
          <w:lang w:val="lt-LT"/>
        </w:rPr>
        <w:t>Gydymas</w:t>
      </w:r>
    </w:p>
    <w:p w14:paraId="51FF4065"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Pirmosios pagalbos priemonės yra skubus vaistinio (-ų) preparato (-ų) pašalinimas plaunant skrandį ir (arba) skiriant aktyvintąją anglį, po to reikia atstatyti normalią skysčių ir elektrolitų pusiausvyrą specializuotuose centruose.</w:t>
      </w:r>
    </w:p>
    <w:p w14:paraId="485636C3"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lastRenderedPageBreak/>
        <w:t>Jeigu atsiranda reikšminga hipotenzija, pacientą reikia paguldyti ant nugaros taip, kad galva būtų žemiau. Jeigu reikia, galima į veną infuzuoti fiziologinio tirpalo ar kitokiu būdu padidinti kraujo tūrį.</w:t>
      </w:r>
    </w:p>
    <w:p w14:paraId="2E7FA90A"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Aktyvi perindoprilio forma perindoprilatas gali būti pašalintas dializės būdu (žr. 5.2 skyrių).</w:t>
      </w:r>
    </w:p>
    <w:p w14:paraId="7284A212" w14:textId="77777777" w:rsidR="00C00DD1" w:rsidRDefault="00C00DD1">
      <w:pPr>
        <w:widowControl w:val="0"/>
        <w:tabs>
          <w:tab w:val="clear" w:pos="567"/>
        </w:tabs>
        <w:spacing w:line="240" w:lineRule="auto"/>
        <w:ind w:left="567" w:hanging="567"/>
        <w:rPr>
          <w:snapToGrid/>
          <w:szCs w:val="22"/>
          <w:lang w:val="lt-LT"/>
        </w:rPr>
      </w:pPr>
    </w:p>
    <w:p w14:paraId="654A8AA4" w14:textId="77777777" w:rsidR="00C00DD1" w:rsidRDefault="00C00DD1">
      <w:pPr>
        <w:widowControl w:val="0"/>
        <w:tabs>
          <w:tab w:val="clear" w:pos="567"/>
        </w:tabs>
        <w:spacing w:line="240" w:lineRule="auto"/>
        <w:ind w:left="567" w:hanging="567"/>
        <w:rPr>
          <w:snapToGrid/>
          <w:szCs w:val="22"/>
          <w:lang w:val="lt-LT"/>
        </w:rPr>
      </w:pPr>
    </w:p>
    <w:p w14:paraId="77B5AA63" w14:textId="77777777" w:rsidR="00C00DD1" w:rsidRDefault="00C260EB">
      <w:pPr>
        <w:widowControl w:val="0"/>
        <w:spacing w:line="240" w:lineRule="auto"/>
        <w:ind w:left="567" w:hanging="567"/>
        <w:outlineLvl w:val="1"/>
        <w:rPr>
          <w:b/>
          <w:snapToGrid/>
          <w:szCs w:val="22"/>
          <w:lang w:val="lt-LT"/>
        </w:rPr>
      </w:pPr>
      <w:r>
        <w:rPr>
          <w:b/>
          <w:snapToGrid/>
          <w:szCs w:val="22"/>
          <w:lang w:val="lt-LT"/>
        </w:rPr>
        <w:t>5.</w:t>
      </w:r>
      <w:r>
        <w:rPr>
          <w:b/>
          <w:snapToGrid/>
          <w:szCs w:val="22"/>
          <w:lang w:val="lt-LT"/>
        </w:rPr>
        <w:tab/>
        <w:t>FARMAKOLOGINĖS SAVYBĖS</w:t>
      </w:r>
    </w:p>
    <w:p w14:paraId="0F569EFD" w14:textId="77777777" w:rsidR="00C00DD1" w:rsidRDefault="00C00DD1">
      <w:pPr>
        <w:widowControl w:val="0"/>
        <w:tabs>
          <w:tab w:val="clear" w:pos="567"/>
        </w:tabs>
        <w:spacing w:line="240" w:lineRule="auto"/>
        <w:ind w:left="567" w:hanging="567"/>
        <w:rPr>
          <w:snapToGrid/>
          <w:szCs w:val="22"/>
          <w:lang w:val="lt-LT"/>
        </w:rPr>
      </w:pPr>
    </w:p>
    <w:p w14:paraId="091E0FAE"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5.1</w:t>
      </w:r>
      <w:r>
        <w:rPr>
          <w:b/>
          <w:snapToGrid/>
          <w:kern w:val="28"/>
          <w:szCs w:val="22"/>
          <w:lang w:val="lt-LT"/>
        </w:rPr>
        <w:tab/>
        <w:t>Farmakodinaminės savybės</w:t>
      </w:r>
    </w:p>
    <w:p w14:paraId="614C296D" w14:textId="77777777" w:rsidR="00C00DD1" w:rsidRDefault="00C00DD1">
      <w:pPr>
        <w:widowControl w:val="0"/>
        <w:tabs>
          <w:tab w:val="clear" w:pos="567"/>
        </w:tabs>
        <w:spacing w:line="240" w:lineRule="auto"/>
        <w:ind w:left="567" w:hanging="567"/>
        <w:rPr>
          <w:snapToGrid/>
          <w:szCs w:val="22"/>
          <w:lang w:val="lt-LT"/>
        </w:rPr>
      </w:pPr>
    </w:p>
    <w:p w14:paraId="41DE22A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Farmakoterapinė grupė – renino-angiotenzino sistemą veikiantys vaistiniai preparatai, AKF inhibitoriai ir diuretikai, ATC kodas − C09BA04.</w:t>
      </w:r>
    </w:p>
    <w:p w14:paraId="01E505CB" w14:textId="77777777" w:rsidR="00C00DD1" w:rsidRDefault="00C00DD1">
      <w:pPr>
        <w:widowControl w:val="0"/>
        <w:tabs>
          <w:tab w:val="clear" w:pos="567"/>
        </w:tabs>
        <w:spacing w:line="240" w:lineRule="auto"/>
        <w:rPr>
          <w:snapToGrid/>
          <w:szCs w:val="22"/>
          <w:lang w:val="lt-LT" w:eastAsia="sl-SI"/>
        </w:rPr>
      </w:pPr>
    </w:p>
    <w:p w14:paraId="4A1BE00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yra kombinuotasis vaistinis preparatas, kurio sudėtyje yra angiotenziną konvertuojančio fermento inhibitoriaus perindoprilio arginino ir diuretiko chlorosulfamoilo darinio indapamido. Farmakologinį poveikį lemia kiekviena veiklioji medžiaga bei jų derinio sukeliamas adityvus sinergetinis poveikis.</w:t>
      </w:r>
    </w:p>
    <w:p w14:paraId="2A6EA851" w14:textId="77777777" w:rsidR="00C00DD1" w:rsidRDefault="00C00DD1">
      <w:pPr>
        <w:widowControl w:val="0"/>
        <w:tabs>
          <w:tab w:val="clear" w:pos="567"/>
        </w:tabs>
        <w:spacing w:line="240" w:lineRule="auto"/>
        <w:rPr>
          <w:snapToGrid/>
          <w:szCs w:val="22"/>
          <w:lang w:val="lt-LT" w:eastAsia="sl-SI"/>
        </w:rPr>
      </w:pPr>
    </w:p>
    <w:p w14:paraId="723BFD3F"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Veikimo mechanizmas</w:t>
      </w:r>
    </w:p>
    <w:p w14:paraId="026F4138" w14:textId="77777777" w:rsidR="00C00DD1" w:rsidRDefault="00C00DD1">
      <w:pPr>
        <w:widowControl w:val="0"/>
        <w:tabs>
          <w:tab w:val="clear" w:pos="567"/>
        </w:tabs>
        <w:spacing w:line="240" w:lineRule="auto"/>
        <w:rPr>
          <w:i/>
          <w:snapToGrid/>
          <w:szCs w:val="22"/>
          <w:u w:val="single"/>
          <w:lang w:val="lt-LT" w:eastAsia="sl-SI"/>
        </w:rPr>
      </w:pPr>
    </w:p>
    <w:p w14:paraId="0125A10B"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 arginine/indapamide Krka:</w:t>
      </w:r>
    </w:p>
    <w:p w14:paraId="1B9FD01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Vartojant Perindopril arginine/indapamide Krka, veikliųjų medžiagų antihipertenzinis poveikis būna adityvus sinergetinis.</w:t>
      </w:r>
    </w:p>
    <w:p w14:paraId="5CFF739E" w14:textId="77777777" w:rsidR="00C00DD1" w:rsidRDefault="00C00DD1">
      <w:pPr>
        <w:widowControl w:val="0"/>
        <w:tabs>
          <w:tab w:val="clear" w:pos="567"/>
        </w:tabs>
        <w:spacing w:line="240" w:lineRule="auto"/>
        <w:rPr>
          <w:i/>
          <w:snapToGrid/>
          <w:szCs w:val="22"/>
          <w:lang w:val="lt-LT" w:eastAsia="sl-SI"/>
        </w:rPr>
      </w:pPr>
    </w:p>
    <w:p w14:paraId="4F035CF6"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perindopriliu:</w:t>
      </w:r>
    </w:p>
    <w:p w14:paraId="4F12226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yra angiotenziną konvertuojančio fermento (AKF), kuris angiotenziną I paverčia kraujagysles sutraukiančia medžiaga angiotenzinu II, inhibitorius. Be to, šis fermentas skatina aldosterono išsiskyrimą iš antinksčių žievės ir kraujagysles plečiančios medžiagos bradikinino skilimą į neveiklius heptapeptidus.</w:t>
      </w:r>
    </w:p>
    <w:p w14:paraId="05BDDB5A"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Dėl tokio poveikio:</w:t>
      </w:r>
    </w:p>
    <w:p w14:paraId="5F94C5B0" w14:textId="77777777" w:rsidR="00C00DD1" w:rsidRDefault="00C260EB">
      <w:pPr>
        <w:widowControl w:val="0"/>
        <w:numPr>
          <w:ilvl w:val="0"/>
          <w:numId w:val="23"/>
        </w:numPr>
        <w:autoSpaceDE w:val="0"/>
        <w:autoSpaceDN w:val="0"/>
        <w:spacing w:line="240" w:lineRule="auto"/>
        <w:rPr>
          <w:snapToGrid/>
          <w:szCs w:val="22"/>
          <w:lang w:val="lt-LT" w:eastAsia="sl-SI"/>
        </w:rPr>
      </w:pPr>
      <w:r>
        <w:rPr>
          <w:snapToGrid/>
          <w:szCs w:val="22"/>
          <w:lang w:val="lt-LT" w:eastAsia="sl-SI"/>
        </w:rPr>
        <w:t>sumažėja aldosterono sekrecija;</w:t>
      </w:r>
    </w:p>
    <w:p w14:paraId="6970E167" w14:textId="77777777" w:rsidR="00C00DD1" w:rsidRDefault="00C260EB">
      <w:pPr>
        <w:widowControl w:val="0"/>
        <w:numPr>
          <w:ilvl w:val="0"/>
          <w:numId w:val="23"/>
        </w:numPr>
        <w:autoSpaceDE w:val="0"/>
        <w:autoSpaceDN w:val="0"/>
        <w:spacing w:line="240" w:lineRule="auto"/>
        <w:rPr>
          <w:snapToGrid/>
          <w:szCs w:val="22"/>
          <w:lang w:val="lt-LT" w:eastAsia="sl-SI"/>
        </w:rPr>
      </w:pPr>
      <w:r>
        <w:rPr>
          <w:snapToGrid/>
          <w:szCs w:val="22"/>
          <w:lang w:val="lt-LT" w:eastAsia="sl-SI"/>
        </w:rPr>
        <w:t>padidėja renino aktyvumas kraujo plazmoje, nes slopinamas neigiamas aldosterono grįžtamasis ryšys;</w:t>
      </w:r>
    </w:p>
    <w:p w14:paraId="2A841EE9" w14:textId="77777777" w:rsidR="00C00DD1" w:rsidRDefault="00C260EB">
      <w:pPr>
        <w:widowControl w:val="0"/>
        <w:numPr>
          <w:ilvl w:val="0"/>
          <w:numId w:val="23"/>
        </w:numPr>
        <w:autoSpaceDE w:val="0"/>
        <w:autoSpaceDN w:val="0"/>
        <w:spacing w:line="240" w:lineRule="auto"/>
        <w:rPr>
          <w:snapToGrid/>
          <w:szCs w:val="22"/>
          <w:lang w:val="lt-LT" w:eastAsia="sl-SI"/>
        </w:rPr>
      </w:pPr>
      <w:r>
        <w:rPr>
          <w:snapToGrid/>
          <w:szCs w:val="22"/>
          <w:lang w:val="lt-LT" w:eastAsia="sl-SI"/>
        </w:rPr>
        <w:t>vaistinį preparatą vartojant nuolat, mažėja bendras periferinis kraujagyslių pasipriešinimas (stipriausias poveikis pasireiškia raumenų ir inkstų kraujagyslėms), tačiau druskų ir vandens organizme nesikaupia, refleksinės tachikardijos neatsiranda.</w:t>
      </w:r>
    </w:p>
    <w:p w14:paraId="29A2991A" w14:textId="77777777" w:rsidR="00C00DD1" w:rsidRDefault="00C00DD1">
      <w:pPr>
        <w:widowControl w:val="0"/>
        <w:tabs>
          <w:tab w:val="clear" w:pos="567"/>
        </w:tabs>
        <w:spacing w:line="240" w:lineRule="auto"/>
        <w:rPr>
          <w:snapToGrid/>
          <w:szCs w:val="22"/>
          <w:lang w:val="lt-LT" w:eastAsia="sl-SI"/>
        </w:rPr>
      </w:pPr>
    </w:p>
    <w:p w14:paraId="5DD846B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Antihipertenzinis perindoprilio poveikis pasireiškia ir pacientams, kurių organizme renino koncentracija maža ar normali.</w:t>
      </w:r>
    </w:p>
    <w:p w14:paraId="4D1DFD99" w14:textId="77777777" w:rsidR="00C00DD1" w:rsidRDefault="00C00DD1">
      <w:pPr>
        <w:widowControl w:val="0"/>
        <w:tabs>
          <w:tab w:val="clear" w:pos="567"/>
        </w:tabs>
        <w:spacing w:line="240" w:lineRule="auto"/>
        <w:rPr>
          <w:snapToGrid/>
          <w:szCs w:val="22"/>
          <w:lang w:val="lt-LT" w:eastAsia="sl-SI"/>
        </w:rPr>
      </w:pPr>
    </w:p>
    <w:p w14:paraId="1296C0F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veikia per veiklųjį metabolitą perindoprilatą. Kiti metabolitai yra neaktyvūs.</w:t>
      </w:r>
    </w:p>
    <w:p w14:paraId="3C76345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lengvina širdies darbą, nes:</w:t>
      </w:r>
    </w:p>
    <w:p w14:paraId="1DC23782"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išplėsdamas venas (galbūt dėl prostaglandinų metabolizmo pokyčio), mažina širdies prieškrūvį;</w:t>
      </w:r>
    </w:p>
    <w:p w14:paraId="3ED84A85"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silpnindamas bendrą periferinį pasipriešinimą, mažina širdies pokrūvį.</w:t>
      </w:r>
    </w:p>
    <w:p w14:paraId="0AAFB76C" w14:textId="77777777" w:rsidR="00C00DD1" w:rsidRDefault="00C00DD1">
      <w:pPr>
        <w:widowControl w:val="0"/>
        <w:tabs>
          <w:tab w:val="clear" w:pos="567"/>
        </w:tabs>
        <w:spacing w:line="240" w:lineRule="auto"/>
        <w:rPr>
          <w:snapToGrid/>
          <w:szCs w:val="22"/>
          <w:lang w:val="lt-LT" w:eastAsia="sl-SI"/>
        </w:rPr>
      </w:pPr>
    </w:p>
    <w:p w14:paraId="121C5B5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Toliau išvardytas tyrimų su širdies nepakankamumu sergančiais pacientais metu nustatytas poveikis.</w:t>
      </w:r>
    </w:p>
    <w:p w14:paraId="64E7E4ED"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Mažėja kairiojo bei dešiniojo skilvelio prisipildymo spaudimas.</w:t>
      </w:r>
    </w:p>
    <w:p w14:paraId="2F464246"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Mažėja bendras periferinių kraujagyslių pasipriešinimas.</w:t>
      </w:r>
    </w:p>
    <w:p w14:paraId="356939AB"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Didėja minutinis širdies tūris bei gerėja širdies indeksas.</w:t>
      </w:r>
    </w:p>
    <w:p w14:paraId="20D61E7A" w14:textId="77777777" w:rsidR="00C00DD1" w:rsidRDefault="00C260EB">
      <w:pPr>
        <w:widowControl w:val="0"/>
        <w:numPr>
          <w:ilvl w:val="0"/>
          <w:numId w:val="24"/>
        </w:numPr>
        <w:tabs>
          <w:tab w:val="clear" w:pos="567"/>
        </w:tabs>
        <w:autoSpaceDE w:val="0"/>
        <w:autoSpaceDN w:val="0"/>
        <w:spacing w:line="240" w:lineRule="auto"/>
        <w:rPr>
          <w:snapToGrid/>
          <w:szCs w:val="22"/>
          <w:lang w:val="lt-LT" w:eastAsia="sl-SI"/>
        </w:rPr>
      </w:pPr>
      <w:r>
        <w:rPr>
          <w:snapToGrid/>
          <w:szCs w:val="22"/>
          <w:lang w:val="lt-LT" w:eastAsia="sl-SI"/>
        </w:rPr>
        <w:t>Gerėja sritinė raumenų kraujotaka. Be to, pagerėja ir fizinio krūvio testo rezultatai.</w:t>
      </w:r>
    </w:p>
    <w:p w14:paraId="515C017D" w14:textId="77777777" w:rsidR="00C00DD1" w:rsidRDefault="00C00DD1">
      <w:pPr>
        <w:widowControl w:val="0"/>
        <w:tabs>
          <w:tab w:val="clear" w:pos="567"/>
        </w:tabs>
        <w:spacing w:line="240" w:lineRule="auto"/>
        <w:rPr>
          <w:snapToGrid/>
          <w:szCs w:val="22"/>
          <w:lang w:val="lt-LT" w:eastAsia="sl-SI"/>
        </w:rPr>
      </w:pPr>
    </w:p>
    <w:p w14:paraId="51B20A13"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indapamidu:</w:t>
      </w:r>
    </w:p>
    <w:p w14:paraId="363969C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Indapamidas yra sulfonamidų darinys, kuriame yra indolo žiedas. Farmakologinis jo poveikis panašus į tiazidinių diuretikų. Indapamidas slopina natrio reabsorbciją Henlės kilpos kylančioje dalyje. Indapamidas didina natrio ir chlorido (kiek mažiau − kalio bei magnio) išskyrimą su šlapimu, todėl išsiskiria daugiau šlapimo ir pasireiškia antihipertenzinis poveikis.</w:t>
      </w:r>
    </w:p>
    <w:p w14:paraId="539C8A5B" w14:textId="77777777" w:rsidR="00C00DD1" w:rsidRDefault="00C00DD1">
      <w:pPr>
        <w:widowControl w:val="0"/>
        <w:tabs>
          <w:tab w:val="clear" w:pos="567"/>
        </w:tabs>
        <w:spacing w:line="240" w:lineRule="auto"/>
        <w:rPr>
          <w:snapToGrid/>
          <w:szCs w:val="22"/>
          <w:lang w:val="lt-LT" w:eastAsia="sl-SI"/>
        </w:rPr>
      </w:pPr>
    </w:p>
    <w:p w14:paraId="37749755"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Farmakodinaminis poveikis</w:t>
      </w:r>
    </w:p>
    <w:p w14:paraId="0EDE5C4B" w14:textId="77777777" w:rsidR="00C00DD1" w:rsidRDefault="00C00DD1">
      <w:pPr>
        <w:widowControl w:val="0"/>
        <w:tabs>
          <w:tab w:val="clear" w:pos="567"/>
        </w:tabs>
        <w:spacing w:line="240" w:lineRule="auto"/>
        <w:rPr>
          <w:i/>
          <w:snapToGrid/>
          <w:szCs w:val="22"/>
          <w:u w:val="single"/>
          <w:lang w:val="lt-LT" w:eastAsia="sl-SI"/>
        </w:rPr>
      </w:pPr>
    </w:p>
    <w:p w14:paraId="03875682"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 arginine/indapamide Krka:</w:t>
      </w:r>
    </w:p>
    <w:p w14:paraId="7A0E619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hipertenzija sergantiems pacientams mažina ir sistolinį, ir diastolinį arterinį kraujospūdį. Poveikis nepriklauso nuo amžiaus, bet priklauso nuo dozės dydžio ir pasireiškia tiek gulint, tiek stovint.</w:t>
      </w:r>
    </w:p>
    <w:p w14:paraId="14C39A3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Antihipertenzinis poveikis trunka 24 valandas. Kraujospūdžio kontrolė pasireiškia greičiau nei per mėnesį, tachifilaksijos nebūna. Gydymą nutraukus, atoveiksmio hipertenzijos nebūna. Klinikinių tyrimų metu nustatyta, kad kartu vartojamų perindoprilio ir indapamido poveikis būna sinergetinis, palyginti su atskirai vartojamų veikliųjų medžiagų poveikiu.</w:t>
      </w:r>
    </w:p>
    <w:p w14:paraId="2EFF9289" w14:textId="77777777" w:rsidR="00C00DD1" w:rsidRDefault="00C00DD1">
      <w:pPr>
        <w:widowControl w:val="0"/>
        <w:tabs>
          <w:tab w:val="clear" w:pos="567"/>
        </w:tabs>
        <w:spacing w:line="240" w:lineRule="auto"/>
        <w:jc w:val="both"/>
        <w:rPr>
          <w:snapToGrid/>
          <w:szCs w:val="22"/>
          <w:lang w:val="lt-LT" w:eastAsia="sl-SI"/>
        </w:rPr>
      </w:pPr>
    </w:p>
    <w:p w14:paraId="1DA55CDA" w14:textId="77777777" w:rsidR="00C00DD1" w:rsidRDefault="00C260EB">
      <w:pPr>
        <w:widowControl w:val="0"/>
        <w:tabs>
          <w:tab w:val="clear" w:pos="567"/>
          <w:tab w:val="left" w:pos="-142"/>
          <w:tab w:val="left" w:pos="284"/>
          <w:tab w:val="left" w:pos="709"/>
        </w:tabs>
        <w:spacing w:line="240" w:lineRule="auto"/>
        <w:rPr>
          <w:snapToGrid/>
          <w:szCs w:val="22"/>
          <w:lang w:val="lt-LT" w:eastAsia="sl-SI"/>
        </w:rPr>
      </w:pPr>
      <w:r>
        <w:rPr>
          <w:snapToGrid/>
          <w:szCs w:val="22"/>
          <w:lang w:val="lt-LT" w:eastAsia="sl-SI"/>
        </w:rPr>
        <w:t>Daugiacentrio atsitiktinių imčių dvigubai koduoto tyrimo su aktyvia kontroline grupe (PICXEL) metu lygintas perindoprilio ir indapamido derinio bei vien enalaprilio poveikis echokardiografiniams kairiojo skilvelio hipertrofijos (KSH) rodmenims.</w:t>
      </w:r>
    </w:p>
    <w:p w14:paraId="6BE7CAD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PICXEL tyrimo metu hipertenzija sirgę pacientai, kuriems buvo KSH (kairiojo skilvelio masės indeksas (KSMI) didesnis kaip 120 g/m</w:t>
      </w:r>
      <w:r>
        <w:rPr>
          <w:snapToGrid/>
          <w:szCs w:val="22"/>
          <w:vertAlign w:val="superscript"/>
          <w:lang w:val="lt-LT" w:eastAsia="sl-SI"/>
        </w:rPr>
        <w:t>2</w:t>
      </w:r>
      <w:r>
        <w:rPr>
          <w:snapToGrid/>
          <w:szCs w:val="22"/>
          <w:lang w:val="lt-LT" w:eastAsia="sl-SI"/>
        </w:rPr>
        <w:t xml:space="preserve"> vyrams ir didesnis kaip 100 g/m</w:t>
      </w:r>
      <w:r>
        <w:rPr>
          <w:snapToGrid/>
          <w:szCs w:val="22"/>
          <w:vertAlign w:val="superscript"/>
          <w:lang w:val="lt-LT" w:eastAsia="sl-SI"/>
        </w:rPr>
        <w:t>2</w:t>
      </w:r>
      <w:r>
        <w:rPr>
          <w:snapToGrid/>
          <w:szCs w:val="22"/>
          <w:lang w:val="lt-LT" w:eastAsia="sl-SI"/>
        </w:rPr>
        <w:t xml:space="preserve"> moterims), buvo suskirstyti į atsitiktines imtis ir vienerius metus kartą per parą vartojo 2 mg perindoprilio tert-butilamino (tai atitinka 2,5 mg perindoprilio arginino) ir 0,625 mg indapamido arba 10 mg enalaprilio. Dozė buvo koreguojama atsižvelgiant į kraujospūdžio kontrolę (didžiausia kartą per parą vartojamo perindoprilio tert-butilamino dozė buvo 8 mg</w:t>
      </w:r>
      <w:r>
        <w:rPr>
          <w:lang w:val="lt-LT"/>
        </w:rPr>
        <w:t xml:space="preserve"> </w:t>
      </w:r>
      <w:r>
        <w:rPr>
          <w:snapToGrid/>
          <w:szCs w:val="22"/>
          <w:lang w:val="lt-LT" w:eastAsia="sl-SI"/>
        </w:rPr>
        <w:t>(tai atitinka 10 mg perindoprilio arginino), indapamido − 2,5 mg, enalaprilio – 40 mg). Tik 34 % pacientų tyrimo pabaigoje vis dar vartojo 2 mg perindoprilio tert-butilamino (tai atitinka 2,5 mg perindoprilio arginino) ir 0,625 mg indapamido (10 mg enalaprilio dozę vartojo 20 % pacientų).</w:t>
      </w:r>
    </w:p>
    <w:p w14:paraId="365CB9E6"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Gydymo pabaigoje KSMI reikšmingai labiau sumažėjo perindoprilio ir indapamido vartojusiems pacientams (</w:t>
      </w:r>
      <w:r>
        <w:rPr>
          <w:snapToGrid/>
          <w:szCs w:val="22"/>
          <w:lang w:val="lt-LT" w:eastAsia="sl-SI"/>
        </w:rPr>
        <w:softHyphen/>
        <w:t>10,1 g/m²) nei enalaprilio vartojusiems pacientams (–1,1 g/m²) visoje į atsitiktines imtis suskirstytų pacientų populiacijoje. KSMI pokyčio skirtumas tarp grupių buvo –8,3 (95 % PI (–11,5;–5,0), p &lt; 0,0001). Geresnis poveikis KSMI pasireiškė vartojant 10 mg perindoprilio ir 2,5 mg indapamido dozes.</w:t>
      </w:r>
    </w:p>
    <w:p w14:paraId="1E547DB4" w14:textId="77777777" w:rsidR="00C00DD1" w:rsidRDefault="00C00DD1">
      <w:pPr>
        <w:widowControl w:val="0"/>
        <w:tabs>
          <w:tab w:val="clear" w:pos="567"/>
        </w:tabs>
        <w:spacing w:line="240" w:lineRule="auto"/>
        <w:rPr>
          <w:snapToGrid/>
          <w:szCs w:val="22"/>
          <w:lang w:val="lt-LT" w:eastAsia="sl-SI"/>
        </w:rPr>
      </w:pPr>
    </w:p>
    <w:p w14:paraId="2A67315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Sistolinio kraujospūdžio skirtumo vidurkis (vertinant rodmenų skirtumą tarp grupių atsitiktinių imčių populiacijoje) buvo –5,8 mmHg (95 % PI (–7,9; –3,7), p  &lt; 0,0001), diastolinio kraujospūdžio skirtumo vidurkis buvo –2,3 mmHg (95 % PI (–3,6;–0,9), p = 0,0004) perindoprilio ir indapamido vartojusių pacientų grupės naudai.</w:t>
      </w:r>
    </w:p>
    <w:p w14:paraId="53DDA7DB" w14:textId="77777777" w:rsidR="00C00DD1" w:rsidRDefault="00C00DD1">
      <w:pPr>
        <w:widowControl w:val="0"/>
        <w:tabs>
          <w:tab w:val="clear" w:pos="567"/>
        </w:tabs>
        <w:spacing w:line="240" w:lineRule="auto"/>
        <w:rPr>
          <w:snapToGrid/>
          <w:szCs w:val="22"/>
          <w:lang w:val="lt-LT" w:eastAsia="sl-SI"/>
        </w:rPr>
      </w:pPr>
    </w:p>
    <w:p w14:paraId="797D6C0C"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perindopriliu:</w:t>
      </w:r>
    </w:p>
    <w:p w14:paraId="5BA7135A"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yra veiksmingas gydant įvairaus sunkumo (lengvą, vidutinio sunkumo bei sunkią) hipertenziją. Sistolinis ir diastolinis kraujospūdis mažėja ir gulint, ir stovint.</w:t>
      </w:r>
    </w:p>
    <w:p w14:paraId="339E3B7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Stipriausias antihipertenzinis vienkartinės dozės poveikis pasireiškia po preparato pavartojimo praėjus 4–6 valandoms, poveikis trunka 24 valandas.</w:t>
      </w:r>
    </w:p>
    <w:p w14:paraId="585B061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Net ir po 24 valandų liekamasis AKF slopinimas būna maždaug 80 % maksimalaus poveikio.</w:t>
      </w:r>
    </w:p>
    <w:p w14:paraId="37046D81"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Pacientams, kurie į gydymą reaguoja, kraujospūdis tampa normalus po vieno mėnesio ir toks išlieka, tachifilaksijos nebūna.</w:t>
      </w:r>
    </w:p>
    <w:p w14:paraId="3FE9B19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Nutraukus perindoprilio vartojimą, atoveiksmio hipertenzijos nebūna.</w:t>
      </w:r>
    </w:p>
    <w:p w14:paraId="034F1C3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plečia kraujagysles, atkuria pagrindinių arterijų elastingumą, koreguoja histologinius ir morfologinius rezistentinių arterijų pokyčius bei mažina kairiojo skilvelio hipertrofiją.</w:t>
      </w:r>
    </w:p>
    <w:p w14:paraId="0CFA3776"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Kartu su perindopriliu vartojant tiazidinį diuretiką, poveikis būna sinergetinis.</w:t>
      </w:r>
    </w:p>
    <w:p w14:paraId="762E564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angiotenziną konvertuojančio fermento inhibitoriaus vartojama kartu su tiazidiniu diuretiku, mažėja vien diuretiko vartojant pasireiškiančios hipokalemijos rizika.</w:t>
      </w:r>
    </w:p>
    <w:p w14:paraId="6AB1ADCA" w14:textId="77777777" w:rsidR="00C00DD1" w:rsidRDefault="00C00DD1">
      <w:pPr>
        <w:widowControl w:val="0"/>
        <w:tabs>
          <w:tab w:val="clear" w:pos="567"/>
        </w:tabs>
        <w:spacing w:line="240" w:lineRule="auto"/>
        <w:rPr>
          <w:snapToGrid/>
          <w:szCs w:val="22"/>
          <w:lang w:val="lt-LT" w:eastAsia="sl-SI"/>
        </w:rPr>
      </w:pPr>
    </w:p>
    <w:p w14:paraId="3D65099B"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Dvigubos renino, angiotenzino, aldosterono sistemos (RAAS) blokados klinikinių tyrimų duomenys</w:t>
      </w:r>
    </w:p>
    <w:p w14:paraId="682E566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Dviem dideliais atsitiktinės atrankos, kontroliuojamais tyrimais (ONTARGET (angl. „</w:t>
      </w:r>
      <w:r>
        <w:rPr>
          <w:i/>
          <w:snapToGrid/>
          <w:szCs w:val="22"/>
          <w:lang w:val="lt-LT" w:eastAsia="sl-SI"/>
        </w:rPr>
        <w:t>ONgoing Telmisartan Alone and in combination with Ramipril Global Endpoint Trial</w:t>
      </w:r>
      <w:r>
        <w:rPr>
          <w:snapToGrid/>
          <w:szCs w:val="22"/>
          <w:lang w:val="lt-LT" w:eastAsia="sl-SI"/>
        </w:rPr>
        <w:t>“) ir VA NEPHRON-D (angl. „</w:t>
      </w:r>
      <w:r>
        <w:rPr>
          <w:i/>
          <w:snapToGrid/>
          <w:szCs w:val="22"/>
          <w:lang w:val="lt-LT" w:eastAsia="sl-SI"/>
        </w:rPr>
        <w:t>The Veterans Affairs Nephropathy in Diabetes</w:t>
      </w:r>
      <w:r>
        <w:rPr>
          <w:snapToGrid/>
          <w:szCs w:val="22"/>
          <w:lang w:val="lt-LT" w:eastAsia="sl-SI"/>
        </w:rPr>
        <w:t>“)) buvo ištirtas AKF inhibitoriaus ir angiotenzino II receptorių blokatoriaus derinio vartojimas.</w:t>
      </w:r>
    </w:p>
    <w:p w14:paraId="54B47D43"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ONTARGET tyrime dalyvavo pacientai, kurių anamnezėje buvo širdies ir kraujagyslių ar smegenų kraujagyslių liga arba 2 tipo cukrinis diabetas ir susijusi akivaizdi organų-taikinių pažaida. VA NEPHRON-D tyrimas buvo atliekamas su pacientais, sergančiais 2 tipo cukriniu diabetu ir diabetine nefropatija.</w:t>
      </w:r>
    </w:p>
    <w:p w14:paraId="2B364BC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lastRenderedPageBreak/>
        <w:t>Šie tyrimai neparodė reikšmingo teigiamo poveikio inkstų ir (arba) širdies ir kraujagyslių ligų baigtims ir mirštamumui, bet, palyginti su monoterapija, buvo pastebėta didesnė hiperkalemijos, ūminio inkstų pažeidimo ir (arba) hipotenzijos rizika. Atsižvelgiant į panašias farmakodinamines savybes, šie rezultatai taip pat galioja kitiems AKF inhibitoriams ir angiotenzino II receptorių blokatoriams.</w:t>
      </w:r>
    </w:p>
    <w:p w14:paraId="5D0511D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Todėl pacientams, sergantiems diabetine nefropatija, negalima kartu vartoti AKF inhibitorių ir angiotenzino II receptorių blokatorių.</w:t>
      </w:r>
    </w:p>
    <w:p w14:paraId="268A4012"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ALTITUDE (angl. „</w:t>
      </w:r>
      <w:r>
        <w:rPr>
          <w:i/>
          <w:snapToGrid/>
          <w:szCs w:val="22"/>
          <w:lang w:val="lt-LT" w:eastAsia="sl-SI"/>
        </w:rPr>
        <w:t>Aliskiren Trial in Type 2 Diabetes Using Cardiovascular and Renal Disease Endpoints</w:t>
      </w:r>
      <w:r>
        <w:rPr>
          <w:snapToGrid/>
          <w:szCs w:val="22"/>
          <w:lang w:val="lt-LT" w:eastAsia="sl-SI"/>
        </w:rPr>
        <w:t>“) tyrimu buvo siekiama ištirti, ar būtų naudingas aliskireno įtraukimas į standartinį pacientų, sergančių 2 tipo cukriniu diabetu ir lėtine inkstų liga, širdies ir kraujagyslių liga arba abiem ligomis, gydymą AKF inhibitoriumi arba angiotenzino II receptorių blokatoriumi. Tyrimas buvo nutrauktas pirma laiko, nes padidėjo nepageidaujamų baigčių rizika. Mirčių nuo širdies ir kraujagyslių ligų ir insulto atvejų skaičius aliskireno grupėje buvo didesnis nei placebo grupėje, o nepageidaujami reiškiniai ir sunkūs nepageidaujami reiškiniai (hiperkalemija, hipotenzija ir inkstų funkcijos sutrikimai) aliskireno grupėje taip pat pasireiškė dažniau nei placebo grupėje.</w:t>
      </w:r>
    </w:p>
    <w:p w14:paraId="20C8B9A6" w14:textId="77777777" w:rsidR="00C00DD1" w:rsidRDefault="00C00DD1">
      <w:pPr>
        <w:widowControl w:val="0"/>
        <w:tabs>
          <w:tab w:val="clear" w:pos="567"/>
        </w:tabs>
        <w:spacing w:line="240" w:lineRule="auto"/>
        <w:rPr>
          <w:snapToGrid/>
          <w:szCs w:val="22"/>
          <w:lang w:val="lt-LT" w:eastAsia="sl-SI"/>
        </w:rPr>
      </w:pPr>
    </w:p>
    <w:p w14:paraId="4F86D73E"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Susijęs su indapamidu:</w:t>
      </w:r>
    </w:p>
    <w:p w14:paraId="02FC395F"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vartojama tik indapamido, antihipertenzinis poveikis trunka 24 valandas. Kraujospūdį mažinanti dozė diurezę didina tik šiek tiek.</w:t>
      </w:r>
    </w:p>
    <w:p w14:paraId="2131AEC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Antihipertenzinis indapamido poveikis yra proporcingas arterijų sienelių elastingumo pagerėjimui bei bendro ir arteriolių periferinio kraujagyslių pasipriešinimo sumažėjimui.</w:t>
      </w:r>
    </w:p>
    <w:p w14:paraId="0A0BDEA5"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Indapamidas mažina kairiojo širdies skilvelio hipertrofiją.</w:t>
      </w:r>
    </w:p>
    <w:p w14:paraId="0469273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Didinant tiazidinių arba panašaus poveikio diuretikų dozę daugiau, nei rekomenduojama, antihipertenzinis poveikis nekinta, o nepageidaujamas poveikis toliau stiprėja, todėl, jeigu gydymas neveiksmingas, šių vaistinių preparatų dozę didinti draudžiama.</w:t>
      </w:r>
    </w:p>
    <w:p w14:paraId="51119F66"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Be to, vertinant trumpalaikį, vidutinės trukmės arba ilgalaikį indapamido poveikį hipertenzija sergantiems pacientams, nustatyta, kad:</w:t>
      </w:r>
    </w:p>
    <w:p w14:paraId="2C1CFE06" w14:textId="77777777" w:rsidR="00C00DD1" w:rsidRDefault="00C260EB">
      <w:pPr>
        <w:widowControl w:val="0"/>
        <w:numPr>
          <w:ilvl w:val="0"/>
          <w:numId w:val="25"/>
        </w:numPr>
        <w:autoSpaceDE w:val="0"/>
        <w:autoSpaceDN w:val="0"/>
        <w:spacing w:line="240" w:lineRule="auto"/>
        <w:rPr>
          <w:snapToGrid/>
          <w:szCs w:val="22"/>
          <w:lang w:val="lt-LT" w:eastAsia="sl-SI"/>
        </w:rPr>
      </w:pPr>
      <w:r>
        <w:rPr>
          <w:snapToGrid/>
          <w:szCs w:val="22"/>
          <w:lang w:val="lt-LT" w:eastAsia="sl-SI"/>
        </w:rPr>
        <w:t>nebūna poveikio riebalų (trigliceridų, MTL bei DTL cholesterolio) metabolizmui;</w:t>
      </w:r>
    </w:p>
    <w:p w14:paraId="6F49EA38" w14:textId="77777777" w:rsidR="00C00DD1" w:rsidRDefault="00C260EB">
      <w:pPr>
        <w:widowControl w:val="0"/>
        <w:numPr>
          <w:ilvl w:val="0"/>
          <w:numId w:val="25"/>
        </w:numPr>
        <w:autoSpaceDE w:val="0"/>
        <w:autoSpaceDN w:val="0"/>
        <w:spacing w:line="240" w:lineRule="auto"/>
        <w:rPr>
          <w:snapToGrid/>
          <w:szCs w:val="22"/>
          <w:lang w:val="lt-LT" w:eastAsia="sl-SI"/>
        </w:rPr>
      </w:pPr>
      <w:r>
        <w:rPr>
          <w:snapToGrid/>
          <w:szCs w:val="22"/>
          <w:lang w:val="lt-LT" w:eastAsia="sl-SI"/>
        </w:rPr>
        <w:t>nebūna poveikio angliavandenių metabolizmui (net hipertenzija sergantiems diabetikams).</w:t>
      </w:r>
    </w:p>
    <w:p w14:paraId="01AB4F79" w14:textId="77777777" w:rsidR="00C00DD1" w:rsidRDefault="00C00DD1">
      <w:pPr>
        <w:widowControl w:val="0"/>
        <w:tabs>
          <w:tab w:val="clear" w:pos="567"/>
        </w:tabs>
        <w:spacing w:line="240" w:lineRule="auto"/>
        <w:rPr>
          <w:snapToGrid/>
          <w:szCs w:val="22"/>
          <w:lang w:val="lt-LT" w:eastAsia="sl-SI"/>
        </w:rPr>
      </w:pPr>
    </w:p>
    <w:p w14:paraId="24148271" w14:textId="77777777" w:rsidR="00C00DD1" w:rsidRDefault="00C260EB">
      <w:pPr>
        <w:widowControl w:val="0"/>
        <w:tabs>
          <w:tab w:val="clear" w:pos="567"/>
        </w:tabs>
        <w:spacing w:line="240" w:lineRule="auto"/>
        <w:rPr>
          <w:i/>
          <w:snapToGrid/>
          <w:szCs w:val="22"/>
          <w:lang w:val="lt-LT" w:eastAsia="sl-SI"/>
        </w:rPr>
      </w:pPr>
      <w:r>
        <w:rPr>
          <w:i/>
          <w:snapToGrid/>
          <w:szCs w:val="22"/>
          <w:lang w:val="lt-LT" w:eastAsia="sl-SI"/>
        </w:rPr>
        <w:t>Vartojimas vaikams</w:t>
      </w:r>
    </w:p>
    <w:p w14:paraId="41DCE658"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Duomenų apie Perindopril arginine/indapamide Krka vartojimą vaikams nėra.</w:t>
      </w:r>
    </w:p>
    <w:p w14:paraId="527D9EC6" w14:textId="77777777" w:rsidR="00C00DD1" w:rsidRDefault="00C00DD1">
      <w:pPr>
        <w:widowControl w:val="0"/>
        <w:tabs>
          <w:tab w:val="clear" w:pos="567"/>
        </w:tabs>
        <w:spacing w:line="240" w:lineRule="auto"/>
        <w:rPr>
          <w:snapToGrid/>
          <w:szCs w:val="22"/>
          <w:lang w:val="lt-LT"/>
        </w:rPr>
      </w:pPr>
    </w:p>
    <w:p w14:paraId="384105D8" w14:textId="77777777" w:rsidR="00C00DD1" w:rsidRDefault="00C260EB">
      <w:pPr>
        <w:widowControl w:val="0"/>
        <w:spacing w:line="240" w:lineRule="auto"/>
        <w:ind w:left="567" w:hanging="567"/>
        <w:outlineLvl w:val="2"/>
        <w:rPr>
          <w:b/>
          <w:snapToGrid/>
          <w:kern w:val="28"/>
          <w:szCs w:val="22"/>
          <w:lang w:val="lt-LT"/>
        </w:rPr>
      </w:pPr>
      <w:r>
        <w:rPr>
          <w:b/>
          <w:snapToGrid/>
          <w:kern w:val="28"/>
          <w:szCs w:val="22"/>
          <w:lang w:val="lt-LT"/>
        </w:rPr>
        <w:t>5.2</w:t>
      </w:r>
      <w:r>
        <w:rPr>
          <w:b/>
          <w:snapToGrid/>
          <w:kern w:val="28"/>
          <w:szCs w:val="22"/>
          <w:lang w:val="lt-LT"/>
        </w:rPr>
        <w:tab/>
        <w:t>Farmakokinetinės savybės</w:t>
      </w:r>
    </w:p>
    <w:p w14:paraId="318A093C" w14:textId="77777777" w:rsidR="00C00DD1" w:rsidRDefault="00C00DD1">
      <w:pPr>
        <w:widowControl w:val="0"/>
        <w:tabs>
          <w:tab w:val="clear" w:pos="567"/>
        </w:tabs>
        <w:spacing w:line="240" w:lineRule="auto"/>
        <w:ind w:left="567" w:hanging="567"/>
        <w:rPr>
          <w:bCs/>
          <w:snapToGrid/>
          <w:szCs w:val="22"/>
          <w:lang w:val="lt-LT"/>
        </w:rPr>
      </w:pPr>
    </w:p>
    <w:p w14:paraId="17910D81" w14:textId="77777777" w:rsidR="00C00DD1" w:rsidRDefault="00C260EB">
      <w:pPr>
        <w:widowControl w:val="0"/>
        <w:tabs>
          <w:tab w:val="clear" w:pos="567"/>
        </w:tabs>
        <w:autoSpaceDE w:val="0"/>
        <w:autoSpaceDN w:val="0"/>
        <w:adjustRightInd w:val="0"/>
        <w:spacing w:line="240" w:lineRule="auto"/>
        <w:rPr>
          <w:rFonts w:eastAsia="TimesNewRoman"/>
          <w:i/>
          <w:iCs/>
          <w:snapToGrid/>
          <w:szCs w:val="22"/>
          <w:u w:val="single"/>
          <w:lang w:val="lt-LT"/>
        </w:rPr>
      </w:pPr>
      <w:r>
        <w:rPr>
          <w:rFonts w:eastAsia="TimesNewRoman"/>
          <w:i/>
          <w:iCs/>
          <w:snapToGrid/>
          <w:szCs w:val="22"/>
          <w:u w:val="single"/>
          <w:lang w:val="lt-LT"/>
        </w:rPr>
        <w:t xml:space="preserve">Susijusios su </w:t>
      </w:r>
      <w:r>
        <w:rPr>
          <w:i/>
          <w:iCs/>
          <w:snapToGrid/>
          <w:szCs w:val="22"/>
          <w:u w:val="single"/>
          <w:lang w:val="lt-LT" w:eastAsia="sl-SI"/>
        </w:rPr>
        <w:t>Perindopril arginine/indapamide Krka:</w:t>
      </w:r>
    </w:p>
    <w:p w14:paraId="32BFC503"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01F5D1F2"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Kartu vartojant perindoprilį ir indapamidą jų farmakokinetinės savybės nesikeičia, palyginti su farmakokinetika vartojant juos atskirai.</w:t>
      </w:r>
    </w:p>
    <w:p w14:paraId="4E83D9D3"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3348543D" w14:textId="77777777" w:rsidR="00C00DD1" w:rsidRDefault="00C260EB">
      <w:pPr>
        <w:widowControl w:val="0"/>
        <w:tabs>
          <w:tab w:val="clear" w:pos="567"/>
        </w:tabs>
        <w:autoSpaceDE w:val="0"/>
        <w:autoSpaceDN w:val="0"/>
        <w:adjustRightInd w:val="0"/>
        <w:spacing w:line="240" w:lineRule="auto"/>
        <w:rPr>
          <w:rFonts w:eastAsia="TimesNewRoman"/>
          <w:i/>
          <w:iCs/>
          <w:snapToGrid/>
          <w:szCs w:val="22"/>
          <w:u w:val="single"/>
          <w:lang w:val="lt-LT"/>
        </w:rPr>
      </w:pPr>
      <w:r>
        <w:rPr>
          <w:rFonts w:eastAsia="TimesNewRoman"/>
          <w:i/>
          <w:iCs/>
          <w:snapToGrid/>
          <w:szCs w:val="22"/>
          <w:u w:val="single"/>
          <w:lang w:val="lt-LT"/>
        </w:rPr>
        <w:t>Susijusios su perindopriliu:</w:t>
      </w:r>
    </w:p>
    <w:p w14:paraId="78D477CE"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0A051D44"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Absorbcija ir biologinis prieinamumas</w:t>
      </w:r>
    </w:p>
    <w:p w14:paraId="01405DE6"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Išgėrus perindoprilio jis greitai absorbuojamas, didžiausia koncentracija kraujyje atsiranda per 1 valandą. Perindoprilio pusinės eliminacijos iš kraujo plazmos laikas yra 1 valanda.</w:t>
      </w:r>
    </w:p>
    <w:p w14:paraId="1D5EE9C5"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Maistas sumažina perindoprilio virtimą perindoprilatu, taigi, ir biologinį prieinamumą, todėl perindoprilio argininas turi būti geriamas vieną kartą per parą, ryte prieš pusryčius.</w:t>
      </w:r>
    </w:p>
    <w:p w14:paraId="5D3ADA4C"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35D56FA3"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Pasiskirstymas</w:t>
      </w:r>
    </w:p>
    <w:p w14:paraId="58289016"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Nesujungto perindoprilato pasiskirstymo tūris vidutiniškai yra 0,2 l/kg. Prie kraujo plazmos baltymų (daugiausia prie angiotenziną konvertuojančio fermento) prisijungia 20 % perindoprilato, bet tai priklauso nuo koncentracijos.</w:t>
      </w:r>
    </w:p>
    <w:p w14:paraId="272C8DF6"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734ED468" w14:textId="77777777" w:rsidR="00C00DD1" w:rsidRDefault="00C260E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Biotransformacija</w:t>
      </w:r>
    </w:p>
    <w:p w14:paraId="323782E8"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Perindoprilis yra provaistas. Dvidešimt septyni procentai išgertos perindoprilio dozės patenka į kraujotaką aktyvaus metabolito perindoprilato pavidalu. Be aktyvaus perindoprilato iš perindoprilio susidaro dar penki metabolitai (visi neaktyvūs). Didžiausia perindoprilato koncentracija kraujo plazmoje pasiekiama per 3–4 valandas.</w:t>
      </w:r>
    </w:p>
    <w:p w14:paraId="16A5D221"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727AF947"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Eliminacija</w:t>
      </w:r>
    </w:p>
    <w:p w14:paraId="72BA08F5"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Perindoprilatas išskiriamas su šlapimu. Galutinis nesujungtos frakcijos pusinės eliminacijos laikas yra maždaug 17 val., todėl pusiausvyrinė koncentracija nusistovi per 4 dienas.</w:t>
      </w:r>
    </w:p>
    <w:p w14:paraId="65F69C0F"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40CDCB6F"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Tiesinis / netiesinis pobūdis</w:t>
      </w:r>
    </w:p>
    <w:p w14:paraId="32022EF3"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Įrodyta tiesinė ekspozicijos kraujo plazmoje priklausomybė nuo perindoprilio dozės.</w:t>
      </w:r>
    </w:p>
    <w:p w14:paraId="18D00103"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7EC396AB"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Ypatingos populiacijos</w:t>
      </w:r>
    </w:p>
    <w:p w14:paraId="3078225F"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0BCB60EB" w14:textId="77777777" w:rsidR="00C00DD1" w:rsidRDefault="00C260EB" w:rsidP="0006181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Senyvi pacientai</w:t>
      </w:r>
    </w:p>
    <w:p w14:paraId="1451D903"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Senyvų žmonių ir pacientų, sergančių širdies ar inkstų nepakankamumu, organizme perindoprilato eliminacija yra lėtesnė.</w:t>
      </w:r>
    </w:p>
    <w:p w14:paraId="22FF0010"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2BB23397" w14:textId="77777777" w:rsidR="00C00DD1" w:rsidRDefault="00C260EB" w:rsidP="0006181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Inkstų funkcijos sutrikimas</w:t>
      </w:r>
    </w:p>
    <w:p w14:paraId="6E71F029"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Atsižvelgiant į inkstų funkcijos pažeidimo dydį (kreatinino klirensą), esant inkstų nepakankamumui reikia koreguoti dozę.</w:t>
      </w:r>
    </w:p>
    <w:p w14:paraId="2417399A"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2A098138" w14:textId="77777777" w:rsidR="00C00DD1" w:rsidRDefault="00C260EB" w:rsidP="0006181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Dializės atveju</w:t>
      </w:r>
    </w:p>
    <w:p w14:paraId="49AF04A1"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Perindoprilato klirensas dializės metu yra 70 ml/min.</w:t>
      </w:r>
    </w:p>
    <w:p w14:paraId="5A5172AC"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01A916B1" w14:textId="77777777" w:rsidR="00C00DD1" w:rsidRDefault="00C260EB" w:rsidP="0006181B">
      <w:pPr>
        <w:widowControl w:val="0"/>
        <w:tabs>
          <w:tab w:val="clear" w:pos="567"/>
        </w:tabs>
        <w:autoSpaceDE w:val="0"/>
        <w:autoSpaceDN w:val="0"/>
        <w:adjustRightInd w:val="0"/>
        <w:spacing w:line="240" w:lineRule="auto"/>
        <w:rPr>
          <w:rFonts w:eastAsia="TimesNewRoman"/>
          <w:i/>
          <w:iCs/>
          <w:snapToGrid/>
          <w:szCs w:val="22"/>
          <w:lang w:val="lt-LT"/>
        </w:rPr>
      </w:pPr>
      <w:r>
        <w:rPr>
          <w:rFonts w:eastAsia="TimesNewRoman"/>
          <w:i/>
          <w:iCs/>
          <w:snapToGrid/>
          <w:szCs w:val="22"/>
          <w:lang w:val="lt-LT"/>
        </w:rPr>
        <w:t>Kepenų cirozė</w:t>
      </w:r>
    </w:p>
    <w:p w14:paraId="4ED82E7C"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Perindoprilio kinetika pakinta pacientų, sergančių kepenų ciroze, organizme: pirminės molekulės kepenų klirensas sumažėja per pusę, tačiau perindoprilato susidaro toks pat kiekis, todėl dozės koreguoti nereikia (žr. 4.2 ir 4.4 skyrius).</w:t>
      </w:r>
    </w:p>
    <w:p w14:paraId="567C2F00"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75240424" w14:textId="77777777" w:rsidR="00C00DD1" w:rsidRDefault="00C260EB" w:rsidP="0006181B">
      <w:pPr>
        <w:widowControl w:val="0"/>
        <w:tabs>
          <w:tab w:val="clear" w:pos="567"/>
        </w:tabs>
        <w:autoSpaceDE w:val="0"/>
        <w:autoSpaceDN w:val="0"/>
        <w:adjustRightInd w:val="0"/>
        <w:spacing w:line="240" w:lineRule="auto"/>
        <w:rPr>
          <w:rFonts w:eastAsia="TimesNewRoman"/>
          <w:i/>
          <w:iCs/>
          <w:snapToGrid/>
          <w:szCs w:val="22"/>
          <w:u w:val="single"/>
          <w:lang w:val="lt-LT"/>
        </w:rPr>
      </w:pPr>
      <w:r>
        <w:rPr>
          <w:rFonts w:eastAsia="TimesNewRoman"/>
          <w:i/>
          <w:iCs/>
          <w:snapToGrid/>
          <w:szCs w:val="22"/>
          <w:u w:val="single"/>
          <w:lang w:val="lt-LT"/>
        </w:rPr>
        <w:t>Susijusios su indapamidu:</w:t>
      </w:r>
    </w:p>
    <w:p w14:paraId="01BFBD90"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33D7E0C1"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Absorbcija</w:t>
      </w:r>
    </w:p>
    <w:p w14:paraId="7BD622BB"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Indapamidas greitai ir visas absorbuojamas iš virškinimo trakto.</w:t>
      </w:r>
    </w:p>
    <w:p w14:paraId="60FF4FE0"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 xml:space="preserve">Vaistinio preparato išgėrus, didžiausia koncentracija žmogaus kraujo plazmoje atsiranda maždaug per vieną valandą. </w:t>
      </w:r>
    </w:p>
    <w:p w14:paraId="3DA82C9A"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77C3DCD2"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Pasiskirstymas</w:t>
      </w:r>
    </w:p>
    <w:p w14:paraId="2FFB4C11"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Prie kraujo plazmos baltymų prisijungia 79 % indapamido.</w:t>
      </w:r>
    </w:p>
    <w:p w14:paraId="56A1F1AE"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1DC18152"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Biotransformacija ir eliminacija</w:t>
      </w:r>
    </w:p>
    <w:p w14:paraId="238AE9DA"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Pusinės eliminacijos laikas yra 14–24 val. (vidutiniškai 18 val.). Vartojant kartotines dozes, vaistinio preparato organizme nesikaupia. Šalinimas vyksta daugiausia su šlapimu (70 % dozės) ir išmatomis (22 %) neaktyvių metabolitų pavidalu.</w:t>
      </w:r>
    </w:p>
    <w:p w14:paraId="233A197A"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06F02987"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Ypatingos populiacijos</w:t>
      </w:r>
    </w:p>
    <w:p w14:paraId="4675C91B"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2FB0D8F7"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u w:val="single"/>
          <w:lang w:val="lt-LT"/>
        </w:rPr>
      </w:pPr>
      <w:r>
        <w:rPr>
          <w:rFonts w:eastAsia="TimesNewRoman"/>
          <w:snapToGrid/>
          <w:szCs w:val="22"/>
          <w:u w:val="single"/>
          <w:lang w:val="lt-LT"/>
        </w:rPr>
        <w:t>Inkstų funkcijos sutrikimas</w:t>
      </w:r>
    </w:p>
    <w:p w14:paraId="2E805280"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4"/>
          <w:lang w:val="lt-LT"/>
        </w:rPr>
      </w:pPr>
      <w:r>
        <w:rPr>
          <w:rFonts w:eastAsia="TimesNewRoman"/>
          <w:snapToGrid/>
          <w:szCs w:val="22"/>
          <w:lang w:val="lt-LT"/>
        </w:rPr>
        <w:t>Pacientų, sergančių inkstų nepakankamumu, organizme farmakokinetika nekinta.</w:t>
      </w:r>
    </w:p>
    <w:p w14:paraId="0BE9B904"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4"/>
          <w:lang w:val="lt-LT"/>
        </w:rPr>
      </w:pPr>
    </w:p>
    <w:p w14:paraId="206B90FE" w14:textId="77777777" w:rsidR="00C00DD1" w:rsidRDefault="00C260EB" w:rsidP="0006181B">
      <w:pPr>
        <w:widowControl w:val="0"/>
        <w:spacing w:line="240" w:lineRule="auto"/>
        <w:ind w:left="567" w:hanging="567"/>
        <w:outlineLvl w:val="2"/>
        <w:rPr>
          <w:b/>
          <w:snapToGrid/>
          <w:kern w:val="28"/>
          <w:szCs w:val="22"/>
          <w:lang w:val="lt-LT"/>
        </w:rPr>
      </w:pPr>
      <w:r>
        <w:rPr>
          <w:b/>
          <w:snapToGrid/>
          <w:kern w:val="28"/>
          <w:szCs w:val="22"/>
          <w:lang w:val="lt-LT"/>
        </w:rPr>
        <w:t>5.3</w:t>
      </w:r>
      <w:r>
        <w:rPr>
          <w:b/>
          <w:snapToGrid/>
          <w:kern w:val="28"/>
          <w:szCs w:val="22"/>
          <w:lang w:val="lt-LT"/>
        </w:rPr>
        <w:tab/>
        <w:t>Ikiklinikinių saugumo tyrimų duomenys</w:t>
      </w:r>
    </w:p>
    <w:p w14:paraId="59A61F23"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55056AC3"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Perindopril arginine/indapamide Krka toksiškumas yra šiek tiek didesnis negu atskirų veikliųjų medžiagų. Duomenų apie toksinio šių medžiagų derinio poveikio žiurkių inkstams sustiprėjimą negauta, tačiau pasireiškė toksinis poveikis šunų virškinimo traktui, be to, toksinis poveikis vaikingoms žiurkių patelėms buvo stipresnis nei sukeliamas vien perindoprilio.</w:t>
      </w:r>
    </w:p>
    <w:p w14:paraId="4BDDAE01"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Vis dėlto tokius nepageidaujamus reiškinius sukėlė dozės, kurios labai viršijo žmonėms skiriamą gydomąją dozę.</w:t>
      </w:r>
    </w:p>
    <w:p w14:paraId="12693D2C"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Ikiklinikiniai tyrimai, atlikti atskirai su perindopriliu ir indapamidu, neparodė genotoksinio ar karcinogeninio poveikio. Toksinio poveikio reprodukcijai tyrimai neparodė embriotoksinio ar teratogeninio poveikio ir poveikio vaisingumui.</w:t>
      </w:r>
    </w:p>
    <w:p w14:paraId="6A5C8E88"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7BD4F788"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34290D79" w14:textId="77777777" w:rsidR="00C00DD1" w:rsidRDefault="00C260EB" w:rsidP="0006181B">
      <w:pPr>
        <w:widowControl w:val="0"/>
        <w:spacing w:line="240" w:lineRule="auto"/>
        <w:ind w:left="567" w:hanging="567"/>
        <w:outlineLvl w:val="1"/>
        <w:rPr>
          <w:b/>
          <w:snapToGrid/>
          <w:szCs w:val="22"/>
          <w:lang w:val="lt-LT"/>
        </w:rPr>
      </w:pPr>
      <w:r>
        <w:rPr>
          <w:b/>
          <w:snapToGrid/>
          <w:szCs w:val="22"/>
          <w:lang w:val="lt-LT"/>
        </w:rPr>
        <w:t>6.</w:t>
      </w:r>
      <w:r>
        <w:rPr>
          <w:b/>
          <w:snapToGrid/>
          <w:szCs w:val="22"/>
          <w:lang w:val="lt-LT"/>
        </w:rPr>
        <w:tab/>
        <w:t>FARMACINĖ INFORMACIJA</w:t>
      </w:r>
    </w:p>
    <w:p w14:paraId="25F6B88B" w14:textId="77777777" w:rsidR="00C00DD1" w:rsidRDefault="00C00DD1" w:rsidP="0006181B">
      <w:pPr>
        <w:widowControl w:val="0"/>
        <w:tabs>
          <w:tab w:val="clear" w:pos="567"/>
        </w:tabs>
        <w:spacing w:line="240" w:lineRule="auto"/>
        <w:ind w:left="567" w:hanging="567"/>
        <w:rPr>
          <w:snapToGrid/>
          <w:szCs w:val="22"/>
          <w:lang w:val="lt-LT"/>
        </w:rPr>
      </w:pPr>
    </w:p>
    <w:p w14:paraId="05128152" w14:textId="77777777" w:rsidR="00C00DD1" w:rsidRDefault="00C260EB" w:rsidP="0006181B">
      <w:pPr>
        <w:widowControl w:val="0"/>
        <w:spacing w:line="240" w:lineRule="auto"/>
        <w:ind w:left="567" w:hanging="567"/>
        <w:outlineLvl w:val="2"/>
        <w:rPr>
          <w:b/>
          <w:snapToGrid/>
          <w:kern w:val="28"/>
          <w:szCs w:val="22"/>
          <w:lang w:val="lt-LT"/>
        </w:rPr>
      </w:pPr>
      <w:r>
        <w:rPr>
          <w:b/>
          <w:snapToGrid/>
          <w:kern w:val="28"/>
          <w:szCs w:val="22"/>
          <w:lang w:val="lt-LT"/>
        </w:rPr>
        <w:t>6.1</w:t>
      </w:r>
      <w:r>
        <w:rPr>
          <w:b/>
          <w:snapToGrid/>
          <w:kern w:val="28"/>
          <w:szCs w:val="22"/>
          <w:lang w:val="lt-LT"/>
        </w:rPr>
        <w:tab/>
        <w:t>Pagalbinių medžiagų sąrašas</w:t>
      </w:r>
    </w:p>
    <w:p w14:paraId="31F7CB94" w14:textId="77777777" w:rsidR="00C00DD1" w:rsidRDefault="00C00DD1" w:rsidP="0006181B">
      <w:pPr>
        <w:widowControl w:val="0"/>
        <w:tabs>
          <w:tab w:val="clear" w:pos="567"/>
        </w:tabs>
        <w:spacing w:line="240" w:lineRule="auto"/>
        <w:rPr>
          <w:snapToGrid/>
          <w:szCs w:val="22"/>
          <w:lang w:val="lt-LT"/>
        </w:rPr>
      </w:pPr>
    </w:p>
    <w:p w14:paraId="0A49CDBA" w14:textId="77777777" w:rsidR="00C00DD1" w:rsidRDefault="00C260EB" w:rsidP="0006181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Kalcio chloridas heksahidratas</w:t>
      </w:r>
    </w:p>
    <w:p w14:paraId="4C660DB2" w14:textId="77777777" w:rsidR="00C00DD1" w:rsidRDefault="00C260EB" w:rsidP="0006181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Mikrokristalinė celiuliozė (E460)</w:t>
      </w:r>
    </w:p>
    <w:p w14:paraId="02283731" w14:textId="77777777" w:rsidR="00C00DD1" w:rsidRDefault="00C260EB" w:rsidP="0006181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Silifikuota mikrokristalinė celiuliozė</w:t>
      </w:r>
    </w:p>
    <w:p w14:paraId="5BD9F7E4" w14:textId="77777777" w:rsidR="00C00DD1" w:rsidRDefault="00C260EB" w:rsidP="0006181B">
      <w:pPr>
        <w:widowControl w:val="0"/>
        <w:tabs>
          <w:tab w:val="clear" w:pos="567"/>
        </w:tabs>
        <w:spacing w:line="240" w:lineRule="auto"/>
        <w:ind w:left="567" w:hanging="283"/>
        <w:rPr>
          <w:rFonts w:eastAsia="TimesNewRoman"/>
          <w:snapToGrid/>
          <w:szCs w:val="22"/>
          <w:lang w:val="lt-LT"/>
        </w:rPr>
      </w:pPr>
      <w:r>
        <w:rPr>
          <w:rFonts w:eastAsia="TimesNewRoman"/>
          <w:snapToGrid/>
          <w:szCs w:val="22"/>
          <w:lang w:val="lt-LT"/>
        </w:rPr>
        <w:t>Mikrokristalinė celiuliozė (E460)</w:t>
      </w:r>
    </w:p>
    <w:p w14:paraId="5407BC4C" w14:textId="77777777" w:rsidR="00C00DD1" w:rsidRDefault="00C260EB" w:rsidP="0006181B">
      <w:pPr>
        <w:widowControl w:val="0"/>
        <w:tabs>
          <w:tab w:val="clear" w:pos="567"/>
        </w:tabs>
        <w:spacing w:line="240" w:lineRule="auto"/>
        <w:ind w:left="567" w:hanging="283"/>
        <w:rPr>
          <w:rFonts w:eastAsia="TimesNewRoman"/>
          <w:snapToGrid/>
          <w:szCs w:val="22"/>
          <w:lang w:val="lt-LT"/>
        </w:rPr>
      </w:pPr>
      <w:r>
        <w:rPr>
          <w:rFonts w:eastAsia="TimesNewRoman"/>
          <w:snapToGrid/>
          <w:szCs w:val="22"/>
          <w:lang w:val="lt-LT"/>
        </w:rPr>
        <w:t>Koloidinis silicio dioksidas, bevandenis</w:t>
      </w:r>
    </w:p>
    <w:p w14:paraId="47CF919E" w14:textId="77777777" w:rsidR="00C00DD1" w:rsidRDefault="00C260EB" w:rsidP="0006181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Pregelifikuotas krakmolas</w:t>
      </w:r>
    </w:p>
    <w:p w14:paraId="0112245B" w14:textId="77777777" w:rsidR="00C00DD1" w:rsidRDefault="00C260EB" w:rsidP="0006181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Natrio-vandenilio karbonatas</w:t>
      </w:r>
    </w:p>
    <w:p w14:paraId="30097540" w14:textId="77777777" w:rsidR="00C00DD1" w:rsidRDefault="00C260EB" w:rsidP="0006181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Koloidinis  silicio dioksidas, hidratuotas</w:t>
      </w:r>
    </w:p>
    <w:p w14:paraId="75E3E8F2" w14:textId="77777777" w:rsidR="00C00DD1" w:rsidRDefault="00C260EB" w:rsidP="0006181B">
      <w:pPr>
        <w:widowControl w:val="0"/>
        <w:tabs>
          <w:tab w:val="clear" w:pos="567"/>
        </w:tabs>
        <w:spacing w:line="240" w:lineRule="auto"/>
        <w:ind w:left="567" w:hanging="567"/>
        <w:rPr>
          <w:rFonts w:eastAsia="TimesNewRoman"/>
          <w:snapToGrid/>
          <w:szCs w:val="22"/>
          <w:lang w:val="lt-LT"/>
        </w:rPr>
      </w:pPr>
      <w:r>
        <w:rPr>
          <w:rFonts w:eastAsia="TimesNewRoman"/>
          <w:snapToGrid/>
          <w:szCs w:val="22"/>
          <w:lang w:val="lt-LT"/>
        </w:rPr>
        <w:t>Magnio stearatas (E470b)</w:t>
      </w:r>
    </w:p>
    <w:p w14:paraId="436C894F" w14:textId="77777777" w:rsidR="00C00DD1" w:rsidRDefault="00C00DD1" w:rsidP="0006181B">
      <w:pPr>
        <w:widowControl w:val="0"/>
        <w:tabs>
          <w:tab w:val="clear" w:pos="567"/>
        </w:tabs>
        <w:spacing w:line="240" w:lineRule="auto"/>
        <w:ind w:left="567" w:hanging="567"/>
        <w:rPr>
          <w:snapToGrid/>
          <w:szCs w:val="22"/>
          <w:lang w:val="lt-LT"/>
        </w:rPr>
      </w:pPr>
    </w:p>
    <w:p w14:paraId="35DC6175" w14:textId="77777777" w:rsidR="00C00DD1" w:rsidRDefault="00C260EB" w:rsidP="0006181B">
      <w:pPr>
        <w:widowControl w:val="0"/>
        <w:spacing w:line="240" w:lineRule="auto"/>
        <w:ind w:left="567" w:hanging="567"/>
        <w:outlineLvl w:val="2"/>
        <w:rPr>
          <w:b/>
          <w:snapToGrid/>
          <w:kern w:val="28"/>
          <w:szCs w:val="22"/>
          <w:lang w:val="lt-LT"/>
        </w:rPr>
      </w:pPr>
      <w:r>
        <w:rPr>
          <w:b/>
          <w:snapToGrid/>
          <w:kern w:val="28"/>
          <w:szCs w:val="22"/>
          <w:lang w:val="lt-LT"/>
        </w:rPr>
        <w:t>6.2</w:t>
      </w:r>
      <w:r>
        <w:rPr>
          <w:b/>
          <w:snapToGrid/>
          <w:kern w:val="28"/>
          <w:szCs w:val="22"/>
          <w:lang w:val="lt-LT"/>
        </w:rPr>
        <w:tab/>
        <w:t>Nesuderinamumas</w:t>
      </w:r>
    </w:p>
    <w:p w14:paraId="6293A376" w14:textId="77777777" w:rsidR="00C00DD1" w:rsidRPr="0006181B" w:rsidRDefault="00C00DD1" w:rsidP="0006181B">
      <w:pPr>
        <w:widowControl w:val="0"/>
        <w:tabs>
          <w:tab w:val="clear" w:pos="567"/>
        </w:tabs>
        <w:spacing w:line="240" w:lineRule="auto"/>
        <w:ind w:left="567" w:hanging="567"/>
        <w:rPr>
          <w:snapToGrid/>
          <w:sz w:val="16"/>
          <w:szCs w:val="16"/>
          <w:lang w:val="lt-LT"/>
        </w:rPr>
      </w:pPr>
    </w:p>
    <w:p w14:paraId="54F2DD87" w14:textId="77777777"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Duomenys nebūtini.</w:t>
      </w:r>
    </w:p>
    <w:p w14:paraId="042960F5" w14:textId="77777777" w:rsidR="00C00DD1" w:rsidRDefault="00C00DD1" w:rsidP="0006181B">
      <w:pPr>
        <w:widowControl w:val="0"/>
        <w:tabs>
          <w:tab w:val="clear" w:pos="567"/>
        </w:tabs>
        <w:spacing w:line="240" w:lineRule="auto"/>
        <w:ind w:left="567" w:hanging="567"/>
        <w:rPr>
          <w:snapToGrid/>
          <w:szCs w:val="22"/>
          <w:lang w:val="lt-LT"/>
        </w:rPr>
      </w:pPr>
    </w:p>
    <w:p w14:paraId="42795379" w14:textId="77777777" w:rsidR="00C00DD1" w:rsidRDefault="00C260EB" w:rsidP="0006181B">
      <w:pPr>
        <w:widowControl w:val="0"/>
        <w:spacing w:line="240" w:lineRule="auto"/>
        <w:ind w:left="567" w:hanging="567"/>
        <w:outlineLvl w:val="2"/>
        <w:rPr>
          <w:b/>
          <w:snapToGrid/>
          <w:kern w:val="28"/>
          <w:szCs w:val="22"/>
          <w:lang w:val="lt-LT"/>
        </w:rPr>
      </w:pPr>
      <w:r>
        <w:rPr>
          <w:b/>
          <w:snapToGrid/>
          <w:kern w:val="28"/>
          <w:szCs w:val="22"/>
          <w:lang w:val="lt-LT"/>
        </w:rPr>
        <w:t>6.3</w:t>
      </w:r>
      <w:r>
        <w:rPr>
          <w:b/>
          <w:snapToGrid/>
          <w:kern w:val="28"/>
          <w:szCs w:val="22"/>
          <w:lang w:val="lt-LT"/>
        </w:rPr>
        <w:tab/>
        <w:t>Tinkamumo laikas</w:t>
      </w:r>
    </w:p>
    <w:p w14:paraId="438412D6" w14:textId="77777777" w:rsidR="00C00DD1" w:rsidRPr="0006181B" w:rsidRDefault="00C00DD1" w:rsidP="0006181B">
      <w:pPr>
        <w:widowControl w:val="0"/>
        <w:tabs>
          <w:tab w:val="clear" w:pos="567"/>
        </w:tabs>
        <w:spacing w:line="240" w:lineRule="auto"/>
        <w:ind w:left="567" w:hanging="567"/>
        <w:rPr>
          <w:snapToGrid/>
          <w:sz w:val="16"/>
          <w:szCs w:val="16"/>
          <w:lang w:val="lt-LT"/>
        </w:rPr>
      </w:pPr>
    </w:p>
    <w:p w14:paraId="3CD37954" w14:textId="495CA53A"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3 metai.</w:t>
      </w:r>
    </w:p>
    <w:p w14:paraId="17E26056" w14:textId="77777777" w:rsidR="00C00DD1" w:rsidRDefault="00C00DD1" w:rsidP="0006181B">
      <w:pPr>
        <w:widowControl w:val="0"/>
        <w:tabs>
          <w:tab w:val="clear" w:pos="567"/>
        </w:tabs>
        <w:spacing w:line="240" w:lineRule="auto"/>
        <w:rPr>
          <w:snapToGrid/>
          <w:szCs w:val="22"/>
          <w:lang w:val="lt-LT"/>
        </w:rPr>
      </w:pPr>
    </w:p>
    <w:p w14:paraId="62968E65" w14:textId="77777777" w:rsidR="00C00DD1" w:rsidRDefault="00C260EB" w:rsidP="0006181B">
      <w:pPr>
        <w:widowControl w:val="0"/>
        <w:spacing w:line="240" w:lineRule="auto"/>
        <w:ind w:left="567" w:hanging="567"/>
        <w:outlineLvl w:val="2"/>
        <w:rPr>
          <w:b/>
          <w:snapToGrid/>
          <w:kern w:val="28"/>
          <w:szCs w:val="22"/>
          <w:lang w:val="lt-LT"/>
        </w:rPr>
      </w:pPr>
      <w:r>
        <w:rPr>
          <w:b/>
          <w:snapToGrid/>
          <w:kern w:val="28"/>
          <w:szCs w:val="22"/>
          <w:lang w:val="lt-LT"/>
        </w:rPr>
        <w:t>6.4</w:t>
      </w:r>
      <w:r>
        <w:rPr>
          <w:b/>
          <w:snapToGrid/>
          <w:kern w:val="28"/>
          <w:szCs w:val="22"/>
          <w:lang w:val="lt-LT"/>
        </w:rPr>
        <w:tab/>
        <w:t>Specialios laikymo sąlygos</w:t>
      </w:r>
    </w:p>
    <w:p w14:paraId="44E199A6" w14:textId="77777777" w:rsidR="00C00DD1" w:rsidRDefault="00C00DD1" w:rsidP="0006181B">
      <w:pPr>
        <w:widowControl w:val="0"/>
        <w:tabs>
          <w:tab w:val="clear" w:pos="567"/>
        </w:tabs>
        <w:spacing w:line="240" w:lineRule="auto"/>
        <w:rPr>
          <w:i/>
          <w:iCs/>
          <w:snapToGrid/>
          <w:szCs w:val="22"/>
          <w:lang w:val="lt-LT"/>
        </w:rPr>
      </w:pPr>
    </w:p>
    <w:p w14:paraId="1DD050CB" w14:textId="77777777" w:rsidR="00C00DD1" w:rsidRDefault="00C260EB" w:rsidP="0006181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vaistinis preparatas būtų apsaugotas nuo šviesos.</w:t>
      </w:r>
    </w:p>
    <w:p w14:paraId="5BB84D44" w14:textId="77777777" w:rsidR="00C00DD1" w:rsidRDefault="00C260EB" w:rsidP="0006181B">
      <w:pPr>
        <w:widowControl w:val="0"/>
        <w:tabs>
          <w:tab w:val="clear" w:pos="567"/>
        </w:tabs>
        <w:spacing w:line="240" w:lineRule="auto"/>
        <w:rPr>
          <w:rFonts w:eastAsia="TimesNewRoman"/>
          <w:snapToGrid/>
          <w:szCs w:val="22"/>
          <w:lang w:val="lt-LT"/>
        </w:rPr>
      </w:pPr>
      <w:r>
        <w:rPr>
          <w:rFonts w:eastAsia="TimesNewRoman"/>
          <w:snapToGrid/>
          <w:szCs w:val="22"/>
          <w:lang w:val="lt-LT"/>
        </w:rPr>
        <w:t>Šiam vaistiniam preparatui specialių temperatūros laikymo sąlygų nereikia.</w:t>
      </w:r>
    </w:p>
    <w:p w14:paraId="48791B85" w14:textId="77777777" w:rsidR="00C00DD1" w:rsidRDefault="00C00DD1" w:rsidP="0006181B">
      <w:pPr>
        <w:widowControl w:val="0"/>
        <w:tabs>
          <w:tab w:val="clear" w:pos="567"/>
        </w:tabs>
        <w:spacing w:line="240" w:lineRule="auto"/>
        <w:ind w:left="567" w:hanging="567"/>
        <w:rPr>
          <w:snapToGrid/>
          <w:szCs w:val="22"/>
          <w:lang w:val="lt-LT"/>
        </w:rPr>
      </w:pPr>
    </w:p>
    <w:p w14:paraId="692193C8" w14:textId="77777777" w:rsidR="00C00DD1" w:rsidRDefault="00C260EB" w:rsidP="0006181B">
      <w:pPr>
        <w:widowControl w:val="0"/>
        <w:spacing w:line="240" w:lineRule="auto"/>
        <w:ind w:left="567" w:hanging="567"/>
        <w:outlineLvl w:val="2"/>
        <w:rPr>
          <w:b/>
          <w:snapToGrid/>
          <w:kern w:val="28"/>
          <w:szCs w:val="22"/>
          <w:lang w:val="lt-LT"/>
        </w:rPr>
      </w:pPr>
      <w:r>
        <w:rPr>
          <w:b/>
          <w:snapToGrid/>
          <w:kern w:val="28"/>
          <w:szCs w:val="22"/>
          <w:lang w:val="lt-LT"/>
        </w:rPr>
        <w:t>6.5</w:t>
      </w:r>
      <w:r>
        <w:rPr>
          <w:b/>
          <w:snapToGrid/>
          <w:kern w:val="28"/>
          <w:szCs w:val="22"/>
          <w:lang w:val="lt-LT"/>
        </w:rPr>
        <w:tab/>
        <w:t>Talpyklės pobūdis ir jos turinys</w:t>
      </w:r>
    </w:p>
    <w:p w14:paraId="482F5106" w14:textId="77777777" w:rsidR="00C00DD1" w:rsidRDefault="00C00DD1" w:rsidP="0006181B">
      <w:pPr>
        <w:widowControl w:val="0"/>
        <w:tabs>
          <w:tab w:val="clear" w:pos="567"/>
        </w:tabs>
        <w:spacing w:line="240" w:lineRule="auto"/>
        <w:ind w:left="567" w:hanging="567"/>
        <w:rPr>
          <w:snapToGrid/>
          <w:szCs w:val="22"/>
          <w:lang w:val="lt-LT"/>
        </w:rPr>
      </w:pPr>
    </w:p>
    <w:p w14:paraId="5A442633"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Lizdinė plokštelė (OPA/Aliuminio/PVC//Aliuminio): 10, 30, 60, 90 ir 100 tablečių dėžutėje.</w:t>
      </w:r>
    </w:p>
    <w:p w14:paraId="037A5643" w14:textId="77777777" w:rsidR="00C00DD1" w:rsidRDefault="00C00DD1" w:rsidP="0006181B">
      <w:pPr>
        <w:widowControl w:val="0"/>
        <w:tabs>
          <w:tab w:val="clear" w:pos="567"/>
        </w:tabs>
        <w:autoSpaceDE w:val="0"/>
        <w:autoSpaceDN w:val="0"/>
        <w:adjustRightInd w:val="0"/>
        <w:spacing w:line="240" w:lineRule="auto"/>
        <w:rPr>
          <w:rFonts w:eastAsia="TimesNewRoman"/>
          <w:snapToGrid/>
          <w:szCs w:val="22"/>
          <w:lang w:val="lt-LT"/>
        </w:rPr>
      </w:pPr>
    </w:p>
    <w:p w14:paraId="074BF2C1" w14:textId="77777777" w:rsidR="00C00DD1" w:rsidRDefault="00C260EB" w:rsidP="0006181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07AC8240" w14:textId="77777777" w:rsidR="00C00DD1" w:rsidRDefault="00C00DD1" w:rsidP="0006181B">
      <w:pPr>
        <w:widowControl w:val="0"/>
        <w:tabs>
          <w:tab w:val="clear" w:pos="567"/>
        </w:tabs>
        <w:spacing w:line="240" w:lineRule="auto"/>
        <w:ind w:left="567" w:hanging="567"/>
        <w:rPr>
          <w:snapToGrid/>
          <w:szCs w:val="22"/>
          <w:lang w:val="lt-LT"/>
        </w:rPr>
      </w:pPr>
    </w:p>
    <w:p w14:paraId="000D8435" w14:textId="77777777" w:rsidR="00C00DD1" w:rsidRDefault="00C260EB" w:rsidP="0006181B">
      <w:pPr>
        <w:widowControl w:val="0"/>
        <w:spacing w:line="240" w:lineRule="auto"/>
        <w:ind w:left="567" w:hanging="567"/>
        <w:outlineLvl w:val="2"/>
        <w:rPr>
          <w:snapToGrid/>
          <w:szCs w:val="22"/>
          <w:lang w:val="lt-LT"/>
        </w:rPr>
      </w:pPr>
      <w:r>
        <w:rPr>
          <w:b/>
          <w:snapToGrid/>
          <w:kern w:val="28"/>
          <w:szCs w:val="22"/>
          <w:lang w:val="lt-LT"/>
        </w:rPr>
        <w:t>6.6</w:t>
      </w:r>
      <w:r>
        <w:rPr>
          <w:b/>
          <w:snapToGrid/>
          <w:kern w:val="28"/>
          <w:szCs w:val="22"/>
          <w:lang w:val="lt-LT"/>
        </w:rPr>
        <w:tab/>
        <w:t>Specialūs reikalavimai atliekoms tvarkyti</w:t>
      </w:r>
    </w:p>
    <w:p w14:paraId="21958626" w14:textId="77777777" w:rsidR="00C00DD1" w:rsidRDefault="00C00DD1" w:rsidP="0006181B">
      <w:pPr>
        <w:widowControl w:val="0"/>
        <w:tabs>
          <w:tab w:val="clear" w:pos="567"/>
        </w:tabs>
        <w:spacing w:line="240" w:lineRule="auto"/>
        <w:rPr>
          <w:snapToGrid/>
          <w:szCs w:val="22"/>
          <w:lang w:val="lt-LT"/>
        </w:rPr>
      </w:pPr>
    </w:p>
    <w:p w14:paraId="00482FAF" w14:textId="77777777"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Nesuvartotą vaistinį preparatą ar atliekas reikia tvarkyti laikantis vietinių reikalavimų.</w:t>
      </w:r>
    </w:p>
    <w:p w14:paraId="6C59FF73" w14:textId="77777777" w:rsidR="00C00DD1" w:rsidRDefault="00C00DD1" w:rsidP="0006181B">
      <w:pPr>
        <w:widowControl w:val="0"/>
        <w:tabs>
          <w:tab w:val="clear" w:pos="567"/>
        </w:tabs>
        <w:spacing w:line="240" w:lineRule="auto"/>
        <w:ind w:left="567" w:hanging="567"/>
        <w:rPr>
          <w:snapToGrid/>
          <w:szCs w:val="22"/>
          <w:lang w:val="lt-LT"/>
        </w:rPr>
      </w:pPr>
    </w:p>
    <w:p w14:paraId="53A9C56E" w14:textId="77777777" w:rsidR="00C00DD1" w:rsidRDefault="00C00DD1" w:rsidP="0006181B">
      <w:pPr>
        <w:widowControl w:val="0"/>
        <w:tabs>
          <w:tab w:val="clear" w:pos="567"/>
        </w:tabs>
        <w:spacing w:line="240" w:lineRule="auto"/>
        <w:ind w:left="567" w:hanging="567"/>
        <w:rPr>
          <w:snapToGrid/>
          <w:szCs w:val="22"/>
          <w:lang w:val="lt-LT"/>
        </w:rPr>
      </w:pPr>
    </w:p>
    <w:p w14:paraId="3307EF58" w14:textId="77777777" w:rsidR="00C00DD1" w:rsidRDefault="00C260EB" w:rsidP="0006181B">
      <w:pPr>
        <w:widowControl w:val="0"/>
        <w:spacing w:line="240" w:lineRule="auto"/>
        <w:ind w:left="567" w:hanging="567"/>
        <w:outlineLvl w:val="1"/>
        <w:rPr>
          <w:b/>
          <w:snapToGrid/>
          <w:szCs w:val="22"/>
          <w:lang w:val="lt-LT"/>
        </w:rPr>
      </w:pPr>
      <w:r>
        <w:rPr>
          <w:b/>
          <w:snapToGrid/>
          <w:szCs w:val="22"/>
          <w:lang w:val="lt-LT"/>
        </w:rPr>
        <w:t>7.</w:t>
      </w:r>
      <w:r>
        <w:rPr>
          <w:b/>
          <w:snapToGrid/>
          <w:szCs w:val="22"/>
          <w:lang w:val="lt-LT"/>
        </w:rPr>
        <w:tab/>
        <w:t>REGISTRUOTOJAS</w:t>
      </w:r>
    </w:p>
    <w:p w14:paraId="5275C967" w14:textId="77777777" w:rsidR="00C00DD1" w:rsidRDefault="00C00DD1" w:rsidP="0006181B">
      <w:pPr>
        <w:widowControl w:val="0"/>
        <w:tabs>
          <w:tab w:val="clear" w:pos="567"/>
        </w:tabs>
        <w:spacing w:line="240" w:lineRule="auto"/>
        <w:rPr>
          <w:snapToGrid/>
          <w:szCs w:val="22"/>
          <w:lang w:val="lt-LT"/>
        </w:rPr>
      </w:pPr>
    </w:p>
    <w:p w14:paraId="0BBC445F" w14:textId="77777777" w:rsidR="00C00DD1" w:rsidRDefault="00C260EB" w:rsidP="0006181B">
      <w:pPr>
        <w:widowControl w:val="0"/>
        <w:tabs>
          <w:tab w:val="clear" w:pos="567"/>
          <w:tab w:val="left" w:pos="540"/>
        </w:tabs>
        <w:spacing w:line="240" w:lineRule="auto"/>
        <w:rPr>
          <w:rFonts w:eastAsia="Calibri"/>
          <w:snapToGrid/>
          <w:szCs w:val="22"/>
          <w:lang w:val="lt-LT"/>
        </w:rPr>
      </w:pPr>
      <w:r>
        <w:rPr>
          <w:rFonts w:eastAsia="Calibri"/>
          <w:snapToGrid/>
          <w:szCs w:val="22"/>
          <w:lang w:val="lt-LT"/>
        </w:rPr>
        <w:t>KRKA d.d. Novo mesto, Šmarješka cesta 6,8501 Novo mesto, Slovėnija</w:t>
      </w:r>
    </w:p>
    <w:p w14:paraId="50979CB8" w14:textId="77777777" w:rsidR="00C00DD1" w:rsidRDefault="00C00DD1" w:rsidP="0006181B">
      <w:pPr>
        <w:widowControl w:val="0"/>
        <w:tabs>
          <w:tab w:val="clear" w:pos="567"/>
        </w:tabs>
        <w:spacing w:line="240" w:lineRule="auto"/>
        <w:rPr>
          <w:snapToGrid/>
          <w:szCs w:val="22"/>
          <w:lang w:val="lt-LT"/>
        </w:rPr>
      </w:pPr>
    </w:p>
    <w:p w14:paraId="63641F20" w14:textId="77777777" w:rsidR="00C00DD1" w:rsidRDefault="00C00DD1" w:rsidP="0006181B">
      <w:pPr>
        <w:widowControl w:val="0"/>
        <w:tabs>
          <w:tab w:val="clear" w:pos="567"/>
        </w:tabs>
        <w:spacing w:line="240" w:lineRule="auto"/>
        <w:ind w:left="567" w:hanging="567"/>
        <w:rPr>
          <w:snapToGrid/>
          <w:szCs w:val="22"/>
          <w:lang w:val="lt-LT"/>
        </w:rPr>
      </w:pPr>
    </w:p>
    <w:p w14:paraId="130AF821" w14:textId="77777777" w:rsidR="00C00DD1" w:rsidRDefault="00C260EB" w:rsidP="0006181B">
      <w:pPr>
        <w:widowControl w:val="0"/>
        <w:spacing w:line="240" w:lineRule="auto"/>
        <w:ind w:left="567" w:hanging="567"/>
        <w:outlineLvl w:val="1"/>
        <w:rPr>
          <w:b/>
          <w:snapToGrid/>
          <w:szCs w:val="22"/>
          <w:lang w:val="lt-LT"/>
        </w:rPr>
      </w:pPr>
      <w:r>
        <w:rPr>
          <w:b/>
          <w:snapToGrid/>
          <w:szCs w:val="22"/>
          <w:lang w:val="lt-LT"/>
        </w:rPr>
        <w:t>8.</w:t>
      </w:r>
      <w:r>
        <w:rPr>
          <w:b/>
          <w:snapToGrid/>
          <w:szCs w:val="22"/>
          <w:lang w:val="lt-LT"/>
        </w:rPr>
        <w:tab/>
        <w:t>REGISTRACIJOS PAŽYMĖJIMO NUMERIS (</w:t>
      </w:r>
      <w:r>
        <w:rPr>
          <w:b/>
          <w:snapToGrid/>
          <w:szCs w:val="22"/>
          <w:lang w:val="lt-LT"/>
        </w:rPr>
        <w:noBreakHyphen/>
        <w:t>IAI)</w:t>
      </w:r>
    </w:p>
    <w:p w14:paraId="26DDB3E0" w14:textId="77777777" w:rsidR="00C00DD1" w:rsidRDefault="00C00DD1" w:rsidP="0006181B">
      <w:pPr>
        <w:widowControl w:val="0"/>
        <w:tabs>
          <w:tab w:val="clear" w:pos="567"/>
        </w:tabs>
        <w:spacing w:line="240" w:lineRule="auto"/>
        <w:rPr>
          <w:i/>
          <w:snapToGrid/>
          <w:szCs w:val="22"/>
          <w:lang w:val="lt-LT"/>
        </w:rPr>
      </w:pPr>
    </w:p>
    <w:p w14:paraId="224A6075" w14:textId="77777777"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LT/1/22/4877/001 – N10</w:t>
      </w:r>
    </w:p>
    <w:p w14:paraId="1A63384E" w14:textId="77777777"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LT/1/22/4877/002 – N30</w:t>
      </w:r>
    </w:p>
    <w:p w14:paraId="6B73CCF8" w14:textId="77777777"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LT/1/22/4877/003 – N60</w:t>
      </w:r>
    </w:p>
    <w:p w14:paraId="548B2E9E" w14:textId="77777777"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LT/1/22/4877/004 – N90</w:t>
      </w:r>
    </w:p>
    <w:p w14:paraId="7A884C38" w14:textId="77777777" w:rsidR="00C00DD1" w:rsidRDefault="00C260EB" w:rsidP="0006181B">
      <w:pPr>
        <w:widowControl w:val="0"/>
        <w:tabs>
          <w:tab w:val="clear" w:pos="567"/>
        </w:tabs>
        <w:spacing w:line="240" w:lineRule="auto"/>
        <w:ind w:left="567" w:hanging="567"/>
        <w:rPr>
          <w:snapToGrid/>
          <w:szCs w:val="22"/>
          <w:lang w:val="lt-LT"/>
        </w:rPr>
      </w:pPr>
      <w:r>
        <w:rPr>
          <w:snapToGrid/>
          <w:szCs w:val="22"/>
          <w:lang w:val="lt-LT"/>
        </w:rPr>
        <w:t>LT/1/22/4877/005 – N100</w:t>
      </w:r>
    </w:p>
    <w:p w14:paraId="59E104F7" w14:textId="77777777" w:rsidR="00C00DD1" w:rsidRDefault="00C00DD1" w:rsidP="0006181B">
      <w:pPr>
        <w:widowControl w:val="0"/>
        <w:tabs>
          <w:tab w:val="clear" w:pos="567"/>
        </w:tabs>
        <w:spacing w:line="240" w:lineRule="auto"/>
        <w:ind w:left="567" w:hanging="567"/>
        <w:rPr>
          <w:snapToGrid/>
          <w:szCs w:val="22"/>
          <w:lang w:val="lt-LT"/>
        </w:rPr>
      </w:pPr>
    </w:p>
    <w:p w14:paraId="2888650D" w14:textId="77777777" w:rsidR="00C00DD1" w:rsidRDefault="00C00DD1" w:rsidP="0006181B">
      <w:pPr>
        <w:widowControl w:val="0"/>
        <w:tabs>
          <w:tab w:val="clear" w:pos="567"/>
        </w:tabs>
        <w:spacing w:line="240" w:lineRule="auto"/>
        <w:ind w:left="567" w:hanging="567"/>
        <w:rPr>
          <w:snapToGrid/>
          <w:szCs w:val="22"/>
          <w:lang w:val="lt-LT"/>
        </w:rPr>
      </w:pPr>
    </w:p>
    <w:p w14:paraId="13997E17" w14:textId="77777777" w:rsidR="00C00DD1" w:rsidRDefault="00C260EB" w:rsidP="0006181B">
      <w:pPr>
        <w:widowControl w:val="0"/>
        <w:spacing w:line="240" w:lineRule="auto"/>
        <w:ind w:left="567" w:hanging="567"/>
        <w:outlineLvl w:val="1"/>
        <w:rPr>
          <w:b/>
          <w:snapToGrid/>
          <w:szCs w:val="22"/>
          <w:lang w:val="lt-LT"/>
        </w:rPr>
      </w:pPr>
      <w:r>
        <w:rPr>
          <w:b/>
          <w:snapToGrid/>
          <w:szCs w:val="22"/>
          <w:lang w:val="lt-LT"/>
        </w:rPr>
        <w:t>9.</w:t>
      </w:r>
      <w:r>
        <w:rPr>
          <w:b/>
          <w:snapToGrid/>
          <w:szCs w:val="22"/>
          <w:lang w:val="lt-LT"/>
        </w:rPr>
        <w:tab/>
        <w:t>REGISTRAVIMO / PERREGISTRAVIMO DATA</w:t>
      </w:r>
    </w:p>
    <w:p w14:paraId="0286EE15" w14:textId="77777777" w:rsidR="00C00DD1" w:rsidRDefault="00C00DD1" w:rsidP="0006181B">
      <w:pPr>
        <w:widowControl w:val="0"/>
        <w:tabs>
          <w:tab w:val="clear" w:pos="567"/>
        </w:tabs>
        <w:spacing w:line="240" w:lineRule="auto"/>
        <w:ind w:left="567" w:hanging="567"/>
        <w:rPr>
          <w:bCs/>
          <w:caps/>
          <w:snapToGrid/>
          <w:szCs w:val="22"/>
          <w:lang w:val="lt-LT"/>
        </w:rPr>
      </w:pPr>
    </w:p>
    <w:p w14:paraId="0D68582D" w14:textId="77777777" w:rsidR="00C00DD1" w:rsidRDefault="00C260EB" w:rsidP="0006181B">
      <w:pPr>
        <w:widowControl w:val="0"/>
        <w:tabs>
          <w:tab w:val="clear" w:pos="567"/>
        </w:tabs>
        <w:spacing w:line="240" w:lineRule="auto"/>
        <w:rPr>
          <w:noProof/>
          <w:szCs w:val="24"/>
          <w:lang w:val="lt-LT"/>
        </w:rPr>
      </w:pPr>
      <w:r>
        <w:rPr>
          <w:szCs w:val="22"/>
          <w:lang w:val="lt-LT"/>
        </w:rPr>
        <w:t xml:space="preserve">Registravimo data </w:t>
      </w:r>
      <w:r>
        <w:rPr>
          <w:noProof/>
          <w:szCs w:val="24"/>
          <w:lang w:val="lt-LT"/>
        </w:rPr>
        <w:t>2022 m. sausio 17 d.</w:t>
      </w:r>
    </w:p>
    <w:p w14:paraId="040302B5" w14:textId="77777777" w:rsidR="0006181B" w:rsidRDefault="0006181B" w:rsidP="0006181B">
      <w:pPr>
        <w:widowControl w:val="0"/>
        <w:tabs>
          <w:tab w:val="clear" w:pos="567"/>
        </w:tabs>
        <w:spacing w:line="240" w:lineRule="auto"/>
        <w:rPr>
          <w:snapToGrid/>
          <w:szCs w:val="22"/>
          <w:lang w:val="lt-LT"/>
        </w:rPr>
      </w:pPr>
      <w:r w:rsidRPr="00A1314F">
        <w:rPr>
          <w:noProof/>
          <w:szCs w:val="22"/>
          <w:lang w:val="lt-LT" w:eastAsia="lt-LT" w:bidi="lt-LT"/>
        </w:rPr>
        <w:t>Paskutinio perregistravimo data</w:t>
      </w:r>
      <w:r>
        <w:rPr>
          <w:noProof/>
          <w:szCs w:val="22"/>
          <w:lang w:val="lt-LT" w:eastAsia="lt-LT" w:bidi="lt-LT"/>
        </w:rPr>
        <w:t xml:space="preserve"> 2026 m. liepos 17 d.</w:t>
      </w:r>
    </w:p>
    <w:p w14:paraId="770B60D5" w14:textId="77777777" w:rsidR="00C00DD1" w:rsidRDefault="00C00DD1" w:rsidP="0006181B">
      <w:pPr>
        <w:widowControl w:val="0"/>
        <w:tabs>
          <w:tab w:val="clear" w:pos="567"/>
        </w:tabs>
        <w:spacing w:line="240" w:lineRule="auto"/>
        <w:rPr>
          <w:snapToGrid/>
          <w:szCs w:val="22"/>
          <w:lang w:val="lt-LT"/>
        </w:rPr>
      </w:pPr>
    </w:p>
    <w:p w14:paraId="0A8EBBDA" w14:textId="77777777" w:rsidR="00C00DD1" w:rsidRDefault="00C00DD1" w:rsidP="0006181B">
      <w:pPr>
        <w:widowControl w:val="0"/>
        <w:tabs>
          <w:tab w:val="clear" w:pos="567"/>
        </w:tabs>
        <w:spacing w:line="240" w:lineRule="auto"/>
        <w:ind w:left="567" w:hanging="567"/>
        <w:rPr>
          <w:snapToGrid/>
          <w:szCs w:val="22"/>
          <w:lang w:val="lt-LT"/>
        </w:rPr>
      </w:pPr>
    </w:p>
    <w:p w14:paraId="20C94009" w14:textId="77777777" w:rsidR="00C00DD1" w:rsidRDefault="00C260EB" w:rsidP="0006181B">
      <w:pPr>
        <w:widowControl w:val="0"/>
        <w:spacing w:line="240" w:lineRule="auto"/>
        <w:ind w:left="567" w:hanging="567"/>
        <w:outlineLvl w:val="1"/>
        <w:rPr>
          <w:b/>
          <w:snapToGrid/>
          <w:szCs w:val="22"/>
          <w:lang w:val="lt-LT"/>
        </w:rPr>
      </w:pPr>
      <w:r>
        <w:rPr>
          <w:b/>
          <w:snapToGrid/>
          <w:szCs w:val="22"/>
          <w:lang w:val="lt-LT"/>
        </w:rPr>
        <w:t>10.</w:t>
      </w:r>
      <w:r>
        <w:rPr>
          <w:b/>
          <w:snapToGrid/>
          <w:szCs w:val="22"/>
          <w:lang w:val="lt-LT"/>
        </w:rPr>
        <w:tab/>
        <w:t>TEKSTO PERŽIŪROS DATA</w:t>
      </w:r>
    </w:p>
    <w:p w14:paraId="63AA68B1" w14:textId="77777777" w:rsidR="00C00DD1" w:rsidRDefault="00C00DD1" w:rsidP="0006181B">
      <w:pPr>
        <w:widowControl w:val="0"/>
        <w:tabs>
          <w:tab w:val="clear" w:pos="567"/>
        </w:tabs>
        <w:spacing w:line="240" w:lineRule="auto"/>
        <w:ind w:left="567" w:hanging="567"/>
        <w:rPr>
          <w:bCs/>
          <w:caps/>
          <w:snapToGrid/>
          <w:szCs w:val="22"/>
          <w:lang w:val="lt-LT"/>
        </w:rPr>
      </w:pPr>
    </w:p>
    <w:p w14:paraId="1B7F3CD3" w14:textId="6132BABA" w:rsidR="00C00DD1" w:rsidRDefault="0006181B" w:rsidP="0006181B">
      <w:pPr>
        <w:widowControl w:val="0"/>
        <w:tabs>
          <w:tab w:val="clear" w:pos="567"/>
        </w:tabs>
        <w:spacing w:line="240" w:lineRule="auto"/>
        <w:ind w:left="567" w:hanging="567"/>
        <w:rPr>
          <w:noProof/>
          <w:szCs w:val="24"/>
          <w:lang w:val="lt-LT"/>
        </w:rPr>
      </w:pPr>
      <w:r>
        <w:rPr>
          <w:noProof/>
          <w:szCs w:val="24"/>
          <w:lang w:val="lt-LT"/>
        </w:rPr>
        <w:t>2026 m. liepos 17 d.</w:t>
      </w:r>
    </w:p>
    <w:p w14:paraId="7B4D1B0D" w14:textId="77777777" w:rsidR="00C00DD1" w:rsidRDefault="00C00DD1">
      <w:pPr>
        <w:widowControl w:val="0"/>
        <w:tabs>
          <w:tab w:val="clear" w:pos="567"/>
        </w:tabs>
        <w:spacing w:line="240" w:lineRule="auto"/>
        <w:ind w:left="567" w:hanging="567"/>
        <w:rPr>
          <w:noProof/>
          <w:szCs w:val="24"/>
          <w:lang w:val="lt-LT"/>
        </w:rPr>
      </w:pPr>
    </w:p>
    <w:p w14:paraId="5813CEF6" w14:textId="77777777" w:rsidR="00C00DD1" w:rsidRDefault="00C00DD1">
      <w:pPr>
        <w:widowControl w:val="0"/>
        <w:tabs>
          <w:tab w:val="clear" w:pos="567"/>
        </w:tabs>
        <w:spacing w:line="240" w:lineRule="auto"/>
        <w:ind w:left="567" w:hanging="567"/>
        <w:rPr>
          <w:bCs/>
          <w:caps/>
          <w:snapToGrid/>
          <w:szCs w:val="22"/>
          <w:lang w:val="lt-LT"/>
        </w:rPr>
      </w:pPr>
    </w:p>
    <w:p w14:paraId="0AF79C58" w14:textId="77777777" w:rsidR="00C00DD1" w:rsidRDefault="00C260EB">
      <w:pPr>
        <w:widowControl w:val="0"/>
        <w:tabs>
          <w:tab w:val="clear" w:pos="567"/>
          <w:tab w:val="left" w:pos="5954"/>
          <w:tab w:val="left" w:pos="6237"/>
          <w:tab w:val="left" w:pos="6663"/>
          <w:tab w:val="left" w:pos="6946"/>
        </w:tabs>
        <w:spacing w:line="240" w:lineRule="auto"/>
        <w:rPr>
          <w:snapToGrid/>
          <w:szCs w:val="22"/>
          <w:lang w:val="lt-LT"/>
        </w:rPr>
      </w:pPr>
      <w:r>
        <w:rPr>
          <w:rFonts w:eastAsia="SimSun"/>
          <w:snapToGrid/>
          <w:szCs w:val="22"/>
          <w:lang w:val="lt-LT"/>
        </w:rPr>
        <w:t>Išsami informacija apie šį vaistinį preparatą pateikiama Valstybinės vaistų kontrolės tarnybos prie Lietuvos Respublikos sveikatos apsaugos ministerijos tinklalapyje</w:t>
      </w:r>
      <w:r>
        <w:rPr>
          <w:rFonts w:eastAsia="SimSun"/>
          <w:i/>
          <w:snapToGrid/>
          <w:szCs w:val="22"/>
          <w:lang w:val="lt-LT"/>
        </w:rPr>
        <w:t xml:space="preserve"> </w:t>
      </w:r>
      <w:hyperlink r:id="rId10" w:history="1">
        <w:r>
          <w:rPr>
            <w:rFonts w:eastAsia="SimSun"/>
            <w:snapToGrid/>
            <w:color w:val="0000FF"/>
            <w:szCs w:val="22"/>
            <w:lang w:val="lt-LT"/>
          </w:rPr>
          <w:t>http://www.vvkt.lt</w:t>
        </w:r>
      </w:hyperlink>
      <w:r>
        <w:rPr>
          <w:rFonts w:eastAsia="TimesNewRoman"/>
          <w:snapToGrid/>
          <w:szCs w:val="22"/>
          <w:lang w:val="lt-LT"/>
        </w:rPr>
        <w:t>.</w:t>
      </w:r>
    </w:p>
    <w:p w14:paraId="5835A1CD" w14:textId="77777777" w:rsidR="00C00DD1" w:rsidRDefault="00C260EB">
      <w:pPr>
        <w:widowControl w:val="0"/>
        <w:tabs>
          <w:tab w:val="clear" w:pos="567"/>
        </w:tabs>
        <w:spacing w:line="240" w:lineRule="auto"/>
        <w:rPr>
          <w:snapToGrid/>
          <w:szCs w:val="22"/>
          <w:lang w:val="lt-LT"/>
        </w:rPr>
      </w:pPr>
      <w:r>
        <w:rPr>
          <w:snapToGrid/>
          <w:szCs w:val="22"/>
          <w:lang w:val="lt-LT"/>
        </w:rPr>
        <w:br w:type="page"/>
      </w:r>
    </w:p>
    <w:p w14:paraId="1C8D1A67" w14:textId="77777777" w:rsidR="00C00DD1" w:rsidRDefault="00C00DD1">
      <w:pPr>
        <w:widowControl w:val="0"/>
        <w:tabs>
          <w:tab w:val="clear" w:pos="567"/>
        </w:tabs>
        <w:spacing w:line="240" w:lineRule="auto"/>
        <w:rPr>
          <w:snapToGrid/>
          <w:szCs w:val="22"/>
          <w:lang w:val="lt-LT"/>
        </w:rPr>
      </w:pPr>
    </w:p>
    <w:p w14:paraId="6C3AAE97" w14:textId="77777777" w:rsidR="00C00DD1" w:rsidRDefault="00C00DD1">
      <w:pPr>
        <w:widowControl w:val="0"/>
        <w:tabs>
          <w:tab w:val="clear" w:pos="567"/>
        </w:tabs>
        <w:spacing w:line="240" w:lineRule="auto"/>
        <w:rPr>
          <w:snapToGrid/>
          <w:szCs w:val="22"/>
          <w:lang w:val="lt-LT"/>
        </w:rPr>
      </w:pPr>
    </w:p>
    <w:p w14:paraId="2248DA82" w14:textId="77777777" w:rsidR="00C00DD1" w:rsidRDefault="00C00DD1">
      <w:pPr>
        <w:widowControl w:val="0"/>
        <w:tabs>
          <w:tab w:val="clear" w:pos="567"/>
        </w:tabs>
        <w:spacing w:line="240" w:lineRule="auto"/>
        <w:rPr>
          <w:snapToGrid/>
          <w:szCs w:val="22"/>
          <w:lang w:val="lt-LT"/>
        </w:rPr>
      </w:pPr>
    </w:p>
    <w:p w14:paraId="5FF3663F" w14:textId="77777777" w:rsidR="00C00DD1" w:rsidRDefault="00C00DD1">
      <w:pPr>
        <w:widowControl w:val="0"/>
        <w:tabs>
          <w:tab w:val="clear" w:pos="567"/>
        </w:tabs>
        <w:spacing w:line="240" w:lineRule="auto"/>
        <w:rPr>
          <w:snapToGrid/>
          <w:szCs w:val="22"/>
          <w:lang w:val="lt-LT"/>
        </w:rPr>
      </w:pPr>
    </w:p>
    <w:p w14:paraId="17A6617F" w14:textId="77777777" w:rsidR="00C00DD1" w:rsidRDefault="00C00DD1">
      <w:pPr>
        <w:widowControl w:val="0"/>
        <w:tabs>
          <w:tab w:val="clear" w:pos="567"/>
        </w:tabs>
        <w:spacing w:line="240" w:lineRule="auto"/>
        <w:rPr>
          <w:snapToGrid/>
          <w:szCs w:val="22"/>
          <w:lang w:val="lt-LT"/>
        </w:rPr>
      </w:pPr>
    </w:p>
    <w:p w14:paraId="64F6FA1C" w14:textId="77777777" w:rsidR="00C00DD1" w:rsidRDefault="00C00DD1">
      <w:pPr>
        <w:widowControl w:val="0"/>
        <w:tabs>
          <w:tab w:val="clear" w:pos="567"/>
        </w:tabs>
        <w:spacing w:line="240" w:lineRule="auto"/>
        <w:rPr>
          <w:snapToGrid/>
          <w:szCs w:val="22"/>
          <w:lang w:val="lt-LT"/>
        </w:rPr>
      </w:pPr>
    </w:p>
    <w:p w14:paraId="71E5EE1E" w14:textId="77777777" w:rsidR="00C00DD1" w:rsidRDefault="00C00DD1">
      <w:pPr>
        <w:widowControl w:val="0"/>
        <w:tabs>
          <w:tab w:val="clear" w:pos="567"/>
        </w:tabs>
        <w:spacing w:line="240" w:lineRule="auto"/>
        <w:rPr>
          <w:snapToGrid/>
          <w:szCs w:val="22"/>
          <w:lang w:val="lt-LT"/>
        </w:rPr>
      </w:pPr>
    </w:p>
    <w:p w14:paraId="1CECEEF6" w14:textId="77777777" w:rsidR="00C00DD1" w:rsidRDefault="00C00DD1">
      <w:pPr>
        <w:widowControl w:val="0"/>
        <w:tabs>
          <w:tab w:val="clear" w:pos="567"/>
        </w:tabs>
        <w:spacing w:line="240" w:lineRule="auto"/>
        <w:rPr>
          <w:snapToGrid/>
          <w:szCs w:val="22"/>
          <w:lang w:val="lt-LT"/>
        </w:rPr>
      </w:pPr>
    </w:p>
    <w:p w14:paraId="489802CC" w14:textId="77777777" w:rsidR="00C00DD1" w:rsidRDefault="00C00DD1">
      <w:pPr>
        <w:widowControl w:val="0"/>
        <w:tabs>
          <w:tab w:val="clear" w:pos="567"/>
        </w:tabs>
        <w:spacing w:line="240" w:lineRule="auto"/>
        <w:rPr>
          <w:snapToGrid/>
          <w:szCs w:val="22"/>
          <w:lang w:val="lt-LT"/>
        </w:rPr>
      </w:pPr>
    </w:p>
    <w:p w14:paraId="0AB02521" w14:textId="77777777" w:rsidR="00C00DD1" w:rsidRDefault="00C00DD1">
      <w:pPr>
        <w:widowControl w:val="0"/>
        <w:tabs>
          <w:tab w:val="clear" w:pos="567"/>
        </w:tabs>
        <w:spacing w:line="240" w:lineRule="auto"/>
        <w:rPr>
          <w:snapToGrid/>
          <w:szCs w:val="22"/>
          <w:lang w:val="lt-LT"/>
        </w:rPr>
      </w:pPr>
    </w:p>
    <w:p w14:paraId="228D0E60" w14:textId="77777777" w:rsidR="00C00DD1" w:rsidRDefault="00C00DD1">
      <w:pPr>
        <w:widowControl w:val="0"/>
        <w:tabs>
          <w:tab w:val="clear" w:pos="567"/>
        </w:tabs>
        <w:spacing w:line="240" w:lineRule="auto"/>
        <w:rPr>
          <w:snapToGrid/>
          <w:szCs w:val="22"/>
          <w:lang w:val="lt-LT"/>
        </w:rPr>
      </w:pPr>
    </w:p>
    <w:p w14:paraId="186D32DF" w14:textId="77777777" w:rsidR="00C00DD1" w:rsidRDefault="00C00DD1">
      <w:pPr>
        <w:widowControl w:val="0"/>
        <w:tabs>
          <w:tab w:val="clear" w:pos="567"/>
        </w:tabs>
        <w:spacing w:line="240" w:lineRule="auto"/>
        <w:rPr>
          <w:snapToGrid/>
          <w:szCs w:val="22"/>
          <w:lang w:val="lt-LT"/>
        </w:rPr>
      </w:pPr>
    </w:p>
    <w:p w14:paraId="30455F1E" w14:textId="77777777" w:rsidR="00C00DD1" w:rsidRDefault="00C00DD1">
      <w:pPr>
        <w:widowControl w:val="0"/>
        <w:tabs>
          <w:tab w:val="clear" w:pos="567"/>
        </w:tabs>
        <w:spacing w:line="240" w:lineRule="auto"/>
        <w:rPr>
          <w:snapToGrid/>
          <w:szCs w:val="22"/>
          <w:lang w:val="lt-LT"/>
        </w:rPr>
      </w:pPr>
    </w:p>
    <w:p w14:paraId="705ECE06" w14:textId="77777777" w:rsidR="00C00DD1" w:rsidRDefault="00C00DD1">
      <w:pPr>
        <w:widowControl w:val="0"/>
        <w:tabs>
          <w:tab w:val="clear" w:pos="567"/>
        </w:tabs>
        <w:spacing w:line="240" w:lineRule="auto"/>
        <w:rPr>
          <w:snapToGrid/>
          <w:szCs w:val="22"/>
          <w:lang w:val="lt-LT"/>
        </w:rPr>
      </w:pPr>
    </w:p>
    <w:p w14:paraId="0012AB01" w14:textId="77777777" w:rsidR="00C00DD1" w:rsidRDefault="00C00DD1">
      <w:pPr>
        <w:widowControl w:val="0"/>
        <w:tabs>
          <w:tab w:val="clear" w:pos="567"/>
        </w:tabs>
        <w:spacing w:line="240" w:lineRule="auto"/>
        <w:rPr>
          <w:snapToGrid/>
          <w:szCs w:val="22"/>
          <w:lang w:val="lt-LT"/>
        </w:rPr>
      </w:pPr>
    </w:p>
    <w:p w14:paraId="6736EB5A" w14:textId="77777777" w:rsidR="00C00DD1" w:rsidRDefault="00C00DD1">
      <w:pPr>
        <w:widowControl w:val="0"/>
        <w:tabs>
          <w:tab w:val="clear" w:pos="567"/>
        </w:tabs>
        <w:spacing w:line="240" w:lineRule="auto"/>
        <w:rPr>
          <w:snapToGrid/>
          <w:szCs w:val="22"/>
          <w:lang w:val="lt-LT"/>
        </w:rPr>
      </w:pPr>
    </w:p>
    <w:p w14:paraId="40EFB90F" w14:textId="77777777" w:rsidR="00C00DD1" w:rsidRDefault="00C00DD1">
      <w:pPr>
        <w:widowControl w:val="0"/>
        <w:tabs>
          <w:tab w:val="clear" w:pos="567"/>
        </w:tabs>
        <w:spacing w:line="240" w:lineRule="auto"/>
        <w:rPr>
          <w:snapToGrid/>
          <w:szCs w:val="22"/>
          <w:lang w:val="lt-LT"/>
        </w:rPr>
      </w:pPr>
    </w:p>
    <w:p w14:paraId="479B4200" w14:textId="77777777" w:rsidR="00C00DD1" w:rsidRDefault="00C00DD1">
      <w:pPr>
        <w:widowControl w:val="0"/>
        <w:tabs>
          <w:tab w:val="clear" w:pos="567"/>
        </w:tabs>
        <w:spacing w:line="240" w:lineRule="auto"/>
        <w:rPr>
          <w:snapToGrid/>
          <w:szCs w:val="22"/>
          <w:lang w:val="lt-LT"/>
        </w:rPr>
      </w:pPr>
    </w:p>
    <w:p w14:paraId="2A3FD3C4" w14:textId="77777777" w:rsidR="00C00DD1" w:rsidRDefault="00C00DD1">
      <w:pPr>
        <w:widowControl w:val="0"/>
        <w:tabs>
          <w:tab w:val="clear" w:pos="567"/>
        </w:tabs>
        <w:spacing w:line="240" w:lineRule="auto"/>
        <w:rPr>
          <w:snapToGrid/>
          <w:szCs w:val="22"/>
          <w:lang w:val="lt-LT"/>
        </w:rPr>
      </w:pPr>
    </w:p>
    <w:p w14:paraId="6DABD0E7" w14:textId="77777777" w:rsidR="00C00DD1" w:rsidRDefault="00C00DD1">
      <w:pPr>
        <w:widowControl w:val="0"/>
        <w:tabs>
          <w:tab w:val="clear" w:pos="567"/>
        </w:tabs>
        <w:spacing w:line="240" w:lineRule="auto"/>
        <w:rPr>
          <w:snapToGrid/>
          <w:szCs w:val="22"/>
          <w:lang w:val="lt-LT"/>
        </w:rPr>
      </w:pPr>
    </w:p>
    <w:p w14:paraId="737A31CA" w14:textId="77777777" w:rsidR="00C00DD1" w:rsidRDefault="00C00DD1">
      <w:pPr>
        <w:widowControl w:val="0"/>
        <w:tabs>
          <w:tab w:val="clear" w:pos="567"/>
        </w:tabs>
        <w:spacing w:line="240" w:lineRule="auto"/>
        <w:rPr>
          <w:snapToGrid/>
          <w:szCs w:val="22"/>
          <w:lang w:val="lt-LT"/>
        </w:rPr>
      </w:pPr>
    </w:p>
    <w:p w14:paraId="31D50699" w14:textId="77777777" w:rsidR="00C00DD1" w:rsidRDefault="00C00DD1">
      <w:pPr>
        <w:widowControl w:val="0"/>
        <w:tabs>
          <w:tab w:val="clear" w:pos="567"/>
        </w:tabs>
        <w:spacing w:line="240" w:lineRule="auto"/>
        <w:rPr>
          <w:snapToGrid/>
          <w:szCs w:val="22"/>
          <w:lang w:val="lt-LT"/>
        </w:rPr>
      </w:pPr>
    </w:p>
    <w:p w14:paraId="546AEAEE" w14:textId="77777777" w:rsidR="00C00DD1" w:rsidRDefault="00C260EB">
      <w:pPr>
        <w:widowControl w:val="0"/>
        <w:spacing w:line="240" w:lineRule="auto"/>
        <w:ind w:left="567" w:hanging="567"/>
        <w:jc w:val="center"/>
        <w:outlineLvl w:val="0"/>
        <w:rPr>
          <w:b/>
          <w:caps/>
          <w:snapToGrid/>
          <w:szCs w:val="22"/>
          <w:lang w:val="lt-LT"/>
        </w:rPr>
      </w:pPr>
      <w:r>
        <w:rPr>
          <w:b/>
          <w:caps/>
          <w:snapToGrid/>
          <w:szCs w:val="22"/>
          <w:lang w:val="lt-LT"/>
        </w:rPr>
        <w:t>II PRIEDAS</w:t>
      </w:r>
    </w:p>
    <w:p w14:paraId="24C39404" w14:textId="77777777" w:rsidR="00C00DD1" w:rsidRDefault="00C00DD1">
      <w:pPr>
        <w:widowControl w:val="0"/>
        <w:tabs>
          <w:tab w:val="clear" w:pos="567"/>
        </w:tabs>
        <w:spacing w:line="240" w:lineRule="auto"/>
        <w:rPr>
          <w:snapToGrid/>
          <w:szCs w:val="22"/>
          <w:lang w:val="lt-LT"/>
        </w:rPr>
      </w:pPr>
    </w:p>
    <w:p w14:paraId="7E1211F9" w14:textId="77777777" w:rsidR="00C00DD1" w:rsidRDefault="00C260EB">
      <w:pPr>
        <w:widowControl w:val="0"/>
        <w:spacing w:line="240" w:lineRule="auto"/>
        <w:ind w:left="567" w:hanging="567"/>
        <w:jc w:val="center"/>
        <w:outlineLvl w:val="0"/>
        <w:rPr>
          <w:b/>
          <w:caps/>
          <w:snapToGrid/>
          <w:szCs w:val="22"/>
          <w:lang w:val="lt-LT"/>
        </w:rPr>
      </w:pPr>
      <w:r>
        <w:rPr>
          <w:b/>
          <w:caps/>
          <w:snapToGrid/>
          <w:szCs w:val="22"/>
          <w:lang w:val="lt-LT"/>
        </w:rPr>
        <w:t>REGISTRACIJOS SĄLYGOS</w:t>
      </w:r>
    </w:p>
    <w:p w14:paraId="16488A53" w14:textId="77777777" w:rsidR="00C00DD1" w:rsidRDefault="00C00DD1">
      <w:pPr>
        <w:widowControl w:val="0"/>
        <w:tabs>
          <w:tab w:val="clear" w:pos="567"/>
        </w:tabs>
        <w:spacing w:line="240" w:lineRule="auto"/>
        <w:rPr>
          <w:snapToGrid/>
          <w:szCs w:val="24"/>
          <w:lang w:val="lt-LT"/>
        </w:rPr>
      </w:pPr>
    </w:p>
    <w:p w14:paraId="77EF5835" w14:textId="77777777" w:rsidR="00C00DD1" w:rsidRDefault="00C260EB">
      <w:pPr>
        <w:widowControl w:val="0"/>
        <w:tabs>
          <w:tab w:val="clear" w:pos="567"/>
          <w:tab w:val="left" w:pos="1701"/>
        </w:tabs>
        <w:spacing w:line="240" w:lineRule="auto"/>
        <w:ind w:left="1701" w:hanging="567"/>
        <w:rPr>
          <w:b/>
          <w:snapToGrid/>
          <w:szCs w:val="24"/>
          <w:highlight w:val="yellow"/>
          <w:lang w:val="lt-LT"/>
        </w:rPr>
      </w:pPr>
      <w:r>
        <w:rPr>
          <w:b/>
          <w:snapToGrid/>
          <w:szCs w:val="24"/>
          <w:lang w:val="lt-LT"/>
        </w:rPr>
        <w:t>A.</w:t>
      </w:r>
      <w:r>
        <w:rPr>
          <w:b/>
          <w:snapToGrid/>
          <w:szCs w:val="24"/>
          <w:lang w:val="lt-LT"/>
        </w:rPr>
        <w:tab/>
        <w:t>GAMINTOJAS (</w:t>
      </w:r>
      <w:r>
        <w:rPr>
          <w:b/>
          <w:snapToGrid/>
          <w:szCs w:val="24"/>
          <w:lang w:val="lt-LT"/>
        </w:rPr>
        <w:noBreakHyphen/>
        <w:t>AI), ATSAKINGAS (</w:t>
      </w:r>
      <w:r>
        <w:rPr>
          <w:b/>
          <w:snapToGrid/>
          <w:szCs w:val="24"/>
          <w:lang w:val="lt-LT"/>
        </w:rPr>
        <w:noBreakHyphen/>
        <w:t>I) UŽ SERIJŲ IŠLEIDIMĄ</w:t>
      </w:r>
    </w:p>
    <w:p w14:paraId="3417E317" w14:textId="77777777" w:rsidR="00C00DD1" w:rsidRDefault="00C00DD1">
      <w:pPr>
        <w:widowControl w:val="0"/>
        <w:tabs>
          <w:tab w:val="clear" w:pos="567"/>
        </w:tabs>
        <w:spacing w:line="240" w:lineRule="auto"/>
        <w:rPr>
          <w:snapToGrid/>
          <w:szCs w:val="24"/>
          <w:highlight w:val="yellow"/>
          <w:lang w:val="lt-LT"/>
        </w:rPr>
      </w:pPr>
    </w:p>
    <w:p w14:paraId="136FAA52" w14:textId="77777777" w:rsidR="00C00DD1" w:rsidRDefault="00C260EB">
      <w:pPr>
        <w:widowControl w:val="0"/>
        <w:tabs>
          <w:tab w:val="clear" w:pos="567"/>
          <w:tab w:val="left" w:pos="1701"/>
        </w:tabs>
        <w:spacing w:line="240" w:lineRule="auto"/>
        <w:ind w:left="1701" w:hanging="567"/>
        <w:rPr>
          <w:snapToGrid/>
          <w:szCs w:val="22"/>
          <w:lang w:val="lt-LT"/>
        </w:rPr>
      </w:pPr>
      <w:r>
        <w:rPr>
          <w:b/>
          <w:snapToGrid/>
          <w:szCs w:val="24"/>
          <w:lang w:val="lt-LT"/>
        </w:rPr>
        <w:t>B.</w:t>
      </w:r>
      <w:r>
        <w:rPr>
          <w:b/>
          <w:snapToGrid/>
          <w:szCs w:val="24"/>
          <w:lang w:val="lt-LT"/>
        </w:rPr>
        <w:tab/>
        <w:t>TIEKIMO IR VARTOJIMO SĄLYGOS AR APRIBOJIMAI</w:t>
      </w:r>
    </w:p>
    <w:p w14:paraId="3DE5D1C6" w14:textId="77777777" w:rsidR="00C00DD1" w:rsidRDefault="00C260EB">
      <w:pPr>
        <w:widowControl w:val="0"/>
        <w:spacing w:line="240" w:lineRule="auto"/>
        <w:ind w:left="567" w:hanging="567"/>
        <w:jc w:val="both"/>
        <w:outlineLvl w:val="1"/>
        <w:rPr>
          <w:b/>
          <w:snapToGrid/>
          <w:szCs w:val="24"/>
          <w:lang w:val="lt-LT"/>
        </w:rPr>
      </w:pPr>
      <w:r>
        <w:rPr>
          <w:snapToGrid/>
          <w:szCs w:val="22"/>
          <w:lang w:val="lt-LT"/>
        </w:rPr>
        <w:br w:type="page"/>
      </w:r>
      <w:r>
        <w:rPr>
          <w:b/>
          <w:snapToGrid/>
          <w:szCs w:val="24"/>
          <w:lang w:val="lt-LT"/>
        </w:rPr>
        <w:lastRenderedPageBreak/>
        <w:t>A.</w:t>
      </w:r>
      <w:r>
        <w:rPr>
          <w:b/>
          <w:snapToGrid/>
          <w:szCs w:val="24"/>
          <w:lang w:val="lt-LT"/>
        </w:rPr>
        <w:tab/>
        <w:t>GAMINTOJAS (</w:t>
      </w:r>
      <w:r>
        <w:rPr>
          <w:b/>
          <w:snapToGrid/>
          <w:szCs w:val="24"/>
          <w:lang w:val="lt-LT"/>
        </w:rPr>
        <w:noBreakHyphen/>
        <w:t>AI), ATSAKINGAS (</w:t>
      </w:r>
      <w:r>
        <w:rPr>
          <w:b/>
          <w:snapToGrid/>
          <w:szCs w:val="24"/>
          <w:lang w:val="lt-LT"/>
        </w:rPr>
        <w:noBreakHyphen/>
        <w:t>I) UŽ SERIJŲ IŠLEIDIMĄ</w:t>
      </w:r>
    </w:p>
    <w:p w14:paraId="34AD656F" w14:textId="77777777" w:rsidR="00C00DD1" w:rsidRDefault="00C00DD1">
      <w:pPr>
        <w:widowControl w:val="0"/>
        <w:tabs>
          <w:tab w:val="clear" w:pos="567"/>
        </w:tabs>
        <w:spacing w:line="240" w:lineRule="auto"/>
        <w:jc w:val="both"/>
        <w:rPr>
          <w:snapToGrid/>
          <w:szCs w:val="24"/>
          <w:highlight w:val="yellow"/>
          <w:lang w:val="lt-LT"/>
        </w:rPr>
      </w:pPr>
    </w:p>
    <w:p w14:paraId="7B191841" w14:textId="77777777" w:rsidR="00C00DD1" w:rsidRDefault="00C260EB">
      <w:pPr>
        <w:widowControl w:val="0"/>
        <w:tabs>
          <w:tab w:val="clear" w:pos="567"/>
        </w:tabs>
        <w:spacing w:line="240" w:lineRule="auto"/>
        <w:jc w:val="both"/>
        <w:rPr>
          <w:snapToGrid/>
          <w:szCs w:val="24"/>
          <w:u w:val="single"/>
          <w:lang w:val="lt-LT"/>
        </w:rPr>
      </w:pPr>
      <w:r>
        <w:rPr>
          <w:snapToGrid/>
          <w:szCs w:val="24"/>
          <w:u w:val="single"/>
          <w:lang w:val="lt-LT"/>
        </w:rPr>
        <w:t>Gamintojo (</w:t>
      </w:r>
      <w:r>
        <w:rPr>
          <w:snapToGrid/>
          <w:szCs w:val="24"/>
          <w:u w:val="single"/>
          <w:lang w:val="lt-LT"/>
        </w:rPr>
        <w:noBreakHyphen/>
        <w:t>ų), atsakingo (</w:t>
      </w:r>
      <w:r>
        <w:rPr>
          <w:snapToGrid/>
          <w:szCs w:val="24"/>
          <w:u w:val="single"/>
          <w:lang w:val="lt-LT"/>
        </w:rPr>
        <w:noBreakHyphen/>
        <w:t>ų) už serijų išleidimą, pavadinimas (</w:t>
      </w:r>
      <w:r>
        <w:rPr>
          <w:snapToGrid/>
          <w:szCs w:val="24"/>
          <w:u w:val="single"/>
          <w:lang w:val="lt-LT"/>
        </w:rPr>
        <w:noBreakHyphen/>
        <w:t>ai) ir adresas (</w:t>
      </w:r>
      <w:r>
        <w:rPr>
          <w:snapToGrid/>
          <w:szCs w:val="24"/>
          <w:u w:val="single"/>
          <w:lang w:val="lt-LT"/>
        </w:rPr>
        <w:noBreakHyphen/>
        <w:t>ai)</w:t>
      </w:r>
    </w:p>
    <w:p w14:paraId="0CC47A04" w14:textId="77777777" w:rsidR="00C00DD1" w:rsidRDefault="00C00DD1">
      <w:pPr>
        <w:widowControl w:val="0"/>
        <w:tabs>
          <w:tab w:val="clear" w:pos="567"/>
        </w:tabs>
        <w:spacing w:line="240" w:lineRule="auto"/>
        <w:jc w:val="both"/>
        <w:rPr>
          <w:snapToGrid/>
          <w:szCs w:val="24"/>
          <w:highlight w:val="yellow"/>
          <w:lang w:val="lt-LT"/>
        </w:rPr>
      </w:pPr>
    </w:p>
    <w:p w14:paraId="68899D6E"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KRKA d.d. Novo mesto, Šmarješka cesta 6,8501 Novo mesto, Slovėnija</w:t>
      </w:r>
    </w:p>
    <w:p w14:paraId="026964B9" w14:textId="77777777" w:rsidR="00C00DD1" w:rsidRDefault="00C00DD1">
      <w:pPr>
        <w:widowControl w:val="0"/>
        <w:tabs>
          <w:tab w:val="clear" w:pos="567"/>
        </w:tabs>
        <w:spacing w:line="240" w:lineRule="auto"/>
        <w:jc w:val="both"/>
        <w:rPr>
          <w:snapToGrid/>
          <w:szCs w:val="24"/>
          <w:highlight w:val="yellow"/>
          <w:lang w:val="lt-LT"/>
        </w:rPr>
      </w:pPr>
    </w:p>
    <w:p w14:paraId="2049C5EE" w14:textId="77777777" w:rsidR="00C00DD1" w:rsidRDefault="00C260EB">
      <w:pPr>
        <w:widowControl w:val="0"/>
        <w:spacing w:line="240" w:lineRule="auto"/>
        <w:rPr>
          <w:lang w:eastAsia="lt-LT"/>
        </w:rPr>
      </w:pPr>
      <w:r>
        <w:rPr>
          <w:lang w:eastAsia="lt-LT"/>
        </w:rPr>
        <w:t>arba</w:t>
      </w:r>
    </w:p>
    <w:p w14:paraId="493B0232" w14:textId="77777777" w:rsidR="00C00DD1" w:rsidRDefault="00C00DD1">
      <w:pPr>
        <w:widowControl w:val="0"/>
        <w:spacing w:line="240" w:lineRule="auto"/>
        <w:rPr>
          <w:lang w:eastAsia="lt-LT"/>
        </w:rPr>
      </w:pPr>
    </w:p>
    <w:p w14:paraId="77D0149F" w14:textId="77777777" w:rsidR="00C00DD1" w:rsidRDefault="00C260EB">
      <w:pPr>
        <w:widowControl w:val="0"/>
        <w:tabs>
          <w:tab w:val="clear" w:pos="567"/>
        </w:tabs>
        <w:spacing w:line="240" w:lineRule="auto"/>
        <w:jc w:val="both"/>
        <w:rPr>
          <w:noProof/>
          <w:szCs w:val="22"/>
          <w:lang w:val="es-ES"/>
        </w:rPr>
      </w:pPr>
      <w:r>
        <w:rPr>
          <w:snapToGrid/>
          <w:szCs w:val="24"/>
          <w:lang w:val="lt-LT"/>
        </w:rPr>
        <w:t xml:space="preserve">TAD Pharma GmbH, </w:t>
      </w:r>
      <w:r>
        <w:rPr>
          <w:noProof/>
          <w:szCs w:val="22"/>
          <w:lang w:val="de-DE"/>
        </w:rPr>
        <w:t xml:space="preserve">Heinz-Lohmann-Straße 5, </w:t>
      </w:r>
      <w:r>
        <w:rPr>
          <w:noProof/>
          <w:szCs w:val="22"/>
          <w:lang w:val="es-ES"/>
        </w:rPr>
        <w:t>27472 Cuxhaven, Vokietija</w:t>
      </w:r>
    </w:p>
    <w:p w14:paraId="04B41D83" w14:textId="77777777" w:rsidR="00C00DD1" w:rsidRDefault="00C00DD1">
      <w:pPr>
        <w:widowControl w:val="0"/>
        <w:tabs>
          <w:tab w:val="clear" w:pos="567"/>
        </w:tabs>
        <w:spacing w:line="240" w:lineRule="auto"/>
        <w:jc w:val="both"/>
        <w:rPr>
          <w:snapToGrid/>
          <w:szCs w:val="24"/>
          <w:highlight w:val="yellow"/>
          <w:lang w:val="lt-LT"/>
        </w:rPr>
      </w:pPr>
    </w:p>
    <w:p w14:paraId="0CDCE6E9" w14:textId="77777777" w:rsidR="00C00DD1" w:rsidRDefault="00C260EB">
      <w:pPr>
        <w:widowControl w:val="0"/>
        <w:tabs>
          <w:tab w:val="clear" w:pos="567"/>
        </w:tabs>
        <w:spacing w:line="240" w:lineRule="auto"/>
        <w:jc w:val="both"/>
        <w:rPr>
          <w:snapToGrid/>
          <w:szCs w:val="24"/>
          <w:lang w:val="lt-LT"/>
        </w:rPr>
      </w:pPr>
      <w:r>
        <w:rPr>
          <w:snapToGrid/>
          <w:szCs w:val="24"/>
          <w:lang w:val="lt-LT"/>
        </w:rPr>
        <w:t>Su pakuote pateikiamame lapelyje nurodomas gamintojo, atsakingo už konkrečios serijos išleidimą, pavadinimas ir adresas.</w:t>
      </w:r>
    </w:p>
    <w:p w14:paraId="11933497" w14:textId="77777777" w:rsidR="00C00DD1" w:rsidRDefault="00C00DD1">
      <w:pPr>
        <w:widowControl w:val="0"/>
        <w:tabs>
          <w:tab w:val="clear" w:pos="567"/>
        </w:tabs>
        <w:spacing w:line="240" w:lineRule="auto"/>
        <w:jc w:val="both"/>
        <w:rPr>
          <w:snapToGrid/>
          <w:szCs w:val="24"/>
          <w:highlight w:val="yellow"/>
          <w:lang w:val="lt-LT"/>
        </w:rPr>
      </w:pPr>
    </w:p>
    <w:p w14:paraId="57554452" w14:textId="77777777" w:rsidR="00C00DD1" w:rsidRDefault="00C00DD1">
      <w:pPr>
        <w:widowControl w:val="0"/>
        <w:tabs>
          <w:tab w:val="clear" w:pos="567"/>
        </w:tabs>
        <w:spacing w:line="240" w:lineRule="auto"/>
        <w:jc w:val="both"/>
        <w:rPr>
          <w:snapToGrid/>
          <w:szCs w:val="24"/>
          <w:highlight w:val="yellow"/>
          <w:lang w:val="lt-LT"/>
        </w:rPr>
      </w:pPr>
    </w:p>
    <w:p w14:paraId="7D2AD1DB" w14:textId="77777777" w:rsidR="00C00DD1" w:rsidRDefault="00C260EB">
      <w:pPr>
        <w:widowControl w:val="0"/>
        <w:spacing w:line="240" w:lineRule="auto"/>
        <w:ind w:left="567" w:hanging="567"/>
        <w:jc w:val="both"/>
        <w:outlineLvl w:val="1"/>
        <w:rPr>
          <w:b/>
          <w:snapToGrid/>
          <w:szCs w:val="24"/>
          <w:lang w:val="lt-LT"/>
        </w:rPr>
      </w:pPr>
      <w:bookmarkStart w:id="2" w:name="_Toc129243129"/>
      <w:bookmarkStart w:id="3" w:name="_Toc129243254"/>
      <w:r>
        <w:rPr>
          <w:b/>
          <w:snapToGrid/>
          <w:szCs w:val="24"/>
          <w:lang w:val="lt-LT"/>
        </w:rPr>
        <w:t>B.</w:t>
      </w:r>
      <w:r>
        <w:rPr>
          <w:b/>
          <w:snapToGrid/>
          <w:szCs w:val="24"/>
          <w:lang w:val="lt-LT"/>
        </w:rPr>
        <w:tab/>
        <w:t>TIEKIMO IR VARTOJIMO SĄLYGOS AR APRIBOJIMAI</w:t>
      </w:r>
      <w:bookmarkEnd w:id="2"/>
      <w:bookmarkEnd w:id="3"/>
    </w:p>
    <w:p w14:paraId="6EC1B71E" w14:textId="77777777" w:rsidR="00C00DD1" w:rsidRDefault="00C00DD1">
      <w:pPr>
        <w:widowControl w:val="0"/>
        <w:tabs>
          <w:tab w:val="clear" w:pos="567"/>
        </w:tabs>
        <w:spacing w:line="240" w:lineRule="auto"/>
        <w:jc w:val="both"/>
        <w:rPr>
          <w:snapToGrid/>
          <w:szCs w:val="24"/>
          <w:lang w:val="lt-LT"/>
        </w:rPr>
      </w:pPr>
    </w:p>
    <w:p w14:paraId="189ADDC8" w14:textId="77777777" w:rsidR="00C00DD1" w:rsidRDefault="00C260EB">
      <w:pPr>
        <w:widowControl w:val="0"/>
        <w:tabs>
          <w:tab w:val="clear" w:pos="567"/>
        </w:tabs>
        <w:spacing w:line="240" w:lineRule="auto"/>
        <w:jc w:val="both"/>
        <w:rPr>
          <w:snapToGrid/>
          <w:szCs w:val="24"/>
          <w:lang w:val="lt-LT"/>
        </w:rPr>
      </w:pPr>
      <w:r>
        <w:rPr>
          <w:snapToGrid/>
          <w:szCs w:val="24"/>
          <w:lang w:val="lt-LT"/>
        </w:rPr>
        <w:t>Receptinis vaistinis preparatas.</w:t>
      </w:r>
    </w:p>
    <w:p w14:paraId="083AFA15" w14:textId="77777777" w:rsidR="00C00DD1" w:rsidRDefault="00C260EB">
      <w:pPr>
        <w:widowControl w:val="0"/>
        <w:tabs>
          <w:tab w:val="clear" w:pos="567"/>
        </w:tabs>
        <w:spacing w:line="240" w:lineRule="auto"/>
        <w:rPr>
          <w:snapToGrid/>
          <w:szCs w:val="22"/>
          <w:lang w:val="lt-LT"/>
        </w:rPr>
      </w:pPr>
      <w:r>
        <w:rPr>
          <w:snapToGrid/>
          <w:szCs w:val="24"/>
          <w:lang w:val="lt-LT"/>
        </w:rPr>
        <w:br w:type="page"/>
      </w:r>
    </w:p>
    <w:p w14:paraId="5998A27D" w14:textId="77777777" w:rsidR="00C00DD1" w:rsidRDefault="00C00DD1">
      <w:pPr>
        <w:widowControl w:val="0"/>
        <w:tabs>
          <w:tab w:val="clear" w:pos="567"/>
        </w:tabs>
        <w:spacing w:line="240" w:lineRule="auto"/>
        <w:rPr>
          <w:snapToGrid/>
          <w:szCs w:val="22"/>
          <w:lang w:val="lt-LT"/>
        </w:rPr>
      </w:pPr>
    </w:p>
    <w:p w14:paraId="4F9E6B5A" w14:textId="77777777" w:rsidR="00C00DD1" w:rsidRDefault="00C00DD1">
      <w:pPr>
        <w:widowControl w:val="0"/>
        <w:tabs>
          <w:tab w:val="clear" w:pos="567"/>
        </w:tabs>
        <w:spacing w:line="240" w:lineRule="auto"/>
        <w:rPr>
          <w:snapToGrid/>
          <w:szCs w:val="22"/>
          <w:lang w:val="lt-LT"/>
        </w:rPr>
      </w:pPr>
    </w:p>
    <w:p w14:paraId="0B8942A6" w14:textId="77777777" w:rsidR="00C00DD1" w:rsidRDefault="00C00DD1">
      <w:pPr>
        <w:widowControl w:val="0"/>
        <w:tabs>
          <w:tab w:val="clear" w:pos="567"/>
        </w:tabs>
        <w:spacing w:line="240" w:lineRule="auto"/>
        <w:rPr>
          <w:snapToGrid/>
          <w:szCs w:val="22"/>
          <w:lang w:val="lt-LT"/>
        </w:rPr>
      </w:pPr>
    </w:p>
    <w:p w14:paraId="2BCEA3D0" w14:textId="77777777" w:rsidR="00C00DD1" w:rsidRDefault="00C00DD1">
      <w:pPr>
        <w:widowControl w:val="0"/>
        <w:tabs>
          <w:tab w:val="clear" w:pos="567"/>
        </w:tabs>
        <w:spacing w:line="240" w:lineRule="auto"/>
        <w:rPr>
          <w:snapToGrid/>
          <w:szCs w:val="22"/>
          <w:lang w:val="lt-LT"/>
        </w:rPr>
      </w:pPr>
    </w:p>
    <w:p w14:paraId="316F1D4F" w14:textId="77777777" w:rsidR="00C00DD1" w:rsidRDefault="00C00DD1">
      <w:pPr>
        <w:widowControl w:val="0"/>
        <w:tabs>
          <w:tab w:val="clear" w:pos="567"/>
        </w:tabs>
        <w:spacing w:line="240" w:lineRule="auto"/>
        <w:rPr>
          <w:snapToGrid/>
          <w:szCs w:val="22"/>
          <w:lang w:val="lt-LT"/>
        </w:rPr>
      </w:pPr>
    </w:p>
    <w:p w14:paraId="0EC422C3" w14:textId="77777777" w:rsidR="00C00DD1" w:rsidRDefault="00C00DD1">
      <w:pPr>
        <w:widowControl w:val="0"/>
        <w:tabs>
          <w:tab w:val="clear" w:pos="567"/>
        </w:tabs>
        <w:spacing w:line="240" w:lineRule="auto"/>
        <w:rPr>
          <w:snapToGrid/>
          <w:szCs w:val="22"/>
          <w:lang w:val="lt-LT"/>
        </w:rPr>
      </w:pPr>
    </w:p>
    <w:p w14:paraId="15765C1F" w14:textId="77777777" w:rsidR="00C00DD1" w:rsidRDefault="00C00DD1">
      <w:pPr>
        <w:widowControl w:val="0"/>
        <w:tabs>
          <w:tab w:val="clear" w:pos="567"/>
        </w:tabs>
        <w:spacing w:line="240" w:lineRule="auto"/>
        <w:rPr>
          <w:snapToGrid/>
          <w:szCs w:val="22"/>
          <w:lang w:val="lt-LT"/>
        </w:rPr>
      </w:pPr>
    </w:p>
    <w:p w14:paraId="78B8DD76" w14:textId="77777777" w:rsidR="00C00DD1" w:rsidRDefault="00C00DD1">
      <w:pPr>
        <w:widowControl w:val="0"/>
        <w:tabs>
          <w:tab w:val="clear" w:pos="567"/>
        </w:tabs>
        <w:spacing w:line="240" w:lineRule="auto"/>
        <w:rPr>
          <w:snapToGrid/>
          <w:szCs w:val="22"/>
          <w:lang w:val="lt-LT"/>
        </w:rPr>
      </w:pPr>
    </w:p>
    <w:p w14:paraId="6714EDA7" w14:textId="77777777" w:rsidR="00C00DD1" w:rsidRDefault="00C00DD1">
      <w:pPr>
        <w:widowControl w:val="0"/>
        <w:tabs>
          <w:tab w:val="clear" w:pos="567"/>
        </w:tabs>
        <w:spacing w:line="240" w:lineRule="auto"/>
        <w:rPr>
          <w:snapToGrid/>
          <w:szCs w:val="22"/>
          <w:lang w:val="lt-LT"/>
        </w:rPr>
      </w:pPr>
    </w:p>
    <w:p w14:paraId="28EE0E30" w14:textId="77777777" w:rsidR="00C00DD1" w:rsidRDefault="00C00DD1">
      <w:pPr>
        <w:widowControl w:val="0"/>
        <w:tabs>
          <w:tab w:val="clear" w:pos="567"/>
        </w:tabs>
        <w:spacing w:line="240" w:lineRule="auto"/>
        <w:rPr>
          <w:snapToGrid/>
          <w:szCs w:val="22"/>
          <w:lang w:val="lt-LT"/>
        </w:rPr>
      </w:pPr>
    </w:p>
    <w:p w14:paraId="4FA31E34" w14:textId="77777777" w:rsidR="00C00DD1" w:rsidRDefault="00C00DD1">
      <w:pPr>
        <w:widowControl w:val="0"/>
        <w:tabs>
          <w:tab w:val="clear" w:pos="567"/>
        </w:tabs>
        <w:spacing w:line="240" w:lineRule="auto"/>
        <w:rPr>
          <w:snapToGrid/>
          <w:szCs w:val="22"/>
          <w:lang w:val="lt-LT"/>
        </w:rPr>
      </w:pPr>
    </w:p>
    <w:p w14:paraId="3FCA97C4" w14:textId="77777777" w:rsidR="00C00DD1" w:rsidRDefault="00C00DD1">
      <w:pPr>
        <w:widowControl w:val="0"/>
        <w:tabs>
          <w:tab w:val="clear" w:pos="567"/>
        </w:tabs>
        <w:spacing w:line="240" w:lineRule="auto"/>
        <w:rPr>
          <w:snapToGrid/>
          <w:szCs w:val="22"/>
          <w:lang w:val="lt-LT"/>
        </w:rPr>
      </w:pPr>
    </w:p>
    <w:p w14:paraId="5A2D231A" w14:textId="77777777" w:rsidR="00C00DD1" w:rsidRDefault="00C00DD1">
      <w:pPr>
        <w:widowControl w:val="0"/>
        <w:tabs>
          <w:tab w:val="clear" w:pos="567"/>
        </w:tabs>
        <w:spacing w:line="240" w:lineRule="auto"/>
        <w:rPr>
          <w:snapToGrid/>
          <w:szCs w:val="22"/>
          <w:lang w:val="lt-LT"/>
        </w:rPr>
      </w:pPr>
    </w:p>
    <w:p w14:paraId="10A881AD" w14:textId="77777777" w:rsidR="00C00DD1" w:rsidRDefault="00C00DD1">
      <w:pPr>
        <w:widowControl w:val="0"/>
        <w:tabs>
          <w:tab w:val="clear" w:pos="567"/>
        </w:tabs>
        <w:spacing w:line="240" w:lineRule="auto"/>
        <w:rPr>
          <w:snapToGrid/>
          <w:szCs w:val="22"/>
          <w:lang w:val="lt-LT"/>
        </w:rPr>
      </w:pPr>
    </w:p>
    <w:p w14:paraId="2B838C89" w14:textId="77777777" w:rsidR="00C00DD1" w:rsidRDefault="00C00DD1">
      <w:pPr>
        <w:widowControl w:val="0"/>
        <w:tabs>
          <w:tab w:val="clear" w:pos="567"/>
        </w:tabs>
        <w:spacing w:line="240" w:lineRule="auto"/>
        <w:rPr>
          <w:snapToGrid/>
          <w:szCs w:val="22"/>
          <w:lang w:val="lt-LT"/>
        </w:rPr>
      </w:pPr>
    </w:p>
    <w:p w14:paraId="70B33092" w14:textId="77777777" w:rsidR="00C00DD1" w:rsidRDefault="00C00DD1">
      <w:pPr>
        <w:widowControl w:val="0"/>
        <w:tabs>
          <w:tab w:val="clear" w:pos="567"/>
        </w:tabs>
        <w:spacing w:line="240" w:lineRule="auto"/>
        <w:rPr>
          <w:snapToGrid/>
          <w:szCs w:val="22"/>
          <w:lang w:val="lt-LT"/>
        </w:rPr>
      </w:pPr>
    </w:p>
    <w:p w14:paraId="255B31D9" w14:textId="77777777" w:rsidR="00C00DD1" w:rsidRDefault="00C00DD1">
      <w:pPr>
        <w:widowControl w:val="0"/>
        <w:tabs>
          <w:tab w:val="clear" w:pos="567"/>
        </w:tabs>
        <w:spacing w:line="240" w:lineRule="auto"/>
        <w:rPr>
          <w:snapToGrid/>
          <w:szCs w:val="22"/>
          <w:lang w:val="lt-LT"/>
        </w:rPr>
      </w:pPr>
    </w:p>
    <w:p w14:paraId="36941F62" w14:textId="77777777" w:rsidR="00C00DD1" w:rsidRDefault="00C00DD1">
      <w:pPr>
        <w:widowControl w:val="0"/>
        <w:tabs>
          <w:tab w:val="clear" w:pos="567"/>
        </w:tabs>
        <w:spacing w:line="240" w:lineRule="auto"/>
        <w:rPr>
          <w:snapToGrid/>
          <w:szCs w:val="22"/>
          <w:lang w:val="lt-LT"/>
        </w:rPr>
      </w:pPr>
    </w:p>
    <w:p w14:paraId="6B84CC5D" w14:textId="77777777" w:rsidR="00C00DD1" w:rsidRDefault="00C00DD1">
      <w:pPr>
        <w:widowControl w:val="0"/>
        <w:tabs>
          <w:tab w:val="clear" w:pos="567"/>
        </w:tabs>
        <w:spacing w:line="240" w:lineRule="auto"/>
        <w:rPr>
          <w:snapToGrid/>
          <w:szCs w:val="22"/>
          <w:lang w:val="lt-LT"/>
        </w:rPr>
      </w:pPr>
    </w:p>
    <w:p w14:paraId="60A0FCDA" w14:textId="77777777" w:rsidR="00C00DD1" w:rsidRDefault="00C00DD1">
      <w:pPr>
        <w:widowControl w:val="0"/>
        <w:tabs>
          <w:tab w:val="clear" w:pos="567"/>
        </w:tabs>
        <w:spacing w:line="240" w:lineRule="auto"/>
        <w:rPr>
          <w:snapToGrid/>
          <w:szCs w:val="22"/>
          <w:lang w:val="lt-LT"/>
        </w:rPr>
      </w:pPr>
    </w:p>
    <w:p w14:paraId="1B1114C9" w14:textId="77777777" w:rsidR="00C00DD1" w:rsidRDefault="00C00DD1">
      <w:pPr>
        <w:widowControl w:val="0"/>
        <w:tabs>
          <w:tab w:val="clear" w:pos="567"/>
        </w:tabs>
        <w:spacing w:line="240" w:lineRule="auto"/>
        <w:rPr>
          <w:snapToGrid/>
          <w:szCs w:val="22"/>
          <w:lang w:val="lt-LT"/>
        </w:rPr>
      </w:pPr>
    </w:p>
    <w:p w14:paraId="79571179" w14:textId="77777777" w:rsidR="00C00DD1" w:rsidRDefault="00C00DD1">
      <w:pPr>
        <w:widowControl w:val="0"/>
        <w:tabs>
          <w:tab w:val="clear" w:pos="567"/>
        </w:tabs>
        <w:spacing w:line="240" w:lineRule="auto"/>
        <w:rPr>
          <w:snapToGrid/>
          <w:szCs w:val="22"/>
          <w:lang w:val="lt-LT"/>
        </w:rPr>
      </w:pPr>
      <w:bookmarkStart w:id="4" w:name="_Toc129243134"/>
      <w:bookmarkStart w:id="5" w:name="_Toc129243259"/>
    </w:p>
    <w:p w14:paraId="1C46407A" w14:textId="77777777" w:rsidR="00C00DD1" w:rsidRDefault="00C260EB">
      <w:pPr>
        <w:widowControl w:val="0"/>
        <w:spacing w:line="240" w:lineRule="auto"/>
        <w:ind w:left="567" w:hanging="567"/>
        <w:jc w:val="center"/>
        <w:outlineLvl w:val="0"/>
        <w:rPr>
          <w:b/>
          <w:caps/>
          <w:snapToGrid/>
          <w:szCs w:val="24"/>
          <w:lang w:val="lt-LT"/>
        </w:rPr>
      </w:pPr>
      <w:r>
        <w:rPr>
          <w:b/>
          <w:caps/>
          <w:snapToGrid/>
          <w:szCs w:val="24"/>
          <w:lang w:val="lt-LT"/>
        </w:rPr>
        <w:t>III PRIEDAS</w:t>
      </w:r>
      <w:bookmarkEnd w:id="4"/>
      <w:bookmarkEnd w:id="5"/>
    </w:p>
    <w:p w14:paraId="4E2442FD" w14:textId="77777777" w:rsidR="00C00DD1" w:rsidRDefault="00C00DD1">
      <w:pPr>
        <w:widowControl w:val="0"/>
        <w:tabs>
          <w:tab w:val="clear" w:pos="567"/>
        </w:tabs>
        <w:spacing w:line="240" w:lineRule="auto"/>
        <w:jc w:val="both"/>
        <w:rPr>
          <w:snapToGrid/>
          <w:szCs w:val="24"/>
          <w:lang w:val="lt-LT"/>
        </w:rPr>
      </w:pPr>
    </w:p>
    <w:p w14:paraId="602AC65D" w14:textId="77777777" w:rsidR="00C00DD1" w:rsidRDefault="00C260EB">
      <w:pPr>
        <w:widowControl w:val="0"/>
        <w:spacing w:line="240" w:lineRule="auto"/>
        <w:ind w:left="567" w:hanging="567"/>
        <w:jc w:val="center"/>
        <w:outlineLvl w:val="0"/>
        <w:rPr>
          <w:b/>
          <w:caps/>
          <w:snapToGrid/>
          <w:szCs w:val="24"/>
          <w:lang w:val="lt-LT"/>
        </w:rPr>
      </w:pPr>
      <w:bookmarkStart w:id="6" w:name="_Toc129243135"/>
      <w:bookmarkStart w:id="7" w:name="_Toc129243260"/>
      <w:r>
        <w:rPr>
          <w:b/>
          <w:caps/>
          <w:snapToGrid/>
          <w:szCs w:val="24"/>
          <w:lang w:val="lt-LT"/>
        </w:rPr>
        <w:t>ŽENKLINIMAS IR PAKUOTĖS LAPELIS</w:t>
      </w:r>
      <w:bookmarkEnd w:id="6"/>
      <w:bookmarkEnd w:id="7"/>
    </w:p>
    <w:p w14:paraId="6408D18C" w14:textId="77777777" w:rsidR="00C00DD1" w:rsidRDefault="00C260EB">
      <w:pPr>
        <w:widowControl w:val="0"/>
        <w:tabs>
          <w:tab w:val="clear" w:pos="567"/>
        </w:tabs>
        <w:spacing w:line="240" w:lineRule="auto"/>
        <w:rPr>
          <w:snapToGrid/>
          <w:szCs w:val="22"/>
          <w:lang w:val="lt-LT"/>
        </w:rPr>
      </w:pPr>
      <w:r>
        <w:rPr>
          <w:snapToGrid/>
          <w:szCs w:val="24"/>
          <w:lang w:val="lt-LT"/>
        </w:rPr>
        <w:br w:type="page"/>
      </w:r>
    </w:p>
    <w:p w14:paraId="415BDA0D" w14:textId="77777777" w:rsidR="00C00DD1" w:rsidRDefault="00C00DD1">
      <w:pPr>
        <w:widowControl w:val="0"/>
        <w:tabs>
          <w:tab w:val="clear" w:pos="567"/>
        </w:tabs>
        <w:spacing w:line="240" w:lineRule="auto"/>
        <w:rPr>
          <w:snapToGrid/>
          <w:szCs w:val="22"/>
          <w:lang w:val="lt-LT"/>
        </w:rPr>
      </w:pPr>
    </w:p>
    <w:p w14:paraId="7BC8F7AA" w14:textId="77777777" w:rsidR="00C00DD1" w:rsidRDefault="00C00DD1">
      <w:pPr>
        <w:widowControl w:val="0"/>
        <w:tabs>
          <w:tab w:val="clear" w:pos="567"/>
        </w:tabs>
        <w:spacing w:line="240" w:lineRule="auto"/>
        <w:rPr>
          <w:snapToGrid/>
          <w:szCs w:val="22"/>
          <w:lang w:val="lt-LT"/>
        </w:rPr>
      </w:pPr>
    </w:p>
    <w:p w14:paraId="67D237E1" w14:textId="77777777" w:rsidR="00C00DD1" w:rsidRDefault="00C00DD1">
      <w:pPr>
        <w:widowControl w:val="0"/>
        <w:tabs>
          <w:tab w:val="clear" w:pos="567"/>
        </w:tabs>
        <w:spacing w:line="240" w:lineRule="auto"/>
        <w:rPr>
          <w:snapToGrid/>
          <w:szCs w:val="22"/>
          <w:lang w:val="lt-LT"/>
        </w:rPr>
      </w:pPr>
    </w:p>
    <w:p w14:paraId="06B6AE26" w14:textId="77777777" w:rsidR="00C00DD1" w:rsidRDefault="00C00DD1">
      <w:pPr>
        <w:widowControl w:val="0"/>
        <w:tabs>
          <w:tab w:val="clear" w:pos="567"/>
        </w:tabs>
        <w:spacing w:line="240" w:lineRule="auto"/>
        <w:rPr>
          <w:snapToGrid/>
          <w:szCs w:val="22"/>
          <w:lang w:val="lt-LT"/>
        </w:rPr>
      </w:pPr>
    </w:p>
    <w:p w14:paraId="2943A180" w14:textId="77777777" w:rsidR="00C00DD1" w:rsidRDefault="00C00DD1">
      <w:pPr>
        <w:widowControl w:val="0"/>
        <w:tabs>
          <w:tab w:val="clear" w:pos="567"/>
        </w:tabs>
        <w:spacing w:line="240" w:lineRule="auto"/>
        <w:rPr>
          <w:snapToGrid/>
          <w:szCs w:val="22"/>
          <w:lang w:val="lt-LT"/>
        </w:rPr>
      </w:pPr>
    </w:p>
    <w:p w14:paraId="22978019" w14:textId="77777777" w:rsidR="00C00DD1" w:rsidRDefault="00C00DD1">
      <w:pPr>
        <w:widowControl w:val="0"/>
        <w:tabs>
          <w:tab w:val="clear" w:pos="567"/>
        </w:tabs>
        <w:spacing w:line="240" w:lineRule="auto"/>
        <w:rPr>
          <w:snapToGrid/>
          <w:szCs w:val="22"/>
          <w:lang w:val="lt-LT"/>
        </w:rPr>
      </w:pPr>
    </w:p>
    <w:p w14:paraId="2919F555" w14:textId="77777777" w:rsidR="00C00DD1" w:rsidRDefault="00C00DD1">
      <w:pPr>
        <w:widowControl w:val="0"/>
        <w:tabs>
          <w:tab w:val="clear" w:pos="567"/>
        </w:tabs>
        <w:spacing w:line="240" w:lineRule="auto"/>
        <w:rPr>
          <w:snapToGrid/>
          <w:szCs w:val="22"/>
          <w:lang w:val="lt-LT"/>
        </w:rPr>
      </w:pPr>
    </w:p>
    <w:p w14:paraId="63E584D6" w14:textId="77777777" w:rsidR="00C00DD1" w:rsidRDefault="00C00DD1">
      <w:pPr>
        <w:widowControl w:val="0"/>
        <w:tabs>
          <w:tab w:val="clear" w:pos="567"/>
        </w:tabs>
        <w:spacing w:line="240" w:lineRule="auto"/>
        <w:rPr>
          <w:snapToGrid/>
          <w:szCs w:val="22"/>
          <w:lang w:val="lt-LT"/>
        </w:rPr>
      </w:pPr>
    </w:p>
    <w:p w14:paraId="7725E01A" w14:textId="77777777" w:rsidR="00C00DD1" w:rsidRDefault="00C00DD1">
      <w:pPr>
        <w:widowControl w:val="0"/>
        <w:tabs>
          <w:tab w:val="clear" w:pos="567"/>
        </w:tabs>
        <w:spacing w:line="240" w:lineRule="auto"/>
        <w:rPr>
          <w:snapToGrid/>
          <w:szCs w:val="22"/>
          <w:lang w:val="lt-LT"/>
        </w:rPr>
      </w:pPr>
    </w:p>
    <w:p w14:paraId="031347E6" w14:textId="77777777" w:rsidR="00C00DD1" w:rsidRDefault="00C00DD1">
      <w:pPr>
        <w:widowControl w:val="0"/>
        <w:tabs>
          <w:tab w:val="clear" w:pos="567"/>
        </w:tabs>
        <w:spacing w:line="240" w:lineRule="auto"/>
        <w:rPr>
          <w:snapToGrid/>
          <w:szCs w:val="22"/>
          <w:lang w:val="lt-LT"/>
        </w:rPr>
      </w:pPr>
    </w:p>
    <w:p w14:paraId="15B9FF2D" w14:textId="77777777" w:rsidR="00C00DD1" w:rsidRDefault="00C00DD1">
      <w:pPr>
        <w:widowControl w:val="0"/>
        <w:tabs>
          <w:tab w:val="clear" w:pos="567"/>
        </w:tabs>
        <w:spacing w:line="240" w:lineRule="auto"/>
        <w:rPr>
          <w:snapToGrid/>
          <w:szCs w:val="22"/>
          <w:lang w:val="lt-LT"/>
        </w:rPr>
      </w:pPr>
    </w:p>
    <w:p w14:paraId="1B7F12CE" w14:textId="77777777" w:rsidR="00C00DD1" w:rsidRDefault="00C00DD1">
      <w:pPr>
        <w:widowControl w:val="0"/>
        <w:tabs>
          <w:tab w:val="clear" w:pos="567"/>
        </w:tabs>
        <w:spacing w:line="240" w:lineRule="auto"/>
        <w:rPr>
          <w:snapToGrid/>
          <w:szCs w:val="22"/>
          <w:lang w:val="lt-LT"/>
        </w:rPr>
      </w:pPr>
    </w:p>
    <w:p w14:paraId="75012ED1" w14:textId="77777777" w:rsidR="00C00DD1" w:rsidRDefault="00C00DD1">
      <w:pPr>
        <w:widowControl w:val="0"/>
        <w:tabs>
          <w:tab w:val="clear" w:pos="567"/>
        </w:tabs>
        <w:spacing w:line="240" w:lineRule="auto"/>
        <w:rPr>
          <w:snapToGrid/>
          <w:szCs w:val="22"/>
          <w:lang w:val="lt-LT"/>
        </w:rPr>
      </w:pPr>
    </w:p>
    <w:p w14:paraId="496DFACA" w14:textId="77777777" w:rsidR="00C00DD1" w:rsidRDefault="00C00DD1">
      <w:pPr>
        <w:widowControl w:val="0"/>
        <w:tabs>
          <w:tab w:val="clear" w:pos="567"/>
        </w:tabs>
        <w:spacing w:line="240" w:lineRule="auto"/>
        <w:rPr>
          <w:snapToGrid/>
          <w:szCs w:val="22"/>
          <w:lang w:val="lt-LT"/>
        </w:rPr>
      </w:pPr>
    </w:p>
    <w:p w14:paraId="1B3B02C2" w14:textId="77777777" w:rsidR="00C00DD1" w:rsidRDefault="00C00DD1">
      <w:pPr>
        <w:widowControl w:val="0"/>
        <w:tabs>
          <w:tab w:val="clear" w:pos="567"/>
        </w:tabs>
        <w:spacing w:line="240" w:lineRule="auto"/>
        <w:rPr>
          <w:snapToGrid/>
          <w:szCs w:val="22"/>
          <w:lang w:val="lt-LT"/>
        </w:rPr>
      </w:pPr>
    </w:p>
    <w:p w14:paraId="41E58B1E" w14:textId="77777777" w:rsidR="00C00DD1" w:rsidRDefault="00C00DD1">
      <w:pPr>
        <w:widowControl w:val="0"/>
        <w:tabs>
          <w:tab w:val="clear" w:pos="567"/>
        </w:tabs>
        <w:spacing w:line="240" w:lineRule="auto"/>
        <w:rPr>
          <w:snapToGrid/>
          <w:szCs w:val="22"/>
          <w:lang w:val="lt-LT"/>
        </w:rPr>
      </w:pPr>
    </w:p>
    <w:p w14:paraId="1E16D20C" w14:textId="77777777" w:rsidR="00C00DD1" w:rsidRDefault="00C00DD1">
      <w:pPr>
        <w:widowControl w:val="0"/>
        <w:tabs>
          <w:tab w:val="clear" w:pos="567"/>
        </w:tabs>
        <w:spacing w:line="240" w:lineRule="auto"/>
        <w:rPr>
          <w:snapToGrid/>
          <w:szCs w:val="22"/>
          <w:lang w:val="lt-LT"/>
        </w:rPr>
      </w:pPr>
    </w:p>
    <w:p w14:paraId="6C84C929" w14:textId="77777777" w:rsidR="00C00DD1" w:rsidRDefault="00C00DD1">
      <w:pPr>
        <w:widowControl w:val="0"/>
        <w:tabs>
          <w:tab w:val="clear" w:pos="567"/>
        </w:tabs>
        <w:spacing w:line="240" w:lineRule="auto"/>
        <w:rPr>
          <w:snapToGrid/>
          <w:szCs w:val="22"/>
          <w:lang w:val="lt-LT"/>
        </w:rPr>
      </w:pPr>
    </w:p>
    <w:p w14:paraId="3D260994" w14:textId="77777777" w:rsidR="00C00DD1" w:rsidRDefault="00C00DD1">
      <w:pPr>
        <w:widowControl w:val="0"/>
        <w:tabs>
          <w:tab w:val="clear" w:pos="567"/>
        </w:tabs>
        <w:spacing w:line="240" w:lineRule="auto"/>
        <w:rPr>
          <w:snapToGrid/>
          <w:szCs w:val="22"/>
          <w:lang w:val="lt-LT"/>
        </w:rPr>
      </w:pPr>
    </w:p>
    <w:p w14:paraId="774A4AF4" w14:textId="77777777" w:rsidR="00C00DD1" w:rsidRDefault="00C00DD1">
      <w:pPr>
        <w:widowControl w:val="0"/>
        <w:tabs>
          <w:tab w:val="clear" w:pos="567"/>
        </w:tabs>
        <w:spacing w:line="240" w:lineRule="auto"/>
        <w:rPr>
          <w:snapToGrid/>
          <w:szCs w:val="22"/>
          <w:lang w:val="lt-LT"/>
        </w:rPr>
      </w:pPr>
    </w:p>
    <w:p w14:paraId="782A6AD3" w14:textId="77777777" w:rsidR="00C00DD1" w:rsidRDefault="00C00DD1">
      <w:pPr>
        <w:widowControl w:val="0"/>
        <w:tabs>
          <w:tab w:val="clear" w:pos="567"/>
        </w:tabs>
        <w:spacing w:line="240" w:lineRule="auto"/>
        <w:rPr>
          <w:snapToGrid/>
          <w:szCs w:val="22"/>
          <w:lang w:val="lt-LT"/>
        </w:rPr>
      </w:pPr>
    </w:p>
    <w:p w14:paraId="0E5107FB" w14:textId="77777777" w:rsidR="00C00DD1" w:rsidRDefault="00C00DD1">
      <w:pPr>
        <w:widowControl w:val="0"/>
        <w:tabs>
          <w:tab w:val="clear" w:pos="567"/>
        </w:tabs>
        <w:spacing w:line="240" w:lineRule="auto"/>
        <w:rPr>
          <w:snapToGrid/>
          <w:szCs w:val="22"/>
          <w:lang w:val="lt-LT"/>
        </w:rPr>
      </w:pPr>
    </w:p>
    <w:p w14:paraId="55ABEE3E" w14:textId="77777777" w:rsidR="00C00DD1" w:rsidRDefault="00C260EB">
      <w:pPr>
        <w:widowControl w:val="0"/>
        <w:spacing w:line="240" w:lineRule="auto"/>
        <w:ind w:left="567" w:hanging="567"/>
        <w:jc w:val="center"/>
        <w:outlineLvl w:val="0"/>
        <w:rPr>
          <w:b/>
          <w:caps/>
          <w:snapToGrid/>
          <w:szCs w:val="24"/>
          <w:lang w:val="lt-LT"/>
        </w:rPr>
      </w:pPr>
      <w:bookmarkStart w:id="8" w:name="_Toc129243136"/>
      <w:bookmarkStart w:id="9" w:name="_Toc129243261"/>
      <w:r>
        <w:rPr>
          <w:b/>
          <w:caps/>
          <w:snapToGrid/>
          <w:szCs w:val="24"/>
          <w:lang w:val="lt-LT"/>
        </w:rPr>
        <w:t>A. ŽENKLINIMAS</w:t>
      </w:r>
      <w:bookmarkEnd w:id="8"/>
      <w:bookmarkEnd w:id="9"/>
    </w:p>
    <w:p w14:paraId="3FDF93FE" w14:textId="77777777" w:rsidR="00C00DD1" w:rsidRDefault="00C260EB">
      <w:pPr>
        <w:widowControl w:val="0"/>
        <w:pBdr>
          <w:top w:val="single" w:sz="4" w:space="1" w:color="auto"/>
          <w:left w:val="single" w:sz="4" w:space="1" w:color="auto"/>
          <w:bottom w:val="single" w:sz="4" w:space="1" w:color="auto"/>
          <w:right w:val="single" w:sz="4" w:space="1" w:color="auto"/>
        </w:pBdr>
        <w:tabs>
          <w:tab w:val="clear" w:pos="567"/>
        </w:tabs>
        <w:spacing w:line="240" w:lineRule="auto"/>
        <w:outlineLvl w:val="0"/>
        <w:rPr>
          <w:b/>
          <w:snapToGrid/>
          <w:szCs w:val="22"/>
          <w:lang w:val="lt-LT"/>
        </w:rPr>
      </w:pPr>
      <w:r>
        <w:rPr>
          <w:snapToGrid/>
          <w:szCs w:val="22"/>
          <w:lang w:val="lt-LT"/>
        </w:rPr>
        <w:br w:type="page"/>
      </w:r>
      <w:r>
        <w:rPr>
          <w:b/>
          <w:snapToGrid/>
          <w:szCs w:val="22"/>
          <w:lang w:val="lt-LT"/>
        </w:rPr>
        <w:lastRenderedPageBreak/>
        <w:t>INFORMACIJA ANT IŠORINĖS PAKUOTĖS</w:t>
      </w:r>
    </w:p>
    <w:p w14:paraId="7F3D5E72" w14:textId="77777777" w:rsidR="00C00DD1" w:rsidRDefault="00C00DD1">
      <w:pPr>
        <w:widowControl w:val="0"/>
        <w:pBdr>
          <w:top w:val="single" w:sz="4" w:space="1" w:color="auto"/>
          <w:left w:val="single" w:sz="4" w:space="1" w:color="auto"/>
          <w:bottom w:val="single" w:sz="4" w:space="1" w:color="auto"/>
          <w:right w:val="single" w:sz="4" w:space="1" w:color="auto"/>
        </w:pBdr>
        <w:tabs>
          <w:tab w:val="clear" w:pos="567"/>
        </w:tabs>
        <w:spacing w:line="240" w:lineRule="auto"/>
        <w:ind w:left="567" w:hanging="567"/>
        <w:rPr>
          <w:bCs/>
          <w:snapToGrid/>
          <w:szCs w:val="22"/>
          <w:lang w:val="lt-LT"/>
        </w:rPr>
      </w:pPr>
    </w:p>
    <w:p w14:paraId="705D402F" w14:textId="77777777" w:rsidR="00C00DD1" w:rsidRDefault="00C260EB">
      <w:pPr>
        <w:widowControl w:val="0"/>
        <w:pBdr>
          <w:top w:val="single" w:sz="4" w:space="1" w:color="auto"/>
          <w:left w:val="single" w:sz="4" w:space="1" w:color="auto"/>
          <w:bottom w:val="single" w:sz="4" w:space="1" w:color="auto"/>
          <w:right w:val="single" w:sz="4" w:space="1" w:color="auto"/>
        </w:pBdr>
        <w:tabs>
          <w:tab w:val="clear" w:pos="567"/>
        </w:tabs>
        <w:spacing w:line="240" w:lineRule="auto"/>
        <w:rPr>
          <w:b/>
          <w:snapToGrid/>
          <w:szCs w:val="22"/>
          <w:lang w:val="lt-LT"/>
        </w:rPr>
      </w:pPr>
      <w:r>
        <w:rPr>
          <w:b/>
          <w:snapToGrid/>
          <w:szCs w:val="22"/>
          <w:lang w:val="lt-LT"/>
        </w:rPr>
        <w:t>KARTONO DĖŽUTĖ</w:t>
      </w:r>
    </w:p>
    <w:p w14:paraId="4474462E" w14:textId="77777777" w:rsidR="00C00DD1" w:rsidRDefault="00C00DD1">
      <w:pPr>
        <w:widowControl w:val="0"/>
        <w:tabs>
          <w:tab w:val="clear" w:pos="567"/>
        </w:tabs>
        <w:spacing w:line="240" w:lineRule="auto"/>
        <w:rPr>
          <w:snapToGrid/>
          <w:szCs w:val="22"/>
          <w:lang w:val="lt-LT"/>
        </w:rPr>
      </w:pPr>
    </w:p>
    <w:p w14:paraId="3BB53D56" w14:textId="77777777" w:rsidR="00C00DD1" w:rsidRDefault="00C00DD1">
      <w:pPr>
        <w:widowControl w:val="0"/>
        <w:tabs>
          <w:tab w:val="clear" w:pos="567"/>
        </w:tabs>
        <w:spacing w:line="240" w:lineRule="auto"/>
        <w:rPr>
          <w:snapToGrid/>
          <w:szCs w:val="22"/>
          <w:lang w:val="lt-LT"/>
        </w:rPr>
      </w:pPr>
    </w:p>
    <w:p w14:paraId="32FED1ED"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t>1.</w:t>
      </w:r>
      <w:r>
        <w:rPr>
          <w:b/>
          <w:snapToGrid/>
          <w:szCs w:val="22"/>
          <w:lang w:val="lt-LT"/>
        </w:rPr>
        <w:tab/>
        <w:t>VAISTINIO PREPARATO PAVADINIMAS</w:t>
      </w:r>
    </w:p>
    <w:p w14:paraId="74C84816" w14:textId="77777777" w:rsidR="00C00DD1" w:rsidRDefault="00C00DD1">
      <w:pPr>
        <w:widowControl w:val="0"/>
        <w:tabs>
          <w:tab w:val="clear" w:pos="567"/>
        </w:tabs>
        <w:spacing w:line="240" w:lineRule="auto"/>
        <w:rPr>
          <w:snapToGrid/>
          <w:szCs w:val="22"/>
          <w:lang w:val="lt-LT"/>
        </w:rPr>
      </w:pPr>
    </w:p>
    <w:p w14:paraId="42826FC6"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r>
        <w:rPr>
          <w:snapToGrid/>
          <w:color w:val="000000"/>
          <w:szCs w:val="22"/>
          <w:lang w:val="lt-LT"/>
        </w:rPr>
        <w:t>Perindopril arginine/indapamide Krka 5 mg/1,25 mg tabletės</w:t>
      </w:r>
    </w:p>
    <w:p w14:paraId="2106DB78"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r>
        <w:rPr>
          <w:snapToGrid/>
          <w:color w:val="000000"/>
          <w:szCs w:val="22"/>
          <w:highlight w:val="lightGray"/>
          <w:lang w:val="lt-LT"/>
        </w:rPr>
        <w:t>Perindopril arginine/indapamide Krka 10 mg/2,5 mg tabletės</w:t>
      </w:r>
    </w:p>
    <w:p w14:paraId="1F1E4A96" w14:textId="77777777" w:rsidR="00C00DD1" w:rsidRDefault="00C00DD1">
      <w:pPr>
        <w:widowControl w:val="0"/>
        <w:tabs>
          <w:tab w:val="clear" w:pos="567"/>
        </w:tabs>
        <w:spacing w:line="240" w:lineRule="auto"/>
        <w:ind w:left="567" w:hanging="567"/>
        <w:rPr>
          <w:snapToGrid/>
          <w:szCs w:val="22"/>
          <w:lang w:val="lt-LT"/>
        </w:rPr>
      </w:pPr>
    </w:p>
    <w:p w14:paraId="6820149D"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perindoprilio argininas/indapamidas</w:t>
      </w:r>
    </w:p>
    <w:p w14:paraId="31C3A6C0" w14:textId="77777777" w:rsidR="00C00DD1" w:rsidRDefault="00C00DD1">
      <w:pPr>
        <w:widowControl w:val="0"/>
        <w:tabs>
          <w:tab w:val="clear" w:pos="567"/>
        </w:tabs>
        <w:spacing w:line="240" w:lineRule="auto"/>
        <w:rPr>
          <w:snapToGrid/>
          <w:szCs w:val="22"/>
          <w:lang w:val="lt-LT"/>
        </w:rPr>
      </w:pPr>
    </w:p>
    <w:p w14:paraId="39E0D3D0" w14:textId="77777777" w:rsidR="00C00DD1" w:rsidRDefault="00C00DD1">
      <w:pPr>
        <w:widowControl w:val="0"/>
        <w:tabs>
          <w:tab w:val="clear" w:pos="567"/>
        </w:tabs>
        <w:spacing w:line="240" w:lineRule="auto"/>
        <w:rPr>
          <w:snapToGrid/>
          <w:szCs w:val="22"/>
          <w:lang w:val="lt-LT"/>
        </w:rPr>
      </w:pPr>
    </w:p>
    <w:p w14:paraId="012AB805"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Pr>
          <w:b/>
          <w:snapToGrid/>
          <w:szCs w:val="22"/>
          <w:lang w:val="lt-LT"/>
        </w:rPr>
        <w:t>2.</w:t>
      </w:r>
      <w:r>
        <w:rPr>
          <w:b/>
          <w:snapToGrid/>
          <w:szCs w:val="22"/>
          <w:lang w:val="lt-LT"/>
        </w:rPr>
        <w:tab/>
        <w:t>VEIKLIOJI (</w:t>
      </w:r>
      <w:r>
        <w:rPr>
          <w:b/>
          <w:snapToGrid/>
          <w:szCs w:val="22"/>
          <w:lang w:val="lt-LT"/>
        </w:rPr>
        <w:noBreakHyphen/>
        <w:t>IOS) MEDŽIAGA (</w:t>
      </w:r>
      <w:r>
        <w:rPr>
          <w:b/>
          <w:snapToGrid/>
          <w:szCs w:val="22"/>
          <w:lang w:val="lt-LT"/>
        </w:rPr>
        <w:noBreakHyphen/>
        <w:t>OS) IR JOS (</w:t>
      </w:r>
      <w:r>
        <w:rPr>
          <w:b/>
          <w:snapToGrid/>
          <w:szCs w:val="22"/>
          <w:lang w:val="lt-LT"/>
        </w:rPr>
        <w:noBreakHyphen/>
        <w:t>Ų) KIEKIS (</w:t>
      </w:r>
      <w:r>
        <w:rPr>
          <w:b/>
          <w:snapToGrid/>
          <w:szCs w:val="22"/>
          <w:lang w:val="lt-LT"/>
        </w:rPr>
        <w:noBreakHyphen/>
        <w:t>IAI)</w:t>
      </w:r>
    </w:p>
    <w:p w14:paraId="5EE2490B" w14:textId="77777777" w:rsidR="00C00DD1" w:rsidRDefault="00C00DD1">
      <w:pPr>
        <w:widowControl w:val="0"/>
        <w:tabs>
          <w:tab w:val="clear" w:pos="567"/>
        </w:tabs>
        <w:spacing w:line="240" w:lineRule="auto"/>
        <w:rPr>
          <w:snapToGrid/>
          <w:szCs w:val="22"/>
          <w:lang w:val="lt-LT"/>
        </w:rPr>
      </w:pPr>
    </w:p>
    <w:p w14:paraId="2A1911CD"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Kiekvienoje tabletėje yra 5 mg perindoprilio arginino (atitinka 3,395 mg perindoprilio) ir 1,25 mg indapamido.</w:t>
      </w:r>
    </w:p>
    <w:p w14:paraId="1ECCAC82"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highlight w:val="lightGray"/>
          <w:lang w:val="lt-LT"/>
        </w:rPr>
        <w:t>Kiekvienoje tabletėje yra 10 mg perindoprilio arginino (atitinka 6,790 mg perindoprilio) ir 2,5 mg indapamido.</w:t>
      </w:r>
    </w:p>
    <w:p w14:paraId="2D02B232" w14:textId="77777777" w:rsidR="00C00DD1" w:rsidRDefault="00C00DD1">
      <w:pPr>
        <w:widowControl w:val="0"/>
        <w:tabs>
          <w:tab w:val="clear" w:pos="567"/>
        </w:tabs>
        <w:spacing w:line="240" w:lineRule="auto"/>
        <w:rPr>
          <w:snapToGrid/>
          <w:szCs w:val="22"/>
          <w:lang w:val="lt-LT"/>
        </w:rPr>
      </w:pPr>
    </w:p>
    <w:p w14:paraId="5B7B0021" w14:textId="77777777" w:rsidR="00C00DD1" w:rsidRDefault="00C00DD1">
      <w:pPr>
        <w:widowControl w:val="0"/>
        <w:tabs>
          <w:tab w:val="clear" w:pos="567"/>
        </w:tabs>
        <w:spacing w:line="240" w:lineRule="auto"/>
        <w:rPr>
          <w:snapToGrid/>
          <w:szCs w:val="22"/>
          <w:lang w:val="lt-LT"/>
        </w:rPr>
      </w:pPr>
    </w:p>
    <w:p w14:paraId="18C0D545"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3.</w:t>
      </w:r>
      <w:r>
        <w:rPr>
          <w:b/>
          <w:snapToGrid/>
          <w:szCs w:val="22"/>
          <w:lang w:val="lt-LT"/>
        </w:rPr>
        <w:tab/>
        <w:t>PAGALBINIŲ MEDŽIAGŲ SĄRAŠAS</w:t>
      </w:r>
    </w:p>
    <w:p w14:paraId="38C28565" w14:textId="77777777" w:rsidR="00C00DD1" w:rsidRDefault="00C00DD1">
      <w:pPr>
        <w:widowControl w:val="0"/>
        <w:tabs>
          <w:tab w:val="clear" w:pos="567"/>
        </w:tabs>
        <w:spacing w:line="240" w:lineRule="auto"/>
        <w:rPr>
          <w:snapToGrid/>
          <w:szCs w:val="22"/>
          <w:lang w:val="lt-LT"/>
        </w:rPr>
      </w:pPr>
    </w:p>
    <w:p w14:paraId="1984388E" w14:textId="77777777" w:rsidR="00C00DD1" w:rsidRDefault="00C00DD1">
      <w:pPr>
        <w:widowControl w:val="0"/>
        <w:tabs>
          <w:tab w:val="clear" w:pos="567"/>
        </w:tabs>
        <w:spacing w:line="240" w:lineRule="auto"/>
        <w:rPr>
          <w:snapToGrid/>
          <w:szCs w:val="22"/>
          <w:lang w:val="lt-LT"/>
        </w:rPr>
      </w:pPr>
    </w:p>
    <w:p w14:paraId="007A504B"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t>4.</w:t>
      </w:r>
      <w:r>
        <w:rPr>
          <w:b/>
          <w:snapToGrid/>
          <w:szCs w:val="22"/>
          <w:lang w:val="lt-LT"/>
        </w:rPr>
        <w:tab/>
        <w:t>FARMACINĖ FORMA IR KIEKIS PAKUOTĖJE</w:t>
      </w:r>
    </w:p>
    <w:p w14:paraId="6F670344" w14:textId="77777777" w:rsidR="00C00DD1" w:rsidRDefault="00C00DD1">
      <w:pPr>
        <w:widowControl w:val="0"/>
        <w:tabs>
          <w:tab w:val="clear" w:pos="567"/>
        </w:tabs>
        <w:spacing w:line="240" w:lineRule="auto"/>
        <w:rPr>
          <w:snapToGrid/>
          <w:szCs w:val="22"/>
          <w:lang w:val="lt-LT"/>
        </w:rPr>
      </w:pPr>
    </w:p>
    <w:p w14:paraId="5DF5467B" w14:textId="77777777" w:rsidR="00C00DD1" w:rsidRDefault="00C260EB">
      <w:pPr>
        <w:widowControl w:val="0"/>
        <w:tabs>
          <w:tab w:val="clear" w:pos="567"/>
        </w:tabs>
        <w:spacing w:line="240" w:lineRule="auto"/>
        <w:rPr>
          <w:rFonts w:eastAsia="TimesNewRoman"/>
          <w:snapToGrid/>
          <w:szCs w:val="22"/>
          <w:highlight w:val="lightGray"/>
          <w:lang w:val="lt-LT"/>
        </w:rPr>
      </w:pPr>
      <w:r>
        <w:rPr>
          <w:rFonts w:eastAsia="TimesNewRoman"/>
          <w:snapToGrid/>
          <w:szCs w:val="22"/>
          <w:highlight w:val="lightGray"/>
          <w:lang w:val="lt-LT"/>
        </w:rPr>
        <w:t>tabletė</w:t>
      </w:r>
    </w:p>
    <w:p w14:paraId="259DCEF4" w14:textId="77777777" w:rsidR="00C00DD1" w:rsidRDefault="00C00DD1">
      <w:pPr>
        <w:widowControl w:val="0"/>
        <w:tabs>
          <w:tab w:val="clear" w:pos="567"/>
        </w:tabs>
        <w:spacing w:line="240" w:lineRule="auto"/>
        <w:rPr>
          <w:rFonts w:eastAsia="TimesNewRoman"/>
          <w:snapToGrid/>
          <w:szCs w:val="22"/>
          <w:highlight w:val="lightGray"/>
          <w:lang w:val="lt-LT"/>
        </w:rPr>
      </w:pPr>
    </w:p>
    <w:p w14:paraId="32191A31"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10 tablečių</w:t>
      </w:r>
    </w:p>
    <w:p w14:paraId="080EA272" w14:textId="77777777" w:rsidR="00C00DD1" w:rsidRDefault="00C260EB">
      <w:pPr>
        <w:widowControl w:val="0"/>
        <w:tabs>
          <w:tab w:val="clear" w:pos="567"/>
        </w:tabs>
        <w:autoSpaceDE w:val="0"/>
        <w:autoSpaceDN w:val="0"/>
        <w:adjustRightInd w:val="0"/>
        <w:spacing w:line="240" w:lineRule="auto"/>
        <w:rPr>
          <w:rFonts w:eastAsia="TimesNewRoman"/>
          <w:snapToGrid/>
          <w:szCs w:val="22"/>
          <w:highlight w:val="lightGray"/>
          <w:lang w:val="lt-LT"/>
        </w:rPr>
      </w:pPr>
      <w:r>
        <w:rPr>
          <w:rFonts w:eastAsia="TimesNewRoman"/>
          <w:snapToGrid/>
          <w:szCs w:val="22"/>
          <w:highlight w:val="lightGray"/>
          <w:lang w:val="lt-LT"/>
        </w:rPr>
        <w:t>30 tablečių</w:t>
      </w:r>
    </w:p>
    <w:p w14:paraId="347A9E52" w14:textId="77777777" w:rsidR="00C00DD1" w:rsidRDefault="00C260EB">
      <w:pPr>
        <w:widowControl w:val="0"/>
        <w:tabs>
          <w:tab w:val="clear" w:pos="567"/>
        </w:tabs>
        <w:autoSpaceDE w:val="0"/>
        <w:autoSpaceDN w:val="0"/>
        <w:adjustRightInd w:val="0"/>
        <w:spacing w:line="240" w:lineRule="auto"/>
        <w:rPr>
          <w:rFonts w:eastAsia="TimesNewRoman"/>
          <w:snapToGrid/>
          <w:szCs w:val="22"/>
          <w:highlight w:val="lightGray"/>
          <w:lang w:val="lt-LT"/>
        </w:rPr>
      </w:pPr>
      <w:r>
        <w:rPr>
          <w:rFonts w:eastAsia="TimesNewRoman"/>
          <w:snapToGrid/>
          <w:szCs w:val="22"/>
          <w:highlight w:val="lightGray"/>
          <w:lang w:val="lt-LT"/>
        </w:rPr>
        <w:t>60 tablečių</w:t>
      </w:r>
    </w:p>
    <w:p w14:paraId="5F187E63" w14:textId="77777777" w:rsidR="00C00DD1" w:rsidRDefault="00C260EB">
      <w:pPr>
        <w:widowControl w:val="0"/>
        <w:tabs>
          <w:tab w:val="clear" w:pos="567"/>
        </w:tabs>
        <w:autoSpaceDE w:val="0"/>
        <w:autoSpaceDN w:val="0"/>
        <w:adjustRightInd w:val="0"/>
        <w:spacing w:line="240" w:lineRule="auto"/>
        <w:rPr>
          <w:rFonts w:eastAsia="TimesNewRoman"/>
          <w:snapToGrid/>
          <w:szCs w:val="22"/>
          <w:highlight w:val="lightGray"/>
          <w:lang w:val="lt-LT"/>
        </w:rPr>
      </w:pPr>
      <w:r>
        <w:rPr>
          <w:rFonts w:eastAsia="TimesNewRoman"/>
          <w:snapToGrid/>
          <w:szCs w:val="22"/>
          <w:highlight w:val="lightGray"/>
          <w:lang w:val="lt-LT"/>
        </w:rPr>
        <w:t>90 tablečių</w:t>
      </w:r>
    </w:p>
    <w:p w14:paraId="49B58A8F" w14:textId="77777777" w:rsidR="00C00DD1" w:rsidRDefault="00C260EB">
      <w:pPr>
        <w:widowControl w:val="0"/>
        <w:tabs>
          <w:tab w:val="clear" w:pos="567"/>
        </w:tabs>
        <w:autoSpaceDE w:val="0"/>
        <w:autoSpaceDN w:val="0"/>
        <w:adjustRightInd w:val="0"/>
        <w:spacing w:line="240" w:lineRule="auto"/>
        <w:rPr>
          <w:rFonts w:eastAsia="TimesNewRoman"/>
          <w:snapToGrid/>
          <w:szCs w:val="22"/>
          <w:highlight w:val="lightGray"/>
          <w:lang w:val="lt-LT"/>
        </w:rPr>
      </w:pPr>
      <w:r>
        <w:rPr>
          <w:rFonts w:eastAsia="TimesNewRoman"/>
          <w:snapToGrid/>
          <w:szCs w:val="22"/>
          <w:highlight w:val="lightGray"/>
          <w:lang w:val="lt-LT"/>
        </w:rPr>
        <w:t>100 tablečių</w:t>
      </w:r>
    </w:p>
    <w:p w14:paraId="54916DAF" w14:textId="77777777" w:rsidR="00C00DD1" w:rsidRDefault="00C00DD1">
      <w:pPr>
        <w:widowControl w:val="0"/>
        <w:tabs>
          <w:tab w:val="clear" w:pos="567"/>
        </w:tabs>
        <w:spacing w:line="240" w:lineRule="auto"/>
        <w:rPr>
          <w:snapToGrid/>
          <w:szCs w:val="22"/>
          <w:lang w:val="lt-LT"/>
        </w:rPr>
      </w:pPr>
    </w:p>
    <w:p w14:paraId="6A29B554" w14:textId="77777777" w:rsidR="00C00DD1" w:rsidRDefault="00C00DD1">
      <w:pPr>
        <w:widowControl w:val="0"/>
        <w:tabs>
          <w:tab w:val="clear" w:pos="567"/>
        </w:tabs>
        <w:spacing w:line="240" w:lineRule="auto"/>
        <w:rPr>
          <w:snapToGrid/>
          <w:szCs w:val="22"/>
          <w:lang w:val="lt-LT"/>
        </w:rPr>
      </w:pPr>
    </w:p>
    <w:p w14:paraId="5D1E40CA"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5.</w:t>
      </w:r>
      <w:r>
        <w:rPr>
          <w:b/>
          <w:snapToGrid/>
          <w:szCs w:val="22"/>
          <w:lang w:val="lt-LT"/>
        </w:rPr>
        <w:tab/>
        <w:t>VARTOJIMO METODAS IR BŪDAS (</w:t>
      </w:r>
      <w:r>
        <w:rPr>
          <w:b/>
          <w:snapToGrid/>
          <w:szCs w:val="22"/>
          <w:lang w:val="lt-LT"/>
        </w:rPr>
        <w:noBreakHyphen/>
        <w:t>AI)</w:t>
      </w:r>
    </w:p>
    <w:p w14:paraId="6CA86716" w14:textId="77777777" w:rsidR="00C00DD1" w:rsidRDefault="00C00DD1">
      <w:pPr>
        <w:widowControl w:val="0"/>
        <w:tabs>
          <w:tab w:val="clear" w:pos="567"/>
        </w:tabs>
        <w:spacing w:line="240" w:lineRule="auto"/>
        <w:rPr>
          <w:i/>
          <w:snapToGrid/>
          <w:szCs w:val="22"/>
          <w:lang w:val="lt-LT"/>
        </w:rPr>
      </w:pPr>
    </w:p>
    <w:p w14:paraId="1387B1CD" w14:textId="77777777" w:rsidR="00C00DD1" w:rsidRDefault="00C260EB">
      <w:pPr>
        <w:widowControl w:val="0"/>
        <w:tabs>
          <w:tab w:val="clear" w:pos="567"/>
        </w:tabs>
        <w:spacing w:line="240" w:lineRule="auto"/>
        <w:rPr>
          <w:snapToGrid/>
          <w:szCs w:val="22"/>
          <w:lang w:val="lt-LT"/>
        </w:rPr>
      </w:pPr>
      <w:r>
        <w:rPr>
          <w:snapToGrid/>
          <w:szCs w:val="22"/>
          <w:lang w:val="lt-LT"/>
        </w:rPr>
        <w:t>Prieš vartojimą perskaitykite pakuotės lapelį.</w:t>
      </w:r>
    </w:p>
    <w:p w14:paraId="57BCD439" w14:textId="77777777" w:rsidR="00C00DD1" w:rsidRDefault="00C260EB">
      <w:pPr>
        <w:widowControl w:val="0"/>
        <w:tabs>
          <w:tab w:val="clear" w:pos="567"/>
        </w:tabs>
        <w:spacing w:line="240" w:lineRule="auto"/>
        <w:rPr>
          <w:snapToGrid/>
          <w:szCs w:val="22"/>
          <w:lang w:val="lt-LT"/>
        </w:rPr>
      </w:pPr>
      <w:r>
        <w:rPr>
          <w:rFonts w:eastAsia="TimesNewRoman"/>
          <w:snapToGrid/>
          <w:szCs w:val="22"/>
          <w:lang w:val="lt-LT"/>
        </w:rPr>
        <w:t>Vartoti per burną.</w:t>
      </w:r>
    </w:p>
    <w:p w14:paraId="022664E1" w14:textId="77777777" w:rsidR="00C00DD1" w:rsidRDefault="00C00DD1">
      <w:pPr>
        <w:widowControl w:val="0"/>
        <w:tabs>
          <w:tab w:val="clear" w:pos="567"/>
        </w:tabs>
        <w:spacing w:line="240" w:lineRule="auto"/>
        <w:rPr>
          <w:snapToGrid/>
          <w:szCs w:val="22"/>
          <w:lang w:val="lt-LT"/>
        </w:rPr>
      </w:pPr>
    </w:p>
    <w:p w14:paraId="15F8BADF" w14:textId="77777777" w:rsidR="00C00DD1" w:rsidRDefault="00C00DD1">
      <w:pPr>
        <w:widowControl w:val="0"/>
        <w:tabs>
          <w:tab w:val="clear" w:pos="567"/>
        </w:tabs>
        <w:spacing w:line="240" w:lineRule="auto"/>
        <w:rPr>
          <w:snapToGrid/>
          <w:szCs w:val="22"/>
          <w:lang w:val="lt-LT"/>
        </w:rPr>
      </w:pPr>
    </w:p>
    <w:p w14:paraId="0225BA29" w14:textId="77777777" w:rsidR="00C00DD1" w:rsidRDefault="00C260EB">
      <w:pPr>
        <w:widowControl w:val="0"/>
        <w:pBdr>
          <w:top w:val="single" w:sz="4" w:space="0"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t>6.</w:t>
      </w:r>
      <w:r>
        <w:rPr>
          <w:b/>
          <w:snapToGrid/>
          <w:szCs w:val="22"/>
          <w:lang w:val="lt-LT"/>
        </w:rPr>
        <w:tab/>
      </w:r>
      <w:r>
        <w:rPr>
          <w:b/>
          <w:bCs/>
          <w:snapToGrid/>
          <w:szCs w:val="22"/>
          <w:lang w:val="lt-LT"/>
        </w:rPr>
        <w:t>SPECIALUS ĮSPĖJIMAS, KAD VAISTINĮ PREPARATĄ BŪTINA LAIKYTI VAIKAMS NEPASTEBIMOJE IR NEPASIEKIAMOJE VIETOJE</w:t>
      </w:r>
    </w:p>
    <w:p w14:paraId="7C636366" w14:textId="77777777" w:rsidR="00C00DD1" w:rsidRDefault="00C00DD1">
      <w:pPr>
        <w:widowControl w:val="0"/>
        <w:tabs>
          <w:tab w:val="clear" w:pos="567"/>
        </w:tabs>
        <w:spacing w:line="240" w:lineRule="auto"/>
        <w:rPr>
          <w:snapToGrid/>
          <w:szCs w:val="22"/>
          <w:lang w:val="lt-LT"/>
        </w:rPr>
      </w:pPr>
    </w:p>
    <w:p w14:paraId="0BE93C37" w14:textId="77777777" w:rsidR="00C00DD1" w:rsidRDefault="00C260EB">
      <w:pPr>
        <w:widowControl w:val="0"/>
        <w:tabs>
          <w:tab w:val="clear" w:pos="567"/>
        </w:tabs>
        <w:spacing w:line="240" w:lineRule="auto"/>
        <w:rPr>
          <w:iCs/>
          <w:snapToGrid/>
          <w:szCs w:val="22"/>
          <w:lang w:val="lt-LT"/>
        </w:rPr>
      </w:pPr>
      <w:r>
        <w:rPr>
          <w:iCs/>
          <w:snapToGrid/>
          <w:szCs w:val="22"/>
          <w:lang w:val="lt-LT"/>
        </w:rPr>
        <w:t>Laikyti vaikams nepastebimoje ir nepasiekiamoje vietoje.</w:t>
      </w:r>
    </w:p>
    <w:p w14:paraId="0DB7D3A3" w14:textId="77777777" w:rsidR="00C00DD1" w:rsidRDefault="00C00DD1">
      <w:pPr>
        <w:widowControl w:val="0"/>
        <w:tabs>
          <w:tab w:val="clear" w:pos="567"/>
        </w:tabs>
        <w:spacing w:line="240" w:lineRule="auto"/>
        <w:rPr>
          <w:snapToGrid/>
          <w:szCs w:val="22"/>
          <w:lang w:val="lt-LT"/>
        </w:rPr>
      </w:pPr>
    </w:p>
    <w:p w14:paraId="603EDCE5" w14:textId="77777777" w:rsidR="00C00DD1" w:rsidRDefault="00C00DD1">
      <w:pPr>
        <w:widowControl w:val="0"/>
        <w:tabs>
          <w:tab w:val="clear" w:pos="567"/>
        </w:tabs>
        <w:spacing w:line="240" w:lineRule="auto"/>
        <w:rPr>
          <w:snapToGrid/>
          <w:szCs w:val="22"/>
          <w:lang w:val="lt-LT"/>
        </w:rPr>
      </w:pPr>
    </w:p>
    <w:p w14:paraId="66AD1E5F"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7.</w:t>
      </w:r>
      <w:r>
        <w:rPr>
          <w:b/>
          <w:snapToGrid/>
          <w:szCs w:val="22"/>
          <w:lang w:val="lt-LT"/>
        </w:rPr>
        <w:tab/>
      </w:r>
      <w:r>
        <w:rPr>
          <w:b/>
          <w:bCs/>
          <w:snapToGrid/>
          <w:szCs w:val="22"/>
          <w:lang w:val="lt-LT"/>
        </w:rPr>
        <w:t>KITAS (</w:t>
      </w:r>
      <w:r>
        <w:rPr>
          <w:b/>
          <w:bCs/>
          <w:snapToGrid/>
          <w:szCs w:val="22"/>
          <w:lang w:val="lt-LT"/>
        </w:rPr>
        <w:noBreakHyphen/>
        <w:t>I) SPECIALUS (</w:t>
      </w:r>
      <w:r>
        <w:rPr>
          <w:b/>
          <w:bCs/>
          <w:snapToGrid/>
          <w:szCs w:val="22"/>
          <w:lang w:val="lt-LT"/>
        </w:rPr>
        <w:noBreakHyphen/>
        <w:t>ŪS) ĮSPĖJIMAS (</w:t>
      </w:r>
      <w:r>
        <w:rPr>
          <w:b/>
          <w:bCs/>
          <w:snapToGrid/>
          <w:szCs w:val="22"/>
          <w:lang w:val="lt-LT"/>
        </w:rPr>
        <w:noBreakHyphen/>
        <w:t>AI) (JEIGU REIKIA)</w:t>
      </w:r>
    </w:p>
    <w:p w14:paraId="1A7312E8" w14:textId="77777777" w:rsidR="00C00DD1" w:rsidRDefault="00C00DD1">
      <w:pPr>
        <w:widowControl w:val="0"/>
        <w:tabs>
          <w:tab w:val="clear" w:pos="567"/>
        </w:tabs>
        <w:spacing w:line="240" w:lineRule="auto"/>
        <w:rPr>
          <w:snapToGrid/>
          <w:szCs w:val="22"/>
          <w:lang w:val="lt-LT"/>
        </w:rPr>
      </w:pPr>
    </w:p>
    <w:p w14:paraId="4BA91371" w14:textId="77777777" w:rsidR="00C00DD1" w:rsidRDefault="00C00DD1">
      <w:pPr>
        <w:widowControl w:val="0"/>
        <w:tabs>
          <w:tab w:val="clear" w:pos="567"/>
        </w:tabs>
        <w:spacing w:line="240" w:lineRule="auto"/>
        <w:rPr>
          <w:snapToGrid/>
          <w:szCs w:val="22"/>
          <w:lang w:val="lt-LT"/>
        </w:rPr>
      </w:pPr>
    </w:p>
    <w:p w14:paraId="305BA2A1"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highlight w:val="lightGray"/>
          <w:lang w:val="lt-LT"/>
        </w:rPr>
      </w:pPr>
      <w:r>
        <w:rPr>
          <w:b/>
          <w:snapToGrid/>
          <w:szCs w:val="22"/>
          <w:lang w:val="lt-LT"/>
        </w:rPr>
        <w:t>8.</w:t>
      </w:r>
      <w:r>
        <w:rPr>
          <w:b/>
          <w:snapToGrid/>
          <w:szCs w:val="22"/>
          <w:lang w:val="lt-LT"/>
        </w:rPr>
        <w:tab/>
      </w:r>
      <w:r>
        <w:rPr>
          <w:b/>
          <w:bCs/>
          <w:snapToGrid/>
          <w:szCs w:val="22"/>
          <w:lang w:val="lt-LT"/>
        </w:rPr>
        <w:t>TINKAMUMO LAIKAS</w:t>
      </w:r>
    </w:p>
    <w:p w14:paraId="467AC664" w14:textId="77777777" w:rsidR="00C00DD1" w:rsidRDefault="00C00DD1">
      <w:pPr>
        <w:widowControl w:val="0"/>
        <w:tabs>
          <w:tab w:val="clear" w:pos="567"/>
        </w:tabs>
        <w:spacing w:line="240" w:lineRule="auto"/>
        <w:rPr>
          <w:i/>
          <w:snapToGrid/>
          <w:szCs w:val="22"/>
          <w:lang w:val="lt-LT"/>
        </w:rPr>
      </w:pPr>
    </w:p>
    <w:p w14:paraId="6F19C43D" w14:textId="77777777" w:rsidR="00C00DD1" w:rsidRDefault="00C260EB">
      <w:pPr>
        <w:widowControl w:val="0"/>
        <w:tabs>
          <w:tab w:val="clear" w:pos="567"/>
        </w:tabs>
        <w:spacing w:line="240" w:lineRule="auto"/>
        <w:rPr>
          <w:snapToGrid/>
          <w:szCs w:val="22"/>
          <w:lang w:val="lt-LT"/>
        </w:rPr>
      </w:pPr>
      <w:r>
        <w:rPr>
          <w:snapToGrid/>
          <w:szCs w:val="22"/>
          <w:lang w:val="lt-LT"/>
        </w:rPr>
        <w:t>EXP</w:t>
      </w:r>
    </w:p>
    <w:p w14:paraId="4A8A572A" w14:textId="77777777" w:rsidR="00C00DD1" w:rsidRDefault="00C00DD1">
      <w:pPr>
        <w:widowControl w:val="0"/>
        <w:tabs>
          <w:tab w:val="clear" w:pos="567"/>
        </w:tabs>
        <w:spacing w:line="240" w:lineRule="auto"/>
        <w:rPr>
          <w:snapToGrid/>
          <w:szCs w:val="22"/>
          <w:lang w:val="lt-LT"/>
        </w:rPr>
      </w:pPr>
    </w:p>
    <w:p w14:paraId="383EBB9A" w14:textId="77777777" w:rsidR="00C00DD1" w:rsidRDefault="00C00DD1">
      <w:pPr>
        <w:widowControl w:val="0"/>
        <w:tabs>
          <w:tab w:val="clear" w:pos="567"/>
        </w:tabs>
        <w:spacing w:line="240" w:lineRule="auto"/>
        <w:rPr>
          <w:snapToGrid/>
          <w:szCs w:val="22"/>
          <w:lang w:val="lt-LT"/>
        </w:rPr>
      </w:pPr>
    </w:p>
    <w:p w14:paraId="59AFD883"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snapToGrid/>
          <w:szCs w:val="22"/>
          <w:lang w:val="lt-LT"/>
        </w:rPr>
      </w:pPr>
      <w:r>
        <w:rPr>
          <w:b/>
          <w:snapToGrid/>
          <w:szCs w:val="22"/>
          <w:lang w:val="lt-LT"/>
        </w:rPr>
        <w:lastRenderedPageBreak/>
        <w:t>9.</w:t>
      </w:r>
      <w:r>
        <w:rPr>
          <w:b/>
          <w:snapToGrid/>
          <w:szCs w:val="22"/>
          <w:lang w:val="lt-LT"/>
        </w:rPr>
        <w:tab/>
        <w:t>SPECIALIOS LAIKYMO SĄLYGOS</w:t>
      </w:r>
    </w:p>
    <w:p w14:paraId="4A120410" w14:textId="77777777" w:rsidR="00C00DD1" w:rsidRDefault="00C00DD1">
      <w:pPr>
        <w:widowControl w:val="0"/>
        <w:tabs>
          <w:tab w:val="clear" w:pos="567"/>
        </w:tabs>
        <w:spacing w:line="240" w:lineRule="auto"/>
        <w:rPr>
          <w:i/>
          <w:iCs/>
          <w:snapToGrid/>
          <w:szCs w:val="22"/>
          <w:lang w:val="lt-LT"/>
        </w:rPr>
      </w:pPr>
    </w:p>
    <w:p w14:paraId="3032B7EC"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vaistas būtų apsaugotas nuo šviesos.</w:t>
      </w:r>
    </w:p>
    <w:p w14:paraId="24C6B7F8" w14:textId="77777777" w:rsidR="00C00DD1" w:rsidRDefault="00C00DD1">
      <w:pPr>
        <w:widowControl w:val="0"/>
        <w:tabs>
          <w:tab w:val="clear" w:pos="567"/>
        </w:tabs>
        <w:spacing w:line="240" w:lineRule="auto"/>
        <w:ind w:left="567" w:hanging="567"/>
        <w:rPr>
          <w:lang w:val="lt-LT"/>
        </w:rPr>
      </w:pPr>
    </w:p>
    <w:p w14:paraId="768C79C2" w14:textId="77777777" w:rsidR="00C00DD1" w:rsidRDefault="00C00DD1">
      <w:pPr>
        <w:widowControl w:val="0"/>
        <w:tabs>
          <w:tab w:val="clear" w:pos="567"/>
        </w:tabs>
        <w:spacing w:line="240" w:lineRule="auto"/>
        <w:ind w:left="567" w:hanging="567"/>
        <w:rPr>
          <w:snapToGrid/>
          <w:szCs w:val="22"/>
          <w:lang w:val="lt-LT"/>
        </w:rPr>
      </w:pPr>
    </w:p>
    <w:p w14:paraId="0628116C"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ind w:left="567" w:hanging="567"/>
        <w:outlineLvl w:val="0"/>
        <w:rPr>
          <w:b/>
          <w:snapToGrid/>
          <w:szCs w:val="22"/>
          <w:lang w:val="lt-LT"/>
        </w:rPr>
      </w:pPr>
      <w:r>
        <w:rPr>
          <w:b/>
          <w:snapToGrid/>
          <w:szCs w:val="22"/>
          <w:lang w:val="lt-LT"/>
        </w:rPr>
        <w:t>10.</w:t>
      </w:r>
      <w:r>
        <w:rPr>
          <w:b/>
          <w:snapToGrid/>
          <w:szCs w:val="22"/>
          <w:lang w:val="lt-LT"/>
        </w:rPr>
        <w:tab/>
        <w:t>SPECIALIOS ATSARGUMO PRIEMONĖS DĖL NESUVARTOTO</w:t>
      </w:r>
      <w:r>
        <w:rPr>
          <w:b/>
          <w:bCs/>
          <w:snapToGrid/>
          <w:szCs w:val="22"/>
          <w:lang w:val="lt-LT"/>
        </w:rPr>
        <w:t xml:space="preserve"> VAISTINIO PREPARATO AR JO ATLIEKŲ</w:t>
      </w:r>
      <w:r>
        <w:rPr>
          <w:snapToGrid/>
          <w:szCs w:val="22"/>
          <w:lang w:val="lt-LT"/>
        </w:rPr>
        <w:t xml:space="preserve"> </w:t>
      </w:r>
      <w:r>
        <w:rPr>
          <w:b/>
          <w:bCs/>
          <w:snapToGrid/>
          <w:szCs w:val="22"/>
          <w:lang w:val="lt-LT"/>
        </w:rPr>
        <w:t>TVARKYMO</w:t>
      </w:r>
      <w:r>
        <w:rPr>
          <w:b/>
          <w:snapToGrid/>
          <w:szCs w:val="22"/>
          <w:lang w:val="lt-LT"/>
        </w:rPr>
        <w:t xml:space="preserve"> (JEIGU REIKIA)</w:t>
      </w:r>
    </w:p>
    <w:p w14:paraId="4A311F25" w14:textId="77777777" w:rsidR="00C00DD1" w:rsidRDefault="00C00DD1">
      <w:pPr>
        <w:widowControl w:val="0"/>
        <w:tabs>
          <w:tab w:val="clear" w:pos="567"/>
        </w:tabs>
        <w:spacing w:line="240" w:lineRule="auto"/>
        <w:rPr>
          <w:snapToGrid/>
          <w:szCs w:val="22"/>
          <w:lang w:val="lt-LT"/>
        </w:rPr>
      </w:pPr>
    </w:p>
    <w:p w14:paraId="5984B026"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vaistas būtų apsaugotas nuo drėgmės.</w:t>
      </w:r>
    </w:p>
    <w:p w14:paraId="52667640" w14:textId="77777777" w:rsidR="00C00DD1" w:rsidRDefault="00C00DD1">
      <w:pPr>
        <w:widowControl w:val="0"/>
        <w:tabs>
          <w:tab w:val="clear" w:pos="567"/>
        </w:tabs>
        <w:spacing w:line="240" w:lineRule="auto"/>
        <w:rPr>
          <w:rFonts w:eastAsia="TimesNewRoman"/>
          <w:snapToGrid/>
          <w:szCs w:val="22"/>
          <w:lang w:val="lt-LT"/>
        </w:rPr>
      </w:pPr>
    </w:p>
    <w:p w14:paraId="3FD343ED" w14:textId="77777777" w:rsidR="00C00DD1" w:rsidRDefault="00C00DD1">
      <w:pPr>
        <w:widowControl w:val="0"/>
        <w:tabs>
          <w:tab w:val="clear" w:pos="567"/>
        </w:tabs>
        <w:spacing w:line="240" w:lineRule="auto"/>
        <w:rPr>
          <w:snapToGrid/>
          <w:szCs w:val="22"/>
          <w:lang w:val="lt-LT"/>
        </w:rPr>
      </w:pPr>
    </w:p>
    <w:p w14:paraId="26E1AA4C"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b/>
          <w:snapToGrid/>
          <w:szCs w:val="22"/>
          <w:lang w:val="lt-LT"/>
        </w:rPr>
      </w:pPr>
      <w:r>
        <w:rPr>
          <w:b/>
          <w:snapToGrid/>
          <w:szCs w:val="22"/>
          <w:lang w:val="lt-LT"/>
        </w:rPr>
        <w:t>11.</w:t>
      </w:r>
      <w:r>
        <w:rPr>
          <w:b/>
          <w:snapToGrid/>
          <w:szCs w:val="22"/>
          <w:lang w:val="lt-LT"/>
        </w:rPr>
        <w:tab/>
      </w:r>
      <w:r>
        <w:rPr>
          <w:b/>
          <w:szCs w:val="22"/>
          <w:lang w:val="lt-LT"/>
        </w:rPr>
        <w:t xml:space="preserve">REGISTRUOTOJO </w:t>
      </w:r>
      <w:r>
        <w:rPr>
          <w:b/>
          <w:snapToGrid/>
          <w:szCs w:val="22"/>
          <w:lang w:val="lt-LT"/>
        </w:rPr>
        <w:t>PAVADINIMAS IR ADRESAS</w:t>
      </w:r>
    </w:p>
    <w:p w14:paraId="3A4EFF39" w14:textId="77777777" w:rsidR="00C00DD1" w:rsidRDefault="00C00DD1">
      <w:pPr>
        <w:widowControl w:val="0"/>
        <w:tabs>
          <w:tab w:val="clear" w:pos="567"/>
        </w:tabs>
        <w:spacing w:line="240" w:lineRule="auto"/>
        <w:rPr>
          <w:snapToGrid/>
          <w:szCs w:val="22"/>
          <w:lang w:val="lt-LT"/>
        </w:rPr>
      </w:pPr>
    </w:p>
    <w:p w14:paraId="03A210D7" w14:textId="77777777" w:rsidR="00C00DD1" w:rsidRDefault="00C260EB">
      <w:pPr>
        <w:widowControl w:val="0"/>
        <w:tabs>
          <w:tab w:val="clear" w:pos="567"/>
        </w:tabs>
        <w:spacing w:line="240" w:lineRule="auto"/>
        <w:jc w:val="both"/>
        <w:rPr>
          <w:snapToGrid/>
          <w:szCs w:val="22"/>
          <w:lang w:val="lt-LT"/>
        </w:rPr>
      </w:pPr>
      <w:r>
        <w:rPr>
          <w:snapToGrid/>
          <w:szCs w:val="22"/>
          <w:lang w:val="lt-LT"/>
        </w:rPr>
        <w:t>KRKA d.d. Novo mesto, Šmarješka cesta 6,8501 Novo mesto, Slovėnija</w:t>
      </w:r>
    </w:p>
    <w:p w14:paraId="7B6CC77E" w14:textId="77777777" w:rsidR="00C00DD1" w:rsidRDefault="00C00DD1">
      <w:pPr>
        <w:widowControl w:val="0"/>
        <w:tabs>
          <w:tab w:val="clear" w:pos="567"/>
        </w:tabs>
        <w:spacing w:line="240" w:lineRule="auto"/>
        <w:rPr>
          <w:snapToGrid/>
          <w:szCs w:val="22"/>
          <w:lang w:val="lt-LT"/>
        </w:rPr>
      </w:pPr>
    </w:p>
    <w:p w14:paraId="172E203E" w14:textId="77777777" w:rsidR="00C00DD1" w:rsidRDefault="00C00DD1">
      <w:pPr>
        <w:widowControl w:val="0"/>
        <w:tabs>
          <w:tab w:val="clear" w:pos="567"/>
        </w:tabs>
        <w:spacing w:line="240" w:lineRule="auto"/>
        <w:rPr>
          <w:snapToGrid/>
          <w:szCs w:val="22"/>
          <w:lang w:val="lt-LT"/>
        </w:rPr>
      </w:pPr>
    </w:p>
    <w:p w14:paraId="5F979A8D"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12.</w:t>
      </w:r>
      <w:r>
        <w:rPr>
          <w:b/>
          <w:snapToGrid/>
          <w:szCs w:val="22"/>
          <w:lang w:val="lt-LT"/>
        </w:rPr>
        <w:tab/>
      </w:r>
      <w:r>
        <w:rPr>
          <w:b/>
          <w:szCs w:val="22"/>
          <w:lang w:val="lt-LT"/>
        </w:rPr>
        <w:t xml:space="preserve">REGISTRACIJOS PAŽYMĖJIMO </w:t>
      </w:r>
      <w:r>
        <w:rPr>
          <w:b/>
          <w:snapToGrid/>
          <w:szCs w:val="22"/>
          <w:lang w:val="lt-LT"/>
        </w:rPr>
        <w:t>NUMERIS (</w:t>
      </w:r>
      <w:r>
        <w:rPr>
          <w:b/>
          <w:snapToGrid/>
          <w:szCs w:val="22"/>
          <w:lang w:val="lt-LT"/>
        </w:rPr>
        <w:noBreakHyphen/>
        <w:t>IAI)</w:t>
      </w:r>
    </w:p>
    <w:p w14:paraId="5610FD9F" w14:textId="77777777" w:rsidR="00C00DD1" w:rsidRDefault="00C00DD1">
      <w:pPr>
        <w:widowControl w:val="0"/>
        <w:tabs>
          <w:tab w:val="clear" w:pos="567"/>
        </w:tabs>
        <w:spacing w:line="240" w:lineRule="auto"/>
        <w:rPr>
          <w:snapToGrid/>
          <w:szCs w:val="22"/>
          <w:lang w:val="lt-LT"/>
        </w:rPr>
      </w:pPr>
    </w:p>
    <w:p w14:paraId="64DE93E7" w14:textId="77777777" w:rsidR="00C00DD1" w:rsidRPr="0006181B" w:rsidRDefault="00C260EB">
      <w:pPr>
        <w:widowControl w:val="0"/>
        <w:tabs>
          <w:tab w:val="clear" w:pos="567"/>
        </w:tabs>
        <w:spacing w:line="240" w:lineRule="auto"/>
        <w:rPr>
          <w:snapToGrid/>
          <w:szCs w:val="22"/>
          <w:u w:val="single"/>
          <w:shd w:val="clear" w:color="auto" w:fill="D9D9D9"/>
          <w:lang w:val="lt-LT"/>
        </w:rPr>
      </w:pPr>
      <w:r w:rsidRPr="0006181B">
        <w:rPr>
          <w:snapToGrid/>
          <w:szCs w:val="22"/>
          <w:u w:val="single"/>
          <w:shd w:val="clear" w:color="auto" w:fill="D9D9D9"/>
          <w:lang w:val="lt-LT"/>
        </w:rPr>
        <w:t>5 mg/1,25 mg</w:t>
      </w:r>
    </w:p>
    <w:p w14:paraId="49DCE846" w14:textId="77777777" w:rsidR="00C00DD1" w:rsidRDefault="00C260EB">
      <w:pPr>
        <w:widowControl w:val="0"/>
        <w:tabs>
          <w:tab w:val="clear" w:pos="567"/>
        </w:tabs>
        <w:spacing w:line="240" w:lineRule="auto"/>
        <w:rPr>
          <w:snapToGrid/>
          <w:szCs w:val="22"/>
          <w:shd w:val="clear" w:color="auto" w:fill="D9D9D9"/>
          <w:lang w:val="lt-LT"/>
        </w:rPr>
      </w:pPr>
      <w:r>
        <w:rPr>
          <w:snapToGrid/>
          <w:szCs w:val="22"/>
          <w:lang w:val="lt-LT"/>
        </w:rPr>
        <w:t xml:space="preserve">LT/1/22/4876/001 </w:t>
      </w:r>
      <w:r>
        <w:rPr>
          <w:snapToGrid/>
          <w:szCs w:val="22"/>
          <w:shd w:val="clear" w:color="auto" w:fill="D9D9D9"/>
          <w:lang w:val="lt-LT"/>
        </w:rPr>
        <w:t>– N10</w:t>
      </w:r>
    </w:p>
    <w:p w14:paraId="3AC799BA"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LT/1/22/4876/002 – N30</w:t>
      </w:r>
    </w:p>
    <w:p w14:paraId="16613550"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LT/1/22/4876/003 – N60</w:t>
      </w:r>
    </w:p>
    <w:p w14:paraId="2A46EF24"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LT/1/22/4876/004 – N90</w:t>
      </w:r>
    </w:p>
    <w:p w14:paraId="7E5110F1"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LT/1/22/4876/005 – N100</w:t>
      </w:r>
    </w:p>
    <w:p w14:paraId="0703D7BA" w14:textId="77777777" w:rsidR="00C00DD1" w:rsidRDefault="00C00DD1">
      <w:pPr>
        <w:widowControl w:val="0"/>
        <w:tabs>
          <w:tab w:val="clear" w:pos="567"/>
        </w:tabs>
        <w:spacing w:line="240" w:lineRule="auto"/>
        <w:rPr>
          <w:snapToGrid/>
          <w:szCs w:val="22"/>
          <w:shd w:val="clear" w:color="auto" w:fill="D9D9D9"/>
          <w:lang w:val="lt-LT"/>
        </w:rPr>
      </w:pPr>
    </w:p>
    <w:p w14:paraId="3977BCE2" w14:textId="77777777" w:rsidR="00C00DD1" w:rsidRPr="0006181B" w:rsidRDefault="00C260EB">
      <w:pPr>
        <w:widowControl w:val="0"/>
        <w:tabs>
          <w:tab w:val="clear" w:pos="567"/>
        </w:tabs>
        <w:spacing w:line="240" w:lineRule="auto"/>
        <w:rPr>
          <w:snapToGrid/>
          <w:szCs w:val="22"/>
          <w:u w:val="single"/>
          <w:shd w:val="clear" w:color="auto" w:fill="D9D9D9"/>
          <w:lang w:val="lt-LT"/>
        </w:rPr>
      </w:pPr>
      <w:r w:rsidRPr="0006181B">
        <w:rPr>
          <w:snapToGrid/>
          <w:szCs w:val="22"/>
          <w:u w:val="single"/>
          <w:shd w:val="clear" w:color="auto" w:fill="D9D9D9"/>
          <w:lang w:val="lt-LT"/>
        </w:rPr>
        <w:t>10 mg/2,5 mg</w:t>
      </w:r>
    </w:p>
    <w:p w14:paraId="4195FA6D" w14:textId="77777777" w:rsidR="00C00DD1" w:rsidRDefault="00C260EB">
      <w:pPr>
        <w:widowControl w:val="0"/>
        <w:tabs>
          <w:tab w:val="clear" w:pos="567"/>
        </w:tabs>
        <w:spacing w:line="240" w:lineRule="auto"/>
        <w:rPr>
          <w:snapToGrid/>
          <w:szCs w:val="22"/>
          <w:shd w:val="clear" w:color="auto" w:fill="D9D9D9"/>
          <w:lang w:val="lt-LT"/>
        </w:rPr>
      </w:pPr>
      <w:r w:rsidRPr="0006181B">
        <w:rPr>
          <w:snapToGrid/>
          <w:szCs w:val="22"/>
          <w:highlight w:val="lightGray"/>
          <w:lang w:val="lt-LT"/>
        </w:rPr>
        <w:t xml:space="preserve">LT/1/22/4877/001 </w:t>
      </w:r>
      <w:r w:rsidRPr="0006181B">
        <w:rPr>
          <w:snapToGrid/>
          <w:szCs w:val="22"/>
          <w:highlight w:val="lightGray"/>
          <w:shd w:val="clear" w:color="auto" w:fill="D9D9D9"/>
          <w:lang w:val="lt-LT"/>
        </w:rPr>
        <w:t>– N10</w:t>
      </w:r>
    </w:p>
    <w:p w14:paraId="31B4F6A6"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LT/1/22/4877/002 – N30</w:t>
      </w:r>
    </w:p>
    <w:p w14:paraId="066709FC"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LT/1/22/4877/003 – N60</w:t>
      </w:r>
    </w:p>
    <w:p w14:paraId="39F6CD8E"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LT/1/22/4877/004 – N90</w:t>
      </w:r>
    </w:p>
    <w:p w14:paraId="4C38A597" w14:textId="77777777" w:rsidR="00C00DD1" w:rsidRDefault="00C260EB">
      <w:pPr>
        <w:widowControl w:val="0"/>
        <w:tabs>
          <w:tab w:val="clear" w:pos="567"/>
        </w:tabs>
        <w:spacing w:line="240" w:lineRule="auto"/>
        <w:rPr>
          <w:snapToGrid/>
          <w:szCs w:val="22"/>
          <w:shd w:val="clear" w:color="auto" w:fill="D9D9D9"/>
          <w:lang w:val="lt-LT"/>
        </w:rPr>
      </w:pPr>
      <w:r>
        <w:rPr>
          <w:snapToGrid/>
          <w:szCs w:val="22"/>
          <w:shd w:val="clear" w:color="auto" w:fill="D9D9D9"/>
          <w:lang w:val="lt-LT"/>
        </w:rPr>
        <w:t>LT/1/22/4877/005 – N100</w:t>
      </w:r>
    </w:p>
    <w:p w14:paraId="34356600" w14:textId="77777777" w:rsidR="00C00DD1" w:rsidRDefault="00C00DD1">
      <w:pPr>
        <w:widowControl w:val="0"/>
        <w:tabs>
          <w:tab w:val="clear" w:pos="567"/>
        </w:tabs>
        <w:spacing w:line="240" w:lineRule="auto"/>
        <w:rPr>
          <w:snapToGrid/>
          <w:szCs w:val="22"/>
          <w:lang w:val="lt-LT"/>
        </w:rPr>
      </w:pPr>
    </w:p>
    <w:p w14:paraId="7F96E729" w14:textId="77777777" w:rsidR="00C00DD1" w:rsidRDefault="00C00DD1">
      <w:pPr>
        <w:widowControl w:val="0"/>
        <w:tabs>
          <w:tab w:val="clear" w:pos="567"/>
        </w:tabs>
        <w:spacing w:line="240" w:lineRule="auto"/>
        <w:rPr>
          <w:snapToGrid/>
          <w:szCs w:val="22"/>
          <w:lang w:val="lt-LT"/>
        </w:rPr>
      </w:pPr>
    </w:p>
    <w:p w14:paraId="5B2F15F1"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13.</w:t>
      </w:r>
      <w:r>
        <w:rPr>
          <w:b/>
          <w:snapToGrid/>
          <w:szCs w:val="22"/>
          <w:lang w:val="lt-LT"/>
        </w:rPr>
        <w:tab/>
        <w:t>SERIJOS NUMERIS</w:t>
      </w:r>
    </w:p>
    <w:p w14:paraId="386996BE" w14:textId="77777777" w:rsidR="00C00DD1" w:rsidRDefault="00C00DD1">
      <w:pPr>
        <w:widowControl w:val="0"/>
        <w:tabs>
          <w:tab w:val="clear" w:pos="567"/>
        </w:tabs>
        <w:spacing w:line="240" w:lineRule="auto"/>
        <w:rPr>
          <w:i/>
          <w:snapToGrid/>
          <w:szCs w:val="22"/>
          <w:lang w:val="lt-LT"/>
        </w:rPr>
      </w:pPr>
    </w:p>
    <w:p w14:paraId="45C8C8D8" w14:textId="77777777" w:rsidR="00C00DD1" w:rsidRDefault="00C260EB">
      <w:pPr>
        <w:widowControl w:val="0"/>
        <w:tabs>
          <w:tab w:val="clear" w:pos="567"/>
        </w:tabs>
        <w:spacing w:line="240" w:lineRule="auto"/>
        <w:rPr>
          <w:snapToGrid/>
          <w:szCs w:val="22"/>
          <w:lang w:val="lt-LT"/>
        </w:rPr>
      </w:pPr>
      <w:r>
        <w:rPr>
          <w:snapToGrid/>
          <w:szCs w:val="22"/>
          <w:lang w:val="lt-LT"/>
        </w:rPr>
        <w:t>Lot</w:t>
      </w:r>
    </w:p>
    <w:p w14:paraId="42CDEDCC" w14:textId="77777777" w:rsidR="00C00DD1" w:rsidRDefault="00C00DD1">
      <w:pPr>
        <w:widowControl w:val="0"/>
        <w:tabs>
          <w:tab w:val="clear" w:pos="567"/>
        </w:tabs>
        <w:spacing w:line="240" w:lineRule="auto"/>
        <w:rPr>
          <w:snapToGrid/>
          <w:szCs w:val="22"/>
          <w:lang w:val="lt-LT"/>
        </w:rPr>
      </w:pPr>
    </w:p>
    <w:p w14:paraId="71287117" w14:textId="77777777" w:rsidR="00C00DD1" w:rsidRDefault="00C00DD1">
      <w:pPr>
        <w:widowControl w:val="0"/>
        <w:tabs>
          <w:tab w:val="clear" w:pos="567"/>
        </w:tabs>
        <w:spacing w:line="240" w:lineRule="auto"/>
        <w:rPr>
          <w:snapToGrid/>
          <w:szCs w:val="22"/>
          <w:lang w:val="lt-LT"/>
        </w:rPr>
      </w:pPr>
    </w:p>
    <w:p w14:paraId="37877239"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14.</w:t>
      </w:r>
      <w:r>
        <w:rPr>
          <w:b/>
          <w:snapToGrid/>
          <w:szCs w:val="22"/>
          <w:lang w:val="lt-LT"/>
        </w:rPr>
        <w:tab/>
        <w:t>PARDAVIMO (IŠDAVIMO) TVARKA</w:t>
      </w:r>
    </w:p>
    <w:p w14:paraId="6235B9B7" w14:textId="77777777" w:rsidR="00C00DD1" w:rsidRDefault="00C00DD1">
      <w:pPr>
        <w:widowControl w:val="0"/>
        <w:tabs>
          <w:tab w:val="clear" w:pos="567"/>
        </w:tabs>
        <w:spacing w:line="240" w:lineRule="auto"/>
        <w:rPr>
          <w:snapToGrid/>
          <w:szCs w:val="22"/>
          <w:lang w:val="lt-LT"/>
        </w:rPr>
      </w:pPr>
    </w:p>
    <w:p w14:paraId="4222867C" w14:textId="77777777" w:rsidR="00C00DD1" w:rsidRDefault="00C260EB">
      <w:pPr>
        <w:widowControl w:val="0"/>
        <w:tabs>
          <w:tab w:val="clear" w:pos="567"/>
          <w:tab w:val="left" w:pos="360"/>
        </w:tabs>
        <w:spacing w:line="240" w:lineRule="auto"/>
        <w:rPr>
          <w:snapToGrid/>
          <w:szCs w:val="22"/>
          <w:lang w:val="lt-LT"/>
        </w:rPr>
      </w:pPr>
      <w:r>
        <w:rPr>
          <w:snapToGrid/>
          <w:szCs w:val="22"/>
          <w:lang w:val="lt-LT"/>
        </w:rPr>
        <w:t>Receptinis vaistas</w:t>
      </w:r>
    </w:p>
    <w:p w14:paraId="418E1731" w14:textId="77777777" w:rsidR="00C00DD1" w:rsidRDefault="00C00DD1">
      <w:pPr>
        <w:widowControl w:val="0"/>
        <w:tabs>
          <w:tab w:val="clear" w:pos="567"/>
        </w:tabs>
        <w:spacing w:line="240" w:lineRule="auto"/>
        <w:rPr>
          <w:snapToGrid/>
          <w:szCs w:val="22"/>
          <w:lang w:val="lt-LT"/>
        </w:rPr>
      </w:pPr>
    </w:p>
    <w:p w14:paraId="031C8BF8" w14:textId="77777777" w:rsidR="00C00DD1" w:rsidRDefault="00C00DD1">
      <w:pPr>
        <w:widowControl w:val="0"/>
        <w:tabs>
          <w:tab w:val="clear" w:pos="567"/>
        </w:tabs>
        <w:spacing w:line="240" w:lineRule="auto"/>
        <w:rPr>
          <w:snapToGrid/>
          <w:szCs w:val="22"/>
          <w:lang w:val="lt-LT"/>
        </w:rPr>
      </w:pPr>
    </w:p>
    <w:p w14:paraId="79326269"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15.</w:t>
      </w:r>
      <w:r>
        <w:rPr>
          <w:b/>
          <w:snapToGrid/>
          <w:szCs w:val="22"/>
          <w:lang w:val="lt-LT"/>
        </w:rPr>
        <w:tab/>
        <w:t>VARTOJIMO INSTRUKCIJA</w:t>
      </w:r>
    </w:p>
    <w:p w14:paraId="1CF654A1" w14:textId="77777777" w:rsidR="00C00DD1" w:rsidRDefault="00C00DD1">
      <w:pPr>
        <w:widowControl w:val="0"/>
        <w:tabs>
          <w:tab w:val="clear" w:pos="567"/>
        </w:tabs>
        <w:spacing w:line="240" w:lineRule="auto"/>
        <w:rPr>
          <w:snapToGrid/>
          <w:szCs w:val="22"/>
          <w:lang w:val="lt-LT"/>
        </w:rPr>
      </w:pPr>
    </w:p>
    <w:p w14:paraId="3119600F" w14:textId="77777777" w:rsidR="00C00DD1" w:rsidRDefault="00C00DD1">
      <w:pPr>
        <w:widowControl w:val="0"/>
        <w:tabs>
          <w:tab w:val="clear" w:pos="567"/>
        </w:tabs>
        <w:spacing w:line="240" w:lineRule="auto"/>
        <w:rPr>
          <w:snapToGrid/>
          <w:szCs w:val="22"/>
          <w:lang w:val="lt-LT"/>
        </w:rPr>
      </w:pPr>
    </w:p>
    <w:p w14:paraId="3586E270"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outlineLvl w:val="0"/>
        <w:rPr>
          <w:snapToGrid/>
          <w:szCs w:val="22"/>
          <w:lang w:val="lt-LT"/>
        </w:rPr>
      </w:pPr>
      <w:r>
        <w:rPr>
          <w:b/>
          <w:snapToGrid/>
          <w:szCs w:val="22"/>
          <w:lang w:val="lt-LT"/>
        </w:rPr>
        <w:t>16.</w:t>
      </w:r>
      <w:r>
        <w:rPr>
          <w:b/>
          <w:snapToGrid/>
          <w:szCs w:val="22"/>
          <w:lang w:val="lt-LT"/>
        </w:rPr>
        <w:tab/>
        <w:t>INFORMACIJA BRAILIO RAŠTU</w:t>
      </w:r>
    </w:p>
    <w:p w14:paraId="12A9A501" w14:textId="77777777" w:rsidR="00C00DD1" w:rsidRDefault="00C00DD1">
      <w:pPr>
        <w:widowControl w:val="0"/>
        <w:tabs>
          <w:tab w:val="clear" w:pos="567"/>
        </w:tabs>
        <w:spacing w:line="240" w:lineRule="auto"/>
        <w:rPr>
          <w:snapToGrid/>
          <w:szCs w:val="22"/>
          <w:lang w:val="lt-LT"/>
        </w:rPr>
      </w:pPr>
    </w:p>
    <w:p w14:paraId="112BC154"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r>
        <w:rPr>
          <w:snapToGrid/>
          <w:color w:val="000000"/>
          <w:szCs w:val="22"/>
          <w:lang w:val="lt-LT"/>
        </w:rPr>
        <w:t>Perindopril arginine/indapamide Krka 5 mg/1,25 mg</w:t>
      </w:r>
    </w:p>
    <w:p w14:paraId="56A45C33"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r>
        <w:rPr>
          <w:snapToGrid/>
          <w:color w:val="000000"/>
          <w:szCs w:val="22"/>
          <w:highlight w:val="lightGray"/>
          <w:lang w:val="lt-LT"/>
        </w:rPr>
        <w:t>Perindopril arginine/indapamide Krka 10 mg/2,5 mg</w:t>
      </w:r>
    </w:p>
    <w:p w14:paraId="7A720291" w14:textId="77777777" w:rsidR="00C00DD1" w:rsidRDefault="00C00DD1">
      <w:pPr>
        <w:widowControl w:val="0"/>
        <w:tabs>
          <w:tab w:val="clear" w:pos="567"/>
        </w:tabs>
        <w:spacing w:line="240" w:lineRule="auto"/>
        <w:ind w:left="567" w:hanging="567"/>
        <w:rPr>
          <w:snapToGrid/>
          <w:szCs w:val="22"/>
          <w:lang w:val="lt-LT"/>
        </w:rPr>
      </w:pPr>
    </w:p>
    <w:p w14:paraId="02D9600D" w14:textId="77777777" w:rsidR="00C00DD1" w:rsidRDefault="00C00DD1">
      <w:pPr>
        <w:widowControl w:val="0"/>
        <w:tabs>
          <w:tab w:val="clear" w:pos="567"/>
        </w:tabs>
        <w:spacing w:line="240" w:lineRule="auto"/>
        <w:rPr>
          <w:snapToGrid/>
          <w:szCs w:val="22"/>
          <w:shd w:val="clear" w:color="auto" w:fill="CCCCCC"/>
          <w:lang w:val="lt-LT"/>
        </w:rPr>
      </w:pPr>
    </w:p>
    <w:p w14:paraId="6846916F"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Pr>
          <w:b/>
          <w:snapToGrid/>
          <w:szCs w:val="22"/>
          <w:lang w:val="lt-LT"/>
        </w:rPr>
        <w:t>17.</w:t>
      </w:r>
      <w:r>
        <w:rPr>
          <w:b/>
          <w:snapToGrid/>
          <w:szCs w:val="22"/>
          <w:lang w:val="lt-LT"/>
        </w:rPr>
        <w:tab/>
        <w:t>UNIKALUS IDENTIFIKATORIUS – 2D BRŪKŠNINIS KODAS</w:t>
      </w:r>
    </w:p>
    <w:p w14:paraId="764650CD" w14:textId="77777777" w:rsidR="00C00DD1" w:rsidRDefault="00C00DD1">
      <w:pPr>
        <w:widowControl w:val="0"/>
        <w:tabs>
          <w:tab w:val="clear" w:pos="567"/>
        </w:tabs>
        <w:spacing w:line="240" w:lineRule="auto"/>
        <w:rPr>
          <w:snapToGrid/>
          <w:szCs w:val="22"/>
          <w:lang w:val="lt-LT"/>
        </w:rPr>
      </w:pPr>
    </w:p>
    <w:p w14:paraId="0296B486" w14:textId="77777777" w:rsidR="00C00DD1" w:rsidRDefault="00C260EB">
      <w:pPr>
        <w:widowControl w:val="0"/>
        <w:tabs>
          <w:tab w:val="clear" w:pos="567"/>
        </w:tabs>
        <w:spacing w:line="240" w:lineRule="auto"/>
        <w:rPr>
          <w:snapToGrid/>
          <w:szCs w:val="22"/>
          <w:shd w:val="clear" w:color="auto" w:fill="CCCCCC"/>
          <w:lang w:val="lt-LT"/>
        </w:rPr>
      </w:pPr>
      <w:r>
        <w:rPr>
          <w:snapToGrid/>
          <w:szCs w:val="22"/>
          <w:highlight w:val="lightGray"/>
          <w:lang w:val="lt-LT"/>
        </w:rPr>
        <w:t>2D brūkšninis kodas su nurodytu unikaliu identifikatoriumi.</w:t>
      </w:r>
    </w:p>
    <w:p w14:paraId="6A982975" w14:textId="77777777" w:rsidR="00C00DD1" w:rsidRDefault="00C00DD1">
      <w:pPr>
        <w:widowControl w:val="0"/>
        <w:tabs>
          <w:tab w:val="clear" w:pos="567"/>
        </w:tabs>
        <w:spacing w:line="240" w:lineRule="auto"/>
        <w:rPr>
          <w:snapToGrid/>
          <w:szCs w:val="22"/>
          <w:lang w:val="lt-LT"/>
        </w:rPr>
      </w:pPr>
    </w:p>
    <w:p w14:paraId="6A7B50DC" w14:textId="77777777" w:rsidR="00C00DD1" w:rsidRDefault="00C00DD1">
      <w:pPr>
        <w:widowControl w:val="0"/>
        <w:tabs>
          <w:tab w:val="clear" w:pos="567"/>
        </w:tabs>
        <w:spacing w:line="240" w:lineRule="auto"/>
        <w:rPr>
          <w:snapToGrid/>
          <w:szCs w:val="22"/>
          <w:lang w:val="lt-LT"/>
        </w:rPr>
      </w:pPr>
    </w:p>
    <w:p w14:paraId="17D9F339"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i/>
          <w:snapToGrid/>
          <w:szCs w:val="22"/>
          <w:lang w:val="lt-LT"/>
        </w:rPr>
      </w:pPr>
      <w:r>
        <w:rPr>
          <w:b/>
          <w:snapToGrid/>
          <w:szCs w:val="22"/>
          <w:lang w:val="lt-LT"/>
        </w:rPr>
        <w:t>18.</w:t>
      </w:r>
      <w:r>
        <w:rPr>
          <w:b/>
          <w:snapToGrid/>
          <w:szCs w:val="22"/>
          <w:lang w:val="lt-LT"/>
        </w:rPr>
        <w:tab/>
        <w:t>UNIKALUS IDENTIFIKATORIUS – ŽMONĖMS SUPRANTAMI DUOMENYS</w:t>
      </w:r>
    </w:p>
    <w:p w14:paraId="1F548962" w14:textId="77777777" w:rsidR="00C00DD1" w:rsidRDefault="00C00DD1">
      <w:pPr>
        <w:widowControl w:val="0"/>
        <w:tabs>
          <w:tab w:val="clear" w:pos="567"/>
        </w:tabs>
        <w:spacing w:line="240" w:lineRule="auto"/>
        <w:rPr>
          <w:snapToGrid/>
          <w:szCs w:val="22"/>
          <w:lang w:val="lt-LT"/>
        </w:rPr>
      </w:pPr>
    </w:p>
    <w:p w14:paraId="09272682" w14:textId="77777777" w:rsidR="00C00DD1" w:rsidRDefault="00C260EB">
      <w:pPr>
        <w:widowControl w:val="0"/>
        <w:tabs>
          <w:tab w:val="clear" w:pos="567"/>
        </w:tabs>
        <w:spacing w:line="240" w:lineRule="auto"/>
        <w:rPr>
          <w:snapToGrid/>
          <w:szCs w:val="22"/>
          <w:lang w:val="lt-LT"/>
        </w:rPr>
      </w:pPr>
      <w:r>
        <w:rPr>
          <w:snapToGrid/>
          <w:szCs w:val="22"/>
          <w:lang w:val="lt-LT"/>
        </w:rPr>
        <w:t>PC</w:t>
      </w:r>
    </w:p>
    <w:p w14:paraId="3DFCFBA7" w14:textId="77777777" w:rsidR="00C00DD1" w:rsidRDefault="00C260EB">
      <w:pPr>
        <w:widowControl w:val="0"/>
        <w:tabs>
          <w:tab w:val="clear" w:pos="567"/>
        </w:tabs>
        <w:spacing w:line="240" w:lineRule="auto"/>
        <w:rPr>
          <w:snapToGrid/>
          <w:szCs w:val="22"/>
          <w:lang w:val="lt-LT"/>
        </w:rPr>
      </w:pPr>
      <w:r>
        <w:rPr>
          <w:snapToGrid/>
          <w:szCs w:val="22"/>
          <w:lang w:val="lt-LT"/>
        </w:rPr>
        <w:t>SN</w:t>
      </w:r>
    </w:p>
    <w:p w14:paraId="2D4F18E0" w14:textId="77777777" w:rsidR="00C00DD1" w:rsidRDefault="00C260EB">
      <w:pPr>
        <w:widowControl w:val="0"/>
        <w:tabs>
          <w:tab w:val="clear" w:pos="567"/>
        </w:tabs>
        <w:spacing w:line="240" w:lineRule="auto"/>
        <w:rPr>
          <w:b/>
          <w:snapToGrid/>
          <w:szCs w:val="22"/>
          <w:lang w:val="lt-LT"/>
        </w:rPr>
      </w:pPr>
      <w:r>
        <w:rPr>
          <w:snapToGrid/>
          <w:szCs w:val="22"/>
          <w:lang w:val="lt-LT"/>
        </w:rPr>
        <w:t>NN</w:t>
      </w:r>
    </w:p>
    <w:p w14:paraId="4E7A0FBB" w14:textId="77777777" w:rsidR="00C00DD1" w:rsidRDefault="00C260EB">
      <w:pPr>
        <w:widowControl w:val="0"/>
        <w:tabs>
          <w:tab w:val="clear" w:pos="567"/>
        </w:tabs>
        <w:spacing w:line="240" w:lineRule="auto"/>
        <w:rPr>
          <w:b/>
          <w:snapToGrid/>
          <w:szCs w:val="22"/>
          <w:lang w:val="lt-LT"/>
        </w:rPr>
      </w:pPr>
      <w:r>
        <w:rPr>
          <w:b/>
          <w:snapToGrid/>
          <w:szCs w:val="22"/>
          <w:lang w:val="lt-LT"/>
        </w:rPr>
        <w:br w:type="page"/>
      </w:r>
    </w:p>
    <w:p w14:paraId="3BBA6847"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lastRenderedPageBreak/>
        <w:t>MINIMALI INFORMACIJA ANT LIZDINIŲ PLOKŠTELIŲ ARBA DVISLUOKSNIŲ JUOSTELIŲ</w:t>
      </w:r>
    </w:p>
    <w:p w14:paraId="793F427B" w14:textId="77777777" w:rsidR="00C00DD1" w:rsidRDefault="00C00DD1">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p>
    <w:p w14:paraId="0AE66EF5"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s>
        <w:spacing w:line="240" w:lineRule="auto"/>
        <w:rPr>
          <w:b/>
          <w:snapToGrid/>
          <w:szCs w:val="22"/>
          <w:lang w:val="lt-LT"/>
        </w:rPr>
      </w:pPr>
      <w:r>
        <w:rPr>
          <w:b/>
          <w:snapToGrid/>
          <w:szCs w:val="22"/>
          <w:lang w:val="lt-LT"/>
        </w:rPr>
        <w:t>LIZDINĖ PLOKŠTELĖ</w:t>
      </w:r>
    </w:p>
    <w:p w14:paraId="453B73A9" w14:textId="77777777" w:rsidR="00C00DD1" w:rsidRDefault="00C00DD1">
      <w:pPr>
        <w:widowControl w:val="0"/>
        <w:tabs>
          <w:tab w:val="clear" w:pos="567"/>
        </w:tabs>
        <w:spacing w:line="240" w:lineRule="auto"/>
        <w:rPr>
          <w:bCs/>
          <w:snapToGrid/>
          <w:szCs w:val="22"/>
          <w:lang w:val="lt-LT"/>
        </w:rPr>
      </w:pPr>
    </w:p>
    <w:p w14:paraId="14D0FF40" w14:textId="77777777" w:rsidR="00C00DD1" w:rsidRDefault="00C00DD1">
      <w:pPr>
        <w:widowControl w:val="0"/>
        <w:tabs>
          <w:tab w:val="clear" w:pos="567"/>
        </w:tabs>
        <w:spacing w:line="240" w:lineRule="auto"/>
        <w:rPr>
          <w:bCs/>
          <w:snapToGrid/>
          <w:szCs w:val="22"/>
          <w:lang w:val="lt-LT"/>
        </w:rPr>
      </w:pPr>
    </w:p>
    <w:p w14:paraId="30DD0076"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1.</w:t>
      </w:r>
      <w:r>
        <w:rPr>
          <w:b/>
          <w:snapToGrid/>
          <w:szCs w:val="22"/>
          <w:lang w:val="lt-LT"/>
        </w:rPr>
        <w:tab/>
        <w:t>VAISTINIO PREPARATO PAVADINIMAS</w:t>
      </w:r>
    </w:p>
    <w:p w14:paraId="296769EA" w14:textId="77777777" w:rsidR="00C00DD1" w:rsidRDefault="00C00DD1">
      <w:pPr>
        <w:widowControl w:val="0"/>
        <w:tabs>
          <w:tab w:val="clear" w:pos="567"/>
        </w:tabs>
        <w:spacing w:line="240" w:lineRule="auto"/>
        <w:ind w:left="567" w:hanging="567"/>
        <w:rPr>
          <w:snapToGrid/>
          <w:szCs w:val="22"/>
          <w:lang w:val="lt-LT"/>
        </w:rPr>
      </w:pPr>
    </w:p>
    <w:p w14:paraId="7F56EE93"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r>
        <w:rPr>
          <w:snapToGrid/>
          <w:color w:val="000000"/>
          <w:szCs w:val="22"/>
          <w:lang w:val="lt-LT"/>
        </w:rPr>
        <w:t>Perindopril arginine/indapamide Krka 5 mg/1,25 mg tabletės</w:t>
      </w:r>
    </w:p>
    <w:p w14:paraId="450B82ED" w14:textId="77777777" w:rsidR="00C00DD1" w:rsidRDefault="00C260EB">
      <w:pPr>
        <w:widowControl w:val="0"/>
        <w:tabs>
          <w:tab w:val="clear" w:pos="567"/>
        </w:tabs>
        <w:autoSpaceDE w:val="0"/>
        <w:autoSpaceDN w:val="0"/>
        <w:adjustRightInd w:val="0"/>
        <w:spacing w:line="240" w:lineRule="auto"/>
        <w:rPr>
          <w:snapToGrid/>
          <w:color w:val="000000"/>
          <w:szCs w:val="22"/>
          <w:lang w:val="lt-LT"/>
        </w:rPr>
      </w:pPr>
      <w:r>
        <w:rPr>
          <w:snapToGrid/>
          <w:color w:val="000000"/>
          <w:szCs w:val="22"/>
          <w:highlight w:val="lightGray"/>
          <w:lang w:val="lt-LT"/>
        </w:rPr>
        <w:t>Perindopril arginine/indapamide Krka 10 mg/2,5 mg tabletės</w:t>
      </w:r>
    </w:p>
    <w:p w14:paraId="65AA8BF2" w14:textId="77777777" w:rsidR="00C00DD1" w:rsidRDefault="00C260EB">
      <w:pPr>
        <w:widowControl w:val="0"/>
        <w:tabs>
          <w:tab w:val="clear" w:pos="567"/>
        </w:tabs>
        <w:spacing w:line="240" w:lineRule="auto"/>
        <w:rPr>
          <w:snapToGrid/>
          <w:szCs w:val="22"/>
          <w:lang w:val="lt-LT"/>
        </w:rPr>
      </w:pPr>
      <w:r>
        <w:rPr>
          <w:snapToGrid/>
          <w:szCs w:val="22"/>
          <w:lang w:val="lt-LT"/>
        </w:rPr>
        <w:t>perindoprilio argininas/indapamidas</w:t>
      </w:r>
    </w:p>
    <w:p w14:paraId="5AC7B88D" w14:textId="77777777" w:rsidR="00C00DD1" w:rsidRDefault="00C00DD1">
      <w:pPr>
        <w:widowControl w:val="0"/>
        <w:tabs>
          <w:tab w:val="clear" w:pos="567"/>
        </w:tabs>
        <w:spacing w:line="240" w:lineRule="auto"/>
        <w:rPr>
          <w:bCs/>
          <w:snapToGrid/>
          <w:szCs w:val="22"/>
          <w:lang w:val="lt-LT"/>
        </w:rPr>
      </w:pPr>
    </w:p>
    <w:p w14:paraId="3AFFD9CE" w14:textId="77777777" w:rsidR="00C00DD1" w:rsidRDefault="00C00DD1">
      <w:pPr>
        <w:widowControl w:val="0"/>
        <w:tabs>
          <w:tab w:val="clear" w:pos="567"/>
        </w:tabs>
        <w:spacing w:line="240" w:lineRule="auto"/>
        <w:rPr>
          <w:bCs/>
          <w:snapToGrid/>
          <w:szCs w:val="22"/>
          <w:lang w:val="lt-LT"/>
        </w:rPr>
      </w:pPr>
    </w:p>
    <w:p w14:paraId="045392D9"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2.</w:t>
      </w:r>
      <w:r>
        <w:rPr>
          <w:b/>
          <w:snapToGrid/>
          <w:szCs w:val="22"/>
          <w:lang w:val="lt-LT"/>
        </w:rPr>
        <w:tab/>
        <w:t>REGISTRUOTOJO PAVADINIMAS</w:t>
      </w:r>
    </w:p>
    <w:p w14:paraId="15354E99" w14:textId="77777777" w:rsidR="00C00DD1" w:rsidRDefault="00C00DD1">
      <w:pPr>
        <w:widowControl w:val="0"/>
        <w:tabs>
          <w:tab w:val="clear" w:pos="567"/>
        </w:tabs>
        <w:spacing w:line="240" w:lineRule="auto"/>
        <w:jc w:val="both"/>
        <w:rPr>
          <w:snapToGrid/>
          <w:szCs w:val="22"/>
          <w:lang w:val="lt-LT"/>
        </w:rPr>
      </w:pPr>
    </w:p>
    <w:p w14:paraId="39150D2A" w14:textId="77777777" w:rsidR="00C00DD1" w:rsidRDefault="00C260EB">
      <w:pPr>
        <w:widowControl w:val="0"/>
        <w:tabs>
          <w:tab w:val="clear" w:pos="567"/>
        </w:tabs>
        <w:spacing w:line="240" w:lineRule="auto"/>
        <w:jc w:val="both"/>
        <w:rPr>
          <w:snapToGrid/>
          <w:szCs w:val="22"/>
          <w:lang w:val="lt-LT"/>
        </w:rPr>
      </w:pPr>
      <w:r>
        <w:rPr>
          <w:snapToGrid/>
          <w:szCs w:val="22"/>
          <w:lang w:val="lt-LT"/>
        </w:rPr>
        <w:t>KRKA</w:t>
      </w:r>
    </w:p>
    <w:p w14:paraId="77A6C5F8" w14:textId="77777777" w:rsidR="00C00DD1" w:rsidRDefault="00C00DD1">
      <w:pPr>
        <w:widowControl w:val="0"/>
        <w:tabs>
          <w:tab w:val="clear" w:pos="567"/>
        </w:tabs>
        <w:spacing w:line="240" w:lineRule="auto"/>
        <w:rPr>
          <w:bCs/>
          <w:snapToGrid/>
          <w:szCs w:val="22"/>
          <w:lang w:val="lt-LT"/>
        </w:rPr>
      </w:pPr>
    </w:p>
    <w:p w14:paraId="5405A065" w14:textId="77777777" w:rsidR="00C00DD1" w:rsidRDefault="00C00DD1">
      <w:pPr>
        <w:widowControl w:val="0"/>
        <w:tabs>
          <w:tab w:val="clear" w:pos="567"/>
        </w:tabs>
        <w:spacing w:line="240" w:lineRule="auto"/>
        <w:rPr>
          <w:bCs/>
          <w:snapToGrid/>
          <w:szCs w:val="22"/>
          <w:lang w:val="lt-LT"/>
        </w:rPr>
      </w:pPr>
    </w:p>
    <w:p w14:paraId="76E732B5"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3.</w:t>
      </w:r>
      <w:r>
        <w:rPr>
          <w:b/>
          <w:snapToGrid/>
          <w:szCs w:val="22"/>
          <w:lang w:val="lt-LT"/>
        </w:rPr>
        <w:tab/>
        <w:t>TINKAMUMO LAIKAS</w:t>
      </w:r>
    </w:p>
    <w:p w14:paraId="1E9138CD" w14:textId="77777777" w:rsidR="00C00DD1" w:rsidRDefault="00C00DD1">
      <w:pPr>
        <w:widowControl w:val="0"/>
        <w:tabs>
          <w:tab w:val="clear" w:pos="567"/>
        </w:tabs>
        <w:spacing w:line="240" w:lineRule="auto"/>
        <w:rPr>
          <w:bCs/>
          <w:snapToGrid/>
          <w:szCs w:val="22"/>
          <w:lang w:val="lt-LT"/>
        </w:rPr>
      </w:pPr>
    </w:p>
    <w:p w14:paraId="443CCB71" w14:textId="77777777" w:rsidR="00C00DD1" w:rsidRDefault="00C260EB">
      <w:pPr>
        <w:widowControl w:val="0"/>
        <w:tabs>
          <w:tab w:val="clear" w:pos="567"/>
        </w:tabs>
        <w:spacing w:line="240" w:lineRule="auto"/>
        <w:rPr>
          <w:snapToGrid/>
          <w:szCs w:val="22"/>
          <w:lang w:val="lt-LT"/>
        </w:rPr>
      </w:pPr>
      <w:r>
        <w:rPr>
          <w:snapToGrid/>
          <w:szCs w:val="22"/>
          <w:lang w:val="lt-LT"/>
        </w:rPr>
        <w:t>EXP</w:t>
      </w:r>
    </w:p>
    <w:p w14:paraId="6B558604" w14:textId="77777777" w:rsidR="00C00DD1" w:rsidRDefault="00C00DD1">
      <w:pPr>
        <w:widowControl w:val="0"/>
        <w:tabs>
          <w:tab w:val="clear" w:pos="567"/>
        </w:tabs>
        <w:spacing w:line="240" w:lineRule="auto"/>
        <w:rPr>
          <w:snapToGrid/>
          <w:szCs w:val="22"/>
          <w:lang w:val="lt-LT"/>
        </w:rPr>
      </w:pPr>
    </w:p>
    <w:p w14:paraId="4B032ABC" w14:textId="77777777" w:rsidR="00C00DD1" w:rsidRDefault="00C00DD1">
      <w:pPr>
        <w:widowControl w:val="0"/>
        <w:tabs>
          <w:tab w:val="clear" w:pos="567"/>
        </w:tabs>
        <w:spacing w:line="240" w:lineRule="auto"/>
        <w:rPr>
          <w:snapToGrid/>
          <w:szCs w:val="22"/>
          <w:lang w:val="lt-LT"/>
        </w:rPr>
      </w:pPr>
    </w:p>
    <w:p w14:paraId="538B3BB2"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caps/>
          <w:snapToGrid/>
          <w:szCs w:val="22"/>
          <w:lang w:val="lt-LT"/>
        </w:rPr>
      </w:pPr>
      <w:r>
        <w:rPr>
          <w:b/>
          <w:snapToGrid/>
          <w:szCs w:val="22"/>
          <w:lang w:val="lt-LT"/>
        </w:rPr>
        <w:t>4.</w:t>
      </w:r>
      <w:r>
        <w:rPr>
          <w:b/>
          <w:snapToGrid/>
          <w:szCs w:val="22"/>
          <w:lang w:val="lt-LT"/>
        </w:rPr>
        <w:tab/>
        <w:t>SERIJOS NUMERIS</w:t>
      </w:r>
    </w:p>
    <w:p w14:paraId="1F7E0DDB" w14:textId="77777777" w:rsidR="00C00DD1" w:rsidRDefault="00C00DD1">
      <w:pPr>
        <w:widowControl w:val="0"/>
        <w:tabs>
          <w:tab w:val="clear" w:pos="567"/>
        </w:tabs>
        <w:spacing w:line="240" w:lineRule="auto"/>
        <w:ind w:right="113"/>
        <w:rPr>
          <w:i/>
          <w:snapToGrid/>
          <w:szCs w:val="22"/>
          <w:highlight w:val="yellow"/>
          <w:lang w:val="lt-LT"/>
        </w:rPr>
      </w:pPr>
    </w:p>
    <w:p w14:paraId="41E65D81" w14:textId="77777777" w:rsidR="00C00DD1" w:rsidRDefault="00C260EB">
      <w:pPr>
        <w:widowControl w:val="0"/>
        <w:tabs>
          <w:tab w:val="clear" w:pos="567"/>
        </w:tabs>
        <w:spacing w:line="240" w:lineRule="auto"/>
        <w:ind w:right="113"/>
        <w:rPr>
          <w:snapToGrid/>
          <w:szCs w:val="22"/>
          <w:lang w:val="lt-LT"/>
        </w:rPr>
      </w:pPr>
      <w:r>
        <w:rPr>
          <w:snapToGrid/>
          <w:szCs w:val="22"/>
          <w:lang w:val="lt-LT"/>
        </w:rPr>
        <w:t>Lot</w:t>
      </w:r>
    </w:p>
    <w:p w14:paraId="3D9DFAA0" w14:textId="77777777" w:rsidR="00C00DD1" w:rsidRDefault="00C00DD1">
      <w:pPr>
        <w:widowControl w:val="0"/>
        <w:tabs>
          <w:tab w:val="clear" w:pos="567"/>
        </w:tabs>
        <w:spacing w:line="240" w:lineRule="auto"/>
        <w:ind w:right="113"/>
        <w:rPr>
          <w:snapToGrid/>
          <w:szCs w:val="22"/>
          <w:lang w:val="lt-LT"/>
        </w:rPr>
      </w:pPr>
    </w:p>
    <w:p w14:paraId="70A4A104" w14:textId="77777777" w:rsidR="00C00DD1" w:rsidRDefault="00C00DD1">
      <w:pPr>
        <w:widowControl w:val="0"/>
        <w:tabs>
          <w:tab w:val="clear" w:pos="567"/>
        </w:tabs>
        <w:spacing w:line="240" w:lineRule="auto"/>
        <w:ind w:right="113"/>
        <w:rPr>
          <w:snapToGrid/>
          <w:szCs w:val="22"/>
          <w:lang w:val="lt-LT"/>
        </w:rPr>
      </w:pPr>
    </w:p>
    <w:p w14:paraId="76C20EEF" w14:textId="77777777" w:rsidR="00C00DD1" w:rsidRDefault="00C260EB">
      <w:pPr>
        <w:widowControl w:val="0"/>
        <w:pBdr>
          <w:top w:val="single" w:sz="4" w:space="1" w:color="auto"/>
          <w:left w:val="single" w:sz="4" w:space="4" w:color="auto"/>
          <w:bottom w:val="single" w:sz="4" w:space="1" w:color="auto"/>
          <w:right w:val="single" w:sz="4" w:space="4" w:color="auto"/>
        </w:pBdr>
        <w:tabs>
          <w:tab w:val="clear" w:pos="567"/>
          <w:tab w:val="left" w:pos="0"/>
        </w:tabs>
        <w:spacing w:line="240" w:lineRule="auto"/>
        <w:outlineLvl w:val="0"/>
        <w:rPr>
          <w:b/>
          <w:snapToGrid/>
          <w:szCs w:val="22"/>
          <w:lang w:val="lt-LT"/>
        </w:rPr>
      </w:pPr>
      <w:r>
        <w:rPr>
          <w:b/>
          <w:snapToGrid/>
          <w:szCs w:val="22"/>
          <w:lang w:val="lt-LT"/>
        </w:rPr>
        <w:t>5.</w:t>
      </w:r>
      <w:r>
        <w:rPr>
          <w:b/>
          <w:snapToGrid/>
          <w:szCs w:val="22"/>
          <w:lang w:val="lt-LT"/>
        </w:rPr>
        <w:tab/>
        <w:t>KITA</w:t>
      </w:r>
    </w:p>
    <w:p w14:paraId="0DC3EA07" w14:textId="77777777" w:rsidR="00C00DD1" w:rsidRDefault="00C260EB">
      <w:pPr>
        <w:widowControl w:val="0"/>
        <w:tabs>
          <w:tab w:val="clear" w:pos="567"/>
        </w:tabs>
        <w:spacing w:line="240" w:lineRule="auto"/>
        <w:ind w:left="567" w:hanging="567"/>
        <w:jc w:val="center"/>
        <w:rPr>
          <w:b/>
          <w:caps/>
          <w:snapToGrid/>
          <w:szCs w:val="24"/>
          <w:lang w:val="lt-LT"/>
        </w:rPr>
      </w:pPr>
      <w:r>
        <w:rPr>
          <w:snapToGrid/>
          <w:szCs w:val="22"/>
          <w:lang w:val="lt-LT"/>
        </w:rPr>
        <w:br w:type="page"/>
      </w:r>
    </w:p>
    <w:p w14:paraId="2FF5C41E" w14:textId="77777777" w:rsidR="00C00DD1" w:rsidRDefault="00C00DD1">
      <w:pPr>
        <w:widowControl w:val="0"/>
        <w:tabs>
          <w:tab w:val="clear" w:pos="567"/>
        </w:tabs>
        <w:spacing w:line="240" w:lineRule="auto"/>
        <w:ind w:left="567" w:hanging="567"/>
        <w:jc w:val="center"/>
        <w:rPr>
          <w:b/>
          <w:caps/>
          <w:snapToGrid/>
          <w:szCs w:val="24"/>
          <w:lang w:val="lt-LT"/>
        </w:rPr>
      </w:pPr>
    </w:p>
    <w:p w14:paraId="027187DF" w14:textId="77777777" w:rsidR="00C00DD1" w:rsidRDefault="00C00DD1">
      <w:pPr>
        <w:widowControl w:val="0"/>
        <w:tabs>
          <w:tab w:val="clear" w:pos="567"/>
        </w:tabs>
        <w:spacing w:line="240" w:lineRule="auto"/>
        <w:ind w:left="567" w:hanging="567"/>
        <w:jc w:val="center"/>
        <w:rPr>
          <w:b/>
          <w:caps/>
          <w:snapToGrid/>
          <w:szCs w:val="24"/>
          <w:lang w:val="lt-LT"/>
        </w:rPr>
      </w:pPr>
    </w:p>
    <w:p w14:paraId="587628BD" w14:textId="77777777" w:rsidR="00C00DD1" w:rsidRDefault="00C00DD1">
      <w:pPr>
        <w:widowControl w:val="0"/>
        <w:tabs>
          <w:tab w:val="clear" w:pos="567"/>
        </w:tabs>
        <w:spacing w:line="240" w:lineRule="auto"/>
        <w:ind w:left="567" w:hanging="567"/>
        <w:jc w:val="center"/>
        <w:rPr>
          <w:b/>
          <w:caps/>
          <w:snapToGrid/>
          <w:szCs w:val="24"/>
          <w:lang w:val="lt-LT"/>
        </w:rPr>
      </w:pPr>
    </w:p>
    <w:p w14:paraId="4805B361" w14:textId="77777777" w:rsidR="00C00DD1" w:rsidRDefault="00C00DD1">
      <w:pPr>
        <w:widowControl w:val="0"/>
        <w:tabs>
          <w:tab w:val="clear" w:pos="567"/>
        </w:tabs>
        <w:spacing w:line="240" w:lineRule="auto"/>
        <w:ind w:left="567" w:hanging="567"/>
        <w:jc w:val="center"/>
        <w:rPr>
          <w:b/>
          <w:caps/>
          <w:snapToGrid/>
          <w:szCs w:val="24"/>
          <w:lang w:val="lt-LT"/>
        </w:rPr>
      </w:pPr>
    </w:p>
    <w:p w14:paraId="1DBF5D1E" w14:textId="77777777" w:rsidR="00C00DD1" w:rsidRDefault="00C00DD1">
      <w:pPr>
        <w:widowControl w:val="0"/>
        <w:tabs>
          <w:tab w:val="clear" w:pos="567"/>
        </w:tabs>
        <w:spacing w:line="240" w:lineRule="auto"/>
        <w:ind w:left="567" w:hanging="567"/>
        <w:jc w:val="center"/>
        <w:rPr>
          <w:b/>
          <w:caps/>
          <w:snapToGrid/>
          <w:szCs w:val="24"/>
          <w:lang w:val="lt-LT"/>
        </w:rPr>
      </w:pPr>
    </w:p>
    <w:p w14:paraId="5164094F" w14:textId="77777777" w:rsidR="00C00DD1" w:rsidRDefault="00C00DD1">
      <w:pPr>
        <w:widowControl w:val="0"/>
        <w:tabs>
          <w:tab w:val="clear" w:pos="567"/>
        </w:tabs>
        <w:spacing w:line="240" w:lineRule="auto"/>
        <w:ind w:left="567" w:hanging="567"/>
        <w:jc w:val="center"/>
        <w:rPr>
          <w:b/>
          <w:caps/>
          <w:snapToGrid/>
          <w:szCs w:val="24"/>
          <w:lang w:val="lt-LT"/>
        </w:rPr>
      </w:pPr>
    </w:p>
    <w:p w14:paraId="05C60B7F" w14:textId="77777777" w:rsidR="00C00DD1" w:rsidRDefault="00C00DD1">
      <w:pPr>
        <w:widowControl w:val="0"/>
        <w:tabs>
          <w:tab w:val="clear" w:pos="567"/>
        </w:tabs>
        <w:spacing w:line="240" w:lineRule="auto"/>
        <w:ind w:left="567" w:hanging="567"/>
        <w:jc w:val="center"/>
        <w:rPr>
          <w:b/>
          <w:caps/>
          <w:snapToGrid/>
          <w:szCs w:val="24"/>
          <w:lang w:val="lt-LT"/>
        </w:rPr>
      </w:pPr>
    </w:p>
    <w:p w14:paraId="19B3BAEA" w14:textId="77777777" w:rsidR="00C00DD1" w:rsidRDefault="00C00DD1">
      <w:pPr>
        <w:widowControl w:val="0"/>
        <w:tabs>
          <w:tab w:val="clear" w:pos="567"/>
        </w:tabs>
        <w:spacing w:line="240" w:lineRule="auto"/>
        <w:ind w:left="567" w:hanging="567"/>
        <w:jc w:val="center"/>
        <w:rPr>
          <w:b/>
          <w:caps/>
          <w:snapToGrid/>
          <w:szCs w:val="24"/>
          <w:lang w:val="lt-LT"/>
        </w:rPr>
      </w:pPr>
    </w:p>
    <w:p w14:paraId="1F166A31" w14:textId="77777777" w:rsidR="00C00DD1" w:rsidRDefault="00C00DD1">
      <w:pPr>
        <w:widowControl w:val="0"/>
        <w:tabs>
          <w:tab w:val="clear" w:pos="567"/>
        </w:tabs>
        <w:spacing w:line="240" w:lineRule="auto"/>
        <w:ind w:left="567" w:hanging="567"/>
        <w:jc w:val="center"/>
        <w:rPr>
          <w:b/>
          <w:caps/>
          <w:snapToGrid/>
          <w:szCs w:val="24"/>
          <w:lang w:val="lt-LT"/>
        </w:rPr>
      </w:pPr>
    </w:p>
    <w:p w14:paraId="39F4A2B5" w14:textId="77777777" w:rsidR="00C00DD1" w:rsidRDefault="00C00DD1">
      <w:pPr>
        <w:widowControl w:val="0"/>
        <w:tabs>
          <w:tab w:val="clear" w:pos="567"/>
        </w:tabs>
        <w:spacing w:line="240" w:lineRule="auto"/>
        <w:ind w:left="567" w:hanging="567"/>
        <w:jc w:val="center"/>
        <w:rPr>
          <w:b/>
          <w:caps/>
          <w:snapToGrid/>
          <w:szCs w:val="24"/>
          <w:lang w:val="lt-LT"/>
        </w:rPr>
      </w:pPr>
    </w:p>
    <w:p w14:paraId="7912C979" w14:textId="77777777" w:rsidR="00C00DD1" w:rsidRDefault="00C00DD1">
      <w:pPr>
        <w:widowControl w:val="0"/>
        <w:tabs>
          <w:tab w:val="clear" w:pos="567"/>
        </w:tabs>
        <w:spacing w:line="240" w:lineRule="auto"/>
        <w:ind w:left="567" w:hanging="567"/>
        <w:jc w:val="center"/>
        <w:rPr>
          <w:b/>
          <w:caps/>
          <w:snapToGrid/>
          <w:szCs w:val="24"/>
          <w:lang w:val="lt-LT"/>
        </w:rPr>
      </w:pPr>
    </w:p>
    <w:p w14:paraId="60C83159" w14:textId="77777777" w:rsidR="00C00DD1" w:rsidRDefault="00C00DD1">
      <w:pPr>
        <w:widowControl w:val="0"/>
        <w:tabs>
          <w:tab w:val="clear" w:pos="567"/>
        </w:tabs>
        <w:spacing w:line="240" w:lineRule="auto"/>
        <w:ind w:left="567" w:hanging="567"/>
        <w:jc w:val="center"/>
        <w:rPr>
          <w:b/>
          <w:caps/>
          <w:snapToGrid/>
          <w:szCs w:val="24"/>
          <w:lang w:val="lt-LT"/>
        </w:rPr>
      </w:pPr>
    </w:p>
    <w:p w14:paraId="7B1A100D" w14:textId="77777777" w:rsidR="00C00DD1" w:rsidRDefault="00C00DD1">
      <w:pPr>
        <w:widowControl w:val="0"/>
        <w:tabs>
          <w:tab w:val="clear" w:pos="567"/>
        </w:tabs>
        <w:spacing w:line="240" w:lineRule="auto"/>
        <w:ind w:left="567" w:hanging="567"/>
        <w:jc w:val="center"/>
        <w:rPr>
          <w:b/>
          <w:caps/>
          <w:snapToGrid/>
          <w:szCs w:val="24"/>
          <w:lang w:val="lt-LT"/>
        </w:rPr>
      </w:pPr>
    </w:p>
    <w:p w14:paraId="31E6B211" w14:textId="77777777" w:rsidR="00C00DD1" w:rsidRDefault="00C00DD1">
      <w:pPr>
        <w:widowControl w:val="0"/>
        <w:tabs>
          <w:tab w:val="clear" w:pos="567"/>
        </w:tabs>
        <w:spacing w:line="240" w:lineRule="auto"/>
        <w:ind w:left="567" w:hanging="567"/>
        <w:jc w:val="center"/>
        <w:rPr>
          <w:b/>
          <w:caps/>
          <w:snapToGrid/>
          <w:szCs w:val="24"/>
          <w:lang w:val="lt-LT"/>
        </w:rPr>
      </w:pPr>
    </w:p>
    <w:p w14:paraId="7A4A0D04" w14:textId="77777777" w:rsidR="00C00DD1" w:rsidRDefault="00C00DD1">
      <w:pPr>
        <w:widowControl w:val="0"/>
        <w:tabs>
          <w:tab w:val="clear" w:pos="567"/>
        </w:tabs>
        <w:spacing w:line="240" w:lineRule="auto"/>
        <w:ind w:left="567" w:hanging="567"/>
        <w:jc w:val="center"/>
        <w:rPr>
          <w:b/>
          <w:caps/>
          <w:snapToGrid/>
          <w:szCs w:val="24"/>
          <w:lang w:val="lt-LT"/>
        </w:rPr>
      </w:pPr>
    </w:p>
    <w:p w14:paraId="05E2404D" w14:textId="77777777" w:rsidR="00C00DD1" w:rsidRDefault="00C00DD1">
      <w:pPr>
        <w:widowControl w:val="0"/>
        <w:tabs>
          <w:tab w:val="clear" w:pos="567"/>
        </w:tabs>
        <w:spacing w:line="240" w:lineRule="auto"/>
        <w:ind w:left="567" w:hanging="567"/>
        <w:jc w:val="center"/>
        <w:rPr>
          <w:b/>
          <w:caps/>
          <w:snapToGrid/>
          <w:szCs w:val="24"/>
          <w:lang w:val="lt-LT"/>
        </w:rPr>
      </w:pPr>
    </w:p>
    <w:p w14:paraId="53C98889" w14:textId="77777777" w:rsidR="00C00DD1" w:rsidRDefault="00C00DD1">
      <w:pPr>
        <w:widowControl w:val="0"/>
        <w:tabs>
          <w:tab w:val="clear" w:pos="567"/>
        </w:tabs>
        <w:spacing w:line="240" w:lineRule="auto"/>
        <w:ind w:left="567" w:hanging="567"/>
        <w:jc w:val="center"/>
        <w:rPr>
          <w:b/>
          <w:caps/>
          <w:snapToGrid/>
          <w:szCs w:val="24"/>
          <w:lang w:val="lt-LT"/>
        </w:rPr>
      </w:pPr>
    </w:p>
    <w:p w14:paraId="7587E34E" w14:textId="77777777" w:rsidR="00C00DD1" w:rsidRDefault="00C00DD1">
      <w:pPr>
        <w:widowControl w:val="0"/>
        <w:tabs>
          <w:tab w:val="clear" w:pos="567"/>
        </w:tabs>
        <w:spacing w:line="240" w:lineRule="auto"/>
        <w:ind w:left="567" w:hanging="567"/>
        <w:jc w:val="center"/>
        <w:rPr>
          <w:b/>
          <w:caps/>
          <w:snapToGrid/>
          <w:szCs w:val="24"/>
          <w:lang w:val="lt-LT"/>
        </w:rPr>
      </w:pPr>
    </w:p>
    <w:p w14:paraId="79282AFB" w14:textId="77777777" w:rsidR="00C00DD1" w:rsidRDefault="00C00DD1">
      <w:pPr>
        <w:widowControl w:val="0"/>
        <w:tabs>
          <w:tab w:val="clear" w:pos="567"/>
        </w:tabs>
        <w:spacing w:line="240" w:lineRule="auto"/>
        <w:ind w:left="567" w:hanging="567"/>
        <w:jc w:val="center"/>
        <w:rPr>
          <w:b/>
          <w:caps/>
          <w:snapToGrid/>
          <w:szCs w:val="24"/>
          <w:lang w:val="lt-LT"/>
        </w:rPr>
      </w:pPr>
    </w:p>
    <w:p w14:paraId="1505E4EF" w14:textId="77777777" w:rsidR="00C00DD1" w:rsidRDefault="00C00DD1">
      <w:pPr>
        <w:widowControl w:val="0"/>
        <w:tabs>
          <w:tab w:val="clear" w:pos="567"/>
        </w:tabs>
        <w:spacing w:line="240" w:lineRule="auto"/>
        <w:ind w:left="567" w:hanging="567"/>
        <w:jc w:val="center"/>
        <w:rPr>
          <w:b/>
          <w:caps/>
          <w:snapToGrid/>
          <w:szCs w:val="24"/>
          <w:lang w:val="lt-LT"/>
        </w:rPr>
      </w:pPr>
    </w:p>
    <w:p w14:paraId="1E2C6125" w14:textId="77777777" w:rsidR="00C00DD1" w:rsidRDefault="00C00DD1">
      <w:pPr>
        <w:widowControl w:val="0"/>
        <w:tabs>
          <w:tab w:val="clear" w:pos="567"/>
        </w:tabs>
        <w:spacing w:line="240" w:lineRule="auto"/>
        <w:ind w:left="567" w:hanging="567"/>
        <w:jc w:val="center"/>
        <w:rPr>
          <w:b/>
          <w:caps/>
          <w:snapToGrid/>
          <w:szCs w:val="24"/>
          <w:lang w:val="lt-LT"/>
        </w:rPr>
      </w:pPr>
    </w:p>
    <w:p w14:paraId="27978463" w14:textId="77777777" w:rsidR="00C00DD1" w:rsidRDefault="00C260EB">
      <w:pPr>
        <w:widowControl w:val="0"/>
        <w:spacing w:line="240" w:lineRule="auto"/>
        <w:ind w:left="567" w:hanging="567"/>
        <w:jc w:val="center"/>
        <w:outlineLvl w:val="0"/>
        <w:rPr>
          <w:b/>
          <w:caps/>
          <w:snapToGrid/>
          <w:szCs w:val="22"/>
          <w:lang w:val="lt-LT"/>
        </w:rPr>
      </w:pPr>
      <w:r>
        <w:rPr>
          <w:b/>
          <w:snapToGrid/>
          <w:szCs w:val="22"/>
          <w:lang w:val="lt-LT"/>
        </w:rPr>
        <w:t>B. PAKUOTĖS LAPELIS</w:t>
      </w:r>
    </w:p>
    <w:p w14:paraId="7ABE896D" w14:textId="77777777" w:rsidR="00C00DD1" w:rsidRDefault="00C260EB">
      <w:pPr>
        <w:widowControl w:val="0"/>
        <w:tabs>
          <w:tab w:val="clear" w:pos="567"/>
        </w:tabs>
        <w:spacing w:line="240" w:lineRule="auto"/>
        <w:ind w:left="567" w:hanging="567"/>
        <w:jc w:val="center"/>
        <w:rPr>
          <w:b/>
          <w:bCs/>
          <w:snapToGrid/>
          <w:szCs w:val="22"/>
          <w:lang w:val="lt-LT"/>
        </w:rPr>
      </w:pPr>
      <w:r>
        <w:rPr>
          <w:b/>
          <w:snapToGrid/>
          <w:szCs w:val="22"/>
          <w:lang w:val="lt-LT"/>
        </w:rPr>
        <w:br w:type="page"/>
      </w:r>
      <w:r>
        <w:rPr>
          <w:b/>
          <w:bCs/>
          <w:snapToGrid/>
          <w:szCs w:val="22"/>
          <w:lang w:val="lt-LT"/>
        </w:rPr>
        <w:lastRenderedPageBreak/>
        <w:t>Pakuotės lapelis: informacija pacientui</w:t>
      </w:r>
    </w:p>
    <w:p w14:paraId="7AAB1507" w14:textId="77777777" w:rsidR="00C00DD1" w:rsidRDefault="00C00DD1">
      <w:pPr>
        <w:widowControl w:val="0"/>
        <w:tabs>
          <w:tab w:val="clear" w:pos="567"/>
        </w:tabs>
        <w:spacing w:line="240" w:lineRule="auto"/>
        <w:ind w:left="567" w:hanging="567"/>
        <w:jc w:val="center"/>
        <w:rPr>
          <w:b/>
          <w:snapToGrid/>
          <w:szCs w:val="22"/>
          <w:lang w:val="lt-LT"/>
        </w:rPr>
      </w:pPr>
    </w:p>
    <w:p w14:paraId="1052A641" w14:textId="77777777" w:rsidR="00C00DD1" w:rsidRDefault="00C260EB">
      <w:pPr>
        <w:widowControl w:val="0"/>
        <w:tabs>
          <w:tab w:val="clear" w:pos="567"/>
        </w:tabs>
        <w:spacing w:line="240" w:lineRule="auto"/>
        <w:ind w:left="567" w:hanging="567"/>
        <w:jc w:val="center"/>
        <w:rPr>
          <w:b/>
          <w:snapToGrid/>
          <w:szCs w:val="22"/>
          <w:lang w:val="lt-LT"/>
        </w:rPr>
      </w:pPr>
      <w:r>
        <w:rPr>
          <w:b/>
          <w:snapToGrid/>
          <w:szCs w:val="22"/>
          <w:lang w:val="lt-LT"/>
        </w:rPr>
        <w:t>Perindopril arginine/indapamide Krka 5 mg/1,25 mg tabletės</w:t>
      </w:r>
    </w:p>
    <w:p w14:paraId="4DC0D711" w14:textId="77777777" w:rsidR="00C00DD1" w:rsidRDefault="00C260EB">
      <w:pPr>
        <w:widowControl w:val="0"/>
        <w:tabs>
          <w:tab w:val="clear" w:pos="567"/>
        </w:tabs>
        <w:spacing w:line="240" w:lineRule="auto"/>
        <w:ind w:left="567" w:hanging="567"/>
        <w:jc w:val="center"/>
        <w:rPr>
          <w:b/>
          <w:snapToGrid/>
          <w:szCs w:val="22"/>
          <w:lang w:val="lt-LT"/>
        </w:rPr>
      </w:pPr>
      <w:r>
        <w:rPr>
          <w:b/>
          <w:snapToGrid/>
          <w:szCs w:val="22"/>
          <w:lang w:val="lt-LT"/>
        </w:rPr>
        <w:t>Perindopril arginine/indapamide Krka 10 mg/2,5 mg tabletės</w:t>
      </w:r>
    </w:p>
    <w:p w14:paraId="7A077DA4" w14:textId="77777777" w:rsidR="00C00DD1" w:rsidRDefault="00C260EB">
      <w:pPr>
        <w:widowControl w:val="0"/>
        <w:tabs>
          <w:tab w:val="clear" w:pos="567"/>
        </w:tabs>
        <w:spacing w:line="240" w:lineRule="auto"/>
        <w:ind w:left="567" w:hanging="567"/>
        <w:jc w:val="center"/>
        <w:rPr>
          <w:bCs/>
          <w:snapToGrid/>
          <w:szCs w:val="22"/>
          <w:lang w:val="lt-LT"/>
        </w:rPr>
      </w:pPr>
      <w:r>
        <w:rPr>
          <w:bCs/>
          <w:snapToGrid/>
          <w:szCs w:val="22"/>
          <w:lang w:val="lt-LT"/>
        </w:rPr>
        <w:t>perindoprilio argininas/indapamidas</w:t>
      </w:r>
    </w:p>
    <w:p w14:paraId="0C6BEDF3" w14:textId="77777777" w:rsidR="00C00DD1" w:rsidRDefault="00C00DD1">
      <w:pPr>
        <w:widowControl w:val="0"/>
        <w:tabs>
          <w:tab w:val="clear" w:pos="567"/>
        </w:tabs>
        <w:spacing w:line="240" w:lineRule="auto"/>
        <w:rPr>
          <w:snapToGrid/>
          <w:szCs w:val="22"/>
          <w:lang w:val="lt-LT"/>
        </w:rPr>
      </w:pPr>
    </w:p>
    <w:p w14:paraId="23943003" w14:textId="77777777" w:rsidR="00C00DD1" w:rsidRDefault="00C00DD1">
      <w:pPr>
        <w:widowControl w:val="0"/>
        <w:tabs>
          <w:tab w:val="clear" w:pos="567"/>
        </w:tabs>
        <w:spacing w:line="240" w:lineRule="auto"/>
        <w:rPr>
          <w:snapToGrid/>
          <w:szCs w:val="22"/>
          <w:lang w:val="lt-LT"/>
        </w:rPr>
      </w:pPr>
    </w:p>
    <w:p w14:paraId="0702A76E"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Atidžiai perskaitykite visą šį lapelį, prieš pradėdami vartoti vaistą, nes jame pateikiama Jums svarbi informacija.</w:t>
      </w:r>
    </w:p>
    <w:p w14:paraId="0BDDCD41" w14:textId="77777777" w:rsidR="00C00DD1" w:rsidRDefault="00C260EB">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Neišmeskite šio lapelio, nes vėl gali prireikti jį perskaityti.</w:t>
      </w:r>
    </w:p>
    <w:p w14:paraId="5717E31F" w14:textId="77777777" w:rsidR="00C00DD1" w:rsidRDefault="00C260EB">
      <w:pPr>
        <w:widowControl w:val="0"/>
        <w:autoSpaceDE w:val="0"/>
        <w:autoSpaceDN w:val="0"/>
        <w:adjustRightInd w:val="0"/>
        <w:spacing w:line="240" w:lineRule="auto"/>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kiltų daugiau klausimų, kreipkitės į gydytoją arba vaistininką.</w:t>
      </w:r>
    </w:p>
    <w:p w14:paraId="4A70F20E" w14:textId="77777777" w:rsidR="00C00DD1" w:rsidRDefault="00C260EB">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Šis vaistas skirtas tik Jums, todėl kitiems žmonėms jo duoti negalima. Vaistas gali jiems pakenkti (net tiems, kurių ligos požymiai yra tokie patys kaip Jūsų).</w:t>
      </w:r>
    </w:p>
    <w:p w14:paraId="6A02DC19" w14:textId="77777777" w:rsidR="00C00DD1" w:rsidRDefault="00C260EB">
      <w:pPr>
        <w:widowControl w:val="0"/>
        <w:autoSpaceDE w:val="0"/>
        <w:autoSpaceDN w:val="0"/>
        <w:adjustRightInd w:val="0"/>
        <w:spacing w:line="240" w:lineRule="auto"/>
        <w:ind w:left="567" w:hanging="567"/>
        <w:rPr>
          <w:rFonts w:eastAsia="TimesNewRoman,Bold"/>
          <w:snapToGrid/>
          <w:szCs w:val="22"/>
          <w:lang w:val="lt-LT"/>
        </w:rPr>
      </w:pPr>
      <w:r>
        <w:rPr>
          <w:rFonts w:eastAsia="TimesNewRoman,Bold"/>
          <w:snapToGrid/>
          <w:szCs w:val="22"/>
          <w:lang w:val="lt-LT"/>
        </w:rPr>
        <w:t>-</w:t>
      </w:r>
      <w:r>
        <w:rPr>
          <w:rFonts w:eastAsia="TimesNewRoman,Bold"/>
          <w:snapToGrid/>
          <w:szCs w:val="22"/>
          <w:lang w:val="lt-LT"/>
        </w:rPr>
        <w:tab/>
        <w:t>Jeigu pasireiškė šalutinis poveikis (net jeigu jis šiame lapelyje nenurodytas), kreipkitės į gydytoją arba vaistininką. Žr. 4 skyrių.</w:t>
      </w:r>
    </w:p>
    <w:p w14:paraId="0AC2A332" w14:textId="77777777" w:rsidR="00C00DD1" w:rsidRDefault="00C00DD1">
      <w:pPr>
        <w:widowControl w:val="0"/>
        <w:autoSpaceDE w:val="0"/>
        <w:autoSpaceDN w:val="0"/>
        <w:adjustRightInd w:val="0"/>
        <w:spacing w:line="240" w:lineRule="auto"/>
        <w:ind w:left="567" w:hanging="567"/>
        <w:rPr>
          <w:bCs/>
          <w:snapToGrid/>
          <w:szCs w:val="22"/>
          <w:lang w:val="lt-LT"/>
        </w:rPr>
      </w:pPr>
    </w:p>
    <w:p w14:paraId="67FB6F28" w14:textId="77777777" w:rsidR="00C00DD1" w:rsidRDefault="00C260EB">
      <w:pPr>
        <w:widowControl w:val="0"/>
        <w:tabs>
          <w:tab w:val="clear" w:pos="567"/>
        </w:tabs>
        <w:spacing w:line="240" w:lineRule="auto"/>
        <w:ind w:left="567" w:hanging="567"/>
        <w:rPr>
          <w:b/>
          <w:snapToGrid/>
          <w:szCs w:val="22"/>
          <w:lang w:val="lt-LT"/>
        </w:rPr>
      </w:pPr>
      <w:r>
        <w:rPr>
          <w:b/>
          <w:snapToGrid/>
          <w:szCs w:val="22"/>
          <w:lang w:val="lt-LT"/>
        </w:rPr>
        <w:t>Apie ką rašoma šiame lapelyje?</w:t>
      </w:r>
    </w:p>
    <w:p w14:paraId="33E44200" w14:textId="77777777" w:rsidR="00C00DD1" w:rsidRDefault="00C00DD1">
      <w:pPr>
        <w:widowControl w:val="0"/>
        <w:tabs>
          <w:tab w:val="clear" w:pos="567"/>
        </w:tabs>
        <w:spacing w:line="240" w:lineRule="auto"/>
        <w:rPr>
          <w:bCs/>
          <w:snapToGrid/>
          <w:szCs w:val="22"/>
          <w:lang w:val="lt-LT"/>
        </w:rPr>
      </w:pPr>
    </w:p>
    <w:p w14:paraId="56C4C620"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1.</w:t>
      </w:r>
      <w:r>
        <w:rPr>
          <w:snapToGrid/>
          <w:szCs w:val="22"/>
          <w:lang w:val="lt-LT"/>
        </w:rPr>
        <w:tab/>
        <w:t>Kas yra Perindopril arginine/indapamide Krka ir kam jis vartojamas</w:t>
      </w:r>
    </w:p>
    <w:p w14:paraId="55F1A871"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2.</w:t>
      </w:r>
      <w:r>
        <w:rPr>
          <w:snapToGrid/>
          <w:szCs w:val="22"/>
          <w:lang w:val="lt-LT"/>
        </w:rPr>
        <w:tab/>
        <w:t>Kas žinotina prieš vartojant Perindopril arginine/indapamide Krka</w:t>
      </w:r>
    </w:p>
    <w:p w14:paraId="32D7E9B1"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3.</w:t>
      </w:r>
      <w:r>
        <w:rPr>
          <w:snapToGrid/>
          <w:szCs w:val="22"/>
          <w:lang w:val="lt-LT"/>
        </w:rPr>
        <w:tab/>
        <w:t>Kaip vartoti Perindopril arginine/indapamide Krka</w:t>
      </w:r>
    </w:p>
    <w:p w14:paraId="202D01B2"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4.</w:t>
      </w:r>
      <w:r>
        <w:rPr>
          <w:snapToGrid/>
          <w:szCs w:val="22"/>
          <w:lang w:val="lt-LT"/>
        </w:rPr>
        <w:tab/>
        <w:t>Galimas šalutinis poveikis</w:t>
      </w:r>
    </w:p>
    <w:p w14:paraId="79A6CDB2"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5.</w:t>
      </w:r>
      <w:r>
        <w:rPr>
          <w:snapToGrid/>
          <w:szCs w:val="22"/>
          <w:lang w:val="lt-LT"/>
        </w:rPr>
        <w:tab/>
        <w:t>Kaip laikyti Perindopril arginine/indapamide Krka</w:t>
      </w:r>
    </w:p>
    <w:p w14:paraId="0F2E232C" w14:textId="77777777" w:rsidR="00C00DD1" w:rsidRDefault="00C260EB">
      <w:pPr>
        <w:widowControl w:val="0"/>
        <w:tabs>
          <w:tab w:val="clear" w:pos="567"/>
        </w:tabs>
        <w:spacing w:line="240" w:lineRule="auto"/>
        <w:ind w:left="567" w:hanging="567"/>
        <w:rPr>
          <w:snapToGrid/>
          <w:szCs w:val="22"/>
          <w:lang w:val="lt-LT"/>
        </w:rPr>
      </w:pPr>
      <w:r>
        <w:rPr>
          <w:snapToGrid/>
          <w:szCs w:val="22"/>
          <w:lang w:val="lt-LT"/>
        </w:rPr>
        <w:t>6.</w:t>
      </w:r>
      <w:r>
        <w:rPr>
          <w:snapToGrid/>
          <w:szCs w:val="22"/>
          <w:lang w:val="lt-LT"/>
        </w:rPr>
        <w:tab/>
        <w:t>Pakuotės turinys ir kita informacija</w:t>
      </w:r>
    </w:p>
    <w:p w14:paraId="78080C0C" w14:textId="77777777" w:rsidR="00C00DD1" w:rsidRDefault="00C00DD1">
      <w:pPr>
        <w:widowControl w:val="0"/>
        <w:numPr>
          <w:ilvl w:val="12"/>
          <w:numId w:val="0"/>
        </w:numPr>
        <w:tabs>
          <w:tab w:val="clear" w:pos="567"/>
        </w:tabs>
        <w:spacing w:line="240" w:lineRule="auto"/>
        <w:rPr>
          <w:snapToGrid/>
          <w:szCs w:val="22"/>
          <w:lang w:val="lt-LT"/>
        </w:rPr>
      </w:pPr>
    </w:p>
    <w:p w14:paraId="67C329FC" w14:textId="77777777" w:rsidR="00C00DD1" w:rsidRDefault="00C00DD1">
      <w:pPr>
        <w:widowControl w:val="0"/>
        <w:numPr>
          <w:ilvl w:val="12"/>
          <w:numId w:val="0"/>
        </w:numPr>
        <w:tabs>
          <w:tab w:val="clear" w:pos="567"/>
        </w:tabs>
        <w:spacing w:line="240" w:lineRule="auto"/>
        <w:rPr>
          <w:snapToGrid/>
          <w:szCs w:val="22"/>
          <w:lang w:val="lt-LT"/>
        </w:rPr>
      </w:pPr>
    </w:p>
    <w:p w14:paraId="452E8BAD"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1.</w:t>
      </w:r>
      <w:r>
        <w:rPr>
          <w:b/>
          <w:snapToGrid/>
          <w:szCs w:val="22"/>
          <w:lang w:val="lt-LT"/>
        </w:rPr>
        <w:tab/>
        <w:t xml:space="preserve">Kas yra </w:t>
      </w:r>
      <w:r>
        <w:rPr>
          <w:b/>
          <w:bCs/>
          <w:snapToGrid/>
          <w:szCs w:val="22"/>
          <w:lang w:val="lt-LT"/>
        </w:rPr>
        <w:t xml:space="preserve">Perindopril arginine/indapamide Krka </w:t>
      </w:r>
      <w:r>
        <w:rPr>
          <w:b/>
          <w:snapToGrid/>
          <w:szCs w:val="22"/>
          <w:lang w:val="lt-LT"/>
        </w:rPr>
        <w:t>ir kam jis vartojamas</w:t>
      </w:r>
    </w:p>
    <w:p w14:paraId="25B1519A" w14:textId="77777777" w:rsidR="00C00DD1" w:rsidRDefault="00C00DD1">
      <w:pPr>
        <w:widowControl w:val="0"/>
        <w:tabs>
          <w:tab w:val="clear" w:pos="567"/>
        </w:tabs>
        <w:spacing w:line="240" w:lineRule="auto"/>
        <w:ind w:left="567" w:hanging="567"/>
        <w:rPr>
          <w:snapToGrid/>
          <w:szCs w:val="22"/>
          <w:lang w:val="lt-LT"/>
        </w:rPr>
      </w:pPr>
    </w:p>
    <w:p w14:paraId="1E944E0D" w14:textId="77777777" w:rsidR="00C00DD1" w:rsidRDefault="00C260EB">
      <w:pPr>
        <w:widowControl w:val="0"/>
        <w:tabs>
          <w:tab w:val="clear" w:pos="567"/>
        </w:tabs>
        <w:spacing w:line="240" w:lineRule="auto"/>
        <w:rPr>
          <w:b/>
          <w:snapToGrid/>
          <w:szCs w:val="22"/>
          <w:lang w:val="lt-LT" w:eastAsia="sl-SI"/>
        </w:rPr>
      </w:pPr>
      <w:r>
        <w:rPr>
          <w:b/>
          <w:snapToGrid/>
          <w:szCs w:val="22"/>
          <w:lang w:val="lt-LT" w:eastAsia="sl-SI"/>
        </w:rPr>
        <w:t xml:space="preserve">Kas yra </w:t>
      </w:r>
      <w:r>
        <w:rPr>
          <w:b/>
          <w:bCs/>
          <w:snapToGrid/>
          <w:szCs w:val="22"/>
          <w:lang w:val="lt-LT"/>
        </w:rPr>
        <w:t xml:space="preserve">Perindopril arginine/indapamide Krka </w:t>
      </w:r>
      <w:r>
        <w:rPr>
          <w:b/>
          <w:snapToGrid/>
          <w:szCs w:val="22"/>
          <w:lang w:val="lt-LT" w:eastAsia="sl-SI"/>
        </w:rPr>
        <w:t>tabletės?</w:t>
      </w:r>
    </w:p>
    <w:p w14:paraId="3A82F8A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yra dviejų veikliųjų medžiagų perindoprilio ir indapamido derinys. Perindopril arginine/indapamide Krka yra antihipertenzinis vaistas, vartojamas didelio kraujospūdžio ligai (hipertenzijai) gydyti.</w:t>
      </w:r>
    </w:p>
    <w:p w14:paraId="4D8AE847" w14:textId="77777777" w:rsidR="00C00DD1" w:rsidRDefault="00C00DD1">
      <w:pPr>
        <w:widowControl w:val="0"/>
        <w:tabs>
          <w:tab w:val="clear" w:pos="567"/>
        </w:tabs>
        <w:spacing w:line="240" w:lineRule="auto"/>
        <w:rPr>
          <w:snapToGrid/>
          <w:szCs w:val="22"/>
          <w:lang w:val="lt-LT" w:eastAsia="sl-SI"/>
        </w:rPr>
      </w:pPr>
    </w:p>
    <w:p w14:paraId="64FDC70E" w14:textId="77777777" w:rsidR="00C00DD1" w:rsidRDefault="00C260EB">
      <w:pPr>
        <w:widowControl w:val="0"/>
        <w:tabs>
          <w:tab w:val="clear" w:pos="567"/>
        </w:tabs>
        <w:spacing w:line="240" w:lineRule="auto"/>
        <w:rPr>
          <w:b/>
          <w:snapToGrid/>
          <w:szCs w:val="22"/>
          <w:lang w:val="lt-LT" w:eastAsia="sl-SI"/>
        </w:rPr>
      </w:pPr>
      <w:r>
        <w:rPr>
          <w:b/>
          <w:snapToGrid/>
          <w:szCs w:val="22"/>
          <w:lang w:val="lt-LT" w:eastAsia="sl-SI"/>
        </w:rPr>
        <w:t xml:space="preserve">Kam vartojamos </w:t>
      </w:r>
      <w:r>
        <w:rPr>
          <w:b/>
          <w:bCs/>
          <w:snapToGrid/>
          <w:szCs w:val="22"/>
          <w:lang w:val="lt-LT"/>
        </w:rPr>
        <w:t xml:space="preserve">Perindopril arginine/indapamide Krka </w:t>
      </w:r>
      <w:r>
        <w:rPr>
          <w:b/>
          <w:snapToGrid/>
          <w:szCs w:val="22"/>
          <w:lang w:val="lt-LT" w:eastAsia="sl-SI"/>
        </w:rPr>
        <w:t>tabletės?</w:t>
      </w:r>
    </w:p>
    <w:p w14:paraId="76CA471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Perindoprilis priklauso vaistų, vadinamų angiotenziną konvertuojančio fermento (AKF) inhibitoriais, grupei. Šie vaistai plečia kraujagysles, todėl širdžiai tampa lengviau pumpuoti kraują kraujagyslėmis. Indapamidas yra diuretikas. Diuretikai didina pro inkstus išskiriamo šlapimo kiekį. Vis dėlto indapamidas skiriasi nuo kitų diuretikų, kadangi jis tik šiek tiek didina išskiriamo šlapimo kiekį. Kiekviena veiklioji medžiaga mažina kraujospūdį, todėl jos abi kartu kontroliuoja kraujospūdį.</w:t>
      </w:r>
    </w:p>
    <w:p w14:paraId="49152EFE"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Perindopril arginine/indapamide Krka 10 mg/2,5 mg tabletės</w:t>
      </w:r>
    </w:p>
    <w:p w14:paraId="4CB89B9E"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skirtas vartoti pacientams, kurie jau yra gydomi atskiromis 10 mg perindoprilio ir 2,5 mg indapamido tabletėmis. Vietoj jų tokie pacientai gali vartoti vieną Perindopril arginine/indapamide Krka tabletę, kurioje yra dvi veikliosios medžiagos.</w:t>
      </w:r>
    </w:p>
    <w:p w14:paraId="6136D1F7" w14:textId="77777777" w:rsidR="00C00DD1" w:rsidRDefault="00C00DD1">
      <w:pPr>
        <w:widowControl w:val="0"/>
        <w:numPr>
          <w:ilvl w:val="12"/>
          <w:numId w:val="0"/>
        </w:numPr>
        <w:tabs>
          <w:tab w:val="clear" w:pos="567"/>
        </w:tabs>
        <w:spacing w:line="240" w:lineRule="auto"/>
        <w:rPr>
          <w:snapToGrid/>
          <w:szCs w:val="22"/>
          <w:lang w:val="lt-LT"/>
        </w:rPr>
      </w:pPr>
    </w:p>
    <w:p w14:paraId="0F21DB35" w14:textId="77777777" w:rsidR="00C00DD1" w:rsidRDefault="00C00DD1">
      <w:pPr>
        <w:widowControl w:val="0"/>
        <w:numPr>
          <w:ilvl w:val="12"/>
          <w:numId w:val="0"/>
        </w:numPr>
        <w:tabs>
          <w:tab w:val="clear" w:pos="567"/>
        </w:tabs>
        <w:spacing w:line="240" w:lineRule="auto"/>
        <w:rPr>
          <w:snapToGrid/>
          <w:szCs w:val="22"/>
          <w:lang w:val="lt-LT"/>
        </w:rPr>
      </w:pPr>
    </w:p>
    <w:p w14:paraId="20E33801"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2.</w:t>
      </w:r>
      <w:r>
        <w:rPr>
          <w:b/>
          <w:snapToGrid/>
          <w:szCs w:val="22"/>
          <w:lang w:val="lt-LT"/>
        </w:rPr>
        <w:tab/>
        <w:t xml:space="preserve">Kas žinotina prieš vartojant </w:t>
      </w:r>
      <w:r>
        <w:rPr>
          <w:b/>
          <w:bCs/>
          <w:snapToGrid/>
          <w:szCs w:val="22"/>
          <w:lang w:val="lt-LT"/>
        </w:rPr>
        <w:t>Perindopril arginine/indapamide Krka</w:t>
      </w:r>
    </w:p>
    <w:p w14:paraId="47E8373C" w14:textId="77777777" w:rsidR="00C00DD1" w:rsidRDefault="00C00DD1">
      <w:pPr>
        <w:widowControl w:val="0"/>
        <w:tabs>
          <w:tab w:val="clear" w:pos="567"/>
        </w:tabs>
        <w:spacing w:line="240" w:lineRule="auto"/>
        <w:ind w:left="567" w:hanging="567"/>
        <w:rPr>
          <w:snapToGrid/>
          <w:szCs w:val="22"/>
          <w:lang w:val="lt-LT"/>
        </w:rPr>
      </w:pPr>
    </w:p>
    <w:p w14:paraId="329BCD78" w14:textId="77777777" w:rsidR="00C00DD1" w:rsidRDefault="00C260EB">
      <w:pPr>
        <w:widowControl w:val="0"/>
        <w:tabs>
          <w:tab w:val="clear" w:pos="567"/>
        </w:tabs>
        <w:spacing w:line="240" w:lineRule="auto"/>
        <w:ind w:left="567" w:hanging="567"/>
        <w:rPr>
          <w:b/>
          <w:bCs/>
          <w:caps/>
          <w:snapToGrid/>
          <w:szCs w:val="22"/>
          <w:lang w:val="lt-LT"/>
        </w:rPr>
      </w:pPr>
      <w:r>
        <w:rPr>
          <w:b/>
          <w:bCs/>
          <w:snapToGrid/>
          <w:szCs w:val="22"/>
          <w:lang w:val="lt-LT"/>
        </w:rPr>
        <w:t>Perindopril arginine/indapamide Krka vartoti draudžiama:</w:t>
      </w:r>
    </w:p>
    <w:p w14:paraId="1E2631D0"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yra alergija perindopriliui, bet kuriam kitam AKF inhibitoriui, indapamidui, bet kuriam kitam sulfonamidui arba bet kuriai pagalbinei šio vaisto medžiagai (jos išvardytos 6 skyriuje);</w:t>
      </w:r>
    </w:p>
    <w:p w14:paraId="3A51BB66"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ankstesnio AKF inhibitorių vartojimo metu buvo atsiradę tokių simptomų kaip gargimas, veido ar liežuvio patinimas, stiprus niežulys arba sunkus odos išbėrimas (būklė, vadinama angioneurozine edema) arba jeigu Jums ar Jūsų giminaičiams tokių simptomų buvo atsiradę bet kokiomis kitomis aplinkybėmis;</w:t>
      </w:r>
    </w:p>
    <w:p w14:paraId="6C8F12CA"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sergate cukriniu diabetu arba inkstų veikla sutrikusi ir Jums skirtas kraujospūdį mažinantis vaistas, kurio sudėtyje yra aliskireno;</w:t>
      </w:r>
    </w:p>
    <w:p w14:paraId="47D0CE50"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 xml:space="preserve">jeigu yra sunkus kepenų sutrikimas arba būklė, vadinama hepatine encefalopatija (degeneracinė </w:t>
      </w:r>
      <w:r>
        <w:rPr>
          <w:snapToGrid/>
          <w:szCs w:val="22"/>
          <w:lang w:val="lt-LT"/>
        </w:rPr>
        <w:lastRenderedPageBreak/>
        <w:t>galvos smegenų liga);</w:t>
      </w:r>
    </w:p>
    <w:p w14:paraId="3087A184"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sergate sunkia inkstų liga, dėl kurios yra sumažėjęs inkstų aprūpinimas krauju (inkstų arterijos stenozė);</w:t>
      </w:r>
    </w:p>
    <w:p w14:paraId="5E4BFF3F"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yra sunkus inkstų funkcijos sutrikimas (kreatinino klirensas mažesnis nei 30 ml/min.);</w:t>
      </w:r>
    </w:p>
    <w:p w14:paraId="248BF9DE"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esate gydomas dializėmis arba kurios nors kitos rūšies kraujo filtracija. Priklausomai nuo naudojamos įrangos, Perindopril arginine/indapamide Krka Jums gali netikti;</w:t>
      </w:r>
    </w:p>
    <w:p w14:paraId="28FD754B"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kalio kiekis kraujyje yra mažas;</w:t>
      </w:r>
    </w:p>
    <w:p w14:paraId="1E898834"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manoma, kad Jums gali būti negydytas dekompensuotas širdies nepakankamumas (galimi simptomai yra sunkus skysčių kaupimasis, kvėpavimo pasunkėjimas);</w:t>
      </w:r>
    </w:p>
    <w:p w14:paraId="1D3AF115"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esate daugiau nei 3 mėnesius nėščia. Taip pat yra geriau vengti Perindopril arginine/indapamide Krka vartoti ankstyvojo nėštumo metu (žr. poskyrį „Nėštumas ir žindymo laikotarpis“);</w:t>
      </w:r>
    </w:p>
    <w:p w14:paraId="793F8353"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vartojote sakubitrilo ir valsartano derinį (vaistą nuo širdies nepakankamumo) (žr. skyrius „Įspėjimai ir atsargumo priemonės“ ir „Kiti vaistai ir Perindopril arginine/indapamide Krka“).</w:t>
      </w:r>
    </w:p>
    <w:p w14:paraId="149DF90C" w14:textId="77777777" w:rsidR="00C00DD1" w:rsidRDefault="00C00DD1">
      <w:pPr>
        <w:widowControl w:val="0"/>
        <w:tabs>
          <w:tab w:val="clear" w:pos="567"/>
        </w:tabs>
        <w:autoSpaceDE w:val="0"/>
        <w:autoSpaceDN w:val="0"/>
        <w:adjustRightInd w:val="0"/>
        <w:spacing w:line="240" w:lineRule="auto"/>
        <w:rPr>
          <w:snapToGrid/>
          <w:szCs w:val="22"/>
          <w:lang w:val="lt-LT"/>
        </w:rPr>
      </w:pPr>
    </w:p>
    <w:p w14:paraId="0B67F86F"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 xml:space="preserve">Tik </w:t>
      </w:r>
      <w:bookmarkStart w:id="10" w:name="_Hlk87536187"/>
      <w:r>
        <w:rPr>
          <w:snapToGrid/>
          <w:szCs w:val="22"/>
          <w:u w:val="single"/>
          <w:lang w:val="lt-LT" w:eastAsia="sl-SI"/>
        </w:rPr>
        <w:t xml:space="preserve">Perindopril arginine/indapamide Krka </w:t>
      </w:r>
      <w:bookmarkEnd w:id="10"/>
      <w:r>
        <w:rPr>
          <w:snapToGrid/>
          <w:szCs w:val="22"/>
          <w:u w:val="single"/>
          <w:lang w:val="lt-LT" w:eastAsia="sl-SI"/>
        </w:rPr>
        <w:t>10 mg/2,5 mg tabletės</w:t>
      </w:r>
    </w:p>
    <w:p w14:paraId="2EB28135" w14:textId="77777777" w:rsidR="00C00DD1" w:rsidRDefault="00C260EB">
      <w:pPr>
        <w:widowControl w:val="0"/>
        <w:numPr>
          <w:ilvl w:val="0"/>
          <w:numId w:val="9"/>
        </w:numPr>
        <w:tabs>
          <w:tab w:val="clear" w:pos="567"/>
        </w:tabs>
        <w:autoSpaceDE w:val="0"/>
        <w:autoSpaceDN w:val="0"/>
        <w:adjustRightInd w:val="0"/>
        <w:spacing w:line="240" w:lineRule="auto"/>
        <w:ind w:left="567" w:hanging="567"/>
        <w:rPr>
          <w:snapToGrid/>
          <w:szCs w:val="22"/>
          <w:lang w:val="lt-LT"/>
        </w:rPr>
      </w:pPr>
      <w:r>
        <w:rPr>
          <w:snapToGrid/>
          <w:szCs w:val="22"/>
          <w:lang w:val="lt-LT"/>
        </w:rPr>
        <w:t>jeigu yra vidutinio sunkumo inkstų funkcijos sutrikimas (kreatinino klirensas mažesnis nei 60 ml/min.).</w:t>
      </w:r>
    </w:p>
    <w:p w14:paraId="1113A1A7" w14:textId="77777777" w:rsidR="00C00DD1" w:rsidRDefault="00C00DD1">
      <w:pPr>
        <w:widowControl w:val="0"/>
        <w:tabs>
          <w:tab w:val="clear" w:pos="567"/>
        </w:tabs>
        <w:autoSpaceDE w:val="0"/>
        <w:autoSpaceDN w:val="0"/>
        <w:adjustRightInd w:val="0"/>
        <w:spacing w:line="240" w:lineRule="auto"/>
        <w:rPr>
          <w:snapToGrid/>
          <w:szCs w:val="22"/>
          <w:lang w:val="lt-LT"/>
        </w:rPr>
      </w:pPr>
    </w:p>
    <w:p w14:paraId="392D3D83" w14:textId="77777777" w:rsidR="00C00DD1" w:rsidRDefault="00C260EB">
      <w:pPr>
        <w:widowControl w:val="0"/>
        <w:tabs>
          <w:tab w:val="clear" w:pos="567"/>
        </w:tabs>
        <w:spacing w:line="240" w:lineRule="auto"/>
        <w:ind w:left="567" w:hanging="567"/>
        <w:rPr>
          <w:b/>
          <w:snapToGrid/>
          <w:szCs w:val="22"/>
          <w:lang w:val="lt-LT"/>
        </w:rPr>
      </w:pPr>
      <w:r>
        <w:rPr>
          <w:b/>
          <w:snapToGrid/>
          <w:szCs w:val="22"/>
          <w:lang w:val="lt-LT"/>
        </w:rPr>
        <w:t>Įspėjimai ir atsargumo priemonės</w:t>
      </w:r>
    </w:p>
    <w:p w14:paraId="179DAD20"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Pasakykite savo gydytojui arba vaistininkui prieš pradėdami vartoti Perindopril arginine/indapamide Krka:</w:t>
      </w:r>
    </w:p>
    <w:p w14:paraId="170752A2"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Jums yra aortos stenozė (pagrindinės iš širdies kraujagyslės išeinančios susiaurėjimas), hipertrofinė kardiomiopatija (širdies raumens liga) ar inkstų arterijos stenozė (arterijos, aprūpinančios inkstus krauju, susiaurėjimas);</w:t>
      </w:r>
    </w:p>
    <w:p w14:paraId="0EF9D890"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yra širdies nepakankamumas arba sergate kitomis širdies ligomis;</w:t>
      </w:r>
    </w:p>
    <w:p w14:paraId="21F5B946"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r>
      <w:bookmarkStart w:id="11" w:name="_Hlk505889292"/>
      <w:r>
        <w:rPr>
          <w:rFonts w:eastAsia="Calibri"/>
          <w:snapToGrid/>
          <w:szCs w:val="22"/>
          <w:lang w:val="lt-LT"/>
        </w:rPr>
        <w:t>jeigu sergate inkstų ligomis arba Jums atliekamos dializės;</w:t>
      </w:r>
    </w:p>
    <w:bookmarkEnd w:id="11"/>
    <w:p w14:paraId="6AD1654E"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yra nenormaliai padidėjęs hormono, vadinamo aldosteronu, kiekis Jūsų kraujyje (pirminis hiperaldosteronizmas);</w:t>
      </w:r>
    </w:p>
    <w:p w14:paraId="7E2847FC"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yra kepenų sutrikimų;</w:t>
      </w:r>
    </w:p>
    <w:p w14:paraId="6A5E890D"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kolagenoze (odos liga), pavyzdžiui, sistemine raudonąja vilklige ar sklerodermija;</w:t>
      </w:r>
    </w:p>
    <w:p w14:paraId="47BCB753"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ateroskleroze (arterijų sukietėjimas);</w:t>
      </w:r>
    </w:p>
    <w:p w14:paraId="2DD1D1CE"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 xml:space="preserve">jeigu sergate hiperparatiroze (yra sustiprėjusi prieskydinių liaukų veikla); </w:t>
      </w:r>
    </w:p>
    <w:p w14:paraId="656A9FD4"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podagra;</w:t>
      </w:r>
    </w:p>
    <w:p w14:paraId="4682799B"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sergate cukriniu diabetu;</w:t>
      </w:r>
    </w:p>
    <w:p w14:paraId="1680173D"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ribojate druskos kiekį maiste ar vartojate druskos papildus, kurių sudėtyje yra kalio;</w:t>
      </w:r>
    </w:p>
    <w:p w14:paraId="4B08302A"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vartojate ličio preparatus ar kalį organizme sulaikančius diuretikus (spironolaktoną, triamtereną) arba kalio papildus, nes jų nerekomenduojama vartoti kartu su Perindopril arginine/indapamide Krka (žr. skyrių „Kiti vaistai ir Perindopril arginine/indapamide Krka“);</w:t>
      </w:r>
    </w:p>
    <w:p w14:paraId="142C8D28"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esate senyvas žmogus;</w:t>
      </w:r>
    </w:p>
    <w:p w14:paraId="0C2FFF77"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Jums buvo pasireiškusios padidėjusio jautrumo šviesai reakcijos;</w:t>
      </w:r>
    </w:p>
    <w:p w14:paraId="28683A18"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 xml:space="preserve">jeigu Jums buvo pasireiškusi sunki alerginė reakcija su veido, lūpų, burnos, liežuvio ar gerklės patinimu, dėl kurios gali tapti sunku ryti ar kvėpuoti (angioneurozinė edema). Tokia reakcija gali pasireikšti bet kuriuo gydymo laikotarpiu. Jeigu atsiranda tokių simptomų, </w:t>
      </w:r>
      <w:bookmarkStart w:id="12" w:name="_Hlk87536830"/>
      <w:r>
        <w:rPr>
          <w:rFonts w:eastAsia="Calibri"/>
          <w:snapToGrid/>
          <w:szCs w:val="22"/>
          <w:lang w:val="lt-LT"/>
        </w:rPr>
        <w:t>turite nedelsdami nutraukti gydymą ir kreiptis į gydytoją</w:t>
      </w:r>
      <w:bookmarkEnd w:id="12"/>
      <w:r>
        <w:rPr>
          <w:rFonts w:eastAsia="Calibri"/>
          <w:snapToGrid/>
          <w:szCs w:val="22"/>
          <w:lang w:val="lt-LT"/>
        </w:rPr>
        <w:t>;</w:t>
      </w:r>
    </w:p>
    <w:p w14:paraId="41897798"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t>-</w:t>
      </w:r>
      <w:r>
        <w:rPr>
          <w:rFonts w:eastAsia="Calibri"/>
          <w:snapToGrid/>
          <w:szCs w:val="22"/>
          <w:lang w:val="lt-LT"/>
        </w:rPr>
        <w:tab/>
        <w:t>jeigu vartojote ar šiuo metu vartojate kurį nors iš šių vaistų padidėjusiam kraujospūdžiui gydyti:</w:t>
      </w:r>
    </w:p>
    <w:p w14:paraId="51BDE9FE"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angiotenzino II receptorių blokatorių (ARB) (dar vadinami sartanais, pavyzdžiui, valsartanas, telmisartanas, irbesartanas), ypač jeigu yra su cukriniu diabetu susijusių inkstų sutrikimų,</w:t>
      </w:r>
    </w:p>
    <w:p w14:paraId="7DC6A510"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aliskireną.</w:t>
      </w:r>
    </w:p>
    <w:p w14:paraId="48B75750" w14:textId="77777777" w:rsidR="00C00DD1" w:rsidRDefault="00C260EB">
      <w:pPr>
        <w:tabs>
          <w:tab w:val="clear" w:pos="567"/>
          <w:tab w:val="left" w:pos="540"/>
        </w:tabs>
        <w:spacing w:line="240" w:lineRule="auto"/>
        <w:ind w:left="567"/>
        <w:rPr>
          <w:rFonts w:eastAsia="Calibri"/>
          <w:bCs/>
          <w:snapToGrid/>
          <w:szCs w:val="22"/>
          <w:lang w:val="lt-LT"/>
        </w:rPr>
      </w:pPr>
      <w:r>
        <w:rPr>
          <w:rFonts w:eastAsia="Calibri"/>
          <w:bCs/>
          <w:snapToGrid/>
          <w:szCs w:val="22"/>
          <w:lang w:val="lt-LT"/>
        </w:rPr>
        <w:t>Jūsų gydytojas gali reguliariai tirti Jūsų inkstų funkciją, kraujospūdį ir elektrolitų (pvz., kalio) kiekį kraujyje.</w:t>
      </w:r>
    </w:p>
    <w:p w14:paraId="3C9D85AF" w14:textId="77777777" w:rsidR="00C00DD1" w:rsidRDefault="00C260EB">
      <w:pPr>
        <w:tabs>
          <w:tab w:val="clear" w:pos="567"/>
          <w:tab w:val="left" w:pos="540"/>
        </w:tabs>
        <w:spacing w:line="240" w:lineRule="auto"/>
        <w:ind w:left="567"/>
        <w:rPr>
          <w:rFonts w:eastAsia="Calibri"/>
          <w:bCs/>
          <w:snapToGrid/>
          <w:szCs w:val="22"/>
          <w:lang w:val="lt-LT"/>
        </w:rPr>
      </w:pPr>
      <w:r>
        <w:rPr>
          <w:rFonts w:eastAsia="Calibri"/>
          <w:snapToGrid/>
          <w:szCs w:val="22"/>
          <w:lang w:val="lt-LT"/>
        </w:rPr>
        <w:t xml:space="preserve">Taip pat </w:t>
      </w:r>
      <w:r>
        <w:rPr>
          <w:rFonts w:eastAsia="Calibri"/>
          <w:bCs/>
          <w:snapToGrid/>
          <w:szCs w:val="22"/>
          <w:lang w:val="lt-LT"/>
        </w:rPr>
        <w:t>žr.</w:t>
      </w:r>
      <w:r>
        <w:rPr>
          <w:rFonts w:eastAsia="Calibri"/>
          <w:snapToGrid/>
          <w:szCs w:val="22"/>
          <w:lang w:val="lt-LT"/>
        </w:rPr>
        <w:t xml:space="preserve"> informaciją</w:t>
      </w:r>
      <w:r>
        <w:rPr>
          <w:rFonts w:eastAsia="Calibri"/>
          <w:bCs/>
          <w:snapToGrid/>
          <w:szCs w:val="22"/>
          <w:lang w:val="lt-LT"/>
        </w:rPr>
        <w:t xml:space="preserve"> poskyryje</w:t>
      </w:r>
      <w:r>
        <w:rPr>
          <w:rFonts w:eastAsia="Calibri"/>
          <w:snapToGrid/>
          <w:szCs w:val="22"/>
          <w:lang w:val="lt-LT"/>
        </w:rPr>
        <w:t xml:space="preserve"> „Perindopril arginine/indapamide Krka vartoti draudžiama</w:t>
      </w:r>
      <w:r>
        <w:rPr>
          <w:rFonts w:eastAsia="Calibri"/>
          <w:bCs/>
          <w:snapToGrid/>
          <w:szCs w:val="22"/>
          <w:lang w:val="lt-LT"/>
        </w:rPr>
        <w:t>“;</w:t>
      </w:r>
    </w:p>
    <w:p w14:paraId="021E5A7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jeigu esate juodaodis, nes gali būti didesnė angioneurozinės edemos atsiradimo rizika, o kraujospūdį mažinti šis vaistas gali ne taip veiksmingai, kaip nejuodaodžiams žmonėms;</w:t>
      </w:r>
    </w:p>
    <w:p w14:paraId="6180B961"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jeigu Jums atliekamos hemodializės naudojant didelio pralaidumo membranas</w:t>
      </w:r>
    </w:p>
    <w:p w14:paraId="2254A2A6" w14:textId="77777777" w:rsidR="00C00DD1" w:rsidRDefault="00C260EB">
      <w:pPr>
        <w:tabs>
          <w:tab w:val="clear" w:pos="567"/>
        </w:tabs>
        <w:spacing w:line="240" w:lineRule="auto"/>
        <w:ind w:left="567" w:hanging="567"/>
        <w:rPr>
          <w:rFonts w:eastAsia="Calibri"/>
          <w:snapToGrid/>
          <w:szCs w:val="22"/>
          <w:lang w:val="lt-LT"/>
        </w:rPr>
      </w:pPr>
      <w:r>
        <w:rPr>
          <w:rFonts w:eastAsia="Calibri"/>
          <w:snapToGrid/>
          <w:szCs w:val="22"/>
          <w:lang w:val="lt-LT"/>
        </w:rPr>
        <w:lastRenderedPageBreak/>
        <w:t>-</w:t>
      </w:r>
      <w:r>
        <w:rPr>
          <w:rFonts w:eastAsia="Calibri"/>
          <w:snapToGrid/>
          <w:szCs w:val="22"/>
          <w:lang w:val="lt-LT"/>
        </w:rPr>
        <w:tab/>
        <w:t>jeigu vartojate kurį nors iš toliau išvardytų vaistų (gali padidėti angioneurozinės edemos pasireiškimo rizika):</w:t>
      </w:r>
    </w:p>
    <w:p w14:paraId="23F06DB5"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racekadotrilis (vartojamas viduriavimui gydyti);</w:t>
      </w:r>
    </w:p>
    <w:p w14:paraId="59AD8375"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t>sirolimuzas, everolimuzas, temsirolimuzas ir kiti vaistai, kurie priklauso vadinamųjų mTor inhibitorių grupei (skiriami siekiant išvengti persodintų organų atmetimo);</w:t>
      </w:r>
    </w:p>
    <w:p w14:paraId="7098FD03" w14:textId="77777777" w:rsidR="00C00DD1" w:rsidRDefault="00C260EB">
      <w:pPr>
        <w:tabs>
          <w:tab w:val="clear" w:pos="567"/>
        </w:tabs>
        <w:spacing w:line="240" w:lineRule="auto"/>
        <w:ind w:left="1134" w:hanging="567"/>
        <w:rPr>
          <w:rFonts w:eastAsia="Calibri"/>
          <w:snapToGrid/>
          <w:szCs w:val="22"/>
          <w:lang w:val="lt-LT"/>
        </w:rPr>
      </w:pPr>
      <w:r>
        <w:rPr>
          <w:rFonts w:eastAsia="Calibri"/>
          <w:snapToGrid/>
          <w:szCs w:val="22"/>
          <w:lang w:val="lt-LT"/>
        </w:rPr>
        <w:t>-</w:t>
      </w:r>
      <w:r>
        <w:rPr>
          <w:rFonts w:eastAsia="Calibri"/>
          <w:snapToGrid/>
          <w:szCs w:val="22"/>
          <w:lang w:val="lt-LT"/>
        </w:rPr>
        <w:tab/>
      </w:r>
      <w:r>
        <w:rPr>
          <w:snapToGrid/>
          <w:szCs w:val="22"/>
          <w:lang w:val="lt-LT"/>
        </w:rPr>
        <w:t>sakubitrilas (tiekiamas kai fiksuotos dozės derinys su valsartanu), kuris vartojamas širdies nepakankamumo ilgalaikiam gydymui</w:t>
      </w:r>
      <w:r>
        <w:rPr>
          <w:rFonts w:eastAsia="Calibri"/>
          <w:snapToGrid/>
          <w:szCs w:val="22"/>
          <w:lang w:val="lt-LT"/>
        </w:rPr>
        <w:t>.</w:t>
      </w:r>
    </w:p>
    <w:p w14:paraId="382F504E" w14:textId="77777777" w:rsidR="00C00DD1" w:rsidRDefault="00C00DD1">
      <w:pPr>
        <w:tabs>
          <w:tab w:val="clear" w:pos="567"/>
        </w:tabs>
        <w:spacing w:line="240" w:lineRule="auto"/>
        <w:ind w:left="1134" w:hanging="567"/>
        <w:rPr>
          <w:rFonts w:eastAsia="Calibri"/>
          <w:snapToGrid/>
          <w:szCs w:val="22"/>
          <w:lang w:val="lt-LT"/>
        </w:rPr>
      </w:pPr>
    </w:p>
    <w:p w14:paraId="0A288FB0" w14:textId="77777777" w:rsidR="00C00DD1" w:rsidRDefault="00C260EB">
      <w:pPr>
        <w:tabs>
          <w:tab w:val="clear" w:pos="567"/>
        </w:tabs>
        <w:spacing w:line="240" w:lineRule="auto"/>
        <w:rPr>
          <w:rFonts w:eastAsia="Calibri"/>
          <w:snapToGrid/>
          <w:szCs w:val="22"/>
          <w:u w:val="single"/>
          <w:lang w:val="lt-LT"/>
        </w:rPr>
      </w:pPr>
      <w:r>
        <w:rPr>
          <w:rFonts w:eastAsia="Calibri"/>
          <w:snapToGrid/>
          <w:szCs w:val="22"/>
          <w:u w:val="single"/>
          <w:lang w:val="lt-LT"/>
        </w:rPr>
        <w:t>Angioneurozinė edema</w:t>
      </w:r>
    </w:p>
    <w:p w14:paraId="511D1420"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Buvo pranešta, kad AKF inhibitoriais, įskaitant Perindopril arginine/indapamide Krka, kai kuriems gydytiems pacientams pasireiškė angioneurozinė edema (sunki alerginė reakcija su veido, lūpų, burnos, liežuvio ar gerklės patinimu, dėl kurios pasunkėja rijimas ar kvėpavimas). Tokia reakcija gali pasireikšti bet kuriuo gydymo laikotarpiu. Jeigu atsiranda tokių simptomų, turite nedelsdami nutraukti Perindopril arginine/indapamide Krka vartojimą ir kreiptis į gydytoją. Taip pat žr. 4 skyrių.</w:t>
      </w:r>
    </w:p>
    <w:p w14:paraId="6399EA83" w14:textId="77777777" w:rsidR="00C00DD1" w:rsidRDefault="00C00DD1">
      <w:pPr>
        <w:tabs>
          <w:tab w:val="clear" w:pos="567"/>
        </w:tabs>
        <w:spacing w:line="240" w:lineRule="auto"/>
        <w:rPr>
          <w:rFonts w:eastAsia="Calibri"/>
          <w:snapToGrid/>
          <w:szCs w:val="22"/>
          <w:lang w:val="lt-LT"/>
        </w:rPr>
      </w:pPr>
    </w:p>
    <w:p w14:paraId="22C68A18"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Jeigu manote, kad esate (arba galite tapti) nėščia, turite apie tai pasakyti savo gydytojui. Ankstyvuoju nėštumo laikotarpiu Perindopril arginine/indapamide Krka vartoti nerekomenduojama. Vartojamas po trečio nėštumo mėnesio, šis vaistas gali padaryti didžiulės žalos Jūsų kūdikiui, žr. poskyrį ,,Nėštumas ir žindymo laikotarpis“.</w:t>
      </w:r>
    </w:p>
    <w:p w14:paraId="35AC80C7" w14:textId="77777777" w:rsidR="00C00DD1" w:rsidRDefault="00C00DD1">
      <w:pPr>
        <w:tabs>
          <w:tab w:val="clear" w:pos="567"/>
        </w:tabs>
        <w:spacing w:line="240" w:lineRule="auto"/>
        <w:rPr>
          <w:rFonts w:eastAsia="Calibri"/>
          <w:snapToGrid/>
          <w:szCs w:val="22"/>
          <w:lang w:val="lt-LT"/>
        </w:rPr>
      </w:pPr>
    </w:p>
    <w:p w14:paraId="35D525C4"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 xml:space="preserve">Vartodami </w:t>
      </w:r>
      <w:bookmarkStart w:id="13" w:name="_Hlk87536842"/>
      <w:r>
        <w:rPr>
          <w:rFonts w:eastAsia="Calibri"/>
          <w:snapToGrid/>
          <w:szCs w:val="22"/>
          <w:lang w:val="lt-LT"/>
        </w:rPr>
        <w:t xml:space="preserve">Perindopril arginine/indapamide Krka </w:t>
      </w:r>
      <w:bookmarkEnd w:id="13"/>
      <w:r>
        <w:rPr>
          <w:rFonts w:eastAsia="Calibri"/>
          <w:snapToGrid/>
          <w:szCs w:val="22"/>
          <w:lang w:val="lt-LT"/>
        </w:rPr>
        <w:t>turite pasakyti savo gydytojui ar kitam medicinos personalui, jei:</w:t>
      </w:r>
    </w:p>
    <w:p w14:paraId="4D16910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pasireiškia sausas kosulys;</w:t>
      </w:r>
    </w:p>
    <w:p w14:paraId="75C624DC"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planuojama atlikti anesteziją ir (arba) operaciją;</w:t>
      </w:r>
    </w:p>
    <w:p w14:paraId="4D810707"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neseniai viduriavote, vėmėte arba netekote skysčių;</w:t>
      </w:r>
    </w:p>
    <w:p w14:paraId="69F7822A"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ruošiamasi atlikti dializę ar MTL aferezę (cholesterolio pašalinimą iš kraujo tam tikru prietaisu);</w:t>
      </w:r>
    </w:p>
    <w:p w14:paraId="5749714E"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ruošiamasi atlikti desensibilizuojamąjį gydymą, siekiant sumažinti alerginę reakciją į bičių ar vapsvų įgėlimus;</w:t>
      </w:r>
    </w:p>
    <w:p w14:paraId="378C945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Jums ruošiamasi atlikti tyrimą, kurio metu reikės suleisti jodo turinčios kontrastinės medžiagos (medžiagos, leidžiančios pamatyti organus, pvz., inkstus arba skrandį, rentgenologinio tyrimo metu);</w:t>
      </w:r>
    </w:p>
    <w:p w14:paraId="27232FF0"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jeigu susilpnėja regėjimas arba atsiranda akių skausmas. Šie simptomai gali būti skysčio susikaupimo akies kraujagysliniame dangale (tarp gyslainės ir skleros) arba padidėjusio akispūdžio požymiais ir gali įvykti per kelias valandas ar savaites po Perindopril arginine/indapamide Krka vartojimo pradžios. Negydoma tokia būklė gali sukelti neišnykstantį apakimą. Jeigu Jums buvo pasireiškusi alergija penicilinui ar sulfonamidui, tokio poveikio atsiradimo rizika yra didesnė. Jūs turite nutraukti gydymą Perindopril arginine/indapamide Krka ir kreiptis į medikus.</w:t>
      </w:r>
    </w:p>
    <w:p w14:paraId="0BF2C05D" w14:textId="77777777" w:rsidR="00C00DD1" w:rsidRDefault="00C00DD1">
      <w:pPr>
        <w:tabs>
          <w:tab w:val="clear" w:pos="567"/>
        </w:tabs>
        <w:spacing w:line="240" w:lineRule="auto"/>
        <w:rPr>
          <w:rFonts w:eastAsia="Calibri"/>
          <w:snapToGrid/>
          <w:szCs w:val="22"/>
          <w:lang w:val="lt-LT"/>
        </w:rPr>
      </w:pPr>
    </w:p>
    <w:p w14:paraId="7ACA6FC5"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Sportininkai turi žinoti, kad Perindopril arginine/indapamide Krka sudėtyje yra veiklioji medžiaga (indapamidas), dėl kurios dopingo testo rezultatas gali būti teigiamas.</w:t>
      </w:r>
    </w:p>
    <w:p w14:paraId="432EDD6A" w14:textId="77777777" w:rsidR="00C00DD1" w:rsidRDefault="00C00DD1">
      <w:pPr>
        <w:widowControl w:val="0"/>
        <w:numPr>
          <w:ilvl w:val="12"/>
          <w:numId w:val="0"/>
        </w:numPr>
        <w:tabs>
          <w:tab w:val="clear" w:pos="567"/>
        </w:tabs>
        <w:spacing w:line="240" w:lineRule="auto"/>
        <w:rPr>
          <w:bCs/>
          <w:snapToGrid/>
          <w:szCs w:val="22"/>
          <w:lang w:val="lt-LT"/>
        </w:rPr>
      </w:pPr>
    </w:p>
    <w:p w14:paraId="77F1074B"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Vaikams ir paaugliams</w:t>
      </w:r>
    </w:p>
    <w:p w14:paraId="74B1B5A3" w14:textId="77777777" w:rsidR="00C00DD1" w:rsidRDefault="00C260EB">
      <w:pPr>
        <w:widowControl w:val="0"/>
        <w:numPr>
          <w:ilvl w:val="12"/>
          <w:numId w:val="0"/>
        </w:numPr>
        <w:tabs>
          <w:tab w:val="clear" w:pos="567"/>
        </w:tabs>
        <w:spacing w:line="240" w:lineRule="auto"/>
        <w:ind w:right="-2"/>
        <w:rPr>
          <w:bCs/>
          <w:snapToGrid/>
          <w:szCs w:val="22"/>
          <w:lang w:val="lt-LT"/>
        </w:rPr>
      </w:pPr>
      <w:r>
        <w:rPr>
          <w:bCs/>
          <w:snapToGrid/>
          <w:szCs w:val="22"/>
          <w:lang w:val="lt-LT"/>
        </w:rPr>
        <w:t>Vaikams ir paaugliams Perindopril arginine/indapamide Krka nevartotina.</w:t>
      </w:r>
    </w:p>
    <w:p w14:paraId="609235E9" w14:textId="77777777" w:rsidR="00C00DD1" w:rsidRDefault="00C00DD1">
      <w:pPr>
        <w:widowControl w:val="0"/>
        <w:numPr>
          <w:ilvl w:val="12"/>
          <w:numId w:val="0"/>
        </w:numPr>
        <w:tabs>
          <w:tab w:val="clear" w:pos="567"/>
        </w:tabs>
        <w:spacing w:line="240" w:lineRule="auto"/>
        <w:ind w:right="-2"/>
        <w:rPr>
          <w:bCs/>
          <w:snapToGrid/>
          <w:szCs w:val="22"/>
          <w:lang w:val="lt-LT"/>
        </w:rPr>
      </w:pPr>
    </w:p>
    <w:p w14:paraId="642B03AF" w14:textId="77777777" w:rsidR="00C00DD1" w:rsidRDefault="00C260EB">
      <w:pPr>
        <w:widowControl w:val="0"/>
        <w:numPr>
          <w:ilvl w:val="12"/>
          <w:numId w:val="0"/>
        </w:numPr>
        <w:tabs>
          <w:tab w:val="clear" w:pos="567"/>
        </w:tabs>
        <w:spacing w:line="240" w:lineRule="auto"/>
        <w:rPr>
          <w:snapToGrid/>
          <w:szCs w:val="22"/>
          <w:lang w:val="lt-LT"/>
        </w:rPr>
      </w:pPr>
      <w:r>
        <w:rPr>
          <w:b/>
          <w:snapToGrid/>
          <w:szCs w:val="22"/>
          <w:lang w:val="lt-LT"/>
        </w:rPr>
        <w:t>Kiti vaistai ir Perindopril arginine/indapamide Krka</w:t>
      </w:r>
    </w:p>
    <w:p w14:paraId="61393AD2"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Jeigu vartojate ar neseniai vartojote kitų vaistų arba nesate dėl to tikri, apie tai pasakykite gydytojui arba vaistininkui.</w:t>
      </w:r>
    </w:p>
    <w:p w14:paraId="6B9279DB"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nerekomenduojama vartoti kartu su:</w:t>
      </w:r>
    </w:p>
    <w:p w14:paraId="6D59B227"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ličiu (vartojamu manijai arba depresijai gydyti);</w:t>
      </w:r>
    </w:p>
    <w:p w14:paraId="25147C14"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aliskirenu (vaistu, kuris vartojamas hipertenzijai gydyti), jeigu nesergate cukriniu diabetu arba inkstų liga;</w:t>
      </w:r>
    </w:p>
    <w:p w14:paraId="1DE8D320"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 xml:space="preserve">kalį organizme sulaikančiais diuretikais (pavyzdžiui, triamterenu, amiloridu), kalio druskomis, kitais vaistais, kurie gali didinti kalio kiekį organizme </w:t>
      </w:r>
      <w:r>
        <w:rPr>
          <w:snapToGrid/>
          <w:szCs w:val="22"/>
          <w:lang w:val="lt-LT"/>
        </w:rPr>
        <w:t>(pavyzdžiui, heparinu ir kotrimoksazolu (dar vadinamu trimetoprimu/sulfametoksazolu));</w:t>
      </w:r>
    </w:p>
    <w:p w14:paraId="07F82D86"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estramustinu (vartojamas vėžiui gydyti);</w:t>
      </w:r>
    </w:p>
    <w:p w14:paraId="56F71850"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snapToGrid/>
          <w:szCs w:val="22"/>
          <w:lang w:val="lt-LT"/>
        </w:rPr>
        <w:lastRenderedPageBreak/>
        <w:t>sakubitrilu/valsartanu (jis vartojamas širdies nepakankamumo ilgalaikiam gydymui). Žr. poskyrius „Perindopril arginine/indapamide Krka vartoti draudžiama</w:t>
      </w:r>
      <w:r>
        <w:rPr>
          <w:bCs/>
          <w:snapToGrid/>
          <w:szCs w:val="22"/>
          <w:lang w:val="lt-LT"/>
        </w:rPr>
        <w:t>“ bei „Įspėjimai ir atsargumo priemonės“;</w:t>
      </w:r>
    </w:p>
    <w:p w14:paraId="606C9C76" w14:textId="77777777" w:rsidR="00C00DD1" w:rsidRDefault="00C260EB">
      <w:pPr>
        <w:numPr>
          <w:ilvl w:val="0"/>
          <w:numId w:val="27"/>
        </w:numPr>
        <w:tabs>
          <w:tab w:val="num" w:pos="567"/>
        </w:tabs>
        <w:spacing w:line="240" w:lineRule="auto"/>
        <w:ind w:left="567" w:hanging="567"/>
        <w:rPr>
          <w:rFonts w:eastAsia="Calibri"/>
          <w:snapToGrid/>
          <w:szCs w:val="22"/>
          <w:lang w:val="lt-LT"/>
        </w:rPr>
      </w:pPr>
      <w:r>
        <w:rPr>
          <w:rFonts w:eastAsia="Calibri"/>
          <w:snapToGrid/>
          <w:szCs w:val="22"/>
          <w:lang w:val="lt-LT"/>
        </w:rPr>
        <w:t>kitais vaistais, kuriais gydomas padidėjęs kraujospūdis: angiotenziną konvertuojančio fermento inhibitoriais ir angiotenzino receptorių blokatoriais.</w:t>
      </w:r>
    </w:p>
    <w:p w14:paraId="41BB4E2F" w14:textId="77777777" w:rsidR="00C00DD1" w:rsidRDefault="00C00DD1">
      <w:pPr>
        <w:tabs>
          <w:tab w:val="clear" w:pos="567"/>
        </w:tabs>
        <w:spacing w:line="240" w:lineRule="auto"/>
        <w:rPr>
          <w:rFonts w:eastAsia="SimSun"/>
          <w:b/>
          <w:snapToGrid/>
          <w:szCs w:val="22"/>
          <w:lang w:val="lt-LT" w:eastAsia="x-none"/>
        </w:rPr>
      </w:pPr>
    </w:p>
    <w:p w14:paraId="49B32974"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Kiti vaistai gali turėti įtakos gydymui Perindopril arginine/indapamide Krka. Jūsų gydytojui gali tekti pakeisti vaisto dozę ir (arba) imtis kitų atsargumo priemonių. Pasakykite savo gydytojui, jei vartojate toliau išvardytus vaistus, nes gali prireikti imtis ypatingų atsargumo priemonių:</w:t>
      </w:r>
    </w:p>
    <w:p w14:paraId="794A32C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kiti vaistai nuo didelio kraujospūdžio, įskaitant angiotenzino II receptorių blokatorius (ARB) arba aliskireną (taip pat žr. informaciją, pateiktą poskyriuose „Perindopril arginine/indapamide Krka vartoti draudžiama“ ir „Įspėjimai ir atsargumo priemonės“), arba diuretikus (per inkstus išskiriamo šlapimo kiekį didinančius vaistus);</w:t>
      </w:r>
    </w:p>
    <w:p w14:paraId="2E8C301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kalį organizme sulaikantys diuretikai širdies nepakankamumui gydyti: nuo 12,5 mg iki 50 mg eplerenono ar spironolaktono paros dozės;</w:t>
      </w:r>
    </w:p>
    <w:p w14:paraId="531D32ED"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kurie dažniausiai vartojami viduriavimui gydyti (racekadotrilis) arba siekiant išvengti persodintų organų atmetimo (sirolimuzas, everolimuzas, temsirolimuzas ir kiti vaistai, priklausantys vadinamųjų mTor inhibitorių grupei). Žr. poskyrį „Įspėjimai ir atsargumo priemonės“;</w:t>
      </w:r>
    </w:p>
    <w:p w14:paraId="223788C3"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anestetikai;</w:t>
      </w:r>
    </w:p>
    <w:p w14:paraId="47867270"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jodo turinčios kontrastinės medžiagos;</w:t>
      </w:r>
    </w:p>
    <w:p w14:paraId="0BE1051D"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antibiotikai bakterijų sukeliamoms infekcinėms ligoms gydyti (pavyzdžiui, moksifloksacinas, sparfloksacinas, injekcinis eritromicinas);</w:t>
      </w:r>
    </w:p>
    <w:p w14:paraId="528DD58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metadonas (vartojamas priklausomybei gydyti);</w:t>
      </w:r>
    </w:p>
    <w:p w14:paraId="26451AB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prokainamidas (sutrikusiam širdies ritmui gydyti);</w:t>
      </w:r>
    </w:p>
    <w:p w14:paraId="441DEE2A"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nuo vėžio (citostatikai);</w:t>
      </w:r>
    </w:p>
    <w:p w14:paraId="4B46906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alopurinolis (podagrai gydyti);</w:t>
      </w:r>
    </w:p>
    <w:p w14:paraId="6D1DD23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antihistamininiai vaistai (pavyzdžiui, mizolastinas, terfenadinas, astemizolas), skirti gydyti alergines reakcijas, tokias kaip šienligė;</w:t>
      </w:r>
    </w:p>
    <w:p w14:paraId="2C17A22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kortikosteroidai, kurie vartojami įvairioms ligoms, įskaitant bronchų astmą ir reumatoidinį artritą, gydyti;</w:t>
      </w:r>
    </w:p>
    <w:p w14:paraId="21B3FE3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imuninę sistemą slopinantys vaistai, vartojami autoimuninėms ligoms gydyti ar organų atmetimo po jų persodinimo išvengti (pavyzdžiui, ciklosporinas, takrolimuzas);</w:t>
      </w:r>
    </w:p>
    <w:p w14:paraId="112D6F16"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halofantrinas (vartojamas tam tikro tipo maliarijai gydyti);</w:t>
      </w:r>
    </w:p>
    <w:p w14:paraId="170B5B50"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pentamidinas (vartojamas pneumonijai gydyti);</w:t>
      </w:r>
    </w:p>
    <w:p w14:paraId="29BAC80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injekciniai aukso preparatai (vartojami reumatoidiniam poliartritui gydyti);</w:t>
      </w:r>
    </w:p>
    <w:p w14:paraId="7D97B430"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vinkaminas (vartojamas simptominiams pažinimo sutrikimams, įskaitant atminties susilpnėjimą, gydyti seniems žmonėms);</w:t>
      </w:r>
    </w:p>
    <w:p w14:paraId="3FE88FD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bepridilis (vartojamas krūtinės anginai gydyti);</w:t>
      </w:r>
    </w:p>
    <w:p w14:paraId="57E4305B"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nuo širdies ritmo sutrikimų (pavyzdžiui, chinidinas, hidrochinidinas, dizopiramidas, amjodaronas, sotalolis, ibutilidas, dofetilidas, širdį veikiantys glikozidai, bretilis);</w:t>
      </w:r>
    </w:p>
    <w:p w14:paraId="682004CC"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cisapridas, difemanilis (vartojami skrandžio ir virškinimo sutrikimams gydyti);</w:t>
      </w:r>
    </w:p>
    <w:p w14:paraId="2F64FBF9"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digoksinas arba kiti širdį veikiantys glikozidai (širdies ligoms gydyti);</w:t>
      </w:r>
    </w:p>
    <w:p w14:paraId="50234E95"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baklofenas (raumenų sąstingiui, kuris atsiranda dėl kai kurių ligų, pavyzdžiui, išsėtinės sklerozės, gydyti);</w:t>
      </w:r>
    </w:p>
    <w:p w14:paraId="758A7CC6"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cukriniam diabetui gydyti, pavyzdžiui, insulinas, metforminas ar gliptinai;</w:t>
      </w:r>
    </w:p>
    <w:p w14:paraId="5CE19F2E"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kalcio preparatai, įskaitant kalcio papildus;</w:t>
      </w:r>
    </w:p>
    <w:p w14:paraId="56A48D3D"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stimuliuojamojo poveikio vidurių laisvinamieji vaistai (pavyzdžiui, senos preparatai);</w:t>
      </w:r>
    </w:p>
    <w:p w14:paraId="01CB3BB9"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nesteroidiniai vaistai nuo uždegimo (pavyzdžiui, ibuprofenas) ar didelės salicilatų (</w:t>
      </w:r>
      <w:r>
        <w:rPr>
          <w:rFonts w:eastAsia="Calibri"/>
          <w:bCs/>
          <w:snapToGrid/>
          <w:szCs w:val="22"/>
          <w:lang w:val="lt-LT"/>
        </w:rPr>
        <w:t xml:space="preserve">pavyzdžiui, acetilsalicilo rūgštis) </w:t>
      </w:r>
      <w:r>
        <w:rPr>
          <w:rFonts w:eastAsia="Calibri"/>
          <w:snapToGrid/>
          <w:szCs w:val="22"/>
          <w:lang w:val="lt-LT"/>
        </w:rPr>
        <w:t>dozės;</w:t>
      </w:r>
    </w:p>
    <w:p w14:paraId="6CBEE486"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injekcinis amfotercinas B (sunkioms grybelinėms ligoms gydyti);</w:t>
      </w:r>
    </w:p>
    <w:p w14:paraId="7251CAFC"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skirti psichikos ligoms, tokioms kaip depresija, nerimas, šizofrenija, gydyti (pavyzdžiui, tricikliai antidepresantai, neuroleptikai (tokie kaip amisulpridas, sulpridas, sultopridas, tiapridas, haloperidolis, droperidolis));</w:t>
      </w:r>
    </w:p>
    <w:p w14:paraId="46E52274"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tetrakozaktidas (Krono ligai gydyti);</w:t>
      </w:r>
    </w:p>
    <w:p w14:paraId="5F678E2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lastRenderedPageBreak/>
        <w:t>trimetoprimas (infekcinėms ligoms gydyti);</w:t>
      </w:r>
    </w:p>
    <w:p w14:paraId="22C69D4F"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vazodilatatoriai, įskaitant nitratus (kraujagysles plečiantys vaistai);</w:t>
      </w:r>
    </w:p>
    <w:p w14:paraId="388D9952" w14:textId="77777777" w:rsidR="00C00DD1" w:rsidRDefault="00C260EB">
      <w:pPr>
        <w:numPr>
          <w:ilvl w:val="0"/>
          <w:numId w:val="29"/>
        </w:numPr>
        <w:tabs>
          <w:tab w:val="num" w:pos="567"/>
        </w:tabs>
        <w:spacing w:line="240" w:lineRule="auto"/>
        <w:ind w:left="567" w:hanging="567"/>
        <w:rPr>
          <w:rFonts w:eastAsia="Calibri"/>
          <w:snapToGrid/>
          <w:szCs w:val="22"/>
          <w:lang w:val="lt-LT"/>
        </w:rPr>
      </w:pPr>
      <w:r>
        <w:rPr>
          <w:rFonts w:eastAsia="Calibri"/>
          <w:snapToGrid/>
          <w:szCs w:val="22"/>
          <w:lang w:val="lt-LT"/>
        </w:rPr>
        <w:t>vaistai sumažėjusiam kraujospūdžiui, šokui ar astmai gydyti (pavyzdžiui, efedrinas, noradrenalinas, adrenalinas).</w:t>
      </w:r>
    </w:p>
    <w:p w14:paraId="2B3FAC6B" w14:textId="77777777" w:rsidR="00C00DD1" w:rsidRDefault="00C00DD1">
      <w:pPr>
        <w:widowControl w:val="0"/>
        <w:tabs>
          <w:tab w:val="clear" w:pos="567"/>
        </w:tabs>
        <w:autoSpaceDE w:val="0"/>
        <w:autoSpaceDN w:val="0"/>
        <w:adjustRightInd w:val="0"/>
        <w:spacing w:line="240" w:lineRule="auto"/>
        <w:rPr>
          <w:snapToGrid/>
          <w:szCs w:val="22"/>
          <w:lang w:val="lt-LT"/>
        </w:rPr>
      </w:pPr>
    </w:p>
    <w:p w14:paraId="44C63F3E" w14:textId="77777777" w:rsidR="00C00DD1" w:rsidRDefault="00C260EB">
      <w:pPr>
        <w:tabs>
          <w:tab w:val="clear" w:pos="567"/>
        </w:tabs>
        <w:spacing w:line="240" w:lineRule="auto"/>
        <w:rPr>
          <w:b/>
          <w:bCs/>
          <w:snapToGrid/>
          <w:szCs w:val="22"/>
          <w:lang w:val="lt-LT"/>
        </w:rPr>
      </w:pPr>
      <w:r>
        <w:rPr>
          <w:b/>
          <w:bCs/>
          <w:snapToGrid/>
          <w:szCs w:val="22"/>
          <w:lang w:val="lt-LT"/>
        </w:rPr>
        <w:t>Perindopril arginine/indapamide Krka</w:t>
      </w:r>
      <w:r>
        <w:rPr>
          <w:b/>
          <w:snapToGrid/>
          <w:szCs w:val="22"/>
          <w:lang w:val="lt-LT"/>
        </w:rPr>
        <w:t xml:space="preserve"> </w:t>
      </w:r>
      <w:r>
        <w:rPr>
          <w:b/>
          <w:bCs/>
          <w:snapToGrid/>
          <w:szCs w:val="22"/>
          <w:lang w:val="lt-LT"/>
        </w:rPr>
        <w:t>vartojimas su maistu ir gėrimais</w:t>
      </w:r>
    </w:p>
    <w:p w14:paraId="0474F41C" w14:textId="77777777" w:rsidR="00C00DD1" w:rsidRDefault="00C260EB">
      <w:pPr>
        <w:tabs>
          <w:tab w:val="clear" w:pos="567"/>
        </w:tabs>
        <w:spacing w:line="240" w:lineRule="auto"/>
        <w:rPr>
          <w:rFonts w:eastAsia="Calibri"/>
          <w:snapToGrid/>
          <w:szCs w:val="22"/>
          <w:lang w:val="lt-LT"/>
        </w:rPr>
      </w:pPr>
      <w:r>
        <w:rPr>
          <w:rFonts w:eastAsia="Calibri"/>
          <w:snapToGrid/>
          <w:szCs w:val="22"/>
          <w:lang w:val="lt-LT"/>
        </w:rPr>
        <w:t>Perindopril arginine/indapamide Krka tabletes rekomenduojama gerti prieš valgį.</w:t>
      </w:r>
    </w:p>
    <w:p w14:paraId="15C58DB2" w14:textId="77777777" w:rsidR="00C00DD1" w:rsidRDefault="00C00DD1">
      <w:pPr>
        <w:widowControl w:val="0"/>
        <w:tabs>
          <w:tab w:val="clear" w:pos="567"/>
        </w:tabs>
        <w:autoSpaceDE w:val="0"/>
        <w:autoSpaceDN w:val="0"/>
        <w:adjustRightInd w:val="0"/>
        <w:spacing w:line="240" w:lineRule="auto"/>
        <w:rPr>
          <w:rFonts w:eastAsia="TimesNewRoman,Bold"/>
          <w:b/>
          <w:bCs/>
          <w:snapToGrid/>
          <w:szCs w:val="22"/>
          <w:lang w:val="lt-LT"/>
        </w:rPr>
      </w:pPr>
    </w:p>
    <w:p w14:paraId="56D9AFFE"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Nėštumas ir žindymo laikotarpis</w:t>
      </w:r>
    </w:p>
    <w:p w14:paraId="7841844D"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Jeigu esate nėščia, žindote kūdikį, manote, kad galbūt esate nėščia, arba planuojate pastoti, tai prieš vartodama šį vaistą pasitarkite su gydytoju arba vaistininku.</w:t>
      </w:r>
    </w:p>
    <w:p w14:paraId="047D86CC" w14:textId="77777777" w:rsidR="00C00DD1" w:rsidRDefault="00C00DD1">
      <w:pPr>
        <w:widowControl w:val="0"/>
        <w:tabs>
          <w:tab w:val="clear" w:pos="567"/>
        </w:tabs>
        <w:autoSpaceDE w:val="0"/>
        <w:autoSpaceDN w:val="0"/>
        <w:adjustRightInd w:val="0"/>
        <w:spacing w:line="240" w:lineRule="auto"/>
        <w:rPr>
          <w:rFonts w:eastAsia="TimesNewRoman,Bold"/>
          <w:snapToGrid/>
          <w:szCs w:val="22"/>
          <w:lang w:val="lt-LT"/>
        </w:rPr>
      </w:pPr>
    </w:p>
    <w:p w14:paraId="5EA8E74C"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Nėštumas</w:t>
      </w:r>
    </w:p>
    <w:p w14:paraId="10BE2860"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Jeigu esate nėščia (arba manote, kad galite būti pastojusi), pasakykite apie tai gydytojui. Jūsų gydytojas nurodys Jums nebevartoti vaisto prieš planuojant pastojimą arba iš karto sužinojus apie nėštumą ir rekomenduos kitą vaistą vietoj Perindopril arginine/indapamide Krka. Perindopril arginine/indapamide Krka yra nerekomenduojamas ankstyvojo nėštumo laikotarpiu ir negali būti vartojamas, jei esate daugiau kaip tris mėnesius nėščia, nes tuomet jis gali labai pakenkti Jūsų kūdikiui.</w:t>
      </w:r>
    </w:p>
    <w:p w14:paraId="6A1FB594" w14:textId="77777777" w:rsidR="00C00DD1" w:rsidRDefault="00C00DD1">
      <w:pPr>
        <w:widowControl w:val="0"/>
        <w:tabs>
          <w:tab w:val="clear" w:pos="567"/>
        </w:tabs>
        <w:spacing w:line="240" w:lineRule="auto"/>
        <w:rPr>
          <w:snapToGrid/>
          <w:szCs w:val="22"/>
          <w:lang w:val="lt-LT" w:eastAsia="sl-SI"/>
        </w:rPr>
      </w:pPr>
    </w:p>
    <w:p w14:paraId="5D85CC46" w14:textId="77777777" w:rsidR="00C00DD1" w:rsidRDefault="00C260EB">
      <w:pPr>
        <w:widowControl w:val="0"/>
        <w:tabs>
          <w:tab w:val="clear" w:pos="567"/>
        </w:tabs>
        <w:spacing w:line="240" w:lineRule="auto"/>
        <w:rPr>
          <w:i/>
          <w:snapToGrid/>
          <w:szCs w:val="22"/>
          <w:u w:val="single"/>
          <w:lang w:val="lt-LT" w:eastAsia="sl-SI"/>
        </w:rPr>
      </w:pPr>
      <w:r>
        <w:rPr>
          <w:i/>
          <w:snapToGrid/>
          <w:szCs w:val="22"/>
          <w:u w:val="single"/>
          <w:lang w:val="lt-LT" w:eastAsia="sl-SI"/>
        </w:rPr>
        <w:t>Žindymo laikotarpis</w:t>
      </w:r>
    </w:p>
    <w:p w14:paraId="70FA8DA4"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Perindopril arginine/indapamide Krka nerekomenduojamas krūtimi maitinančioms motinoms. Jeigu norite maitinti krūtimi (ypač naujagimį ar neišnešiotą gimusį kūdikį), gydytojas gali paskirti kitą vaistą.</w:t>
      </w:r>
    </w:p>
    <w:p w14:paraId="5718C237"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Nedelsdama kreipkitės į gydytoją.</w:t>
      </w:r>
    </w:p>
    <w:p w14:paraId="6BDF98B6" w14:textId="77777777" w:rsidR="00C00DD1" w:rsidRDefault="00C00DD1">
      <w:pPr>
        <w:widowControl w:val="0"/>
        <w:numPr>
          <w:ilvl w:val="12"/>
          <w:numId w:val="0"/>
        </w:numPr>
        <w:tabs>
          <w:tab w:val="clear" w:pos="567"/>
        </w:tabs>
        <w:spacing w:line="240" w:lineRule="auto"/>
        <w:ind w:right="-2"/>
        <w:rPr>
          <w:bCs/>
          <w:snapToGrid/>
          <w:szCs w:val="22"/>
          <w:lang w:val="lt-LT"/>
        </w:rPr>
      </w:pPr>
    </w:p>
    <w:p w14:paraId="7BF26B0F"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Vairavimas ir mechanizmų valdymas</w:t>
      </w:r>
    </w:p>
    <w:p w14:paraId="1E0222DA" w14:textId="77777777" w:rsidR="00C00DD1" w:rsidRDefault="00C260EB">
      <w:pPr>
        <w:widowControl w:val="0"/>
        <w:numPr>
          <w:ilvl w:val="12"/>
          <w:numId w:val="0"/>
        </w:numPr>
        <w:tabs>
          <w:tab w:val="clear" w:pos="567"/>
        </w:tabs>
        <w:spacing w:line="240" w:lineRule="auto"/>
        <w:ind w:right="-2"/>
        <w:rPr>
          <w:bCs/>
          <w:snapToGrid/>
          <w:szCs w:val="22"/>
          <w:lang w:val="lt-LT"/>
        </w:rPr>
      </w:pPr>
      <w:r>
        <w:rPr>
          <w:bCs/>
          <w:snapToGrid/>
          <w:szCs w:val="22"/>
          <w:lang w:val="lt-LT"/>
        </w:rPr>
        <w:t>Įprastai Perindopril arginine/indapamide Krka tabletės neveikia budrumo, bet sumažėjus kraujospūdžiui kai kuriems pacientams gali atsirasti svaigulys ar silpnumas. Tokiais atvejais gali pablogėti gebėjimas vairuoti ar valdyti mechanizmus.</w:t>
      </w:r>
    </w:p>
    <w:p w14:paraId="52FFB72C" w14:textId="77777777" w:rsidR="00C00DD1" w:rsidRDefault="00C00DD1">
      <w:pPr>
        <w:widowControl w:val="0"/>
        <w:numPr>
          <w:ilvl w:val="12"/>
          <w:numId w:val="0"/>
        </w:numPr>
        <w:tabs>
          <w:tab w:val="clear" w:pos="567"/>
        </w:tabs>
        <w:spacing w:line="240" w:lineRule="auto"/>
        <w:ind w:right="-2"/>
        <w:rPr>
          <w:bCs/>
          <w:snapToGrid/>
          <w:szCs w:val="22"/>
          <w:lang w:val="lt-LT"/>
        </w:rPr>
      </w:pPr>
    </w:p>
    <w:p w14:paraId="3722F2BE" w14:textId="77777777" w:rsidR="00C00DD1" w:rsidRDefault="00C260EB">
      <w:pPr>
        <w:widowControl w:val="0"/>
        <w:numPr>
          <w:ilvl w:val="12"/>
          <w:numId w:val="0"/>
        </w:numPr>
        <w:tabs>
          <w:tab w:val="clear" w:pos="567"/>
        </w:tabs>
        <w:spacing w:line="240" w:lineRule="auto"/>
        <w:rPr>
          <w:snapToGrid/>
          <w:szCs w:val="22"/>
          <w:lang w:val="lt-LT"/>
        </w:rPr>
      </w:pPr>
      <w:r>
        <w:rPr>
          <w:b/>
          <w:snapToGrid/>
          <w:szCs w:val="22"/>
          <w:lang w:val="lt-LT"/>
        </w:rPr>
        <w:t>Perindopril arginine/indapamide Krka sudėtyje yra natrio</w:t>
      </w:r>
    </w:p>
    <w:p w14:paraId="52C7421B" w14:textId="77777777" w:rsidR="00C00DD1" w:rsidRDefault="00C260EB">
      <w:pPr>
        <w:widowControl w:val="0"/>
        <w:tabs>
          <w:tab w:val="clear" w:pos="567"/>
        </w:tabs>
        <w:spacing w:line="240" w:lineRule="auto"/>
        <w:rPr>
          <w:snapToGrid/>
          <w:szCs w:val="22"/>
          <w:lang w:val="lt-LT"/>
        </w:rPr>
      </w:pPr>
      <w:r>
        <w:rPr>
          <w:snapToGrid/>
          <w:szCs w:val="22"/>
          <w:lang w:val="lt-LT"/>
        </w:rPr>
        <w:t>Šio vaisto tabletėje yra mažiau kaip 1</w:t>
      </w:r>
      <w:r>
        <w:rPr>
          <w:rFonts w:eastAsia="Calibri"/>
          <w:snapToGrid/>
          <w:szCs w:val="22"/>
          <w:lang w:val="lt-LT"/>
        </w:rPr>
        <w:t> </w:t>
      </w:r>
      <w:r>
        <w:rPr>
          <w:snapToGrid/>
          <w:szCs w:val="22"/>
          <w:lang w:val="lt-LT"/>
        </w:rPr>
        <w:t>mmol (23</w:t>
      </w:r>
      <w:r>
        <w:rPr>
          <w:rFonts w:eastAsia="Calibri"/>
          <w:snapToGrid/>
          <w:szCs w:val="22"/>
          <w:lang w:val="lt-LT"/>
        </w:rPr>
        <w:t> mg</w:t>
      </w:r>
      <w:r>
        <w:rPr>
          <w:snapToGrid/>
          <w:szCs w:val="22"/>
          <w:lang w:val="lt-LT"/>
        </w:rPr>
        <w:t>) natrio, t. y. jis beveik neturi reikšmės.</w:t>
      </w:r>
    </w:p>
    <w:p w14:paraId="413FF2E8" w14:textId="77777777" w:rsidR="00C00DD1" w:rsidRDefault="00C00DD1">
      <w:pPr>
        <w:widowControl w:val="0"/>
        <w:numPr>
          <w:ilvl w:val="12"/>
          <w:numId w:val="0"/>
        </w:numPr>
        <w:tabs>
          <w:tab w:val="clear" w:pos="567"/>
        </w:tabs>
        <w:spacing w:line="240" w:lineRule="auto"/>
        <w:ind w:right="-2"/>
        <w:rPr>
          <w:snapToGrid/>
          <w:szCs w:val="22"/>
          <w:lang w:val="lt-LT"/>
        </w:rPr>
      </w:pPr>
    </w:p>
    <w:p w14:paraId="4D5673BD" w14:textId="77777777" w:rsidR="00C00DD1" w:rsidRDefault="00C00DD1">
      <w:pPr>
        <w:widowControl w:val="0"/>
        <w:numPr>
          <w:ilvl w:val="12"/>
          <w:numId w:val="0"/>
        </w:numPr>
        <w:tabs>
          <w:tab w:val="clear" w:pos="567"/>
        </w:tabs>
        <w:spacing w:line="240" w:lineRule="auto"/>
        <w:ind w:right="-2"/>
        <w:rPr>
          <w:snapToGrid/>
          <w:szCs w:val="22"/>
          <w:lang w:val="lt-LT"/>
        </w:rPr>
      </w:pPr>
    </w:p>
    <w:p w14:paraId="08A3021D"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3.</w:t>
      </w:r>
      <w:r>
        <w:rPr>
          <w:b/>
          <w:snapToGrid/>
          <w:szCs w:val="22"/>
          <w:lang w:val="lt-LT"/>
        </w:rPr>
        <w:tab/>
        <w:t>Kaip vartoti Perindopril arginine/indapamide Krka</w:t>
      </w:r>
    </w:p>
    <w:p w14:paraId="7094CDF3" w14:textId="77777777" w:rsidR="00C00DD1" w:rsidRDefault="00C00DD1">
      <w:pPr>
        <w:widowControl w:val="0"/>
        <w:tabs>
          <w:tab w:val="clear" w:pos="567"/>
        </w:tabs>
        <w:spacing w:line="240" w:lineRule="auto"/>
        <w:ind w:left="567" w:hanging="567"/>
        <w:rPr>
          <w:snapToGrid/>
          <w:szCs w:val="22"/>
          <w:lang w:val="lt-LT"/>
        </w:rPr>
      </w:pPr>
    </w:p>
    <w:p w14:paraId="17ADE50E"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Visada vartokite šį vaistą tiksliai, kaip nurodė gydytojas</w:t>
      </w:r>
      <w:r>
        <w:rPr>
          <w:lang w:val="lt-LT"/>
        </w:rPr>
        <w:t xml:space="preserve"> </w:t>
      </w:r>
      <w:r>
        <w:rPr>
          <w:snapToGrid/>
          <w:szCs w:val="22"/>
          <w:lang w:val="lt-LT"/>
        </w:rPr>
        <w:t>arba vaistininkas. Jeigu abejojate, kreipkitės į gydytoją arba vaistininką.</w:t>
      </w:r>
    </w:p>
    <w:p w14:paraId="053914A5" w14:textId="77777777" w:rsidR="00C00DD1" w:rsidRDefault="00C00DD1">
      <w:pPr>
        <w:widowControl w:val="0"/>
        <w:tabs>
          <w:tab w:val="clear" w:pos="567"/>
        </w:tabs>
        <w:autoSpaceDE w:val="0"/>
        <w:autoSpaceDN w:val="0"/>
        <w:adjustRightInd w:val="0"/>
        <w:spacing w:line="240" w:lineRule="auto"/>
        <w:rPr>
          <w:snapToGrid/>
          <w:szCs w:val="22"/>
          <w:lang w:val="lt-LT"/>
        </w:rPr>
      </w:pPr>
    </w:p>
    <w:p w14:paraId="79D9A726"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Rekomenduojama Perindopril arginine/indapamide Krka 5 mg/1,25 mg tablečių paros dozė yra viena tabletė, ji vartojama vieną kartą per parą.</w:t>
      </w:r>
    </w:p>
    <w:p w14:paraId="2DEE5943"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Įprastinė Perindopril arginine/indapamide Krka 10 mg/2,5 mg tablečių paros dozė yra viena tabletė, ji vartojama vieną kartą per parą.</w:t>
      </w:r>
    </w:p>
    <w:p w14:paraId="2BE32DF1"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Jei Jūsų inkstų funkcija sutrikusi, gydytojas gali nuspręsti keisti dozę.</w:t>
      </w:r>
    </w:p>
    <w:p w14:paraId="45663EC8"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Tabletę geriausia gerti ryte, prieš valgį.</w:t>
      </w:r>
    </w:p>
    <w:p w14:paraId="7E835C63" w14:textId="77777777" w:rsidR="00C00DD1" w:rsidRDefault="00C260EB">
      <w:pPr>
        <w:widowControl w:val="0"/>
        <w:tabs>
          <w:tab w:val="clear" w:pos="567"/>
        </w:tabs>
        <w:autoSpaceDE w:val="0"/>
        <w:autoSpaceDN w:val="0"/>
        <w:adjustRightInd w:val="0"/>
        <w:spacing w:line="240" w:lineRule="auto"/>
        <w:rPr>
          <w:snapToGrid/>
          <w:szCs w:val="24"/>
          <w:lang w:val="lt-LT"/>
        </w:rPr>
      </w:pPr>
      <w:r>
        <w:rPr>
          <w:snapToGrid/>
          <w:szCs w:val="24"/>
          <w:lang w:val="lt-LT"/>
        </w:rPr>
        <w:t>Tabletę reikia nuryti užsigeriant stikline vandens.</w:t>
      </w:r>
    </w:p>
    <w:p w14:paraId="107C4B16" w14:textId="77777777" w:rsidR="00C00DD1" w:rsidRDefault="00C00DD1">
      <w:pPr>
        <w:widowControl w:val="0"/>
        <w:tabs>
          <w:tab w:val="clear" w:pos="567"/>
        </w:tabs>
        <w:autoSpaceDE w:val="0"/>
        <w:autoSpaceDN w:val="0"/>
        <w:adjustRightInd w:val="0"/>
        <w:spacing w:line="240" w:lineRule="auto"/>
        <w:rPr>
          <w:snapToGrid/>
          <w:szCs w:val="24"/>
          <w:lang w:val="lt-LT"/>
        </w:rPr>
      </w:pPr>
    </w:p>
    <w:p w14:paraId="0B594E0E" w14:textId="77777777" w:rsidR="00C00DD1" w:rsidRDefault="00C260EB">
      <w:pPr>
        <w:widowControl w:val="0"/>
        <w:tabs>
          <w:tab w:val="clear" w:pos="567"/>
        </w:tabs>
        <w:spacing w:line="240" w:lineRule="auto"/>
        <w:rPr>
          <w:snapToGrid/>
          <w:szCs w:val="22"/>
          <w:u w:val="single"/>
          <w:lang w:val="lt-LT" w:eastAsia="sl-SI"/>
        </w:rPr>
      </w:pPr>
      <w:bookmarkStart w:id="14" w:name="_Hlk87538563"/>
      <w:r>
        <w:rPr>
          <w:snapToGrid/>
          <w:szCs w:val="22"/>
          <w:u w:val="single"/>
          <w:lang w:val="lt-LT" w:eastAsia="sl-SI"/>
        </w:rPr>
        <w:t>Perindopril arginine/indapamide Krka 5 mg/1,25 mg tabletės</w:t>
      </w:r>
      <w:bookmarkEnd w:id="14"/>
    </w:p>
    <w:p w14:paraId="7C14385D"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Tabletę galima padalyti į lygias dozes.</w:t>
      </w:r>
    </w:p>
    <w:p w14:paraId="2EC33A5A" w14:textId="77777777" w:rsidR="00C00DD1" w:rsidRDefault="00C00DD1">
      <w:pPr>
        <w:widowControl w:val="0"/>
        <w:tabs>
          <w:tab w:val="clear" w:pos="567"/>
        </w:tabs>
        <w:autoSpaceDE w:val="0"/>
        <w:autoSpaceDN w:val="0"/>
        <w:adjustRightInd w:val="0"/>
        <w:spacing w:line="240" w:lineRule="auto"/>
        <w:rPr>
          <w:snapToGrid/>
          <w:szCs w:val="24"/>
          <w:lang w:val="lt-LT"/>
        </w:rPr>
      </w:pPr>
    </w:p>
    <w:p w14:paraId="12A25E33"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Ką daryti pavartojus per didelę Perindopril arginine/indapamide Krka dozę</w:t>
      </w:r>
    </w:p>
    <w:p w14:paraId="7A047349"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 išgėrėte daugiau tablečių negu reikia, nedelsdami kreipkitės į gydytoją arba artimiausios ligoninės skubios pagalbos skyrių. Labiausiai tikėtinas perdozavimo poveikis yra kraujospūdžio kritimas.</w:t>
      </w:r>
    </w:p>
    <w:p w14:paraId="17C7B088"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Jei kraujospūdis tampa labai mažas (susijęs su pykinimu, vėmimu, mėšlungiu, svaiguliu, mieguistumu, sumišimu, per inkstus išskiriamo šlapimo kiekio pokyčiais), gali būti naudinga atsigulti ir pakelti aukščiau kojas.</w:t>
      </w:r>
    </w:p>
    <w:p w14:paraId="62CC125E" w14:textId="77777777" w:rsidR="00C00DD1" w:rsidRPr="0006181B" w:rsidRDefault="00C00DD1">
      <w:pPr>
        <w:widowControl w:val="0"/>
        <w:tabs>
          <w:tab w:val="clear" w:pos="567"/>
        </w:tabs>
        <w:autoSpaceDE w:val="0"/>
        <w:autoSpaceDN w:val="0"/>
        <w:adjustRightInd w:val="0"/>
        <w:spacing w:line="240" w:lineRule="auto"/>
        <w:rPr>
          <w:rFonts w:eastAsia="TimesNewRoman,Bold"/>
          <w:snapToGrid/>
          <w:szCs w:val="22"/>
          <w:lang w:val="lt-LT"/>
        </w:rPr>
      </w:pPr>
    </w:p>
    <w:p w14:paraId="49E98C7F"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 xml:space="preserve">Pamiršus pavartoti </w:t>
      </w:r>
      <w:proofErr w:type="spellStart"/>
      <w:r>
        <w:rPr>
          <w:rFonts w:eastAsia="TimesNewRoman,Bold"/>
          <w:b/>
          <w:bCs/>
          <w:snapToGrid/>
          <w:szCs w:val="22"/>
          <w:lang w:val="lt-LT"/>
        </w:rPr>
        <w:t>Perindopril</w:t>
      </w:r>
      <w:proofErr w:type="spellEnd"/>
      <w:r>
        <w:rPr>
          <w:rFonts w:eastAsia="TimesNewRoman,Bold"/>
          <w:b/>
          <w:bCs/>
          <w:snapToGrid/>
          <w:szCs w:val="22"/>
          <w:lang w:val="lt-LT"/>
        </w:rPr>
        <w:t xml:space="preserve"> </w:t>
      </w:r>
      <w:proofErr w:type="spellStart"/>
      <w:r>
        <w:rPr>
          <w:rFonts w:eastAsia="TimesNewRoman,Bold"/>
          <w:b/>
          <w:bCs/>
          <w:snapToGrid/>
          <w:szCs w:val="22"/>
          <w:lang w:val="lt-LT"/>
        </w:rPr>
        <w:t>arginine</w:t>
      </w:r>
      <w:proofErr w:type="spellEnd"/>
      <w:r>
        <w:rPr>
          <w:rFonts w:eastAsia="TimesNewRoman,Bold"/>
          <w:b/>
          <w:bCs/>
          <w:snapToGrid/>
          <w:szCs w:val="22"/>
          <w:lang w:val="lt-LT"/>
        </w:rPr>
        <w:t>/</w:t>
      </w:r>
      <w:proofErr w:type="spellStart"/>
      <w:r>
        <w:rPr>
          <w:rFonts w:eastAsia="TimesNewRoman,Bold"/>
          <w:b/>
          <w:bCs/>
          <w:snapToGrid/>
          <w:szCs w:val="22"/>
          <w:lang w:val="lt-LT"/>
        </w:rPr>
        <w:t>indapamide</w:t>
      </w:r>
      <w:proofErr w:type="spellEnd"/>
      <w:r>
        <w:rPr>
          <w:rFonts w:eastAsia="TimesNewRoman,Bold"/>
          <w:b/>
          <w:bCs/>
          <w:snapToGrid/>
          <w:szCs w:val="22"/>
          <w:lang w:val="lt-LT"/>
        </w:rPr>
        <w:t xml:space="preserve"> </w:t>
      </w:r>
      <w:proofErr w:type="spellStart"/>
      <w:r>
        <w:rPr>
          <w:rFonts w:eastAsia="TimesNewRoman,Bold"/>
          <w:b/>
          <w:bCs/>
          <w:snapToGrid/>
          <w:szCs w:val="22"/>
          <w:lang w:val="lt-LT"/>
        </w:rPr>
        <w:t>Krka</w:t>
      </w:r>
      <w:proofErr w:type="spellEnd"/>
    </w:p>
    <w:p w14:paraId="1FBFB0A4" w14:textId="77777777" w:rsidR="00C00DD1" w:rsidRDefault="00C260EB">
      <w:pPr>
        <w:widowControl w:val="0"/>
        <w:tabs>
          <w:tab w:val="clear" w:pos="567"/>
        </w:tabs>
        <w:autoSpaceDE w:val="0"/>
        <w:autoSpaceDN w:val="0"/>
        <w:adjustRightInd w:val="0"/>
        <w:spacing w:line="240" w:lineRule="auto"/>
        <w:rPr>
          <w:rFonts w:eastAsia="TimesNewRoman,Bold"/>
          <w:snapToGrid/>
          <w:szCs w:val="22"/>
          <w:lang w:val="lt-LT"/>
        </w:rPr>
      </w:pPr>
      <w:r>
        <w:rPr>
          <w:rFonts w:eastAsia="TimesNewRoman,Bold"/>
          <w:snapToGrid/>
          <w:szCs w:val="22"/>
          <w:lang w:val="lt-LT"/>
        </w:rPr>
        <w:t>Labai svarbu vartoti vaistus kiekvieną dieną, kadangi reguliarus gydymas yra veiksmingesnis. Vis dėlto, jei pamiršote išgerti Perindopril arginine/indapamide Krka, kitą dozę išgerkite įprastu laiku. Negalima vartoti dvigubos dozės norint kompensuoti praleistą dozę.</w:t>
      </w:r>
    </w:p>
    <w:p w14:paraId="17E84884" w14:textId="77777777" w:rsidR="00C00DD1" w:rsidRDefault="00C00DD1">
      <w:pPr>
        <w:widowControl w:val="0"/>
        <w:tabs>
          <w:tab w:val="clear" w:pos="567"/>
        </w:tabs>
        <w:autoSpaceDE w:val="0"/>
        <w:autoSpaceDN w:val="0"/>
        <w:adjustRightInd w:val="0"/>
        <w:spacing w:line="240" w:lineRule="auto"/>
        <w:rPr>
          <w:rFonts w:eastAsia="TimesNewRoman,Bold"/>
          <w:snapToGrid/>
          <w:szCs w:val="22"/>
          <w:lang w:val="lt-LT"/>
        </w:rPr>
      </w:pPr>
    </w:p>
    <w:p w14:paraId="4532A7A0" w14:textId="77777777" w:rsidR="00C00DD1" w:rsidRDefault="00C260EB">
      <w:pPr>
        <w:widowControl w:val="0"/>
        <w:tabs>
          <w:tab w:val="clear" w:pos="567"/>
        </w:tabs>
        <w:autoSpaceDE w:val="0"/>
        <w:autoSpaceDN w:val="0"/>
        <w:adjustRightInd w:val="0"/>
        <w:spacing w:line="240" w:lineRule="auto"/>
        <w:rPr>
          <w:rFonts w:eastAsia="TimesNewRoman,Bold"/>
          <w:b/>
          <w:bCs/>
          <w:snapToGrid/>
          <w:szCs w:val="22"/>
          <w:lang w:val="lt-LT"/>
        </w:rPr>
      </w:pPr>
      <w:r>
        <w:rPr>
          <w:rFonts w:eastAsia="TimesNewRoman,Bold"/>
          <w:b/>
          <w:bCs/>
          <w:snapToGrid/>
          <w:szCs w:val="22"/>
          <w:lang w:val="lt-LT"/>
        </w:rPr>
        <w:t>Nustojus vartoti Perindopril arginine/indapamide Krka</w:t>
      </w:r>
    </w:p>
    <w:p w14:paraId="43557D64" w14:textId="77777777" w:rsidR="00C00DD1" w:rsidRDefault="00C260EB">
      <w:pPr>
        <w:widowControl w:val="0"/>
        <w:numPr>
          <w:ilvl w:val="12"/>
          <w:numId w:val="0"/>
        </w:numPr>
        <w:tabs>
          <w:tab w:val="clear" w:pos="567"/>
        </w:tabs>
        <w:spacing w:line="240" w:lineRule="auto"/>
        <w:ind w:right="-2"/>
        <w:rPr>
          <w:rFonts w:eastAsia="TimesNewRoman,Bold"/>
          <w:snapToGrid/>
          <w:szCs w:val="22"/>
          <w:lang w:val="lt-LT"/>
        </w:rPr>
      </w:pPr>
      <w:r>
        <w:rPr>
          <w:rFonts w:eastAsia="TimesNewRoman,Bold"/>
          <w:snapToGrid/>
          <w:szCs w:val="22"/>
          <w:lang w:val="lt-LT"/>
        </w:rPr>
        <w:t>Didelio kraujospūdžio liga įprastai gydoma visą gyvenimą, todėl prieš nutraukdami šio vaisto vartojimą pasitarkite su gydytoju.</w:t>
      </w:r>
    </w:p>
    <w:p w14:paraId="41B83E1E" w14:textId="77777777" w:rsidR="00C00DD1" w:rsidRDefault="00C00DD1">
      <w:pPr>
        <w:widowControl w:val="0"/>
        <w:numPr>
          <w:ilvl w:val="12"/>
          <w:numId w:val="0"/>
        </w:numPr>
        <w:tabs>
          <w:tab w:val="clear" w:pos="567"/>
        </w:tabs>
        <w:spacing w:line="240" w:lineRule="auto"/>
        <w:ind w:right="-2"/>
        <w:rPr>
          <w:rFonts w:eastAsia="TimesNewRoman,Bold"/>
          <w:snapToGrid/>
          <w:szCs w:val="22"/>
          <w:lang w:val="lt-LT"/>
        </w:rPr>
      </w:pPr>
    </w:p>
    <w:p w14:paraId="5433E81A" w14:textId="77777777" w:rsidR="00C00DD1" w:rsidRDefault="00C260EB">
      <w:pPr>
        <w:widowControl w:val="0"/>
        <w:numPr>
          <w:ilvl w:val="12"/>
          <w:numId w:val="0"/>
        </w:numPr>
        <w:tabs>
          <w:tab w:val="clear" w:pos="567"/>
        </w:tabs>
        <w:spacing w:line="240" w:lineRule="auto"/>
        <w:ind w:right="-2"/>
        <w:rPr>
          <w:snapToGrid/>
          <w:szCs w:val="22"/>
          <w:lang w:val="lt-LT"/>
        </w:rPr>
      </w:pPr>
      <w:r>
        <w:rPr>
          <w:rFonts w:eastAsia="TimesNewRoman,Bold"/>
          <w:snapToGrid/>
          <w:szCs w:val="22"/>
          <w:lang w:val="lt-LT"/>
        </w:rPr>
        <w:t>Jeigu kiltų daugiau klausimų dėl šio vaisto vartojimo, kreipkitės į gydytoją arba vaistininką.</w:t>
      </w:r>
    </w:p>
    <w:p w14:paraId="665C1A2A" w14:textId="77777777" w:rsidR="00C00DD1" w:rsidRDefault="00C00DD1">
      <w:pPr>
        <w:widowControl w:val="0"/>
        <w:numPr>
          <w:ilvl w:val="12"/>
          <w:numId w:val="0"/>
        </w:numPr>
        <w:tabs>
          <w:tab w:val="clear" w:pos="567"/>
        </w:tabs>
        <w:spacing w:line="240" w:lineRule="auto"/>
        <w:ind w:right="-2"/>
        <w:rPr>
          <w:snapToGrid/>
          <w:szCs w:val="22"/>
          <w:lang w:val="lt-LT"/>
        </w:rPr>
      </w:pPr>
    </w:p>
    <w:p w14:paraId="7664AC99" w14:textId="77777777" w:rsidR="00C00DD1" w:rsidRDefault="00C00DD1">
      <w:pPr>
        <w:widowControl w:val="0"/>
        <w:numPr>
          <w:ilvl w:val="12"/>
          <w:numId w:val="0"/>
        </w:numPr>
        <w:tabs>
          <w:tab w:val="clear" w:pos="567"/>
        </w:tabs>
        <w:spacing w:line="240" w:lineRule="auto"/>
        <w:ind w:right="-2"/>
        <w:rPr>
          <w:snapToGrid/>
          <w:szCs w:val="22"/>
          <w:lang w:val="lt-LT"/>
        </w:rPr>
      </w:pPr>
    </w:p>
    <w:p w14:paraId="0F3E66A4"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caps/>
          <w:snapToGrid/>
          <w:szCs w:val="22"/>
          <w:lang w:val="lt-LT"/>
        </w:rPr>
        <w:t>4.</w:t>
      </w:r>
      <w:r>
        <w:rPr>
          <w:b/>
          <w:caps/>
          <w:snapToGrid/>
          <w:szCs w:val="22"/>
          <w:lang w:val="lt-LT"/>
        </w:rPr>
        <w:tab/>
      </w:r>
      <w:r>
        <w:rPr>
          <w:b/>
          <w:snapToGrid/>
          <w:szCs w:val="22"/>
          <w:lang w:val="lt-LT"/>
        </w:rPr>
        <w:t>Galimas šalutinis poveikis</w:t>
      </w:r>
    </w:p>
    <w:p w14:paraId="67F45B32" w14:textId="77777777" w:rsidR="00C00DD1" w:rsidRDefault="00C00DD1">
      <w:pPr>
        <w:widowControl w:val="0"/>
        <w:tabs>
          <w:tab w:val="clear" w:pos="567"/>
        </w:tabs>
        <w:spacing w:line="240" w:lineRule="auto"/>
        <w:ind w:left="567" w:hanging="567"/>
        <w:rPr>
          <w:snapToGrid/>
          <w:szCs w:val="22"/>
          <w:lang w:val="lt-LT"/>
        </w:rPr>
      </w:pPr>
    </w:p>
    <w:p w14:paraId="245B8128"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Šis vaistas, kaip ir visi kiti, gali sukelti šalutinį poveikį, nors jis pasireiškia ne visiems žmonėms.</w:t>
      </w:r>
    </w:p>
    <w:p w14:paraId="657695E6" w14:textId="77777777" w:rsidR="00C00DD1" w:rsidRDefault="00C00DD1">
      <w:pPr>
        <w:widowControl w:val="0"/>
        <w:tabs>
          <w:tab w:val="clear" w:pos="567"/>
        </w:tabs>
        <w:autoSpaceDE w:val="0"/>
        <w:autoSpaceDN w:val="0"/>
        <w:adjustRightInd w:val="0"/>
        <w:spacing w:line="240" w:lineRule="auto"/>
        <w:rPr>
          <w:snapToGrid/>
          <w:szCs w:val="22"/>
          <w:lang w:val="lt-LT"/>
        </w:rPr>
      </w:pPr>
    </w:p>
    <w:p w14:paraId="11618581" w14:textId="77777777" w:rsidR="00C00DD1" w:rsidRDefault="00C260EB">
      <w:pPr>
        <w:widowControl w:val="0"/>
        <w:numPr>
          <w:ilvl w:val="12"/>
          <w:numId w:val="0"/>
        </w:numPr>
        <w:tabs>
          <w:tab w:val="clear" w:pos="567"/>
        </w:tabs>
        <w:spacing w:line="240" w:lineRule="auto"/>
        <w:rPr>
          <w:rFonts w:eastAsia="Calibri"/>
          <w:b/>
          <w:snapToGrid/>
          <w:szCs w:val="22"/>
          <w:lang w:val="lt-LT"/>
        </w:rPr>
      </w:pPr>
      <w:r>
        <w:rPr>
          <w:rFonts w:eastAsia="Calibri"/>
          <w:b/>
          <w:snapToGrid/>
          <w:szCs w:val="22"/>
          <w:lang w:val="lt-LT"/>
        </w:rPr>
        <w:t>Nutraukite vaisto vartojimą ir nedelsdami kreipkitės į gydytoją, jeigu pasireiškia bet kuris toliau išvardytas šalutinis poveikis, kuris gali būti sunkus.</w:t>
      </w:r>
    </w:p>
    <w:p w14:paraId="654B5D62"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Sunkus svaigulys arba alpimas dėl mažo kraujospūdžio (dažnas: gali pasireikšti rečiau kaip 1 iš 10 asmenų).</w:t>
      </w:r>
    </w:p>
    <w:p w14:paraId="174A694C"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Bronchų spazmas (spaudimas krūtinėje, gargimas ir dusulys) (nedažnas: gali pasireikšti rečiau kaip 1 iš 100 asmenų).</w:t>
      </w:r>
    </w:p>
    <w:p w14:paraId="1CB64348"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Veido, lūpų, burnos, liežuvio ar ryklės patinimas, kvėpavimo pasunkėjimas (angioneurozinė edema) (žr. 2 skyrių „Įspėjimai ir atsargumo priemonės) (nedažnas: gali pasireikšti rečiau kaip 1 iš 100 asmenų).</w:t>
      </w:r>
    </w:p>
    <w:p w14:paraId="173FDD40"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Sunkios odos reakcijos, įskaitant daugiaformę eritemą (odos išbėrimas, kuris dažnai prasideda raudonos spalvos dėmėmis ant veido, rankų ar kojų) arba intensyvus odos išbėrimas, dilgėlinė, viso kūno odos paraudimas, sunkus niežėjimas, pūslės, odos lupimasis ar patinimas, gleivinės uždegimas (Stivenso-Džonsono sindromas,</w:t>
      </w:r>
      <w:r>
        <w:rPr>
          <w:snapToGrid/>
          <w:szCs w:val="22"/>
          <w:lang w:val="lt-LT" w:eastAsia="sl-SI"/>
        </w:rPr>
        <w:t xml:space="preserve"> </w:t>
      </w:r>
      <w:r>
        <w:rPr>
          <w:rFonts w:eastAsia="Calibri"/>
          <w:snapToGrid/>
          <w:szCs w:val="22"/>
          <w:lang w:val="lt-LT"/>
        </w:rPr>
        <w:t>toksinė epidermio nekrolizė) arba kitos alerginės reakcijos (labai retas: gali pasireikšti rečiau kaip 1 iš 10 000 asmenų).</w:t>
      </w:r>
    </w:p>
    <w:p w14:paraId="0817ADA8"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Širdies ir kraujagyslių sutrikimai (neritmiškas širdies plakimas, krūtinės angina (fizinio krūvio metu pasireiškiantis krūtinės, žandikaulio ir nugaros skausmas), širdies priepuolis) (labai retas: gali pasireikšti rečiau kaip 1 iš 10 000 asmenų).</w:t>
      </w:r>
    </w:p>
    <w:p w14:paraId="0F6DAB80"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Rankų ar kojų silpnumas, kalbos sutrikimas: tai gali būti insulto požymiai (labai retas: gali pasireikšti rečiau kaip 1 iš 10 000 asmenų).</w:t>
      </w:r>
    </w:p>
    <w:p w14:paraId="7D58FA14"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Kasos uždegimas, kuris gali sukelti stiprų pilvo ir nugaros skausmą, susijusį su labai bloga savijauta (labai retas: gali pasireikšti rečiau kaip 1 iš 10 000 asmenų).</w:t>
      </w:r>
    </w:p>
    <w:p w14:paraId="597ED464"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Odos ar akių pageltimas (gelta): tai gali būti hepatito požymis (labai retas: gali pasireikšti rečiau kaip 1 iš 10 000 asmenų).</w:t>
      </w:r>
    </w:p>
    <w:p w14:paraId="71A6D55E"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Gyvybei pavojingas neritmiškas širdies plakimas (dažnis nežinomas).</w:t>
      </w:r>
    </w:p>
    <w:p w14:paraId="28547D92" w14:textId="77777777" w:rsidR="00C00DD1" w:rsidRDefault="00C260EB">
      <w:pPr>
        <w:widowControl w:val="0"/>
        <w:numPr>
          <w:ilvl w:val="0"/>
          <w:numId w:val="29"/>
        </w:numPr>
        <w:tabs>
          <w:tab w:val="clear" w:pos="720"/>
          <w:tab w:val="num" w:pos="567"/>
        </w:tabs>
        <w:spacing w:line="240" w:lineRule="auto"/>
        <w:ind w:left="567" w:hanging="567"/>
        <w:rPr>
          <w:b/>
          <w:snapToGrid/>
          <w:szCs w:val="22"/>
          <w:lang w:val="lt-LT" w:eastAsia="sl-SI"/>
        </w:rPr>
      </w:pPr>
      <w:r>
        <w:rPr>
          <w:rFonts w:eastAsia="Calibri"/>
          <w:snapToGrid/>
          <w:szCs w:val="22"/>
          <w:lang w:val="lt-LT"/>
        </w:rPr>
        <w:t>Galvos smegenų liga, kuri pasireiškia dėl kepenų ligos (hepatinė encefalopatija) (dažnis nežinomas).</w:t>
      </w:r>
    </w:p>
    <w:p w14:paraId="4C621EC8" w14:textId="77777777" w:rsidR="00C00DD1" w:rsidRDefault="00C260EB">
      <w:pPr>
        <w:widowControl w:val="0"/>
        <w:numPr>
          <w:ilvl w:val="0"/>
          <w:numId w:val="29"/>
        </w:numPr>
        <w:tabs>
          <w:tab w:val="clear" w:pos="720"/>
          <w:tab w:val="num" w:pos="567"/>
        </w:tabs>
        <w:spacing w:line="240" w:lineRule="auto"/>
        <w:ind w:left="567" w:hanging="567"/>
        <w:rPr>
          <w:rFonts w:eastAsia="Calibri"/>
          <w:snapToGrid/>
          <w:szCs w:val="22"/>
          <w:lang w:val="lt-LT"/>
        </w:rPr>
      </w:pPr>
      <w:r>
        <w:rPr>
          <w:rFonts w:eastAsia="Calibri"/>
          <w:snapToGrid/>
          <w:szCs w:val="22"/>
          <w:lang w:val="lt-LT"/>
        </w:rPr>
        <w:t>Raumenų silpnumas, mėšlungis, jautrumas ar skausmas, ypač kartu su bloga bendrąja savijauta ir karščiavimu: tai gali sukelti nenormalus raumenų irimas (dažnis nežinomas).</w:t>
      </w:r>
    </w:p>
    <w:p w14:paraId="6B43C934" w14:textId="77777777" w:rsidR="00C00DD1" w:rsidRDefault="00C00DD1">
      <w:pPr>
        <w:widowControl w:val="0"/>
        <w:tabs>
          <w:tab w:val="clear" w:pos="567"/>
        </w:tabs>
        <w:spacing w:line="240" w:lineRule="auto"/>
        <w:rPr>
          <w:b/>
          <w:snapToGrid/>
          <w:szCs w:val="22"/>
          <w:lang w:val="lt-LT" w:eastAsia="sl-SI"/>
        </w:rPr>
      </w:pPr>
    </w:p>
    <w:p w14:paraId="228AB4F9"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Gali pasireikšti toliau išvardytas šalutinis poveikis (išvardytas mažėjančio dažnumo tvarka).</w:t>
      </w:r>
    </w:p>
    <w:p w14:paraId="3E4D6948"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Dažni šalutinio poveikio reiškiniai (gali pasireikšti rečiau kaip 1 iš 10 asmenų):</w:t>
      </w:r>
    </w:p>
    <w:p w14:paraId="3ACCCB2B" w14:textId="77777777" w:rsidR="00C00DD1" w:rsidRDefault="00C260EB">
      <w:pPr>
        <w:widowControl w:val="0"/>
        <w:numPr>
          <w:ilvl w:val="0"/>
          <w:numId w:val="30"/>
        </w:numPr>
        <w:spacing w:line="240" w:lineRule="auto"/>
        <w:rPr>
          <w:snapToGrid/>
          <w:szCs w:val="22"/>
          <w:lang w:val="lt-LT" w:eastAsia="sl-SI"/>
        </w:rPr>
      </w:pPr>
      <w:r>
        <w:rPr>
          <w:snapToGrid/>
          <w:szCs w:val="22"/>
          <w:lang w:val="lt-LT" w:eastAsia="sl-SI"/>
        </w:rPr>
        <w:t>odos reakcijos polinkį į alergines ar astmines reakcijas turintiems asmenims, galvos skausmas, svaigulys, galvos sukimasis, badymo ir dilgčiojimo pojūtis, regėjimo sutrikimai, spengimas ausyse (triukšmo ausyse pojūtis), kosulys, dusulys (dispnėja), virškinimo trakto sutrikimai (pykinimas, vėmimas, pilvo skausmas, skonio pojūčio sutrikimai, nevirškinimas ar virškinimo sutrikimas, viduriavimas, vidurių užkietėjimas), alerginės reakcijos (tokios kaip odos išbėrimas, niežėjimas), raumenų spazmai, nuovargio pojūtis, mažas kalio kiekis kraujyje.</w:t>
      </w:r>
    </w:p>
    <w:p w14:paraId="5D9B0C8E"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Nedažni šalutinio poveikio reiškiniai (gali pasireikšti rečiau kaip 1 iš 100 asmenų):</w:t>
      </w:r>
    </w:p>
    <w:p w14:paraId="203D9EEC" w14:textId="77777777" w:rsidR="00C00DD1" w:rsidRDefault="00C260EB">
      <w:pPr>
        <w:widowControl w:val="0"/>
        <w:numPr>
          <w:ilvl w:val="0"/>
          <w:numId w:val="30"/>
        </w:numPr>
        <w:spacing w:line="240" w:lineRule="auto"/>
        <w:rPr>
          <w:rFonts w:eastAsia="Calibri"/>
          <w:snapToGrid/>
          <w:szCs w:val="22"/>
          <w:lang w:val="lt-LT"/>
        </w:rPr>
      </w:pPr>
      <w:r>
        <w:rPr>
          <w:snapToGrid/>
          <w:szCs w:val="22"/>
          <w:lang w:val="lt-LT" w:eastAsia="sl-SI"/>
        </w:rPr>
        <w:t xml:space="preserve">nuotaikų kaita, miego sutrikimai, depresija, dilgėlinė, purpura (raudonos taškinės dėmelės </w:t>
      </w:r>
      <w:r>
        <w:rPr>
          <w:snapToGrid/>
          <w:szCs w:val="22"/>
          <w:lang w:val="lt-LT" w:eastAsia="sl-SI"/>
        </w:rPr>
        <w:lastRenderedPageBreak/>
        <w:t>odoje), pūslių grupės, inkstų pažeidimas, impotencija (negebėjimas pasiekti erekciją ar ją palaikyti), prakaitavimas, eozinofilų (tam tikrų baltųjų kraujo ląstelių) perteklius, laboratorinių tyrimų rodmenų pokyčiai: didelis kalio kiekis kraujyje, kuris normalizuojasi nutraukus gydymą, mažas natrio kiekis kraujyje, kuris gali sukelti dehidrataciją ir kraujospūdžio sumažėjimą, labai stiprus mieguistumas, alpimas, palpitacijos (širdies plakimo jutimas), tachikardija (dažnas širdies plakimas), hipoglikemija (labai mažas gliukozės kiekis kraujyje), vaskulitas (kraujagyslių uždegimas), burnos džiūvimas, padidėjusio jautrumo šviesai reakcijos (padidėjęs odos jautrumas saulės šviesai), artralgija (sąnarių skausmas), mialgija (raumenų skausmas), krūtinės skausmas, bendrasis negalavimas, periferinis patinimas, karščiavimas, šlapalo kiekio kraujyje padidėjimas, kreatinino kiekio kraujyje padidėjimas, griuvimas.</w:t>
      </w:r>
    </w:p>
    <w:p w14:paraId="77067675"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Reti šalutinio poveikio reiškiniai (gali pasireikšti rečiau kaip 1 iš 1 000 asmenų):</w:t>
      </w:r>
    </w:p>
    <w:p w14:paraId="4DFB6595" w14:textId="77777777" w:rsidR="00C00DD1" w:rsidRDefault="00C260EB">
      <w:pPr>
        <w:widowControl w:val="0"/>
        <w:numPr>
          <w:ilvl w:val="0"/>
          <w:numId w:val="31"/>
        </w:numPr>
        <w:tabs>
          <w:tab w:val="clear" w:pos="567"/>
        </w:tabs>
        <w:spacing w:line="240" w:lineRule="auto"/>
        <w:ind w:left="567" w:hanging="567"/>
        <w:rPr>
          <w:rFonts w:eastAsia="Calibri"/>
          <w:snapToGrid/>
          <w:szCs w:val="22"/>
          <w:lang w:val="lt-LT"/>
        </w:rPr>
      </w:pPr>
      <w:r>
        <w:rPr>
          <w:rFonts w:eastAsia="Calibri"/>
          <w:snapToGrid/>
          <w:szCs w:val="22"/>
          <w:lang w:val="lt-LT"/>
        </w:rPr>
        <w:t>žvynelinės pasunkėjimas, laboratorinių tyrimų rodmenų pokyčiai: kepenų fermentų suaktyvėjimas, didelis bilirubino kiekis kraujo serume, nuovargis, sumažėjęs šlapimo išskyrimas arba jo nebuvimas, paraudimas, ūminis inkstų nepakankamumas;</w:t>
      </w:r>
    </w:p>
    <w:p w14:paraId="4074E15E" w14:textId="77777777" w:rsidR="00C00DD1" w:rsidRDefault="00C260EB">
      <w:pPr>
        <w:widowControl w:val="0"/>
        <w:numPr>
          <w:ilvl w:val="0"/>
          <w:numId w:val="31"/>
        </w:numPr>
        <w:tabs>
          <w:tab w:val="clear" w:pos="567"/>
        </w:tabs>
        <w:spacing w:line="240" w:lineRule="auto"/>
        <w:ind w:left="567" w:hanging="567"/>
        <w:rPr>
          <w:rFonts w:eastAsia="Calibri"/>
          <w:snapToGrid/>
          <w:szCs w:val="22"/>
          <w:lang w:val="lt-LT"/>
        </w:rPr>
      </w:pPr>
      <w:r>
        <w:rPr>
          <w:rFonts w:eastAsia="Calibri"/>
          <w:snapToGrid/>
          <w:szCs w:val="22"/>
          <w:lang w:val="lt-LT"/>
        </w:rPr>
        <w:t>tamsus šlapimas, pykinimas (šleikštulys) arba vėmimas, raumenų mėšlungis, sumišimas ir traukuliai. Tai gali būti būklės, vadinamos sutrikusia antidiurezinio hormono sekrecija (SAHS), simptomai;</w:t>
      </w:r>
    </w:p>
    <w:p w14:paraId="5EF69DA0" w14:textId="77777777" w:rsidR="00C00DD1" w:rsidRDefault="00C260EB">
      <w:pPr>
        <w:widowControl w:val="0"/>
        <w:numPr>
          <w:ilvl w:val="0"/>
          <w:numId w:val="31"/>
        </w:numPr>
        <w:tabs>
          <w:tab w:val="clear" w:pos="567"/>
        </w:tabs>
        <w:spacing w:line="240" w:lineRule="auto"/>
        <w:ind w:left="567" w:hanging="567"/>
        <w:rPr>
          <w:rFonts w:eastAsia="Calibri"/>
          <w:snapToGrid/>
          <w:szCs w:val="22"/>
          <w:lang w:val="lt-LT"/>
        </w:rPr>
      </w:pPr>
      <w:r>
        <w:rPr>
          <w:rFonts w:eastAsia="Calibri"/>
          <w:snapToGrid/>
          <w:szCs w:val="22"/>
          <w:lang w:val="lt-LT"/>
        </w:rPr>
        <w:t>mažas chloridų kiekis kraujyje, mažas magnio kiekis kraujyje.</w:t>
      </w:r>
    </w:p>
    <w:p w14:paraId="3609F218" w14:textId="77777777" w:rsidR="00C00DD1" w:rsidRDefault="00C260EB">
      <w:pPr>
        <w:widowControl w:val="0"/>
        <w:tabs>
          <w:tab w:val="clear" w:pos="567"/>
        </w:tabs>
        <w:spacing w:line="240" w:lineRule="auto"/>
        <w:rPr>
          <w:snapToGrid/>
          <w:szCs w:val="22"/>
          <w:u w:val="single"/>
          <w:lang w:val="lt-LT" w:eastAsia="sl-SI"/>
        </w:rPr>
      </w:pPr>
      <w:r>
        <w:rPr>
          <w:snapToGrid/>
          <w:szCs w:val="22"/>
          <w:u w:val="single"/>
          <w:lang w:val="lt-LT" w:eastAsia="sl-SI"/>
        </w:rPr>
        <w:t>Labai reti šalutinio poveikio reiškiniai (gali pasireikšti rečiau kaip 1 iš 10000 asmenų):</w:t>
      </w:r>
    </w:p>
    <w:p w14:paraId="36995CEF" w14:textId="77777777" w:rsidR="00C00DD1" w:rsidRDefault="00C260EB">
      <w:pPr>
        <w:widowControl w:val="0"/>
        <w:numPr>
          <w:ilvl w:val="0"/>
          <w:numId w:val="30"/>
        </w:numPr>
        <w:spacing w:line="240" w:lineRule="auto"/>
        <w:rPr>
          <w:snapToGrid/>
          <w:szCs w:val="22"/>
          <w:lang w:val="lt-LT" w:eastAsia="sl-SI"/>
        </w:rPr>
      </w:pPr>
      <w:r>
        <w:rPr>
          <w:snapToGrid/>
          <w:szCs w:val="22"/>
          <w:lang w:val="lt-LT" w:eastAsia="sl-SI"/>
        </w:rPr>
        <w:t xml:space="preserve">sumišimas, eozinofilinis plaučių uždegimas (reta plaučių uždegimo rūšis), rinitas (užsikimšusi nosis ar sloga), </w:t>
      </w:r>
      <w:r>
        <w:rPr>
          <w:rFonts w:eastAsia="Calibri"/>
          <w:snapToGrid/>
          <w:szCs w:val="22"/>
          <w:lang w:val="lt-LT"/>
        </w:rPr>
        <w:t>kraujo ląstelių kiekio pokyčiai, pavyzdžiui, mažas baltųjų ir raudonųjų kraujo ląstelių kiekis, hemoglobino kiekio kraujyje sumažėjimas, kraujo plokštelių kiekio sumažėjimas, didelis kalcio kiekis kraujyje, nenormali kepenų funkcija</w:t>
      </w:r>
      <w:r>
        <w:rPr>
          <w:snapToGrid/>
          <w:szCs w:val="22"/>
          <w:lang w:val="lt-LT" w:eastAsia="sl-SI"/>
        </w:rPr>
        <w:t>.</w:t>
      </w:r>
    </w:p>
    <w:p w14:paraId="348F0AFA" w14:textId="77777777" w:rsidR="00C00DD1" w:rsidRDefault="00C260EB">
      <w:pPr>
        <w:widowControl w:val="0"/>
        <w:tabs>
          <w:tab w:val="clear" w:pos="567"/>
          <w:tab w:val="left" w:pos="540"/>
        </w:tabs>
        <w:spacing w:line="240" w:lineRule="auto"/>
        <w:rPr>
          <w:snapToGrid/>
          <w:szCs w:val="22"/>
          <w:u w:val="single"/>
          <w:lang w:val="lt-LT" w:eastAsia="sl-SI"/>
        </w:rPr>
      </w:pPr>
      <w:r>
        <w:rPr>
          <w:snapToGrid/>
          <w:szCs w:val="22"/>
          <w:u w:val="single"/>
          <w:lang w:val="lt-LT" w:eastAsia="sl-SI"/>
        </w:rPr>
        <w:t>Šalutinio poveikio reiškiniai, kurių dažnis nežinomas (negali būti apskaičiuotas pagal turimus duomenis):</w:t>
      </w:r>
    </w:p>
    <w:p w14:paraId="6EA4DD9A" w14:textId="77777777" w:rsidR="00C00DD1" w:rsidRDefault="00C260EB">
      <w:pPr>
        <w:widowControl w:val="0"/>
        <w:numPr>
          <w:ilvl w:val="0"/>
          <w:numId w:val="30"/>
        </w:numPr>
        <w:tabs>
          <w:tab w:val="left" w:pos="540"/>
        </w:tabs>
        <w:spacing w:line="240" w:lineRule="auto"/>
        <w:contextualSpacing/>
        <w:rPr>
          <w:rFonts w:eastAsia="Calibri"/>
          <w:snapToGrid/>
          <w:szCs w:val="22"/>
          <w:lang w:val="lt-LT"/>
        </w:rPr>
      </w:pPr>
      <w:r>
        <w:rPr>
          <w:snapToGrid/>
          <w:szCs w:val="22"/>
          <w:lang w:val="lt-LT" w:eastAsia="sl-SI"/>
        </w:rPr>
        <w:t xml:space="preserve">nenormalūs širdies veiklos rodmenys elektrokardiogramoje (EKG), </w:t>
      </w:r>
      <w:r>
        <w:rPr>
          <w:rFonts w:eastAsia="Calibri"/>
          <w:snapToGrid/>
          <w:szCs w:val="22"/>
          <w:lang w:val="lt-LT"/>
        </w:rPr>
        <w:t>laboratorinių tyrimų rodmenų pokyčiai: didelis šlapimo rūgšties kiekis ir didelis gliukozės kiekis kraujyje, trumparegystė (miopija), matomo vaizdo neryškumas, regėjimo sutrikimas,</w:t>
      </w:r>
      <w:r>
        <w:rPr>
          <w:rFonts w:eastAsia="Calibri"/>
          <w:bCs/>
          <w:snapToGrid/>
          <w:szCs w:val="22"/>
          <w:lang w:val="lt-LT"/>
        </w:rPr>
        <w:t xml:space="preserve"> regos susilpnėjimas ir akių skausmas dėl padidėjusio spaudimo (galimi skysčio susikaupimo akies kraujagysliniame dangale (tarp gyslainės ir skleros) arba uždaro kampo glaukomos požymiai),</w:t>
      </w:r>
      <w:r>
        <w:rPr>
          <w:lang w:val="lt-LT"/>
        </w:rPr>
        <w:t xml:space="preserve"> </w:t>
      </w:r>
      <w:r>
        <w:rPr>
          <w:rFonts w:eastAsia="Calibri"/>
          <w:bCs/>
          <w:snapToGrid/>
          <w:szCs w:val="22"/>
          <w:lang w:val="lt-LT"/>
        </w:rPr>
        <w:t>rankų arba kojų pirštų spalvos pakitimas, tirpulys ir skausmas (Reino fenomenas).</w:t>
      </w:r>
    </w:p>
    <w:p w14:paraId="45D65368" w14:textId="77777777" w:rsidR="00C00DD1" w:rsidRDefault="00C260EB">
      <w:pPr>
        <w:widowControl w:val="0"/>
        <w:numPr>
          <w:ilvl w:val="0"/>
          <w:numId w:val="30"/>
        </w:numPr>
        <w:tabs>
          <w:tab w:val="left" w:pos="540"/>
        </w:tabs>
        <w:spacing w:line="240" w:lineRule="auto"/>
        <w:contextualSpacing/>
        <w:rPr>
          <w:rFonts w:eastAsia="Calibri"/>
          <w:snapToGrid/>
          <w:szCs w:val="22"/>
          <w:lang w:val="lt-LT"/>
        </w:rPr>
      </w:pPr>
      <w:r>
        <w:rPr>
          <w:rFonts w:eastAsia="Calibri"/>
          <w:bCs/>
          <w:snapToGrid/>
          <w:szCs w:val="22"/>
          <w:lang w:val="lt-LT"/>
        </w:rPr>
        <w:t>Jeigu sergate sistemine raudonąja vilklige (kolagenozės tipas), ši liga gali pasunkėti</w:t>
      </w:r>
      <w:r>
        <w:rPr>
          <w:rFonts w:eastAsia="Calibri"/>
          <w:snapToGrid/>
          <w:szCs w:val="22"/>
          <w:lang w:val="lt-LT"/>
        </w:rPr>
        <w:t>.</w:t>
      </w:r>
    </w:p>
    <w:p w14:paraId="4A4A9D5D" w14:textId="77777777" w:rsidR="00C00DD1" w:rsidRDefault="00C00DD1">
      <w:pPr>
        <w:widowControl w:val="0"/>
        <w:tabs>
          <w:tab w:val="clear" w:pos="567"/>
        </w:tabs>
        <w:spacing w:line="240" w:lineRule="auto"/>
        <w:rPr>
          <w:snapToGrid/>
          <w:szCs w:val="22"/>
          <w:lang w:val="lt-LT" w:eastAsia="sl-SI"/>
        </w:rPr>
      </w:pPr>
    </w:p>
    <w:p w14:paraId="2B83D7CC" w14:textId="77777777" w:rsidR="00C00DD1" w:rsidRDefault="00C260EB">
      <w:pPr>
        <w:widowControl w:val="0"/>
        <w:tabs>
          <w:tab w:val="clear" w:pos="567"/>
        </w:tabs>
        <w:spacing w:line="240" w:lineRule="auto"/>
        <w:rPr>
          <w:snapToGrid/>
          <w:szCs w:val="22"/>
          <w:lang w:val="lt-LT" w:eastAsia="sl-SI"/>
        </w:rPr>
      </w:pPr>
      <w:r>
        <w:rPr>
          <w:snapToGrid/>
          <w:szCs w:val="22"/>
          <w:lang w:val="lt-LT" w:eastAsia="sl-SI"/>
        </w:rPr>
        <w:t>Gali atsirasti kraujo, inkstų, kepenų arba kasos sutrikimų ir pakisti laboratorinių (kraujo) tyrimų rodmenys. Gydytojas gali nurodyti atlikti kraujo tyrimus Jūsų būklei stebėti.</w:t>
      </w:r>
    </w:p>
    <w:p w14:paraId="7BFA6CDF" w14:textId="77777777" w:rsidR="00C00DD1" w:rsidRDefault="00C00DD1">
      <w:pPr>
        <w:widowControl w:val="0"/>
        <w:tabs>
          <w:tab w:val="clear" w:pos="567"/>
        </w:tabs>
        <w:autoSpaceDE w:val="0"/>
        <w:autoSpaceDN w:val="0"/>
        <w:adjustRightInd w:val="0"/>
        <w:spacing w:line="240" w:lineRule="auto"/>
        <w:rPr>
          <w:snapToGrid/>
          <w:szCs w:val="22"/>
          <w:lang w:val="lt-LT"/>
        </w:rPr>
      </w:pPr>
    </w:p>
    <w:p w14:paraId="512F96F4" w14:textId="77777777" w:rsidR="00C00DD1" w:rsidRDefault="00C260EB">
      <w:pPr>
        <w:widowControl w:val="0"/>
        <w:tabs>
          <w:tab w:val="clear" w:pos="567"/>
          <w:tab w:val="left" w:pos="540"/>
        </w:tabs>
        <w:spacing w:line="240" w:lineRule="auto"/>
        <w:rPr>
          <w:rFonts w:eastAsia="Calibri"/>
          <w:b/>
          <w:snapToGrid/>
          <w:szCs w:val="22"/>
          <w:lang w:val="lt-LT"/>
        </w:rPr>
      </w:pPr>
      <w:r>
        <w:rPr>
          <w:rFonts w:eastAsia="Calibri"/>
          <w:b/>
          <w:snapToGrid/>
          <w:szCs w:val="22"/>
          <w:lang w:val="lt-LT"/>
        </w:rPr>
        <w:t>Pranešimas apie šalutinį poveikį</w:t>
      </w:r>
    </w:p>
    <w:p w14:paraId="29BEF6DE"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Jeigu pasireiškė šalutinis poveikis, įskaitant šiame lapelyje nenurodytą, pasakykite gydytojui arba vaistininkui. Pranešimą apie šalutinį poveikį galite pateikti šiais būdais: tiesiogiai užpildant formą internetu Valstybinės vaistų kontrolės tarnybos prie Lietuvos Respublikos sveikatos apsaugos ministerijos Vaistinių preparatų informacinėje sistemoje https://vapris.vvkt.lt/vvkt-web/public/nrv arba užpildant Sveikatos priežiūros ar farmacijos specialisto pranešimo apie įtariamą nepageidaujamą reakciją formą, kuri skelbiama https://www.vvkt.lt/index.php?4004286486, ir atsiunčiant elektroniniu paštu (adresu NepageidaujamaR@vvkt.lt) arba nemokamu telefonu 8 800 73 568mą.</w:t>
      </w:r>
    </w:p>
    <w:p w14:paraId="1E116F87" w14:textId="77777777" w:rsidR="00C00DD1" w:rsidRDefault="00C00DD1">
      <w:pPr>
        <w:widowControl w:val="0"/>
        <w:numPr>
          <w:ilvl w:val="12"/>
          <w:numId w:val="0"/>
        </w:numPr>
        <w:tabs>
          <w:tab w:val="clear" w:pos="567"/>
        </w:tabs>
        <w:spacing w:line="240" w:lineRule="auto"/>
        <w:ind w:right="-2"/>
        <w:rPr>
          <w:snapToGrid/>
          <w:szCs w:val="24"/>
          <w:lang w:val="lt-LT"/>
        </w:rPr>
      </w:pPr>
    </w:p>
    <w:p w14:paraId="1DF04F75" w14:textId="77777777" w:rsidR="00C00DD1" w:rsidRDefault="00C00DD1">
      <w:pPr>
        <w:widowControl w:val="0"/>
        <w:numPr>
          <w:ilvl w:val="12"/>
          <w:numId w:val="0"/>
        </w:numPr>
        <w:tabs>
          <w:tab w:val="clear" w:pos="567"/>
        </w:tabs>
        <w:spacing w:line="240" w:lineRule="auto"/>
        <w:ind w:right="-2"/>
        <w:rPr>
          <w:snapToGrid/>
          <w:szCs w:val="22"/>
          <w:lang w:val="lt-LT"/>
        </w:rPr>
      </w:pPr>
    </w:p>
    <w:p w14:paraId="272504EF"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5.</w:t>
      </w:r>
      <w:r>
        <w:rPr>
          <w:b/>
          <w:snapToGrid/>
          <w:szCs w:val="22"/>
          <w:lang w:val="lt-LT"/>
        </w:rPr>
        <w:tab/>
        <w:t>Kaip laikyti Perindopril arginine/indapamide Krka</w:t>
      </w:r>
    </w:p>
    <w:p w14:paraId="523B1EF6" w14:textId="77777777" w:rsidR="00C00DD1" w:rsidRDefault="00C00DD1">
      <w:pPr>
        <w:widowControl w:val="0"/>
        <w:tabs>
          <w:tab w:val="clear" w:pos="567"/>
        </w:tabs>
        <w:spacing w:line="240" w:lineRule="auto"/>
        <w:rPr>
          <w:i/>
          <w:snapToGrid/>
          <w:szCs w:val="22"/>
          <w:lang w:val="lt-LT"/>
        </w:rPr>
      </w:pPr>
    </w:p>
    <w:p w14:paraId="411FB0EA" w14:textId="77777777" w:rsidR="00C00DD1" w:rsidRDefault="00C260EB">
      <w:pPr>
        <w:widowControl w:val="0"/>
        <w:numPr>
          <w:ilvl w:val="12"/>
          <w:numId w:val="0"/>
        </w:numPr>
        <w:tabs>
          <w:tab w:val="clear" w:pos="567"/>
        </w:tabs>
        <w:spacing w:line="240" w:lineRule="auto"/>
        <w:ind w:right="-2"/>
        <w:rPr>
          <w:snapToGrid/>
          <w:szCs w:val="22"/>
          <w:lang w:val="lt-LT"/>
        </w:rPr>
      </w:pPr>
      <w:r>
        <w:rPr>
          <w:snapToGrid/>
          <w:szCs w:val="22"/>
          <w:lang w:val="lt-LT"/>
        </w:rPr>
        <w:t>Šį vaistą laikykite vaikams nepastebimoje ir nepasiekiamoje vietoje.</w:t>
      </w:r>
    </w:p>
    <w:p w14:paraId="77D2C9E9" w14:textId="77777777" w:rsidR="00C00DD1" w:rsidRDefault="00C00DD1">
      <w:pPr>
        <w:widowControl w:val="0"/>
        <w:numPr>
          <w:ilvl w:val="12"/>
          <w:numId w:val="0"/>
        </w:numPr>
        <w:tabs>
          <w:tab w:val="clear" w:pos="567"/>
        </w:tabs>
        <w:spacing w:line="240" w:lineRule="auto"/>
        <w:ind w:right="-2"/>
        <w:rPr>
          <w:snapToGrid/>
          <w:szCs w:val="22"/>
          <w:lang w:val="lt-LT"/>
        </w:rPr>
      </w:pPr>
    </w:p>
    <w:p w14:paraId="6C98E5BB" w14:textId="77777777" w:rsidR="00C00DD1" w:rsidRDefault="00C260EB">
      <w:pPr>
        <w:widowControl w:val="0"/>
        <w:tabs>
          <w:tab w:val="clear" w:pos="567"/>
        </w:tabs>
        <w:spacing w:line="240" w:lineRule="auto"/>
        <w:rPr>
          <w:iCs/>
          <w:snapToGrid/>
          <w:szCs w:val="22"/>
          <w:lang w:val="lt-LT"/>
        </w:rPr>
      </w:pPr>
      <w:r>
        <w:rPr>
          <w:iCs/>
          <w:snapToGrid/>
          <w:szCs w:val="22"/>
          <w:lang w:val="lt-LT"/>
        </w:rPr>
        <w:t>Ant dėžutės ir lizdinės plokštelės po „EXP“ nurodytam tinkamumo laikui pasibaigus, šio vaisto vartoti negalima. Vaistas tinkamas vartoti iki paskutinės nurodyto mėnesio dienos.</w:t>
      </w:r>
    </w:p>
    <w:p w14:paraId="40B21AF7" w14:textId="77777777" w:rsidR="00C00DD1" w:rsidRDefault="00C00DD1">
      <w:pPr>
        <w:widowControl w:val="0"/>
        <w:numPr>
          <w:ilvl w:val="12"/>
          <w:numId w:val="0"/>
        </w:numPr>
        <w:tabs>
          <w:tab w:val="clear" w:pos="567"/>
        </w:tabs>
        <w:spacing w:line="240" w:lineRule="auto"/>
        <w:ind w:right="-2"/>
        <w:rPr>
          <w:snapToGrid/>
          <w:szCs w:val="22"/>
          <w:lang w:val="lt-LT"/>
        </w:rPr>
      </w:pPr>
    </w:p>
    <w:p w14:paraId="0BC13C17"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Laikyti gamintojo pakuotėje, kad vaistas būtų apsaugotas nuo šviesos.</w:t>
      </w:r>
    </w:p>
    <w:p w14:paraId="0F2B0757" w14:textId="77777777" w:rsidR="00C00DD1" w:rsidRDefault="00C260EB">
      <w:pPr>
        <w:widowControl w:val="0"/>
        <w:tabs>
          <w:tab w:val="clear" w:pos="567"/>
        </w:tabs>
        <w:spacing w:line="240" w:lineRule="auto"/>
        <w:rPr>
          <w:rFonts w:eastAsia="TimesNewRoman"/>
          <w:snapToGrid/>
          <w:szCs w:val="22"/>
          <w:lang w:val="lt-LT"/>
        </w:rPr>
      </w:pPr>
      <w:r>
        <w:rPr>
          <w:rFonts w:eastAsia="TimesNewRoman"/>
          <w:snapToGrid/>
          <w:szCs w:val="22"/>
          <w:lang w:val="lt-LT"/>
        </w:rPr>
        <w:t>Šiam vaistui specialių temperatūros laikymo sąlygų nereikia.</w:t>
      </w:r>
    </w:p>
    <w:p w14:paraId="00C544F0" w14:textId="77777777" w:rsidR="00C00DD1" w:rsidRDefault="00C00DD1">
      <w:pPr>
        <w:widowControl w:val="0"/>
        <w:tabs>
          <w:tab w:val="clear" w:pos="567"/>
        </w:tabs>
        <w:spacing w:line="240" w:lineRule="auto"/>
        <w:rPr>
          <w:rFonts w:eastAsia="TimesNewRoman"/>
          <w:snapToGrid/>
          <w:szCs w:val="22"/>
          <w:lang w:val="lt-LT"/>
        </w:rPr>
      </w:pPr>
    </w:p>
    <w:p w14:paraId="2AF264BC" w14:textId="77777777" w:rsidR="00C00DD1" w:rsidRDefault="00C260EB">
      <w:pPr>
        <w:widowControl w:val="0"/>
        <w:numPr>
          <w:ilvl w:val="12"/>
          <w:numId w:val="0"/>
        </w:numPr>
        <w:tabs>
          <w:tab w:val="clear" w:pos="567"/>
        </w:tabs>
        <w:spacing w:line="240" w:lineRule="auto"/>
        <w:ind w:right="-2"/>
        <w:rPr>
          <w:snapToGrid/>
          <w:szCs w:val="22"/>
          <w:lang w:val="lt-LT"/>
        </w:rPr>
      </w:pPr>
      <w:r>
        <w:rPr>
          <w:snapToGrid/>
          <w:szCs w:val="22"/>
          <w:lang w:val="lt-LT"/>
        </w:rPr>
        <w:t>Vaistų negalima išmesti į kanalizaciją arba su buitinėmis</w:t>
      </w:r>
      <w:r>
        <w:rPr>
          <w:snapToGrid/>
          <w:color w:val="993366"/>
          <w:szCs w:val="22"/>
          <w:lang w:val="lt-LT"/>
        </w:rPr>
        <w:t xml:space="preserve"> </w:t>
      </w:r>
      <w:r>
        <w:rPr>
          <w:snapToGrid/>
          <w:szCs w:val="22"/>
          <w:lang w:val="lt-LT"/>
        </w:rPr>
        <w:t xml:space="preserve">atliekomis. Kaip išmesti nereikalingus </w:t>
      </w:r>
      <w:r>
        <w:rPr>
          <w:snapToGrid/>
          <w:szCs w:val="22"/>
          <w:lang w:val="lt-LT"/>
        </w:rPr>
        <w:lastRenderedPageBreak/>
        <w:t>vaistus, klauskite vaistininko. Šios priemonės padės apsaugoti aplinką.</w:t>
      </w:r>
    </w:p>
    <w:p w14:paraId="300F46F5" w14:textId="77777777" w:rsidR="00C00DD1" w:rsidRDefault="00C00DD1">
      <w:pPr>
        <w:widowControl w:val="0"/>
        <w:numPr>
          <w:ilvl w:val="12"/>
          <w:numId w:val="0"/>
        </w:numPr>
        <w:tabs>
          <w:tab w:val="clear" w:pos="567"/>
        </w:tabs>
        <w:spacing w:line="240" w:lineRule="auto"/>
        <w:ind w:right="-2"/>
        <w:rPr>
          <w:snapToGrid/>
          <w:szCs w:val="22"/>
          <w:lang w:val="lt-LT"/>
        </w:rPr>
      </w:pPr>
    </w:p>
    <w:p w14:paraId="5521EEFF" w14:textId="77777777" w:rsidR="00C00DD1" w:rsidRDefault="00C00DD1">
      <w:pPr>
        <w:widowControl w:val="0"/>
        <w:numPr>
          <w:ilvl w:val="12"/>
          <w:numId w:val="0"/>
        </w:numPr>
        <w:tabs>
          <w:tab w:val="clear" w:pos="567"/>
        </w:tabs>
        <w:spacing w:line="240" w:lineRule="auto"/>
        <w:ind w:right="-2"/>
        <w:rPr>
          <w:snapToGrid/>
          <w:szCs w:val="22"/>
          <w:lang w:val="lt-LT"/>
        </w:rPr>
      </w:pPr>
    </w:p>
    <w:p w14:paraId="11DA817F" w14:textId="77777777" w:rsidR="00C00DD1" w:rsidRDefault="00C260EB">
      <w:pPr>
        <w:widowControl w:val="0"/>
        <w:numPr>
          <w:ilvl w:val="12"/>
          <w:numId w:val="0"/>
        </w:numPr>
        <w:tabs>
          <w:tab w:val="clear" w:pos="567"/>
        </w:tabs>
        <w:spacing w:line="240" w:lineRule="auto"/>
        <w:ind w:left="567" w:hanging="567"/>
        <w:outlineLvl w:val="0"/>
        <w:rPr>
          <w:b/>
          <w:caps/>
          <w:snapToGrid/>
          <w:szCs w:val="22"/>
          <w:lang w:val="lt-LT"/>
        </w:rPr>
      </w:pPr>
      <w:r>
        <w:rPr>
          <w:b/>
          <w:snapToGrid/>
          <w:szCs w:val="22"/>
          <w:lang w:val="lt-LT"/>
        </w:rPr>
        <w:t>6.</w:t>
      </w:r>
      <w:r>
        <w:rPr>
          <w:b/>
          <w:snapToGrid/>
          <w:szCs w:val="22"/>
          <w:lang w:val="lt-LT"/>
        </w:rPr>
        <w:tab/>
        <w:t>Pakuotės turinys ir kita informacija</w:t>
      </w:r>
    </w:p>
    <w:p w14:paraId="06A6A0A2" w14:textId="77777777" w:rsidR="00C00DD1" w:rsidRDefault="00C00DD1">
      <w:pPr>
        <w:widowControl w:val="0"/>
        <w:numPr>
          <w:ilvl w:val="12"/>
          <w:numId w:val="0"/>
        </w:numPr>
        <w:tabs>
          <w:tab w:val="clear" w:pos="567"/>
        </w:tabs>
        <w:spacing w:line="240" w:lineRule="auto"/>
        <w:rPr>
          <w:snapToGrid/>
          <w:szCs w:val="22"/>
          <w:lang w:val="lt-LT"/>
        </w:rPr>
      </w:pPr>
    </w:p>
    <w:p w14:paraId="416D22DF" w14:textId="77777777" w:rsidR="00C00DD1" w:rsidRDefault="00C260EB">
      <w:pPr>
        <w:widowControl w:val="0"/>
        <w:numPr>
          <w:ilvl w:val="12"/>
          <w:numId w:val="0"/>
        </w:numPr>
        <w:tabs>
          <w:tab w:val="clear" w:pos="567"/>
        </w:tabs>
        <w:spacing w:line="240" w:lineRule="auto"/>
        <w:rPr>
          <w:snapToGrid/>
          <w:szCs w:val="22"/>
          <w:u w:val="single"/>
          <w:lang w:val="lt-LT"/>
        </w:rPr>
      </w:pPr>
      <w:r>
        <w:rPr>
          <w:b/>
          <w:bCs/>
          <w:snapToGrid/>
          <w:szCs w:val="22"/>
          <w:lang w:val="lt-LT"/>
        </w:rPr>
        <w:t>Perindopril arginine/indapamide Krka sudėtis</w:t>
      </w:r>
    </w:p>
    <w:p w14:paraId="12DF8B73" w14:textId="77777777" w:rsidR="00C00DD1" w:rsidRDefault="00C260EB">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Veikliosios medžiagos yra perindoprilio argininas ir indapamidas</w:t>
      </w:r>
      <w:r>
        <w:rPr>
          <w:rFonts w:eastAsia="TimesNewRoman"/>
          <w:snapToGrid/>
          <w:szCs w:val="22"/>
          <w:lang w:val="lt-LT"/>
        </w:rPr>
        <w:t>.</w:t>
      </w:r>
    </w:p>
    <w:p w14:paraId="24F5645D" w14:textId="77777777" w:rsidR="00C00DD1" w:rsidRDefault="00C260EB">
      <w:pPr>
        <w:widowControl w:val="0"/>
        <w:tabs>
          <w:tab w:val="clear" w:pos="567"/>
        </w:tabs>
        <w:autoSpaceDE w:val="0"/>
        <w:autoSpaceDN w:val="0"/>
        <w:adjustRightInd w:val="0"/>
        <w:spacing w:line="240" w:lineRule="auto"/>
        <w:ind w:left="567"/>
        <w:rPr>
          <w:snapToGrid/>
          <w:color w:val="000000"/>
          <w:szCs w:val="22"/>
          <w:u w:val="single"/>
          <w:lang w:val="lt-LT"/>
        </w:rPr>
      </w:pPr>
      <w:r>
        <w:rPr>
          <w:snapToGrid/>
          <w:color w:val="000000"/>
          <w:szCs w:val="22"/>
          <w:u w:val="single"/>
          <w:lang w:val="lt-LT"/>
        </w:rPr>
        <w:t>Perindopril arginine/indapamide Krka 5 mg/1,25 mg tabletės</w:t>
      </w:r>
    </w:p>
    <w:p w14:paraId="7518165A"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Vienoje tabletėje yra 5 mg perindoprilio arginino (atitinkančio 3,395 mg perindoprilio) ir 1,25 mg indapamido.</w:t>
      </w:r>
    </w:p>
    <w:p w14:paraId="381E8158"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u w:val="single"/>
          <w:lang w:val="lt-LT"/>
        </w:rPr>
      </w:pPr>
      <w:r>
        <w:rPr>
          <w:rFonts w:eastAsia="TimesNewRoman"/>
          <w:snapToGrid/>
          <w:szCs w:val="22"/>
          <w:u w:val="single"/>
          <w:lang w:val="lt-LT"/>
        </w:rPr>
        <w:t>Perindopril arginine/indapamide Krka 10 mg/2,5 mg tabletės</w:t>
      </w:r>
    </w:p>
    <w:p w14:paraId="0554D02F"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Vienoje tabletėje yra 10 mg perindoprilio arginino (atitinkančio 6,790 mg perindoprilio) ir 2,5 mg indapamido.</w:t>
      </w:r>
    </w:p>
    <w:p w14:paraId="21C34BEE" w14:textId="77777777" w:rsidR="00C00DD1" w:rsidRDefault="00C260EB">
      <w:pPr>
        <w:widowControl w:val="0"/>
        <w:numPr>
          <w:ilvl w:val="0"/>
          <w:numId w:val="6"/>
        </w:numPr>
        <w:tabs>
          <w:tab w:val="clear" w:pos="567"/>
        </w:tabs>
        <w:autoSpaceDE w:val="0"/>
        <w:autoSpaceDN w:val="0"/>
        <w:adjustRightInd w:val="0"/>
        <w:spacing w:line="240" w:lineRule="auto"/>
        <w:ind w:left="567" w:hanging="567"/>
        <w:rPr>
          <w:rFonts w:eastAsia="TimesNewRoman"/>
          <w:snapToGrid/>
          <w:szCs w:val="22"/>
          <w:lang w:val="lt-LT"/>
        </w:rPr>
      </w:pPr>
      <w:r>
        <w:rPr>
          <w:snapToGrid/>
          <w:szCs w:val="22"/>
          <w:lang w:val="lt-LT"/>
        </w:rPr>
        <w:t>Pagalbinės medžiagos yra</w:t>
      </w:r>
      <w:r>
        <w:rPr>
          <w:rFonts w:eastAsia="TimesNewRoman"/>
          <w:snapToGrid/>
          <w:szCs w:val="22"/>
          <w:lang w:val="lt-LT"/>
        </w:rPr>
        <w:t xml:space="preserve"> kalcio chloridas heksahidratas, mikrokristalinė celiuliozė (E460), silifikuota mikrokristalinė celiuliozė (mikrokristalinė celiuliozė (E460) ir bevandenis koloidinis silicio dioksidas), pregelifikuotas krakmolas, natrio-vandenilio karbonatas, koloidinis hidratuotas silicio dioksidas ir magnio stearatas (E470b).</w:t>
      </w:r>
    </w:p>
    <w:p w14:paraId="5C44AD6B" w14:textId="77777777" w:rsidR="00C00DD1" w:rsidRDefault="00C260EB">
      <w:pPr>
        <w:widowControl w:val="0"/>
        <w:tabs>
          <w:tab w:val="clear" w:pos="567"/>
        </w:tabs>
        <w:autoSpaceDE w:val="0"/>
        <w:autoSpaceDN w:val="0"/>
        <w:adjustRightInd w:val="0"/>
        <w:spacing w:line="240" w:lineRule="auto"/>
        <w:ind w:left="567"/>
        <w:rPr>
          <w:rFonts w:eastAsia="TimesNewRoman"/>
          <w:snapToGrid/>
          <w:szCs w:val="22"/>
          <w:lang w:val="lt-LT"/>
        </w:rPr>
      </w:pPr>
      <w:r>
        <w:rPr>
          <w:rFonts w:eastAsia="TimesNewRoman"/>
          <w:snapToGrid/>
          <w:szCs w:val="22"/>
          <w:lang w:val="lt-LT"/>
        </w:rPr>
        <w:t>Žr. 2 skyrių „Perindopril arginine/indapamide Krka sudėtyje yra natrio“.</w:t>
      </w:r>
    </w:p>
    <w:p w14:paraId="51BDD868" w14:textId="77777777" w:rsidR="00C00DD1" w:rsidRDefault="00C00DD1">
      <w:pPr>
        <w:widowControl w:val="0"/>
        <w:tabs>
          <w:tab w:val="clear" w:pos="567"/>
        </w:tabs>
        <w:spacing w:line="240" w:lineRule="auto"/>
        <w:ind w:right="-2"/>
        <w:rPr>
          <w:snapToGrid/>
          <w:szCs w:val="22"/>
          <w:lang w:val="lt-LT"/>
        </w:rPr>
      </w:pPr>
    </w:p>
    <w:p w14:paraId="7B23F541" w14:textId="77777777" w:rsidR="00C00DD1" w:rsidRDefault="00C260EB">
      <w:pPr>
        <w:widowControl w:val="0"/>
        <w:numPr>
          <w:ilvl w:val="12"/>
          <w:numId w:val="0"/>
        </w:numPr>
        <w:tabs>
          <w:tab w:val="clear" w:pos="567"/>
        </w:tabs>
        <w:spacing w:line="240" w:lineRule="auto"/>
        <w:rPr>
          <w:b/>
          <w:bCs/>
          <w:snapToGrid/>
          <w:szCs w:val="22"/>
          <w:lang w:val="lt-LT"/>
        </w:rPr>
      </w:pPr>
      <w:r>
        <w:rPr>
          <w:b/>
          <w:bCs/>
          <w:snapToGrid/>
          <w:szCs w:val="22"/>
          <w:lang w:val="lt-LT"/>
        </w:rPr>
        <w:t>Perindopril arginine/indapamide Krka išvaizda ir kiekis pakuotėje</w:t>
      </w:r>
    </w:p>
    <w:p w14:paraId="2D84B8E6"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57B613D0" w14:textId="77777777" w:rsidR="00C00DD1" w:rsidRDefault="00C260EB">
      <w:pPr>
        <w:widowControl w:val="0"/>
        <w:tabs>
          <w:tab w:val="clear" w:pos="567"/>
        </w:tabs>
        <w:autoSpaceDE w:val="0"/>
        <w:autoSpaceDN w:val="0"/>
        <w:adjustRightInd w:val="0"/>
        <w:spacing w:line="240" w:lineRule="auto"/>
        <w:rPr>
          <w:snapToGrid/>
          <w:color w:val="000000"/>
          <w:szCs w:val="22"/>
          <w:u w:val="single"/>
          <w:lang w:val="lt-LT"/>
        </w:rPr>
      </w:pPr>
      <w:r>
        <w:rPr>
          <w:snapToGrid/>
          <w:color w:val="000000"/>
          <w:szCs w:val="22"/>
          <w:u w:val="single"/>
          <w:lang w:val="lt-LT"/>
        </w:rPr>
        <w:t>Perindopril arginine/indapamide Krka 5 mg/1,25 mg tabletės</w:t>
      </w:r>
    </w:p>
    <w:p w14:paraId="7F22FE9B" w14:textId="77777777" w:rsidR="00C00DD1" w:rsidRDefault="00C260EB">
      <w:pPr>
        <w:widowControl w:val="0"/>
        <w:tabs>
          <w:tab w:val="clear" w:pos="567"/>
        </w:tabs>
        <w:spacing w:line="240" w:lineRule="auto"/>
        <w:rPr>
          <w:snapToGrid/>
          <w:color w:val="000000"/>
          <w:szCs w:val="22"/>
          <w:lang w:val="lt-LT"/>
        </w:rPr>
      </w:pPr>
      <w:r>
        <w:rPr>
          <w:snapToGrid/>
          <w:color w:val="000000"/>
          <w:szCs w:val="22"/>
          <w:lang w:val="lt-LT"/>
        </w:rPr>
        <w:t>Balta arba beveik balta kapsulės formos tabletė su vagele abiejose pusėse. Vienoje vagelės pusėje yra įspausta žyma „A“, kitoje – „1“. Tabletės matmenys: maždaug 8 mm x 5 mm.</w:t>
      </w:r>
    </w:p>
    <w:p w14:paraId="7C8E7DA9" w14:textId="77777777" w:rsidR="00C00DD1" w:rsidRDefault="00C260EB">
      <w:pPr>
        <w:widowControl w:val="0"/>
        <w:tabs>
          <w:tab w:val="clear" w:pos="567"/>
        </w:tabs>
        <w:spacing w:line="240" w:lineRule="auto"/>
        <w:rPr>
          <w:snapToGrid/>
          <w:szCs w:val="22"/>
          <w:lang w:val="lt-LT"/>
        </w:rPr>
      </w:pPr>
      <w:r>
        <w:rPr>
          <w:snapToGrid/>
          <w:szCs w:val="22"/>
          <w:lang w:val="lt-LT"/>
        </w:rPr>
        <w:t>Tabletę galima padalyti į lygias dozes.</w:t>
      </w:r>
    </w:p>
    <w:p w14:paraId="0177B841" w14:textId="77777777" w:rsidR="00C00DD1" w:rsidRDefault="00C00DD1">
      <w:pPr>
        <w:widowControl w:val="0"/>
        <w:tabs>
          <w:tab w:val="clear" w:pos="567"/>
        </w:tabs>
        <w:autoSpaceDE w:val="0"/>
        <w:autoSpaceDN w:val="0"/>
        <w:adjustRightInd w:val="0"/>
        <w:spacing w:line="240" w:lineRule="auto"/>
        <w:rPr>
          <w:rFonts w:eastAsia="TimesNewRoman"/>
          <w:snapToGrid/>
          <w:szCs w:val="22"/>
          <w:lang w:val="lt-LT"/>
        </w:rPr>
      </w:pPr>
    </w:p>
    <w:p w14:paraId="68E452D4" w14:textId="77777777" w:rsidR="00C00DD1" w:rsidRDefault="00C260EB">
      <w:pPr>
        <w:widowControl w:val="0"/>
        <w:tabs>
          <w:tab w:val="clear" w:pos="567"/>
        </w:tabs>
        <w:autoSpaceDE w:val="0"/>
        <w:autoSpaceDN w:val="0"/>
        <w:adjustRightInd w:val="0"/>
        <w:spacing w:line="240" w:lineRule="auto"/>
        <w:rPr>
          <w:snapToGrid/>
          <w:color w:val="000000"/>
          <w:szCs w:val="22"/>
          <w:u w:val="single"/>
          <w:lang w:val="lt-LT"/>
        </w:rPr>
      </w:pPr>
      <w:r>
        <w:rPr>
          <w:snapToGrid/>
          <w:color w:val="000000"/>
          <w:szCs w:val="22"/>
          <w:u w:val="single"/>
          <w:lang w:val="lt-LT"/>
        </w:rPr>
        <w:t>Perindopril arginine/indapamide Krka 10 mg/2,5 mg tabletės</w:t>
      </w:r>
    </w:p>
    <w:p w14:paraId="1A4A7838" w14:textId="77777777" w:rsidR="00C00DD1" w:rsidRDefault="00C260EB">
      <w:pPr>
        <w:widowControl w:val="0"/>
        <w:tabs>
          <w:tab w:val="clear" w:pos="567"/>
        </w:tabs>
        <w:spacing w:line="240" w:lineRule="auto"/>
        <w:rPr>
          <w:snapToGrid/>
          <w:color w:val="000000"/>
          <w:szCs w:val="22"/>
          <w:lang w:val="lt-LT"/>
        </w:rPr>
      </w:pPr>
      <w:r>
        <w:rPr>
          <w:snapToGrid/>
          <w:color w:val="000000"/>
          <w:szCs w:val="22"/>
          <w:lang w:val="lt-LT"/>
        </w:rPr>
        <w:t>Balta arba beveik balta apvali apibus išgaubta tabletė. Vienoje tabletės pusėje yra įspausta žyma „A2“. Tabletės matmenys: skersmuo maždaug 8 mm.</w:t>
      </w:r>
    </w:p>
    <w:p w14:paraId="35F2BC2F" w14:textId="77777777" w:rsidR="00C00DD1" w:rsidRDefault="00C00DD1">
      <w:pPr>
        <w:widowControl w:val="0"/>
        <w:tabs>
          <w:tab w:val="clear" w:pos="567"/>
        </w:tabs>
        <w:autoSpaceDE w:val="0"/>
        <w:autoSpaceDN w:val="0"/>
        <w:adjustRightInd w:val="0"/>
        <w:spacing w:line="240" w:lineRule="auto"/>
        <w:rPr>
          <w:snapToGrid/>
          <w:szCs w:val="22"/>
          <w:lang w:val="lt-LT"/>
        </w:rPr>
      </w:pPr>
    </w:p>
    <w:p w14:paraId="3C2A279F" w14:textId="77777777" w:rsidR="00C00DD1" w:rsidRDefault="00C260EB">
      <w:pPr>
        <w:widowControl w:val="0"/>
        <w:tabs>
          <w:tab w:val="clear" w:pos="567"/>
        </w:tabs>
        <w:autoSpaceDE w:val="0"/>
        <w:autoSpaceDN w:val="0"/>
        <w:adjustRightInd w:val="0"/>
        <w:spacing w:line="240" w:lineRule="auto"/>
        <w:rPr>
          <w:snapToGrid/>
          <w:szCs w:val="22"/>
          <w:lang w:val="lt-LT"/>
        </w:rPr>
      </w:pPr>
      <w:r>
        <w:rPr>
          <w:snapToGrid/>
          <w:szCs w:val="22"/>
          <w:lang w:val="lt-LT"/>
        </w:rPr>
        <w:t>Perindopril arginine/indapamide Krka tiekiamas lizdinėmis plokštelėmis, dėžutėje yra 10, 30, 60, 90 ir 100 tablečių.</w:t>
      </w:r>
    </w:p>
    <w:p w14:paraId="383EE2B8" w14:textId="77777777" w:rsidR="00C00DD1" w:rsidRDefault="00C260EB">
      <w:pPr>
        <w:widowControl w:val="0"/>
        <w:tabs>
          <w:tab w:val="clear" w:pos="567"/>
        </w:tabs>
        <w:autoSpaceDE w:val="0"/>
        <w:autoSpaceDN w:val="0"/>
        <w:adjustRightInd w:val="0"/>
        <w:spacing w:line="240" w:lineRule="auto"/>
        <w:rPr>
          <w:rFonts w:eastAsia="TimesNewRoman"/>
          <w:snapToGrid/>
          <w:szCs w:val="22"/>
          <w:lang w:val="lt-LT"/>
        </w:rPr>
      </w:pPr>
      <w:r>
        <w:rPr>
          <w:rFonts w:eastAsia="TimesNewRoman"/>
          <w:snapToGrid/>
          <w:szCs w:val="22"/>
          <w:lang w:val="lt-LT"/>
        </w:rPr>
        <w:t>Gali būti tiekiamos ne visų dydžių pakuotės.</w:t>
      </w:r>
    </w:p>
    <w:p w14:paraId="5F8C6C28" w14:textId="77777777" w:rsidR="00C00DD1" w:rsidRDefault="00C00DD1">
      <w:pPr>
        <w:widowControl w:val="0"/>
        <w:numPr>
          <w:ilvl w:val="12"/>
          <w:numId w:val="0"/>
        </w:numPr>
        <w:tabs>
          <w:tab w:val="clear" w:pos="567"/>
        </w:tabs>
        <w:spacing w:line="240" w:lineRule="auto"/>
        <w:ind w:right="-2"/>
        <w:rPr>
          <w:snapToGrid/>
          <w:szCs w:val="22"/>
          <w:lang w:val="lt-LT"/>
        </w:rPr>
      </w:pPr>
    </w:p>
    <w:p w14:paraId="291E2707" w14:textId="77777777" w:rsidR="00C00DD1" w:rsidRDefault="00C260EB">
      <w:pPr>
        <w:widowControl w:val="0"/>
        <w:numPr>
          <w:ilvl w:val="12"/>
          <w:numId w:val="0"/>
        </w:numPr>
        <w:tabs>
          <w:tab w:val="clear" w:pos="567"/>
        </w:tabs>
        <w:spacing w:line="240" w:lineRule="auto"/>
        <w:rPr>
          <w:b/>
          <w:bCs/>
          <w:snapToGrid/>
          <w:szCs w:val="22"/>
          <w:lang w:val="lt-LT"/>
        </w:rPr>
      </w:pPr>
      <w:r>
        <w:rPr>
          <w:b/>
          <w:bCs/>
          <w:snapToGrid/>
          <w:szCs w:val="22"/>
          <w:lang w:val="lt-LT"/>
        </w:rPr>
        <w:t>Registruotojas ir gamintojas</w:t>
      </w:r>
    </w:p>
    <w:p w14:paraId="04CC11FC" w14:textId="77777777" w:rsidR="00C00DD1" w:rsidRDefault="00C00DD1">
      <w:pPr>
        <w:widowControl w:val="0"/>
        <w:numPr>
          <w:ilvl w:val="12"/>
          <w:numId w:val="0"/>
        </w:numPr>
        <w:tabs>
          <w:tab w:val="clear" w:pos="567"/>
        </w:tabs>
        <w:spacing w:line="240" w:lineRule="auto"/>
        <w:rPr>
          <w:b/>
          <w:bCs/>
          <w:snapToGrid/>
          <w:szCs w:val="22"/>
          <w:lang w:val="lt-LT"/>
        </w:rPr>
      </w:pPr>
    </w:p>
    <w:p w14:paraId="23DAAD3E" w14:textId="77777777" w:rsidR="00C00DD1" w:rsidRDefault="00C260EB">
      <w:pPr>
        <w:widowControl w:val="0"/>
        <w:numPr>
          <w:ilvl w:val="12"/>
          <w:numId w:val="0"/>
        </w:numPr>
        <w:tabs>
          <w:tab w:val="clear" w:pos="567"/>
        </w:tabs>
        <w:spacing w:line="240" w:lineRule="auto"/>
        <w:rPr>
          <w:bCs/>
          <w:i/>
          <w:snapToGrid/>
          <w:szCs w:val="22"/>
          <w:lang w:val="lt-LT"/>
        </w:rPr>
      </w:pPr>
      <w:r>
        <w:rPr>
          <w:bCs/>
          <w:i/>
          <w:snapToGrid/>
          <w:szCs w:val="22"/>
          <w:lang w:val="lt-LT"/>
        </w:rPr>
        <w:t>Registruotojas</w:t>
      </w:r>
    </w:p>
    <w:p w14:paraId="1734DBF2"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KRKA d.d. Novo mesto, Šmarješka cesta 6,8501 Novo mesto, Slovėnija</w:t>
      </w:r>
    </w:p>
    <w:p w14:paraId="61E6A422" w14:textId="77777777" w:rsidR="00C00DD1" w:rsidRDefault="00C00DD1">
      <w:pPr>
        <w:widowControl w:val="0"/>
        <w:numPr>
          <w:ilvl w:val="12"/>
          <w:numId w:val="0"/>
        </w:numPr>
        <w:tabs>
          <w:tab w:val="clear" w:pos="567"/>
        </w:tabs>
        <w:spacing w:line="240" w:lineRule="auto"/>
        <w:ind w:right="-2"/>
        <w:rPr>
          <w:snapToGrid/>
          <w:szCs w:val="22"/>
          <w:lang w:val="lt-LT"/>
        </w:rPr>
      </w:pPr>
    </w:p>
    <w:p w14:paraId="6833A8A8" w14:textId="77777777" w:rsidR="00C00DD1" w:rsidRDefault="00C260EB">
      <w:pPr>
        <w:widowControl w:val="0"/>
        <w:tabs>
          <w:tab w:val="clear" w:pos="567"/>
        </w:tabs>
        <w:spacing w:line="240" w:lineRule="auto"/>
        <w:ind w:left="142" w:hanging="142"/>
        <w:rPr>
          <w:i/>
          <w:snapToGrid/>
          <w:szCs w:val="24"/>
          <w:lang w:val="lt-LT"/>
        </w:rPr>
      </w:pPr>
      <w:r>
        <w:rPr>
          <w:bCs/>
          <w:i/>
          <w:snapToGrid/>
          <w:szCs w:val="22"/>
          <w:lang w:val="lt-LT"/>
        </w:rPr>
        <w:t>Gamintojas</w:t>
      </w:r>
    </w:p>
    <w:p w14:paraId="20DA1BFC" w14:textId="77777777" w:rsidR="00C00DD1" w:rsidRDefault="00C260EB">
      <w:pPr>
        <w:widowControl w:val="0"/>
        <w:tabs>
          <w:tab w:val="clear" w:pos="567"/>
          <w:tab w:val="left" w:pos="540"/>
        </w:tabs>
        <w:spacing w:line="240" w:lineRule="auto"/>
        <w:rPr>
          <w:rFonts w:eastAsia="Calibri"/>
          <w:snapToGrid/>
          <w:szCs w:val="22"/>
          <w:lang w:val="lt-LT"/>
        </w:rPr>
      </w:pPr>
      <w:r>
        <w:rPr>
          <w:rFonts w:eastAsia="Calibri"/>
          <w:snapToGrid/>
          <w:szCs w:val="22"/>
          <w:lang w:val="lt-LT"/>
        </w:rPr>
        <w:t>KRKA d.d. Novo mesto, Šmarješka cesta 6,8501 Novo mesto, Slovėnija</w:t>
      </w:r>
    </w:p>
    <w:p w14:paraId="6A705C0D" w14:textId="77777777" w:rsidR="00C00DD1" w:rsidRDefault="00C00DD1">
      <w:pPr>
        <w:widowControl w:val="0"/>
        <w:tabs>
          <w:tab w:val="clear" w:pos="567"/>
          <w:tab w:val="left" w:pos="540"/>
        </w:tabs>
        <w:spacing w:line="240" w:lineRule="auto"/>
        <w:rPr>
          <w:rFonts w:eastAsia="Calibri"/>
          <w:snapToGrid/>
          <w:szCs w:val="22"/>
          <w:lang w:val="lt-LT"/>
        </w:rPr>
      </w:pPr>
    </w:p>
    <w:p w14:paraId="73883FD4" w14:textId="77777777" w:rsidR="00C00DD1" w:rsidRDefault="00C260EB">
      <w:pPr>
        <w:widowControl w:val="0"/>
        <w:tabs>
          <w:tab w:val="clear" w:pos="567"/>
        </w:tabs>
        <w:spacing w:line="240" w:lineRule="auto"/>
        <w:rPr>
          <w:snapToGrid/>
          <w:szCs w:val="24"/>
          <w:lang w:val="lt-LT"/>
        </w:rPr>
      </w:pPr>
      <w:r>
        <w:rPr>
          <w:snapToGrid/>
          <w:szCs w:val="24"/>
          <w:lang w:val="lt-LT"/>
        </w:rPr>
        <w:t>arba</w:t>
      </w:r>
    </w:p>
    <w:p w14:paraId="4D059170" w14:textId="77777777" w:rsidR="00C00DD1" w:rsidRDefault="00C00DD1">
      <w:pPr>
        <w:widowControl w:val="0"/>
        <w:tabs>
          <w:tab w:val="clear" w:pos="567"/>
        </w:tabs>
        <w:spacing w:line="240" w:lineRule="auto"/>
        <w:rPr>
          <w:snapToGrid/>
          <w:szCs w:val="24"/>
          <w:lang w:val="lt-LT"/>
        </w:rPr>
      </w:pPr>
    </w:p>
    <w:p w14:paraId="69A96567" w14:textId="77777777" w:rsidR="00C00DD1" w:rsidRDefault="00C260EB">
      <w:pPr>
        <w:widowControl w:val="0"/>
        <w:tabs>
          <w:tab w:val="clear" w:pos="567"/>
        </w:tabs>
        <w:spacing w:line="240" w:lineRule="auto"/>
        <w:rPr>
          <w:snapToGrid/>
          <w:szCs w:val="24"/>
          <w:lang w:val="lt-LT"/>
        </w:rPr>
      </w:pPr>
      <w:r>
        <w:rPr>
          <w:snapToGrid/>
          <w:szCs w:val="24"/>
          <w:lang w:val="lt-LT"/>
        </w:rPr>
        <w:t>TAD Pharma GmbH, Heinz-Lohmann-Straße 5, 27472 Cuxhaven, Vokietija</w:t>
      </w:r>
    </w:p>
    <w:p w14:paraId="22A419F4" w14:textId="77777777" w:rsidR="00C00DD1" w:rsidRDefault="00C00DD1">
      <w:pPr>
        <w:widowControl w:val="0"/>
        <w:tabs>
          <w:tab w:val="clear" w:pos="567"/>
        </w:tabs>
        <w:spacing w:line="240" w:lineRule="auto"/>
        <w:rPr>
          <w:snapToGrid/>
          <w:szCs w:val="24"/>
          <w:lang w:val="lt-LT"/>
        </w:rPr>
      </w:pPr>
    </w:p>
    <w:p w14:paraId="0C8470F2" w14:textId="77777777" w:rsidR="00C00DD1" w:rsidRDefault="00C260EB">
      <w:pPr>
        <w:widowControl w:val="0"/>
        <w:numPr>
          <w:ilvl w:val="12"/>
          <w:numId w:val="0"/>
        </w:numPr>
        <w:spacing w:line="240" w:lineRule="auto"/>
        <w:ind w:right="-2"/>
        <w:rPr>
          <w:szCs w:val="24"/>
          <w:lang w:val="lt-LT"/>
        </w:rPr>
      </w:pPr>
      <w:r>
        <w:rPr>
          <w:szCs w:val="24"/>
          <w:lang w:val="lt-LT"/>
        </w:rPr>
        <w:t>Jeigu apie šį vaistą norite sužinoti daugiau, kreipkitės į vietinį registruotojo atstovą.</w:t>
      </w:r>
    </w:p>
    <w:p w14:paraId="4FEDBC72" w14:textId="77777777" w:rsidR="00C00DD1" w:rsidRDefault="00C00DD1">
      <w:pPr>
        <w:widowControl w:val="0"/>
        <w:numPr>
          <w:ilvl w:val="12"/>
          <w:numId w:val="0"/>
        </w:numPr>
        <w:spacing w:line="240" w:lineRule="auto"/>
        <w:ind w:right="-2"/>
        <w:rPr>
          <w:szCs w:val="24"/>
          <w:lang w:val="lt-LT"/>
        </w:rPr>
      </w:pPr>
    </w:p>
    <w:p w14:paraId="6E6334A8"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UAB KRKA Lietuva</w:t>
      </w:r>
    </w:p>
    <w:p w14:paraId="6EE809AA"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Senasis Ukmergės kelias 4,</w:t>
      </w:r>
    </w:p>
    <w:p w14:paraId="56C7A9AE"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Užubalių km., Vilniaus r.</w:t>
      </w:r>
    </w:p>
    <w:p w14:paraId="44C559D8" w14:textId="77777777" w:rsidR="00C00DD1" w:rsidRDefault="00C260EB">
      <w:pPr>
        <w:widowControl w:val="0"/>
        <w:tabs>
          <w:tab w:val="clear" w:pos="567"/>
          <w:tab w:val="left" w:pos="540"/>
        </w:tabs>
        <w:spacing w:line="240" w:lineRule="auto"/>
        <w:rPr>
          <w:snapToGrid/>
          <w:szCs w:val="22"/>
          <w:lang w:val="lt-LT"/>
        </w:rPr>
      </w:pPr>
      <w:r>
        <w:rPr>
          <w:snapToGrid/>
          <w:szCs w:val="22"/>
          <w:lang w:val="lt-LT"/>
        </w:rPr>
        <w:t>LT - 14013</w:t>
      </w:r>
    </w:p>
    <w:p w14:paraId="621480F1" w14:textId="77777777" w:rsidR="00C00DD1" w:rsidRDefault="00C260EB">
      <w:pPr>
        <w:widowControl w:val="0"/>
        <w:tabs>
          <w:tab w:val="clear" w:pos="567"/>
          <w:tab w:val="left" w:pos="540"/>
        </w:tabs>
        <w:spacing w:line="240" w:lineRule="auto"/>
        <w:rPr>
          <w:rFonts w:eastAsia="Calibri"/>
          <w:snapToGrid/>
          <w:szCs w:val="22"/>
          <w:lang w:val="lt-LT"/>
        </w:rPr>
      </w:pPr>
      <w:r>
        <w:rPr>
          <w:snapToGrid/>
          <w:szCs w:val="22"/>
          <w:lang w:val="lt-LT"/>
        </w:rPr>
        <w:t>Tel. + 370 5 236 27 40</w:t>
      </w:r>
    </w:p>
    <w:p w14:paraId="47A396B6" w14:textId="77777777" w:rsidR="00C00DD1" w:rsidRDefault="00C00DD1">
      <w:pPr>
        <w:widowControl w:val="0"/>
        <w:numPr>
          <w:ilvl w:val="12"/>
          <w:numId w:val="0"/>
        </w:numPr>
        <w:tabs>
          <w:tab w:val="clear" w:pos="567"/>
        </w:tabs>
        <w:spacing w:line="240" w:lineRule="auto"/>
        <w:ind w:right="-2"/>
        <w:rPr>
          <w:snapToGrid/>
          <w:szCs w:val="22"/>
          <w:lang w:val="lt-LT"/>
        </w:rPr>
      </w:pPr>
    </w:p>
    <w:p w14:paraId="69D992F1" w14:textId="77777777" w:rsidR="00C00DD1" w:rsidRDefault="00C260EB">
      <w:pPr>
        <w:widowControl w:val="0"/>
        <w:numPr>
          <w:ilvl w:val="12"/>
          <w:numId w:val="0"/>
        </w:numPr>
        <w:spacing w:line="240" w:lineRule="auto"/>
        <w:rPr>
          <w:lang w:val="lt-LT"/>
        </w:rPr>
      </w:pPr>
      <w:r>
        <w:rPr>
          <w:b/>
          <w:lang w:val="lt-LT"/>
        </w:rPr>
        <w:t>Šis vaistas Europos ekonominės erdvės valstybėse narėse registruotas tokiais pavadinimais: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7"/>
        <w:gridCol w:w="4563"/>
      </w:tblGrid>
      <w:tr w:rsidR="00C00DD1" w14:paraId="32F1AB94" w14:textId="77777777">
        <w:tc>
          <w:tcPr>
            <w:tcW w:w="4643" w:type="dxa"/>
          </w:tcPr>
          <w:p w14:paraId="5AE704AF"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Valstybės narės pavadinimas</w:t>
            </w:r>
          </w:p>
        </w:tc>
        <w:tc>
          <w:tcPr>
            <w:tcW w:w="4643" w:type="dxa"/>
          </w:tcPr>
          <w:p w14:paraId="6BABA54F"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Vaisto pavadinimas</w:t>
            </w:r>
          </w:p>
        </w:tc>
      </w:tr>
      <w:tr w:rsidR="00C00DD1" w14:paraId="600F985B" w14:textId="77777777">
        <w:tc>
          <w:tcPr>
            <w:tcW w:w="4643" w:type="dxa"/>
          </w:tcPr>
          <w:p w14:paraId="7C502B8C"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Vengrija, Lietuva</w:t>
            </w:r>
          </w:p>
        </w:tc>
        <w:tc>
          <w:tcPr>
            <w:tcW w:w="4643" w:type="dxa"/>
          </w:tcPr>
          <w:p w14:paraId="2AA39172"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Krka </w:t>
            </w:r>
          </w:p>
        </w:tc>
      </w:tr>
      <w:tr w:rsidR="00C00DD1" w14:paraId="12A0C654" w14:textId="77777777">
        <w:tc>
          <w:tcPr>
            <w:tcW w:w="4643" w:type="dxa"/>
          </w:tcPr>
          <w:p w14:paraId="5154C202"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lastRenderedPageBreak/>
              <w:t>Latvija</w:t>
            </w:r>
          </w:p>
        </w:tc>
        <w:tc>
          <w:tcPr>
            <w:tcW w:w="4643" w:type="dxa"/>
          </w:tcPr>
          <w:p w14:paraId="3BA3B698"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TAD </w:t>
            </w:r>
          </w:p>
        </w:tc>
      </w:tr>
      <w:tr w:rsidR="00C00DD1" w14:paraId="35DC1290" w14:textId="77777777">
        <w:tc>
          <w:tcPr>
            <w:tcW w:w="4643" w:type="dxa"/>
          </w:tcPr>
          <w:p w14:paraId="3CE54794"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Graikija</w:t>
            </w:r>
          </w:p>
        </w:tc>
        <w:tc>
          <w:tcPr>
            <w:tcW w:w="4643" w:type="dxa"/>
          </w:tcPr>
          <w:p w14:paraId="42F7C20C"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Co-Perineva </w:t>
            </w:r>
          </w:p>
        </w:tc>
      </w:tr>
      <w:tr w:rsidR="00C00DD1" w14:paraId="7269AFB1" w14:textId="77777777">
        <w:tc>
          <w:tcPr>
            <w:tcW w:w="4643" w:type="dxa"/>
          </w:tcPr>
          <w:p w14:paraId="56C0EDBC"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Airija</w:t>
            </w:r>
          </w:p>
        </w:tc>
        <w:tc>
          <w:tcPr>
            <w:tcW w:w="4643" w:type="dxa"/>
          </w:tcPr>
          <w:p w14:paraId="426D33D1"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TAD </w:t>
            </w:r>
          </w:p>
        </w:tc>
      </w:tr>
      <w:tr w:rsidR="00C00DD1" w14:paraId="263CE0FD" w14:textId="77777777">
        <w:tc>
          <w:tcPr>
            <w:tcW w:w="4643" w:type="dxa"/>
          </w:tcPr>
          <w:p w14:paraId="5B86002D"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Kroatija</w:t>
            </w:r>
          </w:p>
        </w:tc>
        <w:tc>
          <w:tcPr>
            <w:tcW w:w="4643" w:type="dxa"/>
          </w:tcPr>
          <w:p w14:paraId="3EC1A753"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Perindoprilarginin/indapamid Krka </w:t>
            </w:r>
          </w:p>
        </w:tc>
      </w:tr>
      <w:tr w:rsidR="00C00DD1" w14:paraId="1986CE6D" w14:textId="77777777">
        <w:tc>
          <w:tcPr>
            <w:tcW w:w="4643" w:type="dxa"/>
          </w:tcPr>
          <w:p w14:paraId="0890087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Portugalija</w:t>
            </w:r>
          </w:p>
        </w:tc>
        <w:tc>
          <w:tcPr>
            <w:tcW w:w="4643" w:type="dxa"/>
          </w:tcPr>
          <w:p w14:paraId="18A1FD80"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Perindopril + Indapamida TAD</w:t>
            </w:r>
          </w:p>
        </w:tc>
      </w:tr>
      <w:tr w:rsidR="00C00DD1" w14:paraId="4026EBCF" w14:textId="77777777">
        <w:tc>
          <w:tcPr>
            <w:tcW w:w="4643" w:type="dxa"/>
          </w:tcPr>
          <w:p w14:paraId="63A9E48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Bulgarija</w:t>
            </w:r>
          </w:p>
        </w:tc>
        <w:tc>
          <w:tcPr>
            <w:tcW w:w="4643" w:type="dxa"/>
          </w:tcPr>
          <w:p w14:paraId="07B18423"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КО-ПРЕНЕСА НЕО </w:t>
            </w:r>
          </w:p>
        </w:tc>
      </w:tr>
      <w:tr w:rsidR="00C00DD1" w14:paraId="788481C3" w14:textId="77777777">
        <w:tc>
          <w:tcPr>
            <w:tcW w:w="4643" w:type="dxa"/>
          </w:tcPr>
          <w:p w14:paraId="30314DC6"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Slovėnija</w:t>
            </w:r>
          </w:p>
        </w:tc>
        <w:tc>
          <w:tcPr>
            <w:tcW w:w="4643" w:type="dxa"/>
          </w:tcPr>
          <w:p w14:paraId="6E817C25"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Neoprenewel </w:t>
            </w:r>
          </w:p>
        </w:tc>
      </w:tr>
      <w:tr w:rsidR="00C00DD1" w14:paraId="2B79E861" w14:textId="77777777">
        <w:tc>
          <w:tcPr>
            <w:tcW w:w="4643" w:type="dxa"/>
          </w:tcPr>
          <w:p w14:paraId="0E730C74"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Prancūzija</w:t>
            </w:r>
          </w:p>
        </w:tc>
        <w:tc>
          <w:tcPr>
            <w:tcW w:w="4643" w:type="dxa"/>
          </w:tcPr>
          <w:p w14:paraId="6EB1864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 ARGININE/INDAPAMIDE HCS </w:t>
            </w:r>
          </w:p>
        </w:tc>
      </w:tr>
      <w:tr w:rsidR="00C00DD1" w14:paraId="389DA877" w14:textId="77777777">
        <w:tc>
          <w:tcPr>
            <w:tcW w:w="4643" w:type="dxa"/>
          </w:tcPr>
          <w:p w14:paraId="7ED491E6"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Vokietija</w:t>
            </w:r>
          </w:p>
        </w:tc>
        <w:tc>
          <w:tcPr>
            <w:tcW w:w="4643" w:type="dxa"/>
          </w:tcPr>
          <w:p w14:paraId="3BEE1B64"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Co-Prenessa </w:t>
            </w:r>
          </w:p>
        </w:tc>
      </w:tr>
      <w:tr w:rsidR="00C00DD1" w14:paraId="51D9D65C" w14:textId="77777777">
        <w:tc>
          <w:tcPr>
            <w:tcW w:w="4643" w:type="dxa"/>
          </w:tcPr>
          <w:p w14:paraId="1354AE9B"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Belgija</w:t>
            </w:r>
          </w:p>
        </w:tc>
        <w:tc>
          <w:tcPr>
            <w:tcW w:w="4643" w:type="dxa"/>
          </w:tcPr>
          <w:p w14:paraId="32BB2DD3" w14:textId="77777777" w:rsidR="00C00DD1" w:rsidRDefault="00C260EB">
            <w:pPr>
              <w:widowControl w:val="0"/>
              <w:tabs>
                <w:tab w:val="clear" w:pos="567"/>
              </w:tabs>
              <w:spacing w:line="240" w:lineRule="auto"/>
              <w:rPr>
                <w:snapToGrid/>
                <w:szCs w:val="24"/>
                <w:lang w:val="lt-LT" w:eastAsia="x-none"/>
              </w:rPr>
            </w:pPr>
            <w:r>
              <w:rPr>
                <w:snapToGrid/>
                <w:szCs w:val="24"/>
                <w:lang w:val="lt-LT" w:eastAsia="x-none"/>
              </w:rPr>
              <w:t xml:space="preserve">Perindopril/Indapamide Krka </w:t>
            </w:r>
          </w:p>
        </w:tc>
      </w:tr>
    </w:tbl>
    <w:p w14:paraId="2D01780A" w14:textId="77777777" w:rsidR="00C00DD1" w:rsidRDefault="00C00DD1">
      <w:pPr>
        <w:widowControl w:val="0"/>
        <w:tabs>
          <w:tab w:val="clear" w:pos="567"/>
        </w:tabs>
        <w:spacing w:line="240" w:lineRule="auto"/>
        <w:rPr>
          <w:snapToGrid/>
          <w:szCs w:val="24"/>
          <w:lang w:val="lt-LT" w:eastAsia="x-none"/>
        </w:rPr>
      </w:pPr>
    </w:p>
    <w:p w14:paraId="2C66F1B3" w14:textId="2637E650" w:rsidR="00C00DD1" w:rsidRDefault="00C260EB">
      <w:pPr>
        <w:widowControl w:val="0"/>
        <w:tabs>
          <w:tab w:val="clear" w:pos="567"/>
        </w:tabs>
        <w:spacing w:line="240" w:lineRule="auto"/>
        <w:rPr>
          <w:snapToGrid/>
          <w:szCs w:val="24"/>
          <w:lang w:val="lt-LT"/>
        </w:rPr>
      </w:pPr>
      <w:r>
        <w:rPr>
          <w:b/>
          <w:bCs/>
          <w:snapToGrid/>
          <w:szCs w:val="24"/>
          <w:lang w:val="lt-LT" w:eastAsia="x-none"/>
        </w:rPr>
        <w:t>Šis pakuotės lapelis</w:t>
      </w:r>
      <w:r>
        <w:rPr>
          <w:b/>
          <w:snapToGrid/>
          <w:szCs w:val="24"/>
          <w:lang w:val="lt-LT" w:eastAsia="x-none"/>
        </w:rPr>
        <w:t xml:space="preserve"> paskutinį kartą peržiūrėtas </w:t>
      </w:r>
      <w:r w:rsidR="0006181B">
        <w:rPr>
          <w:b/>
          <w:lang w:val="lt-LT"/>
        </w:rPr>
        <w:t>2026-07-17</w:t>
      </w:r>
      <w:r>
        <w:rPr>
          <w:b/>
          <w:lang w:val="lt-LT"/>
        </w:rPr>
        <w:t>.</w:t>
      </w:r>
    </w:p>
    <w:p w14:paraId="0453203F" w14:textId="77777777" w:rsidR="00C00DD1" w:rsidRDefault="00C00DD1">
      <w:pPr>
        <w:widowControl w:val="0"/>
        <w:tabs>
          <w:tab w:val="clear" w:pos="567"/>
        </w:tabs>
        <w:spacing w:line="240" w:lineRule="auto"/>
        <w:rPr>
          <w:snapToGrid/>
          <w:szCs w:val="24"/>
          <w:lang w:val="lt-LT"/>
        </w:rPr>
      </w:pPr>
    </w:p>
    <w:p w14:paraId="0408B78E" w14:textId="77777777" w:rsidR="00C00DD1" w:rsidRDefault="00C260EB">
      <w:pPr>
        <w:widowControl w:val="0"/>
        <w:tabs>
          <w:tab w:val="clear" w:pos="567"/>
        </w:tabs>
        <w:spacing w:line="240" w:lineRule="auto"/>
        <w:rPr>
          <w:snapToGrid/>
          <w:szCs w:val="24"/>
          <w:lang w:val="lt-LT"/>
        </w:rPr>
      </w:pPr>
      <w:r>
        <w:rPr>
          <w:snapToGrid/>
          <w:szCs w:val="24"/>
          <w:lang w:val="lt-LT"/>
        </w:rPr>
        <w:t xml:space="preserve">Išsami informacija apie šį vaistą pateikiama Valstybinės vaistų kontrolės tarnybos prie Lietuvos Respublikos sveikatos apsaugos ministerijos tinklalapyje </w:t>
      </w:r>
      <w:hyperlink r:id="rId11" w:history="1">
        <w:r>
          <w:rPr>
            <w:snapToGrid/>
            <w:color w:val="0000FF"/>
            <w:szCs w:val="24"/>
            <w:u w:val="single"/>
            <w:lang w:val="lt-LT"/>
          </w:rPr>
          <w:t>http://www.vvkt.lt/</w:t>
        </w:r>
      </w:hyperlink>
      <w:r>
        <w:rPr>
          <w:snapToGrid/>
          <w:szCs w:val="24"/>
          <w:lang w:val="lt-LT"/>
        </w:rPr>
        <w:t>.</w:t>
      </w:r>
    </w:p>
    <w:p w14:paraId="5D766B92" w14:textId="77777777" w:rsidR="00C00DD1" w:rsidRDefault="00C00DD1">
      <w:pPr>
        <w:widowControl w:val="0"/>
        <w:spacing w:line="240" w:lineRule="auto"/>
        <w:rPr>
          <w:lang w:val="lt-LT"/>
        </w:rPr>
      </w:pPr>
    </w:p>
    <w:sectPr w:rsidR="00C00DD1">
      <w:headerReference w:type="even" r:id="rId12"/>
      <w:headerReference w:type="default" r:id="rId13"/>
      <w:footerReference w:type="even" r:id="rId14"/>
      <w:footerReference w:type="default" r:id="rId15"/>
      <w:headerReference w:type="first" r:id="rId16"/>
      <w:footerReference w:type="first" r:id="rId17"/>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9EE08" w14:textId="77777777" w:rsidR="00547ED2" w:rsidRDefault="00547ED2">
      <w:pPr>
        <w:spacing w:line="240" w:lineRule="auto"/>
      </w:pPr>
      <w:r>
        <w:separator/>
      </w:r>
    </w:p>
  </w:endnote>
  <w:endnote w:type="continuationSeparator" w:id="0">
    <w:p w14:paraId="35F99844" w14:textId="77777777" w:rsidR="00547ED2" w:rsidRDefault="00547ED2">
      <w:pPr>
        <w:spacing w:line="240" w:lineRule="auto"/>
      </w:pPr>
      <w:r>
        <w:continuationSeparator/>
      </w:r>
    </w:p>
  </w:endnote>
  <w:endnote w:type="continuationNotice" w:id="1">
    <w:p w14:paraId="6CDBF847" w14:textId="77777777" w:rsidR="00547ED2" w:rsidRDefault="00547ED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NewRoman">
    <w:altName w:val="Yu Gothic"/>
    <w:panose1 w:val="00000000000000000000"/>
    <w:charset w:val="EE"/>
    <w:family w:val="auto"/>
    <w:notTrueType/>
    <w:pitch w:val="default"/>
    <w:sig w:usb0="00000201" w:usb1="08070000" w:usb2="00000010" w:usb3="00000000" w:csb0="00020007"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9E2EE" w14:textId="77777777" w:rsidR="00C00DD1" w:rsidRDefault="00C260EB">
    <w:pPr>
      <w:pStyle w:val="Porat"/>
      <w:framePr w:wrap="around" w:vAnchor="text" w:hAnchor="margin" w:xAlign="right" w:y="1"/>
      <w:rPr>
        <w:rStyle w:val="Puslapionumeris"/>
        <w:lang w:val="lt-LT"/>
      </w:rPr>
    </w:pPr>
    <w:r>
      <w:rPr>
        <w:rStyle w:val="Puslapionumeris"/>
      </w:rPr>
      <w:fldChar w:fldCharType="begin"/>
    </w:r>
    <w:r>
      <w:rPr>
        <w:rStyle w:val="Puslapionumeris"/>
      </w:rPr>
      <w:instrText xml:space="preserve">PAGE  </w:instrText>
    </w:r>
    <w:r>
      <w:rPr>
        <w:rStyle w:val="Puslapionumeris"/>
      </w:rPr>
      <w:fldChar w:fldCharType="end"/>
    </w:r>
  </w:p>
  <w:p w14:paraId="7AE37CBB" w14:textId="77777777" w:rsidR="00C00DD1" w:rsidRDefault="00C00DD1">
    <w:pPr>
      <w:pStyle w:val="Porat"/>
      <w:ind w:right="360"/>
      <w:rPr>
        <w:lang w:val="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46176" w14:textId="77777777" w:rsidR="00C00DD1" w:rsidRDefault="00C260EB">
    <w:pPr>
      <w:pStyle w:val="Porat"/>
      <w:ind w:right="360"/>
      <w:jc w:val="center"/>
      <w:rPr>
        <w:rStyle w:val="Puslapionumeris"/>
        <w:rFonts w:ascii="Arial" w:hAnsi="Arial" w:cs="Arial"/>
        <w:lang w:val="lt-LT"/>
      </w:rPr>
    </w:pPr>
    <w:r>
      <w:rPr>
        <w:rStyle w:val="Puslapionumeris"/>
        <w:rFonts w:ascii="Arial" w:hAnsi="Arial" w:cs="Arial"/>
        <w:lang w:val="lt-LT"/>
      </w:rPr>
      <w:fldChar w:fldCharType="begin"/>
    </w:r>
    <w:r>
      <w:rPr>
        <w:rStyle w:val="Puslapionumeris"/>
        <w:rFonts w:ascii="Arial" w:hAnsi="Arial" w:cs="Arial"/>
        <w:lang w:val="lt-LT"/>
      </w:rPr>
      <w:instrText xml:space="preserve"> PAGE </w:instrText>
    </w:r>
    <w:r>
      <w:rPr>
        <w:rStyle w:val="Puslapionumeris"/>
        <w:rFonts w:ascii="Arial" w:hAnsi="Arial" w:cs="Arial"/>
        <w:lang w:val="lt-LT"/>
      </w:rPr>
      <w:fldChar w:fldCharType="separate"/>
    </w:r>
    <w:r>
      <w:rPr>
        <w:rStyle w:val="Puslapionumeris"/>
        <w:rFonts w:ascii="Arial" w:hAnsi="Arial" w:cs="Arial"/>
        <w:noProof/>
        <w:lang w:val="lt-LT"/>
      </w:rPr>
      <w:t>1</w:t>
    </w:r>
    <w:r>
      <w:rPr>
        <w:rStyle w:val="Puslapionumeris"/>
        <w:rFonts w:ascii="Arial" w:hAnsi="Arial" w:cs="Arial"/>
        <w:noProof/>
        <w:lang w:val="lt-LT"/>
      </w:rPr>
      <w:t>3</w:t>
    </w:r>
    <w:r>
      <w:rPr>
        <w:rStyle w:val="Puslapionumeris"/>
        <w:rFonts w:ascii="Arial" w:hAnsi="Arial" w:cs="Arial"/>
        <w:lang w:val="lt-LT"/>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B4B3D" w14:textId="77777777" w:rsidR="00C00DD1" w:rsidRDefault="00C00DD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AA4C51" w14:textId="77777777" w:rsidR="00547ED2" w:rsidRDefault="00547ED2">
      <w:pPr>
        <w:spacing w:line="240" w:lineRule="auto"/>
      </w:pPr>
      <w:r>
        <w:separator/>
      </w:r>
    </w:p>
  </w:footnote>
  <w:footnote w:type="continuationSeparator" w:id="0">
    <w:p w14:paraId="7051C800" w14:textId="77777777" w:rsidR="00547ED2" w:rsidRDefault="00547ED2">
      <w:pPr>
        <w:spacing w:line="240" w:lineRule="auto"/>
      </w:pPr>
      <w:r>
        <w:continuationSeparator/>
      </w:r>
    </w:p>
  </w:footnote>
  <w:footnote w:type="continuationNotice" w:id="1">
    <w:p w14:paraId="22198DC4" w14:textId="77777777" w:rsidR="00547ED2" w:rsidRDefault="00547ED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3D616" w14:textId="77777777" w:rsidR="00C00DD1" w:rsidRDefault="00C00DD1">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5AC4B" w14:textId="77777777" w:rsidR="00C00DD1" w:rsidRDefault="00C00DD1">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0D752E" w14:textId="77777777" w:rsidR="00C00DD1" w:rsidRDefault="00C00DD1">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1C62EDF"/>
    <w:multiLevelType w:val="hybridMultilevel"/>
    <w:tmpl w:val="B3EABCCC"/>
    <w:lvl w:ilvl="0" w:tplc="E8F6C196">
      <w:start w:val="1"/>
      <w:numFmt w:val="bullet"/>
      <w:lvlText w:val="-"/>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3C01E07"/>
    <w:multiLevelType w:val="hybridMultilevel"/>
    <w:tmpl w:val="4964EFAE"/>
    <w:lvl w:ilvl="0" w:tplc="3D32FCEA">
      <w:start w:val="4"/>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AE70392"/>
    <w:multiLevelType w:val="hybridMultilevel"/>
    <w:tmpl w:val="50DC5D46"/>
    <w:lvl w:ilvl="0" w:tplc="FFFFFFFF">
      <w:numFmt w:val="bullet"/>
      <w:lvlText w:val="-"/>
      <w:lvlJc w:val="left"/>
      <w:pPr>
        <w:tabs>
          <w:tab w:val="num" w:pos="1353"/>
        </w:tabs>
        <w:ind w:left="1353" w:hanging="360"/>
      </w:pPr>
      <w:rPr>
        <w:rFonts w:ascii="Times New Roman" w:eastAsia="Times New Roman" w:hAnsi="Times New Roman" w:cs="Times New Roman" w:hint="default"/>
      </w:rPr>
    </w:lvl>
    <w:lvl w:ilvl="1" w:tplc="040C0003" w:tentative="1">
      <w:start w:val="1"/>
      <w:numFmt w:val="bullet"/>
      <w:lvlText w:val="o"/>
      <w:lvlJc w:val="left"/>
      <w:pPr>
        <w:tabs>
          <w:tab w:val="num" w:pos="2073"/>
        </w:tabs>
        <w:ind w:left="2073" w:hanging="360"/>
      </w:pPr>
      <w:rPr>
        <w:rFonts w:ascii="Courier New" w:hAnsi="Courier New" w:hint="default"/>
      </w:rPr>
    </w:lvl>
    <w:lvl w:ilvl="2" w:tplc="040C0005" w:tentative="1">
      <w:start w:val="1"/>
      <w:numFmt w:val="bullet"/>
      <w:lvlText w:val=""/>
      <w:lvlJc w:val="left"/>
      <w:pPr>
        <w:tabs>
          <w:tab w:val="num" w:pos="2793"/>
        </w:tabs>
        <w:ind w:left="2793" w:hanging="360"/>
      </w:pPr>
      <w:rPr>
        <w:rFonts w:ascii="Wingdings" w:hAnsi="Wingdings" w:hint="default"/>
      </w:rPr>
    </w:lvl>
    <w:lvl w:ilvl="3" w:tplc="040C0001" w:tentative="1">
      <w:start w:val="1"/>
      <w:numFmt w:val="bullet"/>
      <w:lvlText w:val=""/>
      <w:lvlJc w:val="left"/>
      <w:pPr>
        <w:tabs>
          <w:tab w:val="num" w:pos="3513"/>
        </w:tabs>
        <w:ind w:left="3513" w:hanging="360"/>
      </w:pPr>
      <w:rPr>
        <w:rFonts w:ascii="Symbol" w:hAnsi="Symbol" w:hint="default"/>
      </w:rPr>
    </w:lvl>
    <w:lvl w:ilvl="4" w:tplc="040C0003" w:tentative="1">
      <w:start w:val="1"/>
      <w:numFmt w:val="bullet"/>
      <w:lvlText w:val="o"/>
      <w:lvlJc w:val="left"/>
      <w:pPr>
        <w:tabs>
          <w:tab w:val="num" w:pos="4233"/>
        </w:tabs>
        <w:ind w:left="4233" w:hanging="360"/>
      </w:pPr>
      <w:rPr>
        <w:rFonts w:ascii="Courier New" w:hAnsi="Courier New" w:hint="default"/>
      </w:rPr>
    </w:lvl>
    <w:lvl w:ilvl="5" w:tplc="040C0005" w:tentative="1">
      <w:start w:val="1"/>
      <w:numFmt w:val="bullet"/>
      <w:lvlText w:val=""/>
      <w:lvlJc w:val="left"/>
      <w:pPr>
        <w:tabs>
          <w:tab w:val="num" w:pos="4953"/>
        </w:tabs>
        <w:ind w:left="4953" w:hanging="360"/>
      </w:pPr>
      <w:rPr>
        <w:rFonts w:ascii="Wingdings" w:hAnsi="Wingdings" w:hint="default"/>
      </w:rPr>
    </w:lvl>
    <w:lvl w:ilvl="6" w:tplc="040C0001" w:tentative="1">
      <w:start w:val="1"/>
      <w:numFmt w:val="bullet"/>
      <w:lvlText w:val=""/>
      <w:lvlJc w:val="left"/>
      <w:pPr>
        <w:tabs>
          <w:tab w:val="num" w:pos="5673"/>
        </w:tabs>
        <w:ind w:left="5673" w:hanging="360"/>
      </w:pPr>
      <w:rPr>
        <w:rFonts w:ascii="Symbol" w:hAnsi="Symbol" w:hint="default"/>
      </w:rPr>
    </w:lvl>
    <w:lvl w:ilvl="7" w:tplc="040C0003" w:tentative="1">
      <w:start w:val="1"/>
      <w:numFmt w:val="bullet"/>
      <w:lvlText w:val="o"/>
      <w:lvlJc w:val="left"/>
      <w:pPr>
        <w:tabs>
          <w:tab w:val="num" w:pos="6393"/>
        </w:tabs>
        <w:ind w:left="6393" w:hanging="360"/>
      </w:pPr>
      <w:rPr>
        <w:rFonts w:ascii="Courier New" w:hAnsi="Courier New" w:hint="default"/>
      </w:rPr>
    </w:lvl>
    <w:lvl w:ilvl="8" w:tplc="040C0005" w:tentative="1">
      <w:start w:val="1"/>
      <w:numFmt w:val="bullet"/>
      <w:lvlText w:val=""/>
      <w:lvlJc w:val="left"/>
      <w:pPr>
        <w:tabs>
          <w:tab w:val="num" w:pos="7113"/>
        </w:tabs>
        <w:ind w:left="7113" w:hanging="360"/>
      </w:pPr>
      <w:rPr>
        <w:rFonts w:ascii="Wingdings" w:hAnsi="Wingdings" w:hint="default"/>
      </w:rPr>
    </w:lvl>
  </w:abstractNum>
  <w:abstractNum w:abstractNumId="5" w15:restartNumberingAfterBreak="0">
    <w:nsid w:val="0D261579"/>
    <w:multiLevelType w:val="hybridMultilevel"/>
    <w:tmpl w:val="D3981B78"/>
    <w:lvl w:ilvl="0" w:tplc="C89477FC">
      <w:start w:val="5"/>
      <w:numFmt w:val="bullet"/>
      <w:lvlText w:val="-"/>
      <w:lvlJc w:val="left"/>
      <w:pPr>
        <w:tabs>
          <w:tab w:val="num" w:pos="720"/>
        </w:tabs>
        <w:ind w:left="720" w:hanging="360"/>
      </w:pPr>
      <w:rPr>
        <w:rFonts w:ascii="Times New Roman" w:eastAsia="Times New Roman" w:hAnsi="Times New Roman"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6" w15:restartNumberingAfterBreak="0">
    <w:nsid w:val="1452355A"/>
    <w:multiLevelType w:val="hybridMultilevel"/>
    <w:tmpl w:val="065EBABA"/>
    <w:lvl w:ilvl="0" w:tplc="DA3A7878">
      <w:start w:val="1"/>
      <w:numFmt w:val="bullet"/>
      <w:lvlText w:val="-"/>
      <w:lvlJc w:val="left"/>
      <w:pPr>
        <w:tabs>
          <w:tab w:val="num" w:pos="720"/>
        </w:tabs>
        <w:ind w:left="720" w:hanging="720"/>
      </w:pPr>
      <w:rPr>
        <w:rFonts w:ascii="Times New Roman" w:hAnsi="Times New Roman" w:cs="Times New Roman" w:hint="default"/>
        <w:sz w:val="24"/>
        <w:szCs w:val="24"/>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9CC5EE9"/>
    <w:multiLevelType w:val="hybridMultilevel"/>
    <w:tmpl w:val="988E07E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4B5DF3"/>
    <w:multiLevelType w:val="multilevel"/>
    <w:tmpl w:val="D8D05868"/>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B456576"/>
    <w:multiLevelType w:val="hybridMultilevel"/>
    <w:tmpl w:val="6574A334"/>
    <w:lvl w:ilvl="0" w:tplc="8D4AE69A">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10" w15:restartNumberingAfterBreak="0">
    <w:nsid w:val="1DAB5C55"/>
    <w:multiLevelType w:val="hybridMultilevel"/>
    <w:tmpl w:val="ACE2E702"/>
    <w:lvl w:ilvl="0" w:tplc="9A02E9A2">
      <w:start w:val="4"/>
      <w:numFmt w:val="bullet"/>
      <w:lvlText w:val="-"/>
      <w:lvlJc w:val="left"/>
      <w:pPr>
        <w:ind w:left="720" w:hanging="360"/>
      </w:pPr>
      <w:rPr>
        <w:rFonts w:ascii="Times New Roman" w:eastAsia="TimesNew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2B3A5E"/>
    <w:multiLevelType w:val="multilevel"/>
    <w:tmpl w:val="76263460"/>
    <w:lvl w:ilvl="0">
      <w:start w:val="1"/>
      <w:numFmt w:val="upperRoman"/>
      <w:lvlText w:val="%1"/>
      <w:lvlJc w:val="left"/>
      <w:pPr>
        <w:tabs>
          <w:tab w:val="num" w:pos="720"/>
        </w:tabs>
        <w:ind w:left="284" w:hanging="284"/>
      </w:pPr>
      <w:rPr>
        <w:rFonts w:ascii="Arial" w:hAnsi="Arial" w:cs="Times New Roman" w:hint="default"/>
        <w:b/>
        <w:i w:val="0"/>
        <w:sz w:val="24"/>
      </w:rPr>
    </w:lvl>
    <w:lvl w:ilvl="1">
      <w:start w:val="1"/>
      <w:numFmt w:val="decimal"/>
      <w:lvlText w:val="%1.%2"/>
      <w:lvlJc w:val="left"/>
      <w:pPr>
        <w:tabs>
          <w:tab w:val="num" w:pos="709"/>
        </w:tabs>
        <w:ind w:left="709" w:hanging="425"/>
      </w:pPr>
      <w:rPr>
        <w:rFonts w:ascii="Arial" w:hAnsi="Arial" w:cs="Times New Roman" w:hint="default"/>
        <w:b/>
        <w:i w:val="0"/>
        <w:sz w:val="22"/>
      </w:rPr>
    </w:lvl>
    <w:lvl w:ilvl="2">
      <w:start w:val="1"/>
      <w:numFmt w:val="decimal"/>
      <w:lvlText w:val="%1.%2.%3"/>
      <w:lvlJc w:val="left"/>
      <w:pPr>
        <w:tabs>
          <w:tab w:val="num" w:pos="1276"/>
        </w:tabs>
        <w:ind w:left="1276" w:hanging="567"/>
      </w:pPr>
      <w:rPr>
        <w:rFonts w:ascii="Arial" w:hAnsi="Arial" w:cs="Times New Roman" w:hint="default"/>
        <w:b/>
        <w:i w:val="0"/>
        <w:sz w:val="22"/>
      </w:rPr>
    </w:lvl>
    <w:lvl w:ilvl="3">
      <w:start w:val="1"/>
      <w:numFmt w:val="lowerLetter"/>
      <w:lvlText w:val="%4)"/>
      <w:lvlJc w:val="left"/>
      <w:pPr>
        <w:tabs>
          <w:tab w:val="num" w:pos="1276"/>
        </w:tabs>
        <w:ind w:left="1276" w:hanging="567"/>
      </w:pPr>
      <w:rPr>
        <w:rFonts w:ascii="Arial" w:hAnsi="Arial" w:cs="Times New Roman" w:hint="default"/>
        <w:b w:val="0"/>
        <w:i w:val="0"/>
        <w:sz w:val="22"/>
      </w:rPr>
    </w:lvl>
    <w:lvl w:ilvl="4">
      <w:start w:val="1"/>
      <w:numFmt w:val="lowerLetter"/>
      <w:lvlRestart w:val="2"/>
      <w:lvlText w:val="%5)"/>
      <w:lvlJc w:val="left"/>
      <w:pPr>
        <w:tabs>
          <w:tab w:val="num" w:pos="1701"/>
        </w:tabs>
        <w:ind w:left="1701" w:hanging="425"/>
      </w:pPr>
      <w:rPr>
        <w:rFonts w:hint="default"/>
      </w:rPr>
    </w:lvl>
    <w:lvl w:ilvl="5">
      <w:start w:val="1"/>
      <w:numFmt w:val="lowerLetter"/>
      <w:lvlText w:val="%6)"/>
      <w:lvlJc w:val="left"/>
      <w:pPr>
        <w:tabs>
          <w:tab w:val="num" w:pos="1663"/>
        </w:tabs>
        <w:ind w:left="1663" w:hanging="432"/>
      </w:pPr>
      <w:rPr>
        <w:rFonts w:hint="default"/>
      </w:rPr>
    </w:lvl>
    <w:lvl w:ilvl="6">
      <w:start w:val="1"/>
      <w:numFmt w:val="lowerRoman"/>
      <w:lvlText w:val="%7)"/>
      <w:lvlJc w:val="right"/>
      <w:pPr>
        <w:tabs>
          <w:tab w:val="num" w:pos="1807"/>
        </w:tabs>
        <w:ind w:left="1807" w:hanging="288"/>
      </w:pPr>
      <w:rPr>
        <w:rFonts w:hint="default"/>
      </w:rPr>
    </w:lvl>
    <w:lvl w:ilvl="7">
      <w:start w:val="1"/>
      <w:numFmt w:val="lowerLetter"/>
      <w:lvlText w:val="%8."/>
      <w:lvlJc w:val="left"/>
      <w:pPr>
        <w:tabs>
          <w:tab w:val="num" w:pos="1951"/>
        </w:tabs>
        <w:ind w:left="1951" w:hanging="432"/>
      </w:pPr>
      <w:rPr>
        <w:rFonts w:hint="default"/>
      </w:rPr>
    </w:lvl>
    <w:lvl w:ilvl="8">
      <w:start w:val="1"/>
      <w:numFmt w:val="lowerRoman"/>
      <w:lvlText w:val="%9."/>
      <w:lvlJc w:val="left"/>
      <w:pPr>
        <w:tabs>
          <w:tab w:val="num" w:pos="2671"/>
        </w:tabs>
        <w:ind w:left="2311" w:hanging="360"/>
      </w:pPr>
      <w:rPr>
        <w:rFonts w:ascii="Arial" w:hAnsi="Arial" w:hint="default"/>
        <w:b w:val="0"/>
        <w:i w:val="0"/>
        <w:sz w:val="22"/>
      </w:rPr>
    </w:lvl>
  </w:abstractNum>
  <w:abstractNum w:abstractNumId="12" w15:restartNumberingAfterBreak="0">
    <w:nsid w:val="233E3827"/>
    <w:multiLevelType w:val="hybridMultilevel"/>
    <w:tmpl w:val="E1E83EA4"/>
    <w:lvl w:ilvl="0" w:tplc="9FC0074A">
      <w:start w:val="1"/>
      <w:numFmt w:val="bullet"/>
      <w:lvlText w:val="­"/>
      <w:lvlJc w:val="left"/>
      <w:pPr>
        <w:ind w:left="720" w:hanging="360"/>
      </w:pPr>
      <w:rPr>
        <w:rFonts w:ascii="Times New Roman" w:hAnsi="Times New Roman" w:cs="Times New Roman" w:hint="default"/>
        <w:b w:val="0"/>
        <w:i w:val="0"/>
        <w:caps w:val="0"/>
        <w:strike w:val="0"/>
        <w:dstrike w:val="0"/>
        <w:vanish w:val="0"/>
        <w:color w:val="000000"/>
        <w:sz w:val="22"/>
        <w:szCs w:val="24"/>
        <w:vertAlign w:val="baseline"/>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38F500D"/>
    <w:multiLevelType w:val="hybridMultilevel"/>
    <w:tmpl w:val="4ABEDEC0"/>
    <w:lvl w:ilvl="0" w:tplc="FFFFFFFF">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0D0E15"/>
    <w:multiLevelType w:val="hybridMultilevel"/>
    <w:tmpl w:val="7DCA3FC4"/>
    <w:lvl w:ilvl="0" w:tplc="83E8D490">
      <w:numFmt w:val="bullet"/>
      <w:lvlText w:val="-"/>
      <w:lvlJc w:val="left"/>
      <w:pPr>
        <w:tabs>
          <w:tab w:val="num" w:pos="567"/>
        </w:tabs>
        <w:ind w:left="567" w:hanging="567"/>
      </w:pPr>
      <w:rPr>
        <w:rFonts w:ascii="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7966188"/>
    <w:multiLevelType w:val="hybridMultilevel"/>
    <w:tmpl w:val="B9244D0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28B26DB7"/>
    <w:multiLevelType w:val="hybridMultilevel"/>
    <w:tmpl w:val="A96AB6DC"/>
    <w:lvl w:ilvl="0" w:tplc="71B0FED2">
      <w:start w:val="1"/>
      <w:numFmt w:val="bullet"/>
      <w:lvlText w:val="-"/>
      <w:lvlJc w:val="left"/>
      <w:pPr>
        <w:ind w:left="720" w:hanging="360"/>
      </w:pPr>
      <w:rPr>
        <w:rFonts w:hAnsi="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CE518CA"/>
    <w:multiLevelType w:val="hybridMultilevel"/>
    <w:tmpl w:val="73AE6B9A"/>
    <w:lvl w:ilvl="0" w:tplc="71B0FED2">
      <w:start w:val="1"/>
      <w:numFmt w:val="bullet"/>
      <w:lvlText w:val="-"/>
      <w:lvlJc w:val="left"/>
      <w:pPr>
        <w:ind w:left="720" w:hanging="360"/>
      </w:pPr>
      <w:rPr>
        <w:rFonts w:hAnsi="Arial"/>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35CE5556"/>
    <w:multiLevelType w:val="multilevel"/>
    <w:tmpl w:val="30966A2A"/>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6F8744F"/>
    <w:multiLevelType w:val="hybridMultilevel"/>
    <w:tmpl w:val="79041B2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0" w15:restartNumberingAfterBreak="0">
    <w:nsid w:val="418B21C7"/>
    <w:multiLevelType w:val="hybridMultilevel"/>
    <w:tmpl w:val="22F6AC2E"/>
    <w:lvl w:ilvl="0" w:tplc="9A02E9A2">
      <w:start w:val="4"/>
      <w:numFmt w:val="bullet"/>
      <w:lvlText w:val="-"/>
      <w:lvlJc w:val="left"/>
      <w:pPr>
        <w:ind w:left="720" w:hanging="360"/>
      </w:pPr>
      <w:rPr>
        <w:rFonts w:ascii="Times New Roman" w:eastAsia="TimesNew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5A165DB"/>
    <w:multiLevelType w:val="multilevel"/>
    <w:tmpl w:val="BA946E78"/>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6E22202"/>
    <w:multiLevelType w:val="hybridMultilevel"/>
    <w:tmpl w:val="A0E26E3E"/>
    <w:lvl w:ilvl="0" w:tplc="3D32FCEA">
      <w:start w:val="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43A73EB"/>
    <w:multiLevelType w:val="multilevel"/>
    <w:tmpl w:val="B04E24A4"/>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5002365"/>
    <w:multiLevelType w:val="hybridMultilevel"/>
    <w:tmpl w:val="49A46AB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9FD7F58"/>
    <w:multiLevelType w:val="hybridMultilevel"/>
    <w:tmpl w:val="6DF49C5C"/>
    <w:lvl w:ilvl="0" w:tplc="32A691FC">
      <w:start w:val="1"/>
      <w:numFmt w:val="bullet"/>
      <w:lvlText w:val="-"/>
      <w:lvlJc w:val="left"/>
      <w:pPr>
        <w:ind w:left="720" w:hanging="360"/>
      </w:pPr>
      <w:rPr>
        <w:rFonts w:ascii="Times New Roman" w:hAnsi="Times New Roman" w:hint="default"/>
        <w:b/>
        <w:i w:val="0"/>
        <w:color w:val="auto"/>
        <w:sz w:val="20"/>
        <w:effect w:val="none"/>
      </w:rPr>
    </w:lvl>
    <w:lvl w:ilvl="1" w:tplc="32A691FC">
      <w:start w:val="1"/>
      <w:numFmt w:val="bullet"/>
      <w:lvlText w:val="-"/>
      <w:lvlJc w:val="left"/>
      <w:pPr>
        <w:ind w:left="1440" w:hanging="360"/>
      </w:pPr>
      <w:rPr>
        <w:rFonts w:ascii="Times New Roman" w:hAnsi="Times New Roman" w:hint="default"/>
        <w:b/>
        <w:i w:val="0"/>
        <w:color w:val="auto"/>
        <w:sz w:val="20"/>
        <w:effect w:val="none"/>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6" w15:restartNumberingAfterBreak="0">
    <w:nsid w:val="5E9C5C68"/>
    <w:multiLevelType w:val="multilevel"/>
    <w:tmpl w:val="A376971C"/>
    <w:lvl w:ilvl="0">
      <w:start w:val="1"/>
      <w:numFmt w:val="bullet"/>
      <w:lvlText w:val="-"/>
      <w:lvlJc w:val="left"/>
      <w:pPr>
        <w:tabs>
          <w:tab w:val="num" w:pos="567"/>
        </w:tabs>
        <w:ind w:left="567" w:hanging="567"/>
      </w:pPr>
      <w:rPr>
        <w:rFonts w:ascii="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10061D5"/>
    <w:multiLevelType w:val="hybridMultilevel"/>
    <w:tmpl w:val="6574A334"/>
    <w:lvl w:ilvl="0" w:tplc="8D4AE69A">
      <w:start w:val="1"/>
      <w:numFmt w:val="lowerLetter"/>
      <w:lvlText w:val="%1."/>
      <w:lvlJc w:val="left"/>
      <w:pPr>
        <w:ind w:left="502" w:hanging="360"/>
      </w:pPr>
      <w:rPr>
        <w:rFonts w:hint="default"/>
      </w:rPr>
    </w:lvl>
    <w:lvl w:ilvl="1" w:tplc="04270019" w:tentative="1">
      <w:start w:val="1"/>
      <w:numFmt w:val="lowerLetter"/>
      <w:lvlText w:val="%2."/>
      <w:lvlJc w:val="left"/>
      <w:pPr>
        <w:ind w:left="1222" w:hanging="360"/>
      </w:pPr>
    </w:lvl>
    <w:lvl w:ilvl="2" w:tplc="0427001B" w:tentative="1">
      <w:start w:val="1"/>
      <w:numFmt w:val="lowerRoman"/>
      <w:lvlText w:val="%3."/>
      <w:lvlJc w:val="right"/>
      <w:pPr>
        <w:ind w:left="1942" w:hanging="180"/>
      </w:pPr>
    </w:lvl>
    <w:lvl w:ilvl="3" w:tplc="0427000F" w:tentative="1">
      <w:start w:val="1"/>
      <w:numFmt w:val="decimal"/>
      <w:lvlText w:val="%4."/>
      <w:lvlJc w:val="left"/>
      <w:pPr>
        <w:ind w:left="2662" w:hanging="360"/>
      </w:pPr>
    </w:lvl>
    <w:lvl w:ilvl="4" w:tplc="04270019" w:tentative="1">
      <w:start w:val="1"/>
      <w:numFmt w:val="lowerLetter"/>
      <w:lvlText w:val="%5."/>
      <w:lvlJc w:val="left"/>
      <w:pPr>
        <w:ind w:left="3382" w:hanging="360"/>
      </w:pPr>
    </w:lvl>
    <w:lvl w:ilvl="5" w:tplc="0427001B" w:tentative="1">
      <w:start w:val="1"/>
      <w:numFmt w:val="lowerRoman"/>
      <w:lvlText w:val="%6."/>
      <w:lvlJc w:val="right"/>
      <w:pPr>
        <w:ind w:left="4102" w:hanging="180"/>
      </w:pPr>
    </w:lvl>
    <w:lvl w:ilvl="6" w:tplc="0427000F" w:tentative="1">
      <w:start w:val="1"/>
      <w:numFmt w:val="decimal"/>
      <w:lvlText w:val="%7."/>
      <w:lvlJc w:val="left"/>
      <w:pPr>
        <w:ind w:left="4822" w:hanging="360"/>
      </w:pPr>
    </w:lvl>
    <w:lvl w:ilvl="7" w:tplc="04270019" w:tentative="1">
      <w:start w:val="1"/>
      <w:numFmt w:val="lowerLetter"/>
      <w:lvlText w:val="%8."/>
      <w:lvlJc w:val="left"/>
      <w:pPr>
        <w:ind w:left="5542" w:hanging="360"/>
      </w:pPr>
    </w:lvl>
    <w:lvl w:ilvl="8" w:tplc="0427001B" w:tentative="1">
      <w:start w:val="1"/>
      <w:numFmt w:val="lowerRoman"/>
      <w:lvlText w:val="%9."/>
      <w:lvlJc w:val="right"/>
      <w:pPr>
        <w:ind w:left="6262" w:hanging="180"/>
      </w:pPr>
    </w:lvl>
  </w:abstractNum>
  <w:abstractNum w:abstractNumId="29" w15:restartNumberingAfterBreak="0">
    <w:nsid w:val="7A100D28"/>
    <w:multiLevelType w:val="hybridMultilevel"/>
    <w:tmpl w:val="2F94C0BA"/>
    <w:lvl w:ilvl="0" w:tplc="FD788292">
      <w:start w:val="1"/>
      <w:numFmt w:val="upperLetter"/>
      <w:lvlText w:val="%1."/>
      <w:lvlJc w:val="left"/>
      <w:pPr>
        <w:ind w:left="5670" w:hanging="5670"/>
      </w:pPr>
      <w:rPr>
        <w:rFonts w:hint="default"/>
        <w:b/>
      </w:rPr>
    </w:lvl>
    <w:lvl w:ilvl="1" w:tplc="6A92C8E4">
      <w:start w:val="1"/>
      <w:numFmt w:val="decimal"/>
      <w:lvlText w:val="%2."/>
      <w:lvlJc w:val="left"/>
      <w:pPr>
        <w:ind w:left="1650" w:hanging="570"/>
      </w:pPr>
      <w:rPr>
        <w:rFonts w:hint="default"/>
        <w:b/>
        <w:i w:val="0"/>
      </w:rPr>
    </w:lvl>
    <w:lvl w:ilvl="2" w:tplc="140C001B" w:tentative="1">
      <w:start w:val="1"/>
      <w:numFmt w:val="lowerRoman"/>
      <w:lvlText w:val="%3."/>
      <w:lvlJc w:val="right"/>
      <w:pPr>
        <w:ind w:left="2160" w:hanging="180"/>
      </w:pPr>
    </w:lvl>
    <w:lvl w:ilvl="3" w:tplc="140C000F" w:tentative="1">
      <w:start w:val="1"/>
      <w:numFmt w:val="decimal"/>
      <w:lvlText w:val="%4."/>
      <w:lvlJc w:val="left"/>
      <w:pPr>
        <w:ind w:left="2880" w:hanging="360"/>
      </w:pPr>
    </w:lvl>
    <w:lvl w:ilvl="4" w:tplc="140C0019" w:tentative="1">
      <w:start w:val="1"/>
      <w:numFmt w:val="lowerLetter"/>
      <w:lvlText w:val="%5."/>
      <w:lvlJc w:val="left"/>
      <w:pPr>
        <w:ind w:left="3600" w:hanging="360"/>
      </w:pPr>
    </w:lvl>
    <w:lvl w:ilvl="5" w:tplc="140C001B" w:tentative="1">
      <w:start w:val="1"/>
      <w:numFmt w:val="lowerRoman"/>
      <w:lvlText w:val="%6."/>
      <w:lvlJc w:val="right"/>
      <w:pPr>
        <w:ind w:left="4320" w:hanging="180"/>
      </w:pPr>
    </w:lvl>
    <w:lvl w:ilvl="6" w:tplc="140C000F" w:tentative="1">
      <w:start w:val="1"/>
      <w:numFmt w:val="decimal"/>
      <w:lvlText w:val="%7."/>
      <w:lvlJc w:val="left"/>
      <w:pPr>
        <w:ind w:left="5040" w:hanging="360"/>
      </w:pPr>
    </w:lvl>
    <w:lvl w:ilvl="7" w:tplc="140C0019" w:tentative="1">
      <w:start w:val="1"/>
      <w:numFmt w:val="lowerLetter"/>
      <w:lvlText w:val="%8."/>
      <w:lvlJc w:val="left"/>
      <w:pPr>
        <w:ind w:left="5760" w:hanging="360"/>
      </w:pPr>
    </w:lvl>
    <w:lvl w:ilvl="8" w:tplc="140C001B" w:tentative="1">
      <w:start w:val="1"/>
      <w:numFmt w:val="lowerRoman"/>
      <w:lvlText w:val="%9."/>
      <w:lvlJc w:val="right"/>
      <w:pPr>
        <w:ind w:left="6480" w:hanging="180"/>
      </w:pPr>
    </w:lvl>
  </w:abstractNum>
  <w:num w:numId="1" w16cid:durableId="1179193719">
    <w:abstractNumId w:val="3"/>
  </w:num>
  <w:num w:numId="2" w16cid:durableId="803810911">
    <w:abstractNumId w:val="27"/>
  </w:num>
  <w:num w:numId="3" w16cid:durableId="1202136459">
    <w:abstractNumId w:val="0"/>
    <w:lvlOverride w:ilvl="0">
      <w:lvl w:ilvl="0">
        <w:start w:val="1"/>
        <w:numFmt w:val="bullet"/>
        <w:lvlText w:val="-"/>
        <w:lvlJc w:val="left"/>
        <w:pPr>
          <w:ind w:left="360" w:hanging="360"/>
        </w:pPr>
      </w:lvl>
    </w:lvlOverride>
  </w:num>
  <w:num w:numId="4" w16cid:durableId="821579154">
    <w:abstractNumId w:val="0"/>
    <w:lvlOverride w:ilvl="0">
      <w:lvl w:ilvl="0">
        <w:start w:val="1"/>
        <w:numFmt w:val="bullet"/>
        <w:lvlText w:val=""/>
        <w:lvlJc w:val="left"/>
        <w:pPr>
          <w:ind w:left="360" w:hanging="360"/>
        </w:pPr>
        <w:rPr>
          <w:rFonts w:ascii="Symbol" w:hAnsi="Symbol" w:hint="default"/>
        </w:rPr>
      </w:lvl>
    </w:lvlOverride>
  </w:num>
  <w:num w:numId="5" w16cid:durableId="934704170">
    <w:abstractNumId w:val="0"/>
    <w:lvlOverride w:ilvl="0">
      <w:lvl w:ilvl="0">
        <w:start w:val="1"/>
        <w:numFmt w:val="bullet"/>
        <w:lvlText w:val="-"/>
        <w:lvlJc w:val="left"/>
        <w:pPr>
          <w:ind w:left="360" w:hanging="360"/>
        </w:pPr>
      </w:lvl>
    </w:lvlOverride>
  </w:num>
  <w:num w:numId="6" w16cid:durableId="40444741">
    <w:abstractNumId w:val="0"/>
    <w:lvlOverride w:ilvl="0">
      <w:lvl w:ilvl="0">
        <w:start w:val="1"/>
        <w:numFmt w:val="bullet"/>
        <w:lvlText w:val="-"/>
        <w:legacy w:legacy="1" w:legacySpace="0" w:legacyIndent="360"/>
        <w:lvlJc w:val="left"/>
        <w:pPr>
          <w:ind w:left="360" w:hanging="360"/>
        </w:pPr>
      </w:lvl>
    </w:lvlOverride>
  </w:num>
  <w:num w:numId="7" w16cid:durableId="1147017343">
    <w:abstractNumId w:val="11"/>
  </w:num>
  <w:num w:numId="8" w16cid:durableId="612177325">
    <w:abstractNumId w:val="29"/>
  </w:num>
  <w:num w:numId="9" w16cid:durableId="581184280">
    <w:abstractNumId w:val="10"/>
  </w:num>
  <w:num w:numId="10" w16cid:durableId="830677902">
    <w:abstractNumId w:val="7"/>
  </w:num>
  <w:num w:numId="11" w16cid:durableId="848372564">
    <w:abstractNumId w:val="20"/>
  </w:num>
  <w:num w:numId="12" w16cid:durableId="291517503">
    <w:abstractNumId w:val="22"/>
  </w:num>
  <w:num w:numId="13" w16cid:durableId="1632053714">
    <w:abstractNumId w:val="2"/>
  </w:num>
  <w:num w:numId="14" w16cid:durableId="281962794">
    <w:abstractNumId w:val="8"/>
  </w:num>
  <w:num w:numId="15" w16cid:durableId="2102411951">
    <w:abstractNumId w:val="21"/>
  </w:num>
  <w:num w:numId="16" w16cid:durableId="1819879522">
    <w:abstractNumId w:val="17"/>
  </w:num>
  <w:num w:numId="17" w16cid:durableId="1369724398">
    <w:abstractNumId w:val="12"/>
  </w:num>
  <w:num w:numId="18" w16cid:durableId="1770660712">
    <w:abstractNumId w:val="15"/>
  </w:num>
  <w:num w:numId="19" w16cid:durableId="256132600">
    <w:abstractNumId w:val="19"/>
  </w:num>
  <w:num w:numId="20" w16cid:durableId="2022855756">
    <w:abstractNumId w:val="4"/>
  </w:num>
  <w:num w:numId="21" w16cid:durableId="367611344">
    <w:abstractNumId w:val="13"/>
  </w:num>
  <w:num w:numId="22" w16cid:durableId="1410692019">
    <w:abstractNumId w:val="28"/>
  </w:num>
  <w:num w:numId="23" w16cid:durableId="1033963352">
    <w:abstractNumId w:val="26"/>
  </w:num>
  <w:num w:numId="24" w16cid:durableId="388267444">
    <w:abstractNumId w:val="23"/>
  </w:num>
  <w:num w:numId="25" w16cid:durableId="1301690064">
    <w:abstractNumId w:val="18"/>
  </w:num>
  <w:num w:numId="26" w16cid:durableId="151991719">
    <w:abstractNumId w:val="25"/>
  </w:num>
  <w:num w:numId="27" w16cid:durableId="30123319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0891868">
    <w:abstractNumId w:val="1"/>
  </w:num>
  <w:num w:numId="29" w16cid:durableId="1374311855">
    <w:abstractNumId w:val="6"/>
  </w:num>
  <w:num w:numId="30" w16cid:durableId="647830909">
    <w:abstractNumId w:val="14"/>
  </w:num>
  <w:num w:numId="31" w16cid:durableId="1388407502">
    <w:abstractNumId w:val="24"/>
  </w:num>
  <w:num w:numId="32" w16cid:durableId="1004476732">
    <w:abstractNumId w:val="16"/>
  </w:num>
  <w:num w:numId="33" w16cid:durableId="1407024565">
    <w:abstractNumId w:val="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56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0DD1"/>
    <w:rsid w:val="00001A06"/>
    <w:rsid w:val="000020B3"/>
    <w:rsid w:val="00003F89"/>
    <w:rsid w:val="000069A8"/>
    <w:rsid w:val="0001070E"/>
    <w:rsid w:val="000113E8"/>
    <w:rsid w:val="00012B7B"/>
    <w:rsid w:val="00012FD2"/>
    <w:rsid w:val="00015D7D"/>
    <w:rsid w:val="000165E1"/>
    <w:rsid w:val="0003104E"/>
    <w:rsid w:val="00033887"/>
    <w:rsid w:val="0003403C"/>
    <w:rsid w:val="00034AF6"/>
    <w:rsid w:val="00034DF8"/>
    <w:rsid w:val="00037580"/>
    <w:rsid w:val="000427CE"/>
    <w:rsid w:val="00043A68"/>
    <w:rsid w:val="0005106D"/>
    <w:rsid w:val="0006181B"/>
    <w:rsid w:val="000630A1"/>
    <w:rsid w:val="00080093"/>
    <w:rsid w:val="00082583"/>
    <w:rsid w:val="00084190"/>
    <w:rsid w:val="00093329"/>
    <w:rsid w:val="000964E0"/>
    <w:rsid w:val="000966BC"/>
    <w:rsid w:val="000A58F3"/>
    <w:rsid w:val="000A79DC"/>
    <w:rsid w:val="000B1B0F"/>
    <w:rsid w:val="000B2855"/>
    <w:rsid w:val="000B4744"/>
    <w:rsid w:val="000B673F"/>
    <w:rsid w:val="000C0537"/>
    <w:rsid w:val="000C1437"/>
    <w:rsid w:val="000C3B67"/>
    <w:rsid w:val="000C43BE"/>
    <w:rsid w:val="000C4BF2"/>
    <w:rsid w:val="000C78C3"/>
    <w:rsid w:val="000D7E75"/>
    <w:rsid w:val="000E3BD7"/>
    <w:rsid w:val="000E7C33"/>
    <w:rsid w:val="000F1096"/>
    <w:rsid w:val="000F54BB"/>
    <w:rsid w:val="000F7A60"/>
    <w:rsid w:val="000F7DA5"/>
    <w:rsid w:val="001020C0"/>
    <w:rsid w:val="00107298"/>
    <w:rsid w:val="0011038B"/>
    <w:rsid w:val="00110575"/>
    <w:rsid w:val="00112840"/>
    <w:rsid w:val="001137C8"/>
    <w:rsid w:val="00115675"/>
    <w:rsid w:val="00115A0E"/>
    <w:rsid w:val="00116383"/>
    <w:rsid w:val="00116494"/>
    <w:rsid w:val="00117F7E"/>
    <w:rsid w:val="00120E9B"/>
    <w:rsid w:val="00125DEF"/>
    <w:rsid w:val="0012696C"/>
    <w:rsid w:val="00126F6D"/>
    <w:rsid w:val="00127809"/>
    <w:rsid w:val="00131375"/>
    <w:rsid w:val="00133D3E"/>
    <w:rsid w:val="001352CC"/>
    <w:rsid w:val="00146468"/>
    <w:rsid w:val="00147C03"/>
    <w:rsid w:val="00152EBE"/>
    <w:rsid w:val="001532D2"/>
    <w:rsid w:val="0015492E"/>
    <w:rsid w:val="00154AA9"/>
    <w:rsid w:val="0017162A"/>
    <w:rsid w:val="00172A9E"/>
    <w:rsid w:val="00177C0B"/>
    <w:rsid w:val="00182013"/>
    <w:rsid w:val="00182D9F"/>
    <w:rsid w:val="00184E03"/>
    <w:rsid w:val="0019092B"/>
    <w:rsid w:val="00194D57"/>
    <w:rsid w:val="001A216A"/>
    <w:rsid w:val="001A33AE"/>
    <w:rsid w:val="001A3DF1"/>
    <w:rsid w:val="001A4353"/>
    <w:rsid w:val="001A4C00"/>
    <w:rsid w:val="001A6399"/>
    <w:rsid w:val="001B33A4"/>
    <w:rsid w:val="001B3C3F"/>
    <w:rsid w:val="001B5A1A"/>
    <w:rsid w:val="001C1EC0"/>
    <w:rsid w:val="001C4E18"/>
    <w:rsid w:val="001D2A75"/>
    <w:rsid w:val="001E4CF5"/>
    <w:rsid w:val="001E5300"/>
    <w:rsid w:val="001E7BF4"/>
    <w:rsid w:val="001F0A24"/>
    <w:rsid w:val="001F10B8"/>
    <w:rsid w:val="001F27E4"/>
    <w:rsid w:val="0020014B"/>
    <w:rsid w:val="0020026E"/>
    <w:rsid w:val="00201779"/>
    <w:rsid w:val="00201E0C"/>
    <w:rsid w:val="002021D2"/>
    <w:rsid w:val="00204D41"/>
    <w:rsid w:val="002061EA"/>
    <w:rsid w:val="00206D15"/>
    <w:rsid w:val="00211BD0"/>
    <w:rsid w:val="0023002D"/>
    <w:rsid w:val="00231D7D"/>
    <w:rsid w:val="0023468A"/>
    <w:rsid w:val="00240358"/>
    <w:rsid w:val="00241DC7"/>
    <w:rsid w:val="00246AD4"/>
    <w:rsid w:val="00247DEB"/>
    <w:rsid w:val="00250D8A"/>
    <w:rsid w:val="0025171F"/>
    <w:rsid w:val="00253042"/>
    <w:rsid w:val="0025493B"/>
    <w:rsid w:val="00256B3D"/>
    <w:rsid w:val="00261A00"/>
    <w:rsid w:val="0026259D"/>
    <w:rsid w:val="0026503B"/>
    <w:rsid w:val="00267D9D"/>
    <w:rsid w:val="002776FF"/>
    <w:rsid w:val="002A4C3C"/>
    <w:rsid w:val="002A75A4"/>
    <w:rsid w:val="002B4967"/>
    <w:rsid w:val="002D2987"/>
    <w:rsid w:val="002D58F5"/>
    <w:rsid w:val="002E191A"/>
    <w:rsid w:val="002E2449"/>
    <w:rsid w:val="002E29DE"/>
    <w:rsid w:val="002E594C"/>
    <w:rsid w:val="002E6CA4"/>
    <w:rsid w:val="002F39D6"/>
    <w:rsid w:val="00301A2D"/>
    <w:rsid w:val="00305404"/>
    <w:rsid w:val="00305CA3"/>
    <w:rsid w:val="003146DD"/>
    <w:rsid w:val="00317E10"/>
    <w:rsid w:val="003274EC"/>
    <w:rsid w:val="00327CAD"/>
    <w:rsid w:val="00331196"/>
    <w:rsid w:val="003327B8"/>
    <w:rsid w:val="003407BB"/>
    <w:rsid w:val="00344CC4"/>
    <w:rsid w:val="003456AE"/>
    <w:rsid w:val="00352D4C"/>
    <w:rsid w:val="0035508F"/>
    <w:rsid w:val="00355525"/>
    <w:rsid w:val="00357C05"/>
    <w:rsid w:val="00360B38"/>
    <w:rsid w:val="0036377A"/>
    <w:rsid w:val="003732AB"/>
    <w:rsid w:val="003754B6"/>
    <w:rsid w:val="003757C7"/>
    <w:rsid w:val="00381AA0"/>
    <w:rsid w:val="003944A1"/>
    <w:rsid w:val="003A33BF"/>
    <w:rsid w:val="003A3550"/>
    <w:rsid w:val="003A40C0"/>
    <w:rsid w:val="003A6451"/>
    <w:rsid w:val="003A7147"/>
    <w:rsid w:val="003B25FC"/>
    <w:rsid w:val="003B7E74"/>
    <w:rsid w:val="003C0778"/>
    <w:rsid w:val="003C2F34"/>
    <w:rsid w:val="003D0ACC"/>
    <w:rsid w:val="003D6EFC"/>
    <w:rsid w:val="003D7819"/>
    <w:rsid w:val="003E3E0F"/>
    <w:rsid w:val="003E4E31"/>
    <w:rsid w:val="003E6512"/>
    <w:rsid w:val="003E6D93"/>
    <w:rsid w:val="003F01CF"/>
    <w:rsid w:val="003F193E"/>
    <w:rsid w:val="003F330A"/>
    <w:rsid w:val="003F4E62"/>
    <w:rsid w:val="003F4F95"/>
    <w:rsid w:val="003F5A0C"/>
    <w:rsid w:val="00410DAB"/>
    <w:rsid w:val="004135CE"/>
    <w:rsid w:val="00422CEB"/>
    <w:rsid w:val="00434FF7"/>
    <w:rsid w:val="004401B0"/>
    <w:rsid w:val="004413D7"/>
    <w:rsid w:val="00444711"/>
    <w:rsid w:val="0044475B"/>
    <w:rsid w:val="004454FB"/>
    <w:rsid w:val="00447048"/>
    <w:rsid w:val="00447DE7"/>
    <w:rsid w:val="00450CEA"/>
    <w:rsid w:val="00453CAD"/>
    <w:rsid w:val="004544C5"/>
    <w:rsid w:val="00455C51"/>
    <w:rsid w:val="00460430"/>
    <w:rsid w:val="004610E5"/>
    <w:rsid w:val="00461F31"/>
    <w:rsid w:val="00477E8F"/>
    <w:rsid w:val="00482CFE"/>
    <w:rsid w:val="004839DD"/>
    <w:rsid w:val="004873B5"/>
    <w:rsid w:val="00490504"/>
    <w:rsid w:val="00493A88"/>
    <w:rsid w:val="004971F6"/>
    <w:rsid w:val="0049737D"/>
    <w:rsid w:val="004A3C80"/>
    <w:rsid w:val="004A4BA7"/>
    <w:rsid w:val="004A643E"/>
    <w:rsid w:val="004B187A"/>
    <w:rsid w:val="004B198E"/>
    <w:rsid w:val="004B44C4"/>
    <w:rsid w:val="004C01A2"/>
    <w:rsid w:val="004C0316"/>
    <w:rsid w:val="004C1FC2"/>
    <w:rsid w:val="004C5163"/>
    <w:rsid w:val="004D3368"/>
    <w:rsid w:val="004E07A2"/>
    <w:rsid w:val="004E0BEC"/>
    <w:rsid w:val="004E13EC"/>
    <w:rsid w:val="004E158F"/>
    <w:rsid w:val="004E2590"/>
    <w:rsid w:val="004E35D5"/>
    <w:rsid w:val="004E4CDE"/>
    <w:rsid w:val="004F68B3"/>
    <w:rsid w:val="004F68D9"/>
    <w:rsid w:val="005014CC"/>
    <w:rsid w:val="00503D27"/>
    <w:rsid w:val="00513B72"/>
    <w:rsid w:val="00514147"/>
    <w:rsid w:val="005328E9"/>
    <w:rsid w:val="00542ADF"/>
    <w:rsid w:val="0054380D"/>
    <w:rsid w:val="005466F3"/>
    <w:rsid w:val="00547ED2"/>
    <w:rsid w:val="00555853"/>
    <w:rsid w:val="00556631"/>
    <w:rsid w:val="00557E7B"/>
    <w:rsid w:val="00562EC5"/>
    <w:rsid w:val="0057105D"/>
    <w:rsid w:val="005713E0"/>
    <w:rsid w:val="0057516A"/>
    <w:rsid w:val="00581356"/>
    <w:rsid w:val="00581AC4"/>
    <w:rsid w:val="005829CF"/>
    <w:rsid w:val="00582BD3"/>
    <w:rsid w:val="00585EF2"/>
    <w:rsid w:val="00587909"/>
    <w:rsid w:val="00587C5F"/>
    <w:rsid w:val="005933AC"/>
    <w:rsid w:val="00595C48"/>
    <w:rsid w:val="00597B83"/>
    <w:rsid w:val="005A5B16"/>
    <w:rsid w:val="005B4B10"/>
    <w:rsid w:val="005C58D6"/>
    <w:rsid w:val="005D00C0"/>
    <w:rsid w:val="005D0870"/>
    <w:rsid w:val="005E0667"/>
    <w:rsid w:val="005E09AE"/>
    <w:rsid w:val="005E141F"/>
    <w:rsid w:val="005E207E"/>
    <w:rsid w:val="005E2541"/>
    <w:rsid w:val="005E6ED6"/>
    <w:rsid w:val="005F2FE2"/>
    <w:rsid w:val="005F3635"/>
    <w:rsid w:val="005F4750"/>
    <w:rsid w:val="005F47C2"/>
    <w:rsid w:val="005F5F48"/>
    <w:rsid w:val="005F63A1"/>
    <w:rsid w:val="005F77BB"/>
    <w:rsid w:val="00601598"/>
    <w:rsid w:val="006058E1"/>
    <w:rsid w:val="00606D3A"/>
    <w:rsid w:val="0061081C"/>
    <w:rsid w:val="006160D6"/>
    <w:rsid w:val="006262ED"/>
    <w:rsid w:val="0063400B"/>
    <w:rsid w:val="00637E1E"/>
    <w:rsid w:val="00650766"/>
    <w:rsid w:val="00650CED"/>
    <w:rsid w:val="006523E4"/>
    <w:rsid w:val="006536E5"/>
    <w:rsid w:val="00654742"/>
    <w:rsid w:val="00654F50"/>
    <w:rsid w:val="00665343"/>
    <w:rsid w:val="006654F8"/>
    <w:rsid w:val="00665E15"/>
    <w:rsid w:val="0066613F"/>
    <w:rsid w:val="00674972"/>
    <w:rsid w:val="00674C55"/>
    <w:rsid w:val="00677A0B"/>
    <w:rsid w:val="00682323"/>
    <w:rsid w:val="00687EFE"/>
    <w:rsid w:val="006913D2"/>
    <w:rsid w:val="006953C0"/>
    <w:rsid w:val="006A3B14"/>
    <w:rsid w:val="006A7FA4"/>
    <w:rsid w:val="006B0289"/>
    <w:rsid w:val="006B3A83"/>
    <w:rsid w:val="006B4E14"/>
    <w:rsid w:val="006C1936"/>
    <w:rsid w:val="006C2EAB"/>
    <w:rsid w:val="006C7372"/>
    <w:rsid w:val="006D0FDC"/>
    <w:rsid w:val="006D62EE"/>
    <w:rsid w:val="006D68DE"/>
    <w:rsid w:val="006E0039"/>
    <w:rsid w:val="006E15BF"/>
    <w:rsid w:val="007045A5"/>
    <w:rsid w:val="007046D8"/>
    <w:rsid w:val="00707742"/>
    <w:rsid w:val="00712EBE"/>
    <w:rsid w:val="007146B4"/>
    <w:rsid w:val="00716565"/>
    <w:rsid w:val="00722866"/>
    <w:rsid w:val="007241E1"/>
    <w:rsid w:val="00727A5A"/>
    <w:rsid w:val="00742E10"/>
    <w:rsid w:val="00752AC6"/>
    <w:rsid w:val="007642A8"/>
    <w:rsid w:val="0076545A"/>
    <w:rsid w:val="00771217"/>
    <w:rsid w:val="007741C6"/>
    <w:rsid w:val="00774F82"/>
    <w:rsid w:val="00776FBE"/>
    <w:rsid w:val="007805A1"/>
    <w:rsid w:val="00784F42"/>
    <w:rsid w:val="00791445"/>
    <w:rsid w:val="007926A2"/>
    <w:rsid w:val="007A14A4"/>
    <w:rsid w:val="007A2466"/>
    <w:rsid w:val="007A4522"/>
    <w:rsid w:val="007B3BFF"/>
    <w:rsid w:val="007B6024"/>
    <w:rsid w:val="007C0F04"/>
    <w:rsid w:val="007D0B50"/>
    <w:rsid w:val="007D2D93"/>
    <w:rsid w:val="007D7A09"/>
    <w:rsid w:val="007E0824"/>
    <w:rsid w:val="007E37A2"/>
    <w:rsid w:val="007E6FD7"/>
    <w:rsid w:val="007F626C"/>
    <w:rsid w:val="007F6D47"/>
    <w:rsid w:val="00800FAE"/>
    <w:rsid w:val="00803EA1"/>
    <w:rsid w:val="0080684F"/>
    <w:rsid w:val="00815903"/>
    <w:rsid w:val="00816B64"/>
    <w:rsid w:val="0082415E"/>
    <w:rsid w:val="00824C12"/>
    <w:rsid w:val="00825D53"/>
    <w:rsid w:val="00826CB6"/>
    <w:rsid w:val="00831F88"/>
    <w:rsid w:val="008327FC"/>
    <w:rsid w:val="008337E5"/>
    <w:rsid w:val="0083596F"/>
    <w:rsid w:val="00837E61"/>
    <w:rsid w:val="00841A90"/>
    <w:rsid w:val="00842AA8"/>
    <w:rsid w:val="00845EE2"/>
    <w:rsid w:val="0085123E"/>
    <w:rsid w:val="0085736A"/>
    <w:rsid w:val="00861765"/>
    <w:rsid w:val="00862D51"/>
    <w:rsid w:val="00864883"/>
    <w:rsid w:val="00870774"/>
    <w:rsid w:val="008735EE"/>
    <w:rsid w:val="0087521D"/>
    <w:rsid w:val="008761CC"/>
    <w:rsid w:val="008847D7"/>
    <w:rsid w:val="008903F4"/>
    <w:rsid w:val="00891904"/>
    <w:rsid w:val="0089201F"/>
    <w:rsid w:val="0089277A"/>
    <w:rsid w:val="0089301A"/>
    <w:rsid w:val="008934CA"/>
    <w:rsid w:val="008975AB"/>
    <w:rsid w:val="008A233A"/>
    <w:rsid w:val="008A2F57"/>
    <w:rsid w:val="008A303F"/>
    <w:rsid w:val="008A407B"/>
    <w:rsid w:val="008B0020"/>
    <w:rsid w:val="008B0510"/>
    <w:rsid w:val="008B10B2"/>
    <w:rsid w:val="008C2CF1"/>
    <w:rsid w:val="008C4DD0"/>
    <w:rsid w:val="008C62CD"/>
    <w:rsid w:val="008E0F0F"/>
    <w:rsid w:val="008E75C6"/>
    <w:rsid w:val="008F38E5"/>
    <w:rsid w:val="0090368D"/>
    <w:rsid w:val="009145C9"/>
    <w:rsid w:val="00916170"/>
    <w:rsid w:val="009315C7"/>
    <w:rsid w:val="00931607"/>
    <w:rsid w:val="009405FB"/>
    <w:rsid w:val="00942A0E"/>
    <w:rsid w:val="00943293"/>
    <w:rsid w:val="00943A29"/>
    <w:rsid w:val="00943B31"/>
    <w:rsid w:val="0094784E"/>
    <w:rsid w:val="00954BEC"/>
    <w:rsid w:val="0096366E"/>
    <w:rsid w:val="00965C91"/>
    <w:rsid w:val="009707CF"/>
    <w:rsid w:val="00972FD3"/>
    <w:rsid w:val="009730EC"/>
    <w:rsid w:val="0097310A"/>
    <w:rsid w:val="0097429E"/>
    <w:rsid w:val="009763A0"/>
    <w:rsid w:val="0097679C"/>
    <w:rsid w:val="009928FC"/>
    <w:rsid w:val="00994C87"/>
    <w:rsid w:val="00995338"/>
    <w:rsid w:val="009A0671"/>
    <w:rsid w:val="009A0AE1"/>
    <w:rsid w:val="009A25B4"/>
    <w:rsid w:val="009B1331"/>
    <w:rsid w:val="009B484F"/>
    <w:rsid w:val="009B5A58"/>
    <w:rsid w:val="009C4128"/>
    <w:rsid w:val="009C75D6"/>
    <w:rsid w:val="009D1C10"/>
    <w:rsid w:val="009D6ECE"/>
    <w:rsid w:val="009D7BBF"/>
    <w:rsid w:val="009E0F7E"/>
    <w:rsid w:val="009E4222"/>
    <w:rsid w:val="009E5816"/>
    <w:rsid w:val="009F16AE"/>
    <w:rsid w:val="009F1758"/>
    <w:rsid w:val="009F2D2C"/>
    <w:rsid w:val="009F4B01"/>
    <w:rsid w:val="009F5B64"/>
    <w:rsid w:val="009F7411"/>
    <w:rsid w:val="00A00890"/>
    <w:rsid w:val="00A008CF"/>
    <w:rsid w:val="00A00C28"/>
    <w:rsid w:val="00A07667"/>
    <w:rsid w:val="00A21758"/>
    <w:rsid w:val="00A23C45"/>
    <w:rsid w:val="00A26BBF"/>
    <w:rsid w:val="00A348CD"/>
    <w:rsid w:val="00A424D8"/>
    <w:rsid w:val="00A44A16"/>
    <w:rsid w:val="00A45679"/>
    <w:rsid w:val="00A52232"/>
    <w:rsid w:val="00A522E2"/>
    <w:rsid w:val="00A540B4"/>
    <w:rsid w:val="00A54ACA"/>
    <w:rsid w:val="00A579D2"/>
    <w:rsid w:val="00A61E66"/>
    <w:rsid w:val="00A62C6A"/>
    <w:rsid w:val="00A64840"/>
    <w:rsid w:val="00A67BC3"/>
    <w:rsid w:val="00A7047D"/>
    <w:rsid w:val="00A76206"/>
    <w:rsid w:val="00A803E8"/>
    <w:rsid w:val="00A94B49"/>
    <w:rsid w:val="00A96909"/>
    <w:rsid w:val="00A96BD1"/>
    <w:rsid w:val="00AA0301"/>
    <w:rsid w:val="00AA0BC8"/>
    <w:rsid w:val="00AA148B"/>
    <w:rsid w:val="00AB032E"/>
    <w:rsid w:val="00AB3065"/>
    <w:rsid w:val="00AB3182"/>
    <w:rsid w:val="00AB3C1A"/>
    <w:rsid w:val="00AC3021"/>
    <w:rsid w:val="00AD2DDB"/>
    <w:rsid w:val="00AD7AD7"/>
    <w:rsid w:val="00AE2790"/>
    <w:rsid w:val="00AF2CE5"/>
    <w:rsid w:val="00AF4B99"/>
    <w:rsid w:val="00AF5C79"/>
    <w:rsid w:val="00B00D73"/>
    <w:rsid w:val="00B05629"/>
    <w:rsid w:val="00B105EA"/>
    <w:rsid w:val="00B10609"/>
    <w:rsid w:val="00B119C0"/>
    <w:rsid w:val="00B14511"/>
    <w:rsid w:val="00B17A25"/>
    <w:rsid w:val="00B205D2"/>
    <w:rsid w:val="00B20DBD"/>
    <w:rsid w:val="00B214DC"/>
    <w:rsid w:val="00B21571"/>
    <w:rsid w:val="00B37420"/>
    <w:rsid w:val="00B517D0"/>
    <w:rsid w:val="00B51C06"/>
    <w:rsid w:val="00B618AF"/>
    <w:rsid w:val="00B619B1"/>
    <w:rsid w:val="00B657DD"/>
    <w:rsid w:val="00B65F8B"/>
    <w:rsid w:val="00B71474"/>
    <w:rsid w:val="00B73607"/>
    <w:rsid w:val="00B76A78"/>
    <w:rsid w:val="00B84BB6"/>
    <w:rsid w:val="00B96890"/>
    <w:rsid w:val="00BA3024"/>
    <w:rsid w:val="00BB1BA5"/>
    <w:rsid w:val="00BB217D"/>
    <w:rsid w:val="00BB7585"/>
    <w:rsid w:val="00BC03FD"/>
    <w:rsid w:val="00BC11F6"/>
    <w:rsid w:val="00BC7520"/>
    <w:rsid w:val="00BC75D3"/>
    <w:rsid w:val="00BC7989"/>
    <w:rsid w:val="00BD11ED"/>
    <w:rsid w:val="00BD31F2"/>
    <w:rsid w:val="00BD329C"/>
    <w:rsid w:val="00BD3BAE"/>
    <w:rsid w:val="00BD40E2"/>
    <w:rsid w:val="00BD4C70"/>
    <w:rsid w:val="00BD59EA"/>
    <w:rsid w:val="00BD75AD"/>
    <w:rsid w:val="00BE332D"/>
    <w:rsid w:val="00BE7BB2"/>
    <w:rsid w:val="00C00DD1"/>
    <w:rsid w:val="00C01720"/>
    <w:rsid w:val="00C07D9D"/>
    <w:rsid w:val="00C10C0A"/>
    <w:rsid w:val="00C14D2D"/>
    <w:rsid w:val="00C200D7"/>
    <w:rsid w:val="00C260EB"/>
    <w:rsid w:val="00C26AF5"/>
    <w:rsid w:val="00C272C7"/>
    <w:rsid w:val="00C27CDB"/>
    <w:rsid w:val="00C3414F"/>
    <w:rsid w:val="00C3445F"/>
    <w:rsid w:val="00C35DEB"/>
    <w:rsid w:val="00C55B7A"/>
    <w:rsid w:val="00C61845"/>
    <w:rsid w:val="00C62B69"/>
    <w:rsid w:val="00C6480E"/>
    <w:rsid w:val="00C65041"/>
    <w:rsid w:val="00C65F6F"/>
    <w:rsid w:val="00C756E5"/>
    <w:rsid w:val="00C81816"/>
    <w:rsid w:val="00C8541B"/>
    <w:rsid w:val="00C861B6"/>
    <w:rsid w:val="00C8680A"/>
    <w:rsid w:val="00C8737D"/>
    <w:rsid w:val="00C91218"/>
    <w:rsid w:val="00C96B86"/>
    <w:rsid w:val="00C979CF"/>
    <w:rsid w:val="00CA0D4D"/>
    <w:rsid w:val="00CA7CF8"/>
    <w:rsid w:val="00CB2D6E"/>
    <w:rsid w:val="00CB4184"/>
    <w:rsid w:val="00CB4935"/>
    <w:rsid w:val="00CB4FAC"/>
    <w:rsid w:val="00CD0ABE"/>
    <w:rsid w:val="00CD127A"/>
    <w:rsid w:val="00CD7D83"/>
    <w:rsid w:val="00CE36A5"/>
    <w:rsid w:val="00CE45C4"/>
    <w:rsid w:val="00CE6EC2"/>
    <w:rsid w:val="00CF40DC"/>
    <w:rsid w:val="00CF5484"/>
    <w:rsid w:val="00D056AC"/>
    <w:rsid w:val="00D05A0A"/>
    <w:rsid w:val="00D15ECA"/>
    <w:rsid w:val="00D227DA"/>
    <w:rsid w:val="00D26AD0"/>
    <w:rsid w:val="00D308C8"/>
    <w:rsid w:val="00D31D1F"/>
    <w:rsid w:val="00D374F2"/>
    <w:rsid w:val="00D37B83"/>
    <w:rsid w:val="00D44DEE"/>
    <w:rsid w:val="00D45400"/>
    <w:rsid w:val="00D458D1"/>
    <w:rsid w:val="00D4635E"/>
    <w:rsid w:val="00D50BF4"/>
    <w:rsid w:val="00D54DD5"/>
    <w:rsid w:val="00D57C20"/>
    <w:rsid w:val="00D609AC"/>
    <w:rsid w:val="00D621CF"/>
    <w:rsid w:val="00D65772"/>
    <w:rsid w:val="00D70D6D"/>
    <w:rsid w:val="00D73032"/>
    <w:rsid w:val="00D82937"/>
    <w:rsid w:val="00D82C3D"/>
    <w:rsid w:val="00D84563"/>
    <w:rsid w:val="00D93FE8"/>
    <w:rsid w:val="00D94BF9"/>
    <w:rsid w:val="00D96732"/>
    <w:rsid w:val="00D96D11"/>
    <w:rsid w:val="00DA073B"/>
    <w:rsid w:val="00DA391B"/>
    <w:rsid w:val="00DC0113"/>
    <w:rsid w:val="00DC6984"/>
    <w:rsid w:val="00DD4F79"/>
    <w:rsid w:val="00DD6DD2"/>
    <w:rsid w:val="00DE17B7"/>
    <w:rsid w:val="00DE1DEB"/>
    <w:rsid w:val="00DE22B6"/>
    <w:rsid w:val="00DE44E9"/>
    <w:rsid w:val="00DF5B87"/>
    <w:rsid w:val="00DF6599"/>
    <w:rsid w:val="00DF76A9"/>
    <w:rsid w:val="00E036EA"/>
    <w:rsid w:val="00E04752"/>
    <w:rsid w:val="00E078AE"/>
    <w:rsid w:val="00E12631"/>
    <w:rsid w:val="00E166C5"/>
    <w:rsid w:val="00E2116A"/>
    <w:rsid w:val="00E26EAD"/>
    <w:rsid w:val="00E531B2"/>
    <w:rsid w:val="00E54C8B"/>
    <w:rsid w:val="00E56AAB"/>
    <w:rsid w:val="00E65600"/>
    <w:rsid w:val="00E7064A"/>
    <w:rsid w:val="00E71F4F"/>
    <w:rsid w:val="00E75D95"/>
    <w:rsid w:val="00E81024"/>
    <w:rsid w:val="00E82F9E"/>
    <w:rsid w:val="00E847FA"/>
    <w:rsid w:val="00E90E07"/>
    <w:rsid w:val="00E920DB"/>
    <w:rsid w:val="00E945D2"/>
    <w:rsid w:val="00E96737"/>
    <w:rsid w:val="00E9730A"/>
    <w:rsid w:val="00E97F88"/>
    <w:rsid w:val="00EA5BCB"/>
    <w:rsid w:val="00EB5A7E"/>
    <w:rsid w:val="00EB5FFB"/>
    <w:rsid w:val="00EB7091"/>
    <w:rsid w:val="00EB72E5"/>
    <w:rsid w:val="00EC46F9"/>
    <w:rsid w:val="00EC50E9"/>
    <w:rsid w:val="00ED14EF"/>
    <w:rsid w:val="00ED4552"/>
    <w:rsid w:val="00ED5444"/>
    <w:rsid w:val="00EE11F3"/>
    <w:rsid w:val="00EF3621"/>
    <w:rsid w:val="00EF3BDF"/>
    <w:rsid w:val="00EF473A"/>
    <w:rsid w:val="00EF55CC"/>
    <w:rsid w:val="00EF78E2"/>
    <w:rsid w:val="00F015C9"/>
    <w:rsid w:val="00F02E72"/>
    <w:rsid w:val="00F20316"/>
    <w:rsid w:val="00F2088D"/>
    <w:rsid w:val="00F26D89"/>
    <w:rsid w:val="00F2737F"/>
    <w:rsid w:val="00F33579"/>
    <w:rsid w:val="00F34163"/>
    <w:rsid w:val="00F369F5"/>
    <w:rsid w:val="00F36FAE"/>
    <w:rsid w:val="00F37FC5"/>
    <w:rsid w:val="00F42465"/>
    <w:rsid w:val="00F51322"/>
    <w:rsid w:val="00F51DB0"/>
    <w:rsid w:val="00F640AD"/>
    <w:rsid w:val="00F65C3C"/>
    <w:rsid w:val="00F666F1"/>
    <w:rsid w:val="00F70836"/>
    <w:rsid w:val="00F83864"/>
    <w:rsid w:val="00F83B82"/>
    <w:rsid w:val="00F854D5"/>
    <w:rsid w:val="00F85C2E"/>
    <w:rsid w:val="00F941DF"/>
    <w:rsid w:val="00F9612F"/>
    <w:rsid w:val="00F97865"/>
    <w:rsid w:val="00FA2879"/>
    <w:rsid w:val="00FA2D9C"/>
    <w:rsid w:val="00FA421C"/>
    <w:rsid w:val="00FA5F4E"/>
    <w:rsid w:val="00FA6EBB"/>
    <w:rsid w:val="00FB1138"/>
    <w:rsid w:val="00FB1EFE"/>
    <w:rsid w:val="00FB7DA9"/>
    <w:rsid w:val="00FC6A9C"/>
    <w:rsid w:val="00FC75F7"/>
    <w:rsid w:val="00FD2AA3"/>
    <w:rsid w:val="00FD7FED"/>
    <w:rsid w:val="00FE3FD1"/>
    <w:rsid w:val="00FF476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7BDCC7"/>
  <w15:chartTrackingRefBased/>
  <w15:docId w15:val="{72A72E8F-6ACE-4D54-A918-50B815DA6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tabs>
        <w:tab w:val="left" w:pos="567"/>
      </w:tabs>
      <w:spacing w:line="260" w:lineRule="exact"/>
    </w:pPr>
    <w:rPr>
      <w:rFonts w:ascii="Times New Roman" w:eastAsia="Times New Roman" w:hAnsi="Times New Roman"/>
      <w:snapToGrid w:val="0"/>
      <w:sz w:val="22"/>
      <w:lang w:val="en-GB" w:eastAsia="en-US"/>
    </w:rPr>
  </w:style>
  <w:style w:type="paragraph" w:styleId="Antrat1">
    <w:name w:val="heading 1"/>
    <w:basedOn w:val="prastasis"/>
    <w:next w:val="prastasis"/>
    <w:link w:val="Antrat1Diagrama"/>
    <w:qFormat/>
    <w:pPr>
      <w:spacing w:before="240" w:after="120"/>
      <w:ind w:left="357" w:hanging="357"/>
      <w:outlineLvl w:val="0"/>
    </w:pPr>
    <w:rPr>
      <w:rFonts w:eastAsia="SimSun"/>
      <w:b/>
      <w:caps/>
      <w:snapToGrid/>
      <w:sz w:val="26"/>
      <w:lang w:val="en-US"/>
    </w:rPr>
  </w:style>
  <w:style w:type="paragraph" w:styleId="Antrat2">
    <w:name w:val="heading 2"/>
    <w:basedOn w:val="prastasis"/>
    <w:next w:val="prastasis"/>
    <w:link w:val="Antrat2Diagrama"/>
    <w:qFormat/>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qFormat/>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qFormat/>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qFormat/>
    <w:pPr>
      <w:keepNext/>
      <w:jc w:val="both"/>
      <w:outlineLvl w:val="4"/>
    </w:pPr>
    <w:rPr>
      <w:rFonts w:eastAsia="SimSun"/>
      <w:noProof/>
      <w:snapToGrid/>
    </w:rPr>
  </w:style>
  <w:style w:type="paragraph" w:styleId="Antrat6">
    <w:name w:val="heading 6"/>
    <w:basedOn w:val="prastasis"/>
    <w:next w:val="prastasis"/>
    <w:link w:val="Antrat6Diagrama"/>
    <w:qFormat/>
    <w:pPr>
      <w:keepNext/>
      <w:tabs>
        <w:tab w:val="left" w:pos="-720"/>
        <w:tab w:val="left" w:pos="4536"/>
      </w:tabs>
      <w:suppressAutoHyphens/>
      <w:outlineLvl w:val="5"/>
    </w:pPr>
    <w:rPr>
      <w:rFonts w:eastAsia="SimSun"/>
      <w:i/>
      <w:snapToGrid/>
    </w:rPr>
  </w:style>
  <w:style w:type="paragraph" w:styleId="Antrat7">
    <w:name w:val="heading 7"/>
    <w:basedOn w:val="prastasis"/>
    <w:next w:val="prastasis"/>
    <w:link w:val="Antrat7Diagrama"/>
    <w:qFormat/>
    <w:pPr>
      <w:keepNext/>
      <w:tabs>
        <w:tab w:val="left" w:pos="-720"/>
        <w:tab w:val="left" w:pos="4536"/>
      </w:tabs>
      <w:suppressAutoHyphens/>
      <w:jc w:val="both"/>
      <w:outlineLvl w:val="6"/>
    </w:pPr>
    <w:rPr>
      <w:rFonts w:eastAsia="SimSun"/>
      <w:i/>
      <w:snapToGrid/>
    </w:rPr>
  </w:style>
  <w:style w:type="paragraph" w:styleId="Antrat8">
    <w:name w:val="heading 8"/>
    <w:basedOn w:val="prastasis"/>
    <w:next w:val="prastasis"/>
    <w:link w:val="Antrat8Diagrama"/>
    <w:qFormat/>
    <w:pPr>
      <w:keepNext/>
      <w:ind w:left="567" w:hanging="567"/>
      <w:jc w:val="both"/>
      <w:outlineLvl w:val="7"/>
    </w:pPr>
    <w:rPr>
      <w:rFonts w:eastAsia="SimSun"/>
      <w:b/>
      <w:i/>
      <w:snapToGrid/>
    </w:rPr>
  </w:style>
  <w:style w:type="paragraph" w:styleId="Antrat9">
    <w:name w:val="heading 9"/>
    <w:basedOn w:val="prastasis"/>
    <w:next w:val="prastasis"/>
    <w:link w:val="Antrat9Diagrama"/>
    <w:qFormat/>
    <w:pPr>
      <w:keepNext/>
      <w:jc w:val="both"/>
      <w:outlineLvl w:val="8"/>
    </w:pPr>
    <w:rPr>
      <w:rFonts w:eastAsia="SimSun"/>
      <w:b/>
      <w:i/>
      <w:snapToGrid/>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rPr>
      <w:rFonts w:ascii="Times New Roman" w:eastAsia="SimSun" w:hAnsi="Times New Roman" w:cs="Times New Roman"/>
      <w:b/>
      <w:caps/>
      <w:sz w:val="26"/>
      <w:szCs w:val="20"/>
      <w:lang w:val="en-US"/>
    </w:rPr>
  </w:style>
  <w:style w:type="character" w:customStyle="1" w:styleId="Antrat2Diagrama">
    <w:name w:val="Antraštė 2 Diagrama"/>
    <w:link w:val="Antrat2"/>
    <w:uiPriority w:val="99"/>
    <w:rPr>
      <w:rFonts w:ascii="Cambria" w:eastAsia="Times New Roman" w:hAnsi="Cambria" w:cs="Times New Roman"/>
      <w:b/>
      <w:bCs/>
      <w:i/>
      <w:iCs/>
      <w:snapToGrid w:val="0"/>
      <w:sz w:val="28"/>
      <w:szCs w:val="28"/>
      <w:lang w:val="en-GB" w:eastAsia="x-none"/>
    </w:rPr>
  </w:style>
  <w:style w:type="character" w:customStyle="1" w:styleId="Antrat3Diagrama">
    <w:name w:val="Antraštė 3 Diagrama"/>
    <w:link w:val="Antrat3"/>
    <w:uiPriority w:val="99"/>
    <w:rPr>
      <w:rFonts w:ascii="Cambria" w:eastAsia="Times New Roman" w:hAnsi="Cambria" w:cs="Times New Roman"/>
      <w:b/>
      <w:bCs/>
      <w:snapToGrid w:val="0"/>
      <w:sz w:val="26"/>
      <w:szCs w:val="26"/>
      <w:lang w:val="en-GB" w:eastAsia="x-none"/>
    </w:rPr>
  </w:style>
  <w:style w:type="character" w:customStyle="1" w:styleId="Antrat4Diagrama">
    <w:name w:val="Antraštė 4 Diagrama"/>
    <w:link w:val="Antrat4"/>
    <w:uiPriority w:val="99"/>
    <w:rPr>
      <w:rFonts w:ascii="Calibri" w:eastAsia="Times New Roman" w:hAnsi="Calibri" w:cs="Times New Roman"/>
      <w:b/>
      <w:bCs/>
      <w:snapToGrid w:val="0"/>
      <w:sz w:val="28"/>
      <w:szCs w:val="28"/>
      <w:lang w:val="en-GB" w:eastAsia="x-none"/>
    </w:rPr>
  </w:style>
  <w:style w:type="character" w:customStyle="1" w:styleId="Antrat5Diagrama">
    <w:name w:val="Antraštė 5 Diagrama"/>
    <w:link w:val="Antrat5"/>
    <w:uiPriority w:val="99"/>
    <w:rPr>
      <w:rFonts w:ascii="Times New Roman" w:eastAsia="SimSun" w:hAnsi="Times New Roman" w:cs="Times New Roman"/>
      <w:noProof/>
      <w:szCs w:val="20"/>
      <w:lang w:val="en-GB"/>
    </w:rPr>
  </w:style>
  <w:style w:type="character" w:customStyle="1" w:styleId="Antrat6Diagrama">
    <w:name w:val="Antraštė 6 Diagrama"/>
    <w:link w:val="Antrat6"/>
    <w:uiPriority w:val="99"/>
    <w:rPr>
      <w:rFonts w:ascii="Times New Roman" w:eastAsia="SimSun" w:hAnsi="Times New Roman" w:cs="Times New Roman"/>
      <w:i/>
      <w:szCs w:val="20"/>
      <w:lang w:val="en-GB"/>
    </w:rPr>
  </w:style>
  <w:style w:type="character" w:customStyle="1" w:styleId="Antrat7Diagrama">
    <w:name w:val="Antraštė 7 Diagrama"/>
    <w:link w:val="Antrat7"/>
    <w:uiPriority w:val="99"/>
    <w:rPr>
      <w:rFonts w:ascii="Times New Roman" w:eastAsia="SimSun" w:hAnsi="Times New Roman" w:cs="Times New Roman"/>
      <w:i/>
      <w:szCs w:val="20"/>
      <w:lang w:val="en-GB"/>
    </w:rPr>
  </w:style>
  <w:style w:type="character" w:customStyle="1" w:styleId="Antrat8Diagrama">
    <w:name w:val="Antraštė 8 Diagrama"/>
    <w:link w:val="Antrat8"/>
    <w:uiPriority w:val="99"/>
    <w:rPr>
      <w:rFonts w:ascii="Times New Roman" w:eastAsia="SimSun" w:hAnsi="Times New Roman" w:cs="Times New Roman"/>
      <w:b/>
      <w:i/>
      <w:szCs w:val="20"/>
      <w:lang w:val="en-GB"/>
    </w:rPr>
  </w:style>
  <w:style w:type="character" w:customStyle="1" w:styleId="Antrat9Diagrama">
    <w:name w:val="Antraštė 9 Diagrama"/>
    <w:link w:val="Antrat9"/>
    <w:uiPriority w:val="99"/>
    <w:rPr>
      <w:rFonts w:ascii="Times New Roman" w:eastAsia="SimSun" w:hAnsi="Times New Roman" w:cs="Times New Roman"/>
      <w:b/>
      <w:i/>
      <w:szCs w:val="20"/>
      <w:lang w:val="en-GB"/>
    </w:rPr>
  </w:style>
  <w:style w:type="paragraph" w:styleId="Porat">
    <w:name w:val="footer"/>
    <w:basedOn w:val="prastasis"/>
    <w:link w:val="PoratDiagrama"/>
    <w:pPr>
      <w:tabs>
        <w:tab w:val="center" w:pos="4536"/>
        <w:tab w:val="right" w:pos="8306"/>
      </w:tabs>
    </w:pPr>
    <w:rPr>
      <w:lang w:eastAsia="x-none"/>
    </w:rPr>
  </w:style>
  <w:style w:type="character" w:customStyle="1" w:styleId="PoratDiagrama">
    <w:name w:val="Poraštė Diagrama"/>
    <w:link w:val="Porat"/>
    <w:uiPriority w:val="99"/>
    <w:rPr>
      <w:rFonts w:ascii="Times New Roman" w:eastAsia="Times New Roman" w:hAnsi="Times New Roman" w:cs="Times New Roman"/>
      <w:snapToGrid w:val="0"/>
      <w:szCs w:val="20"/>
      <w:lang w:val="en-GB" w:eastAsia="x-none"/>
    </w:rPr>
  </w:style>
  <w:style w:type="character" w:customStyle="1" w:styleId="HeaderChar">
    <w:name w:val="Header Char"/>
    <w:rPr>
      <w:snapToGrid w:val="0"/>
      <w:sz w:val="22"/>
      <w:lang w:val="en-GB" w:eastAsia="en-US"/>
    </w:rPr>
  </w:style>
  <w:style w:type="character" w:styleId="Puslapionumeris">
    <w:name w:val="page number"/>
    <w:rPr>
      <w:rFonts w:cs="Times New Roman"/>
    </w:rPr>
  </w:style>
  <w:style w:type="character" w:styleId="Hipersaitas">
    <w:name w:val="Hyperlink"/>
    <w:uiPriority w:val="99"/>
    <w:rPr>
      <w:color w:val="0000FF"/>
      <w:u w:val="single"/>
    </w:rPr>
  </w:style>
  <w:style w:type="paragraph" w:customStyle="1" w:styleId="BodytextAgency">
    <w:name w:val="Body text (Agency)"/>
    <w:basedOn w:val="prastasis"/>
    <w:link w:val="BodytextAgencyChar"/>
    <w:uiPriority w:val="99"/>
    <w:pPr>
      <w:tabs>
        <w:tab w:val="clear" w:pos="567"/>
      </w:tabs>
      <w:spacing w:after="140" w:line="280" w:lineRule="atLeast"/>
    </w:pPr>
    <w:rPr>
      <w:rFonts w:ascii="Verdana" w:hAnsi="Verdana"/>
      <w:sz w:val="18"/>
      <w:lang w:eastAsia="x-none"/>
    </w:rPr>
  </w:style>
  <w:style w:type="paragraph" w:customStyle="1" w:styleId="NormalAgency">
    <w:name w:val="Normal (Agency)"/>
    <w:link w:val="NormalAgencyChar"/>
    <w:uiPriority w:val="99"/>
    <w:rPr>
      <w:rFonts w:ascii="Verdana" w:eastAsia="Times New Roman" w:hAnsi="Verdana"/>
      <w:snapToGrid w:val="0"/>
      <w:sz w:val="18"/>
      <w:szCs w:val="22"/>
      <w:lang w:val="en-GB"/>
    </w:rPr>
  </w:style>
  <w:style w:type="paragraph" w:customStyle="1" w:styleId="TabletextrowsAgency">
    <w:name w:val="Table text rows (Agency)"/>
    <w:basedOn w:val="prastasis"/>
    <w:uiPriority w:val="99"/>
    <w:pPr>
      <w:tabs>
        <w:tab w:val="clear" w:pos="567"/>
      </w:tabs>
      <w:spacing w:line="280" w:lineRule="exact"/>
    </w:pPr>
    <w:rPr>
      <w:rFonts w:ascii="Verdana" w:hAnsi="Verdana"/>
      <w:sz w:val="18"/>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paragraph" w:styleId="Debesliotekstas">
    <w:name w:val="Balloon Text"/>
    <w:basedOn w:val="prastasis"/>
    <w:link w:val="DebesliotekstasDiagrama"/>
    <w:pPr>
      <w:spacing w:line="240" w:lineRule="auto"/>
    </w:pPr>
    <w:rPr>
      <w:rFonts w:ascii="Tahoma" w:hAnsi="Tahoma"/>
      <w:sz w:val="16"/>
      <w:szCs w:val="16"/>
      <w:lang w:eastAsia="x-none"/>
    </w:rPr>
  </w:style>
  <w:style w:type="character" w:customStyle="1" w:styleId="DebesliotekstasDiagrama">
    <w:name w:val="Debesėlio tekstas Diagrama"/>
    <w:link w:val="Debesliotekstas"/>
    <w:uiPriority w:val="99"/>
    <w:rPr>
      <w:rFonts w:ascii="Tahoma" w:eastAsia="Times New Roman" w:hAnsi="Tahoma" w:cs="Times New Roman"/>
      <w:snapToGrid w:val="0"/>
      <w:sz w:val="16"/>
      <w:szCs w:val="16"/>
      <w:lang w:val="en-GB" w:eastAsia="x-none"/>
    </w:rPr>
  </w:style>
  <w:style w:type="character" w:styleId="Komentaronuoroda">
    <w:name w:val="annotation reference"/>
    <w:rPr>
      <w:sz w:val="16"/>
      <w:szCs w:val="16"/>
    </w:rPr>
  </w:style>
  <w:style w:type="paragraph" w:styleId="Komentarotekstas">
    <w:name w:val="annotation text"/>
    <w:basedOn w:val="prastasis"/>
    <w:link w:val="KomentarotekstasDiagrama"/>
    <w:rPr>
      <w:sz w:val="20"/>
    </w:rPr>
  </w:style>
  <w:style w:type="character" w:customStyle="1" w:styleId="KomentarotekstasDiagrama">
    <w:name w:val="Komentaro tekstas Diagrama"/>
    <w:link w:val="Komentarotekstas"/>
    <w:rPr>
      <w:rFonts w:ascii="Times New Roman" w:eastAsia="Times New Roman" w:hAnsi="Times New Roman" w:cs="Times New Roman"/>
      <w:snapToGrid w:val="0"/>
      <w:sz w:val="20"/>
      <w:szCs w:val="20"/>
      <w:lang w:val="en-GB"/>
    </w:rPr>
  </w:style>
  <w:style w:type="paragraph" w:styleId="Komentarotema">
    <w:name w:val="annotation subject"/>
    <w:basedOn w:val="Komentarotekstas"/>
    <w:next w:val="Komentarotekstas"/>
    <w:link w:val="KomentarotemaDiagrama"/>
    <w:rPr>
      <w:b/>
      <w:bCs/>
    </w:rPr>
  </w:style>
  <w:style w:type="character" w:customStyle="1" w:styleId="KomentarotemaDiagrama">
    <w:name w:val="Komentaro tema Diagrama"/>
    <w:link w:val="Komentarotema"/>
    <w:rPr>
      <w:rFonts w:ascii="Times New Roman" w:eastAsia="Times New Roman" w:hAnsi="Times New Roman" w:cs="Times New Roman"/>
      <w:b/>
      <w:bCs/>
      <w:snapToGrid w:val="0"/>
      <w:sz w:val="20"/>
      <w:szCs w:val="20"/>
      <w:lang w:val="en-GB"/>
    </w:rPr>
  </w:style>
  <w:style w:type="paragraph" w:styleId="Pataisymai">
    <w:name w:val="Revision"/>
    <w:hidden/>
    <w:uiPriority w:val="99"/>
    <w:semiHidden/>
    <w:rPr>
      <w:rFonts w:ascii="Times New Roman" w:eastAsia="Times New Roman" w:hAnsi="Times New Roman"/>
      <w:snapToGrid w:val="0"/>
      <w:sz w:val="22"/>
      <w:lang w:val="en-GB" w:eastAsia="en-US"/>
    </w:rPr>
  </w:style>
  <w:style w:type="paragraph" w:customStyle="1" w:styleId="EMEAEnBodyText">
    <w:name w:val="EMEA En Body Text"/>
    <w:basedOn w:val="prastasis"/>
    <w:pPr>
      <w:tabs>
        <w:tab w:val="clear" w:pos="567"/>
      </w:tabs>
      <w:spacing w:before="120" w:after="120" w:line="240" w:lineRule="auto"/>
      <w:jc w:val="both"/>
    </w:pPr>
    <w:rPr>
      <w:rFonts w:eastAsia="SimSun"/>
      <w:snapToGrid/>
      <w:lang w:val="en-US" w:eastAsia="zh-CN"/>
    </w:rPr>
  </w:style>
  <w:style w:type="character" w:customStyle="1" w:styleId="tw4winMark">
    <w:name w:val="tw4winMark"/>
    <w:uiPriority w:val="99"/>
    <w:rPr>
      <w:rFonts w:ascii="Courier New" w:hAnsi="Courier New"/>
      <w:vanish/>
      <w:color w:val="800080"/>
      <w:sz w:val="24"/>
      <w:vertAlign w:val="subscript"/>
    </w:rPr>
  </w:style>
  <w:style w:type="paragraph" w:styleId="Antrats">
    <w:name w:val="header"/>
    <w:basedOn w:val="prastasis"/>
    <w:link w:val="AntratsDiagrama"/>
    <w:pPr>
      <w:tabs>
        <w:tab w:val="clear" w:pos="567"/>
        <w:tab w:val="center" w:pos="4320"/>
        <w:tab w:val="right" w:pos="8640"/>
      </w:tabs>
    </w:pPr>
    <w:rPr>
      <w:rFonts w:eastAsia="SimSun"/>
      <w:snapToGrid/>
      <w:lang w:eastAsia="zh-CN"/>
    </w:rPr>
  </w:style>
  <w:style w:type="character" w:customStyle="1" w:styleId="AntratsDiagrama">
    <w:name w:val="Antraštės Diagrama"/>
    <w:link w:val="Antrats"/>
    <w:uiPriority w:val="99"/>
    <w:rPr>
      <w:rFonts w:ascii="Times New Roman" w:eastAsia="SimSun" w:hAnsi="Times New Roman" w:cs="Times New Roman"/>
      <w:szCs w:val="20"/>
      <w:lang w:val="en-GB" w:eastAsia="zh-CN"/>
    </w:rPr>
  </w:style>
  <w:style w:type="paragraph" w:styleId="Dokumentostruktra">
    <w:name w:val="Document Map"/>
    <w:basedOn w:val="prastasis"/>
    <w:link w:val="DokumentostruktraDiagrama"/>
    <w:uiPriority w:val="99"/>
    <w:pPr>
      <w:shd w:val="clear" w:color="auto" w:fill="000080"/>
    </w:pPr>
    <w:rPr>
      <w:rFonts w:ascii="Tahoma" w:eastAsia="SimSun" w:hAnsi="Tahoma"/>
      <w:snapToGrid/>
      <w:sz w:val="20"/>
      <w:lang w:eastAsia="zh-CN"/>
    </w:rPr>
  </w:style>
  <w:style w:type="character" w:customStyle="1" w:styleId="DokumentostruktraDiagrama">
    <w:name w:val="Dokumento struktūra Diagrama"/>
    <w:link w:val="Dokumentostruktra"/>
    <w:uiPriority w:val="99"/>
    <w:rPr>
      <w:rFonts w:ascii="Tahoma" w:eastAsia="SimSun" w:hAnsi="Tahoma" w:cs="Times New Roman"/>
      <w:sz w:val="20"/>
      <w:szCs w:val="20"/>
      <w:shd w:val="clear" w:color="auto" w:fill="000080"/>
      <w:lang w:val="en-GB" w:eastAsia="zh-CN"/>
    </w:rPr>
  </w:style>
  <w:style w:type="paragraph" w:styleId="Pagrindiniotekstotrauka">
    <w:name w:val="Body Text Indent"/>
    <w:basedOn w:val="prastasis"/>
    <w:link w:val="PagrindiniotekstotraukaDiagrama"/>
    <w:uiPriority w:val="99"/>
    <w:pPr>
      <w:tabs>
        <w:tab w:val="clear" w:pos="567"/>
      </w:tabs>
      <w:autoSpaceDE w:val="0"/>
      <w:autoSpaceDN w:val="0"/>
      <w:adjustRightInd w:val="0"/>
      <w:spacing w:line="240" w:lineRule="auto"/>
      <w:ind w:left="720"/>
      <w:jc w:val="both"/>
    </w:pPr>
    <w:rPr>
      <w:rFonts w:eastAsia="SimSun"/>
      <w:snapToGrid/>
      <w:szCs w:val="22"/>
      <w:lang w:eastAsia="en-GB"/>
    </w:rPr>
  </w:style>
  <w:style w:type="character" w:customStyle="1" w:styleId="PagrindiniotekstotraukaDiagrama">
    <w:name w:val="Pagrindinio teksto įtrauka Diagrama"/>
    <w:link w:val="Pagrindiniotekstotrauka"/>
    <w:uiPriority w:val="99"/>
    <w:rPr>
      <w:rFonts w:ascii="Times New Roman" w:eastAsia="SimSun" w:hAnsi="Times New Roman" w:cs="Times New Roman"/>
      <w:lang w:val="en-GB" w:eastAsia="en-GB"/>
    </w:rPr>
  </w:style>
  <w:style w:type="paragraph" w:styleId="Pagrindinistekstas3">
    <w:name w:val="Body Text 3"/>
    <w:basedOn w:val="prastasis"/>
    <w:link w:val="Pagrindinistekstas3Diagrama"/>
    <w:uiPriority w:val="99"/>
    <w:pPr>
      <w:tabs>
        <w:tab w:val="clear" w:pos="567"/>
      </w:tabs>
      <w:autoSpaceDE w:val="0"/>
      <w:autoSpaceDN w:val="0"/>
      <w:adjustRightInd w:val="0"/>
      <w:spacing w:line="240" w:lineRule="auto"/>
      <w:jc w:val="both"/>
    </w:pPr>
    <w:rPr>
      <w:rFonts w:eastAsia="SimSun"/>
      <w:snapToGrid/>
      <w:color w:val="0000FF"/>
      <w:szCs w:val="22"/>
      <w:lang w:eastAsia="en-GB"/>
    </w:rPr>
  </w:style>
  <w:style w:type="character" w:customStyle="1" w:styleId="Pagrindinistekstas3Diagrama">
    <w:name w:val="Pagrindinis tekstas 3 Diagrama"/>
    <w:link w:val="Pagrindinistekstas3"/>
    <w:uiPriority w:val="99"/>
    <w:rPr>
      <w:rFonts w:ascii="Times New Roman" w:eastAsia="SimSun" w:hAnsi="Times New Roman" w:cs="Times New Roman"/>
      <w:color w:val="0000FF"/>
      <w:lang w:val="en-GB" w:eastAsia="en-GB"/>
    </w:rPr>
  </w:style>
  <w:style w:type="paragraph" w:styleId="Pagrindiniotekstotrauka2">
    <w:name w:val="Body Text Indent 2"/>
    <w:basedOn w:val="prastasis"/>
    <w:link w:val="Pagrindiniotekstotrauka2Diagrama"/>
    <w:uiPriority w:val="99"/>
    <w:pPr>
      <w:pBdr>
        <w:top w:val="wave" w:sz="6" w:space="0" w:color="auto"/>
        <w:left w:val="wave" w:sz="6" w:space="3" w:color="auto"/>
        <w:bottom w:val="wave" w:sz="6" w:space="1" w:color="auto"/>
        <w:right w:val="wave" w:sz="6" w:space="4" w:color="auto"/>
      </w:pBdr>
      <w:autoSpaceDE w:val="0"/>
      <w:autoSpaceDN w:val="0"/>
      <w:adjustRightInd w:val="0"/>
      <w:ind w:left="1134"/>
      <w:jc w:val="both"/>
    </w:pPr>
    <w:rPr>
      <w:rFonts w:eastAsia="SimSun"/>
      <w:b/>
      <w:bCs/>
      <w:snapToGrid/>
      <w:color w:val="0000FF"/>
      <w:szCs w:val="22"/>
    </w:rPr>
  </w:style>
  <w:style w:type="character" w:customStyle="1" w:styleId="Pagrindiniotekstotrauka2Diagrama">
    <w:name w:val="Pagrindinio teksto įtrauka 2 Diagrama"/>
    <w:link w:val="Pagrindiniotekstotrauka2"/>
    <w:uiPriority w:val="99"/>
    <w:rPr>
      <w:rFonts w:ascii="Times New Roman" w:eastAsia="SimSun" w:hAnsi="Times New Roman" w:cs="Times New Roman"/>
      <w:b/>
      <w:bCs/>
      <w:color w:val="0000FF"/>
      <w:lang w:val="en-GB"/>
    </w:rPr>
  </w:style>
  <w:style w:type="paragraph" w:styleId="Pagrindinistekstas">
    <w:name w:val="Body Text"/>
    <w:basedOn w:val="prastasis"/>
    <w:link w:val="PagrindinistekstasDiagrama"/>
    <w:pPr>
      <w:tabs>
        <w:tab w:val="clear" w:pos="567"/>
      </w:tabs>
      <w:spacing w:line="240" w:lineRule="auto"/>
    </w:pPr>
    <w:rPr>
      <w:rFonts w:eastAsia="SimSun"/>
      <w:i/>
      <w:snapToGrid/>
      <w:color w:val="008000"/>
    </w:rPr>
  </w:style>
  <w:style w:type="character" w:customStyle="1" w:styleId="PagrindinistekstasDiagrama">
    <w:name w:val="Pagrindinis tekstas Diagrama"/>
    <w:link w:val="Pagrindinistekstas"/>
    <w:uiPriority w:val="99"/>
    <w:rPr>
      <w:rFonts w:ascii="Times New Roman" w:eastAsia="SimSun" w:hAnsi="Times New Roman" w:cs="Times New Roman"/>
      <w:i/>
      <w:color w:val="008000"/>
      <w:szCs w:val="20"/>
      <w:lang w:val="en-GB"/>
    </w:rPr>
  </w:style>
  <w:style w:type="paragraph" w:styleId="Pagrindinistekstas2">
    <w:name w:val="Body Text 2"/>
    <w:basedOn w:val="prastasis"/>
    <w:link w:val="Pagrindinistekstas2Diagrama"/>
    <w:pPr>
      <w:pBdr>
        <w:top w:val="wave" w:sz="6" w:space="0" w:color="auto"/>
        <w:left w:val="wave" w:sz="6" w:space="3" w:color="auto"/>
        <w:bottom w:val="wave" w:sz="6" w:space="1" w:color="auto"/>
        <w:right w:val="wave" w:sz="6" w:space="4" w:color="auto"/>
      </w:pBdr>
      <w:autoSpaceDE w:val="0"/>
      <w:autoSpaceDN w:val="0"/>
      <w:adjustRightInd w:val="0"/>
      <w:jc w:val="both"/>
    </w:pPr>
    <w:rPr>
      <w:rFonts w:eastAsia="SimSun"/>
      <w:b/>
      <w:bCs/>
      <w:snapToGrid/>
      <w:color w:val="0000FF"/>
      <w:szCs w:val="22"/>
      <w:u w:val="single"/>
    </w:rPr>
  </w:style>
  <w:style w:type="character" w:customStyle="1" w:styleId="Pagrindinistekstas2Diagrama">
    <w:name w:val="Pagrindinis tekstas 2 Diagrama"/>
    <w:link w:val="Pagrindinistekstas2"/>
    <w:uiPriority w:val="99"/>
    <w:rPr>
      <w:rFonts w:ascii="Times New Roman" w:eastAsia="SimSun" w:hAnsi="Times New Roman" w:cs="Times New Roman"/>
      <w:b/>
      <w:bCs/>
      <w:color w:val="0000FF"/>
      <w:u w:val="single"/>
      <w:lang w:val="en-GB"/>
    </w:rPr>
  </w:style>
  <w:style w:type="paragraph" w:customStyle="1" w:styleId="AHeader1">
    <w:name w:val="AHeader 1"/>
    <w:basedOn w:val="prastasis"/>
    <w:pPr>
      <w:tabs>
        <w:tab w:val="clear" w:pos="567"/>
        <w:tab w:val="num" w:pos="720"/>
      </w:tabs>
      <w:spacing w:after="120" w:line="240" w:lineRule="auto"/>
      <w:ind w:left="284" w:hanging="284"/>
    </w:pPr>
    <w:rPr>
      <w:rFonts w:ascii="Arial" w:eastAsia="SimSun" w:hAnsi="Arial" w:cs="Arial"/>
      <w:b/>
      <w:bCs/>
      <w:snapToGrid/>
      <w:sz w:val="24"/>
    </w:rPr>
  </w:style>
  <w:style w:type="paragraph" w:customStyle="1" w:styleId="AHeader2">
    <w:name w:val="AHeader 2"/>
    <w:basedOn w:val="AHeader1"/>
    <w:pPr>
      <w:tabs>
        <w:tab w:val="clear" w:pos="720"/>
        <w:tab w:val="num" w:pos="360"/>
      </w:tabs>
      <w:ind w:left="709" w:hanging="425"/>
    </w:pPr>
    <w:rPr>
      <w:sz w:val="22"/>
    </w:rPr>
  </w:style>
  <w:style w:type="paragraph" w:customStyle="1" w:styleId="AHeader3">
    <w:name w:val="AHeader 3"/>
    <w:basedOn w:val="AHeader2"/>
    <w:pPr>
      <w:ind w:left="1276" w:hanging="567"/>
    </w:pPr>
  </w:style>
  <w:style w:type="paragraph" w:customStyle="1" w:styleId="AHeader2abc">
    <w:name w:val="AHeader 2 abc"/>
    <w:basedOn w:val="AHeader3"/>
    <w:pPr>
      <w:jc w:val="both"/>
    </w:pPr>
    <w:rPr>
      <w:b w:val="0"/>
      <w:bCs w:val="0"/>
    </w:rPr>
  </w:style>
  <w:style w:type="paragraph" w:customStyle="1" w:styleId="AHeader3abc">
    <w:name w:val="AHeader 3 abc"/>
    <w:basedOn w:val="AHeader2abc"/>
    <w:pPr>
      <w:ind w:left="1701" w:hanging="425"/>
    </w:pPr>
  </w:style>
  <w:style w:type="paragraph" w:styleId="Pagrindiniotekstotrauka3">
    <w:name w:val="Body Text Indent 3"/>
    <w:basedOn w:val="prastasis"/>
    <w:link w:val="Pagrindiniotekstotrauka3Diagrama"/>
    <w:uiPriority w:val="99"/>
    <w:pPr>
      <w:tabs>
        <w:tab w:val="left" w:pos="1134"/>
      </w:tabs>
      <w:autoSpaceDE w:val="0"/>
      <w:autoSpaceDN w:val="0"/>
      <w:adjustRightInd w:val="0"/>
      <w:ind w:left="633"/>
      <w:jc w:val="both"/>
    </w:pPr>
    <w:rPr>
      <w:rFonts w:eastAsia="SimSun"/>
      <w:snapToGrid/>
      <w:szCs w:val="21"/>
    </w:rPr>
  </w:style>
  <w:style w:type="character" w:customStyle="1" w:styleId="Pagrindiniotekstotrauka3Diagrama">
    <w:name w:val="Pagrindinio teksto įtrauka 3 Diagrama"/>
    <w:link w:val="Pagrindiniotekstotrauka3"/>
    <w:uiPriority w:val="99"/>
    <w:rPr>
      <w:rFonts w:ascii="Times New Roman" w:eastAsia="SimSun" w:hAnsi="Times New Roman" w:cs="Times New Roman"/>
      <w:szCs w:val="21"/>
      <w:lang w:val="en-GB"/>
    </w:rPr>
  </w:style>
  <w:style w:type="character" w:styleId="Perirtashipersaitas">
    <w:name w:val="FollowedHyperlink"/>
    <w:rPr>
      <w:rFonts w:cs="Times New Roman"/>
      <w:color w:val="800080"/>
      <w:u w:val="single"/>
    </w:rPr>
  </w:style>
  <w:style w:type="character" w:styleId="Grietas">
    <w:name w:val="Strong"/>
    <w:qFormat/>
    <w:rPr>
      <w:rFonts w:cs="Times New Roman"/>
      <w:b/>
      <w:bCs/>
    </w:rPr>
  </w:style>
  <w:style w:type="character" w:customStyle="1" w:styleId="BodytextAgencyChar">
    <w:name w:val="Body text (Agency) Char"/>
    <w:link w:val="BodytextAgency"/>
    <w:uiPriority w:val="99"/>
    <w:locked/>
    <w:rPr>
      <w:rFonts w:ascii="Verdana" w:eastAsia="Times New Roman" w:hAnsi="Verdana" w:cs="Times New Roman"/>
      <w:snapToGrid w:val="0"/>
      <w:sz w:val="18"/>
      <w:szCs w:val="20"/>
      <w:lang w:val="en-GB"/>
    </w:rPr>
  </w:style>
  <w:style w:type="table" w:customStyle="1" w:styleId="TablegridAgencyblack">
    <w:name w:val="Table grid (Agency) black"/>
    <w:uiPriority w:val="99"/>
    <w:semiHidden/>
    <w:rPr>
      <w:rFonts w:ascii="Verdana" w:eastAsia="SimSun" w:hAnsi="Verdana"/>
      <w:sz w:val="18"/>
    </w:rPr>
    <w:tblPr>
      <w:tblInd w:w="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top w:w="0" w:type="dxa"/>
        <w:left w:w="108" w:type="dxa"/>
        <w:bottom w:w="0" w:type="dxa"/>
        <w:right w:w="108" w:type="dxa"/>
      </w:tblCellMar>
    </w:tblPr>
  </w:style>
  <w:style w:type="paragraph" w:customStyle="1" w:styleId="TableheadingrowsAgency">
    <w:name w:val="Table heading rows (Agency)"/>
    <w:basedOn w:val="BodytextAgency"/>
    <w:uiPriority w:val="99"/>
    <w:pPr>
      <w:keepNext/>
    </w:pPr>
    <w:rPr>
      <w:rFonts w:eastAsia="SimSun" w:cs="Verdana"/>
      <w:b/>
      <w:snapToGrid/>
      <w:szCs w:val="18"/>
      <w:lang w:eastAsia="en-GB"/>
    </w:rPr>
  </w:style>
  <w:style w:type="character" w:customStyle="1" w:styleId="NormalAgencyChar">
    <w:name w:val="Normal (Agency) Char"/>
    <w:link w:val="NormalAgency"/>
    <w:uiPriority w:val="99"/>
    <w:locked/>
    <w:rPr>
      <w:rFonts w:ascii="Verdana" w:eastAsia="Times New Roman" w:hAnsi="Verdana" w:cs="Times New Roman"/>
      <w:snapToGrid w:val="0"/>
      <w:sz w:val="18"/>
      <w:szCs w:val="22"/>
      <w:lang w:val="en-GB" w:bidi="ar-SA"/>
    </w:rPr>
  </w:style>
  <w:style w:type="paragraph" w:styleId="Paprastasistekstas">
    <w:name w:val="Plain Text"/>
    <w:basedOn w:val="prastasis"/>
    <w:link w:val="PaprastasistekstasDiagrama"/>
    <w:uiPriority w:val="99"/>
    <w:pPr>
      <w:tabs>
        <w:tab w:val="clear" w:pos="567"/>
      </w:tabs>
      <w:spacing w:line="240" w:lineRule="auto"/>
    </w:pPr>
    <w:rPr>
      <w:rFonts w:ascii="Courier New" w:eastAsia="SimSun" w:hAnsi="Courier New"/>
      <w:snapToGrid/>
      <w:sz w:val="20"/>
      <w:lang w:val="en-US"/>
    </w:rPr>
  </w:style>
  <w:style w:type="character" w:customStyle="1" w:styleId="PaprastasistekstasDiagrama">
    <w:name w:val="Paprastasis tekstas Diagrama"/>
    <w:link w:val="Paprastasistekstas"/>
    <w:uiPriority w:val="99"/>
    <w:rPr>
      <w:rFonts w:ascii="Courier New" w:eastAsia="SimSun" w:hAnsi="Courier New" w:cs="Times New Roman"/>
      <w:sz w:val="20"/>
      <w:szCs w:val="20"/>
      <w:lang w:val="en-US"/>
    </w:rPr>
  </w:style>
  <w:style w:type="paragraph" w:customStyle="1" w:styleId="Default">
    <w:name w:val="Default"/>
    <w:pPr>
      <w:autoSpaceDE w:val="0"/>
      <w:autoSpaceDN w:val="0"/>
      <w:adjustRightInd w:val="0"/>
    </w:pPr>
    <w:rPr>
      <w:rFonts w:ascii="Times New Roman" w:eastAsia="SimSun" w:hAnsi="Times New Roman"/>
      <w:color w:val="000000"/>
      <w:sz w:val="24"/>
      <w:szCs w:val="24"/>
      <w:lang w:val="en-US" w:eastAsia="zh-CN"/>
    </w:rPr>
  </w:style>
  <w:style w:type="paragraph" w:styleId="Pavadinimas">
    <w:name w:val="Title"/>
    <w:basedOn w:val="prastasis"/>
    <w:link w:val="PavadinimasDiagrama"/>
    <w:uiPriority w:val="99"/>
    <w:qFormat/>
    <w:pPr>
      <w:tabs>
        <w:tab w:val="clear" w:pos="567"/>
      </w:tabs>
      <w:spacing w:line="240" w:lineRule="auto"/>
      <w:jc w:val="center"/>
    </w:pPr>
    <w:rPr>
      <w:rFonts w:eastAsia="SimSun"/>
      <w:b/>
      <w:snapToGrid/>
    </w:rPr>
  </w:style>
  <w:style w:type="character" w:customStyle="1" w:styleId="PavadinimasDiagrama">
    <w:name w:val="Pavadinimas Diagrama"/>
    <w:link w:val="Pavadinimas"/>
    <w:uiPriority w:val="99"/>
    <w:rPr>
      <w:rFonts w:ascii="Times New Roman" w:eastAsia="SimSun" w:hAnsi="Times New Roman" w:cs="Times New Roman"/>
      <w:b/>
      <w:szCs w:val="20"/>
      <w:lang w:val="en-GB"/>
    </w:rPr>
  </w:style>
  <w:style w:type="paragraph" w:styleId="Dokumentoinaostekstas">
    <w:name w:val="endnote text"/>
    <w:basedOn w:val="prastasis"/>
    <w:link w:val="DokumentoinaostekstasDiagrama"/>
    <w:uiPriority w:val="99"/>
    <w:pPr>
      <w:spacing w:line="240" w:lineRule="auto"/>
    </w:pPr>
    <w:rPr>
      <w:rFonts w:eastAsia="SimSun"/>
      <w:snapToGrid/>
    </w:rPr>
  </w:style>
  <w:style w:type="character" w:customStyle="1" w:styleId="DokumentoinaostekstasDiagrama">
    <w:name w:val="Dokumento išnašos tekstas Diagrama"/>
    <w:link w:val="Dokumentoinaostekstas"/>
    <w:uiPriority w:val="99"/>
    <w:rPr>
      <w:rFonts w:ascii="Times New Roman" w:eastAsia="SimSun" w:hAnsi="Times New Roman" w:cs="Times New Roman"/>
      <w:szCs w:val="20"/>
      <w:lang w:val="en-GB"/>
    </w:rPr>
  </w:style>
  <w:style w:type="paragraph" w:customStyle="1" w:styleId="BTEMEASMCA">
    <w:name w:val="BT EMEA_SMCA"/>
    <w:basedOn w:val="prastasis"/>
    <w:link w:val="BTEMEASMCAChar"/>
    <w:autoRedefine/>
    <w:uiPriority w:val="99"/>
    <w:pPr>
      <w:tabs>
        <w:tab w:val="clear" w:pos="567"/>
      </w:tabs>
      <w:spacing w:line="240" w:lineRule="auto"/>
    </w:pPr>
    <w:rPr>
      <w:rFonts w:eastAsia="SimSun"/>
      <w:noProof/>
      <w:snapToGrid/>
      <w:sz w:val="20"/>
      <w:lang w:val="x-none" w:eastAsia="x-none"/>
    </w:rPr>
  </w:style>
  <w:style w:type="character" w:customStyle="1" w:styleId="BTEMEASMCAChar">
    <w:name w:val="BT EMEA_SMCA Char"/>
    <w:link w:val="BTEMEASMCA"/>
    <w:uiPriority w:val="99"/>
    <w:locked/>
    <w:rPr>
      <w:rFonts w:ascii="Times New Roman" w:eastAsia="SimSun" w:hAnsi="Times New Roman" w:cs="Times New Roman"/>
      <w:noProof/>
      <w:lang w:val="x-none"/>
    </w:rPr>
  </w:style>
  <w:style w:type="character" w:customStyle="1" w:styleId="CharChar12">
    <w:name w:val="Char Char12"/>
    <w:locked/>
    <w:rPr>
      <w:snapToGrid w:val="0"/>
      <w:lang w:val="en-GB" w:eastAsia="en-US" w:bidi="ar-SA"/>
    </w:rPr>
  </w:style>
  <w:style w:type="numbering" w:customStyle="1" w:styleId="NoList1">
    <w:name w:val="No List1"/>
    <w:next w:val="Sraonra"/>
    <w:uiPriority w:val="99"/>
    <w:semiHidden/>
    <w:unhideWhenUsed/>
  </w:style>
  <w:style w:type="table" w:styleId="Lentelstinklelis">
    <w:name w:val="Table Grid"/>
    <w:basedOn w:val="prastojilentel"/>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1">
    <w:name w:val="Nerazrešena omemba1"/>
    <w:uiPriority w:val="99"/>
    <w:semiHidden/>
    <w:unhideWhenUsed/>
    <w:rPr>
      <w:color w:val="605E5C"/>
      <w:shd w:val="clear" w:color="auto" w:fill="E1DFDD"/>
    </w:rPr>
  </w:style>
  <w:style w:type="character" w:customStyle="1" w:styleId="Neapdorotaspaminjimas1">
    <w:name w:val="Neapdorotas paminėjimas1"/>
    <w:uiPriority w:val="99"/>
    <w:semiHidden/>
    <w:unhideWhenUsed/>
    <w:rsid w:val="007B3B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113758">
      <w:bodyDiv w:val="1"/>
      <w:marLeft w:val="0"/>
      <w:marRight w:val="0"/>
      <w:marTop w:val="0"/>
      <w:marBottom w:val="0"/>
      <w:divBdr>
        <w:top w:val="none" w:sz="0" w:space="0" w:color="auto"/>
        <w:left w:val="none" w:sz="0" w:space="0" w:color="auto"/>
        <w:bottom w:val="none" w:sz="0" w:space="0" w:color="auto"/>
        <w:right w:val="none" w:sz="0" w:space="0" w:color="auto"/>
      </w:divBdr>
    </w:div>
    <w:div w:id="461269877">
      <w:bodyDiv w:val="1"/>
      <w:marLeft w:val="0"/>
      <w:marRight w:val="0"/>
      <w:marTop w:val="0"/>
      <w:marBottom w:val="0"/>
      <w:divBdr>
        <w:top w:val="none" w:sz="0" w:space="0" w:color="auto"/>
        <w:left w:val="none" w:sz="0" w:space="0" w:color="auto"/>
        <w:bottom w:val="none" w:sz="0" w:space="0" w:color="auto"/>
        <w:right w:val="none" w:sz="0" w:space="0" w:color="auto"/>
      </w:divBdr>
    </w:div>
    <w:div w:id="898319506">
      <w:bodyDiv w:val="1"/>
      <w:marLeft w:val="0"/>
      <w:marRight w:val="0"/>
      <w:marTop w:val="0"/>
      <w:marBottom w:val="0"/>
      <w:divBdr>
        <w:top w:val="none" w:sz="0" w:space="0" w:color="auto"/>
        <w:left w:val="none" w:sz="0" w:space="0" w:color="auto"/>
        <w:bottom w:val="none" w:sz="0" w:space="0" w:color="auto"/>
        <w:right w:val="none" w:sz="0" w:space="0" w:color="auto"/>
      </w:divBdr>
    </w:div>
    <w:div w:id="1185440179">
      <w:bodyDiv w:val="1"/>
      <w:marLeft w:val="0"/>
      <w:marRight w:val="0"/>
      <w:marTop w:val="0"/>
      <w:marBottom w:val="0"/>
      <w:divBdr>
        <w:top w:val="none" w:sz="0" w:space="0" w:color="auto"/>
        <w:left w:val="none" w:sz="0" w:space="0" w:color="auto"/>
        <w:bottom w:val="none" w:sz="0" w:space="0" w:color="auto"/>
        <w:right w:val="none" w:sz="0" w:space="0" w:color="auto"/>
      </w:divBdr>
    </w:div>
    <w:div w:id="1551503360">
      <w:bodyDiv w:val="1"/>
      <w:marLeft w:val="0"/>
      <w:marRight w:val="0"/>
      <w:marTop w:val="0"/>
      <w:marBottom w:val="0"/>
      <w:divBdr>
        <w:top w:val="none" w:sz="0" w:space="0" w:color="auto"/>
        <w:left w:val="none" w:sz="0" w:space="0" w:color="auto"/>
        <w:bottom w:val="none" w:sz="0" w:space="0" w:color="auto"/>
        <w:right w:val="none" w:sz="0" w:space="0" w:color="auto"/>
      </w:divBdr>
    </w:div>
    <w:div w:id="213864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epageidaujamaR@vvkt.lt"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vvkt.lt/"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ema.europa.e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03BB6-6253-41DC-A7DD-B8DA9644A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63</Pages>
  <Words>106914</Words>
  <Characters>60942</Characters>
  <Application>Microsoft Office Word</Application>
  <DocSecurity>0</DocSecurity>
  <Lines>507</Lines>
  <Paragraphs>335</Paragraphs>
  <ScaleCrop>false</ScaleCrop>
  <HeadingPairs>
    <vt:vector size="6" baseType="variant">
      <vt:variant>
        <vt:lpstr>Pavadinimas</vt:lpstr>
      </vt:variant>
      <vt:variant>
        <vt:i4>1</vt:i4>
      </vt:variant>
      <vt:variant>
        <vt:lpstr>Title</vt:lpstr>
      </vt:variant>
      <vt:variant>
        <vt:i4>1</vt:i4>
      </vt:variant>
      <vt:variant>
        <vt:lpstr>Naslov</vt:lpstr>
      </vt:variant>
      <vt:variant>
        <vt:i4>1</vt:i4>
      </vt:variant>
    </vt:vector>
  </HeadingPairs>
  <TitlesOfParts>
    <vt:vector size="3" baseType="lpstr">
      <vt:lpstr/>
      <vt:lpstr/>
      <vt:lpstr/>
    </vt:vector>
  </TitlesOfParts>
  <Company>VVKT</Company>
  <LinksUpToDate>false</LinksUpToDate>
  <CharactersWithSpaces>167521</CharactersWithSpaces>
  <SharedDoc>false</SharedDoc>
  <HLinks>
    <vt:vector size="24" baseType="variant">
      <vt:variant>
        <vt:i4>7077950</vt:i4>
      </vt:variant>
      <vt:variant>
        <vt:i4>9</vt:i4>
      </vt:variant>
      <vt:variant>
        <vt:i4>0</vt:i4>
      </vt:variant>
      <vt:variant>
        <vt:i4>5</vt:i4>
      </vt:variant>
      <vt:variant>
        <vt:lpwstr>http://www.vvkt.lt/</vt:lpwstr>
      </vt:variant>
      <vt:variant>
        <vt:lpwstr/>
      </vt:variant>
      <vt:variant>
        <vt:i4>1245197</vt:i4>
      </vt:variant>
      <vt:variant>
        <vt:i4>6</vt:i4>
      </vt:variant>
      <vt:variant>
        <vt:i4>0</vt:i4>
      </vt:variant>
      <vt:variant>
        <vt:i4>5</vt:i4>
      </vt:variant>
      <vt:variant>
        <vt:lpwstr>http://www.ema.europa.eu/</vt:lpwstr>
      </vt:variant>
      <vt:variant>
        <vt:lpwstr/>
      </vt:variant>
      <vt:variant>
        <vt:i4>1245197</vt:i4>
      </vt:variant>
      <vt:variant>
        <vt:i4>3</vt:i4>
      </vt:variant>
      <vt:variant>
        <vt:i4>0</vt:i4>
      </vt:variant>
      <vt:variant>
        <vt:i4>5</vt:i4>
      </vt:variant>
      <vt:variant>
        <vt:lpwstr>http://www.ema.europa.eu/</vt:lpwstr>
      </vt:variant>
      <vt:variant>
        <vt:lpwstr/>
      </vt:variant>
      <vt:variant>
        <vt:i4>2162708</vt:i4>
      </vt:variant>
      <vt:variant>
        <vt:i4>0</vt:i4>
      </vt:variant>
      <vt:variant>
        <vt:i4>0</vt:i4>
      </vt:variant>
      <vt:variant>
        <vt:i4>5</vt:i4>
      </vt:variant>
      <vt:variant>
        <vt:lpwstr>mailto:NepageidaujamaR@vvkt.lt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Povilaitienė</dc:creator>
  <cp:keywords/>
  <cp:lastModifiedBy>Birutė Valkauskaitė</cp:lastModifiedBy>
  <cp:revision>2</cp:revision>
  <dcterms:created xsi:type="dcterms:W3CDTF">2026-07-23T05:51:00Z</dcterms:created>
  <dcterms:modified xsi:type="dcterms:W3CDTF">2026-07-23T05:51:00Z</dcterms:modified>
</cp:coreProperties>
</file>