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7296" w:rsidRPr="00FB21B8" w:rsidRDefault="00B57296" w:rsidP="00B57296">
      <w:pPr>
        <w:widowControl w:val="0"/>
        <w:tabs>
          <w:tab w:val="clear" w:pos="567"/>
        </w:tabs>
        <w:spacing w:line="240" w:lineRule="auto"/>
        <w:ind w:left="567" w:hanging="567"/>
        <w:jc w:val="center"/>
        <w:rPr>
          <w:b/>
          <w:bCs/>
          <w:snapToGrid/>
          <w:szCs w:val="22"/>
          <w:lang w:val="lt-LT"/>
        </w:rPr>
      </w:pPr>
      <w:r w:rsidRPr="00FB21B8">
        <w:rPr>
          <w:b/>
          <w:bCs/>
          <w:snapToGrid/>
          <w:szCs w:val="22"/>
          <w:lang w:val="lt-LT"/>
        </w:rPr>
        <w:t>Pakuotės lapelis: informacija vartotojui</w:t>
      </w:r>
    </w:p>
    <w:p w:rsidR="00B57296" w:rsidRPr="00FB21B8" w:rsidRDefault="00B57296" w:rsidP="00B57296">
      <w:pPr>
        <w:widowControl w:val="0"/>
        <w:tabs>
          <w:tab w:val="clear" w:pos="567"/>
        </w:tabs>
        <w:spacing w:line="240" w:lineRule="auto"/>
        <w:ind w:left="567" w:hanging="567"/>
        <w:jc w:val="center"/>
        <w:rPr>
          <w:b/>
          <w:snapToGrid/>
          <w:szCs w:val="22"/>
          <w:lang w:val="lt-LT"/>
        </w:rPr>
      </w:pPr>
    </w:p>
    <w:p w:rsidR="00B57296" w:rsidRPr="00FB21B8" w:rsidRDefault="00B57296" w:rsidP="00B57296">
      <w:pPr>
        <w:widowControl w:val="0"/>
        <w:tabs>
          <w:tab w:val="clear" w:pos="567"/>
        </w:tabs>
        <w:spacing w:line="240" w:lineRule="auto"/>
        <w:ind w:left="567" w:hanging="567"/>
        <w:jc w:val="center"/>
        <w:rPr>
          <w:snapToGrid/>
          <w:szCs w:val="22"/>
          <w:lang w:val="lt-LT"/>
        </w:rPr>
      </w:pPr>
      <w:r w:rsidRPr="00FB21B8">
        <w:rPr>
          <w:b/>
          <w:bCs/>
          <w:snapToGrid/>
          <w:color w:val="000000"/>
          <w:szCs w:val="22"/>
          <w:lang w:val="lt-LT"/>
        </w:rPr>
        <w:t>LEVIOFLU 500 mg / 250 mg / 2 mg šnypščiosios tabletės</w:t>
      </w:r>
    </w:p>
    <w:p w:rsidR="00B57296" w:rsidRPr="00FB21B8" w:rsidRDefault="00B57296" w:rsidP="00B57296">
      <w:pPr>
        <w:widowControl w:val="0"/>
        <w:tabs>
          <w:tab w:val="clear" w:pos="567"/>
        </w:tabs>
        <w:spacing w:line="240" w:lineRule="auto"/>
        <w:ind w:left="567" w:hanging="567"/>
        <w:jc w:val="center"/>
        <w:rPr>
          <w:snapToGrid/>
          <w:szCs w:val="22"/>
          <w:lang w:val="lt-LT"/>
        </w:rPr>
      </w:pPr>
      <w:r w:rsidRPr="00FB21B8">
        <w:rPr>
          <w:snapToGrid/>
          <w:szCs w:val="22"/>
          <w:lang w:val="lt-LT"/>
        </w:rPr>
        <w:t>paracetamolis, askorbo rūgštis, chlorfenamino maleatas</w:t>
      </w:r>
    </w:p>
    <w:p w:rsidR="00B57296" w:rsidRPr="00FB21B8" w:rsidRDefault="00B57296" w:rsidP="00B57296">
      <w:pPr>
        <w:widowControl w:val="0"/>
        <w:tabs>
          <w:tab w:val="clear" w:pos="567"/>
        </w:tabs>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Atidžiai perskaitykite visą šį lapelį, prieš pradėdami vartoti šį vaistą, nes jame pateikiama Jums svarbi informacija.</w:t>
      </w:r>
    </w:p>
    <w:p w:rsidR="00B57296" w:rsidRPr="00FB21B8" w:rsidRDefault="00B57296" w:rsidP="00B57296">
      <w:pPr>
        <w:numPr>
          <w:ilvl w:val="12"/>
          <w:numId w:val="0"/>
        </w:numPr>
        <w:tabs>
          <w:tab w:val="clear" w:pos="567"/>
        </w:tabs>
        <w:spacing w:line="240" w:lineRule="auto"/>
        <w:rPr>
          <w:szCs w:val="24"/>
          <w:lang w:val="lt-LT"/>
        </w:rPr>
      </w:pPr>
      <w:r w:rsidRPr="00FB21B8">
        <w:rPr>
          <w:szCs w:val="24"/>
          <w:lang w:val="lt-LT"/>
        </w:rPr>
        <w:t>Visada vartokite šį vaistą tiksliai kaip aprašyta šiame lapelyje arba kaip nurodė gydytojas arba vaistininkas.</w:t>
      </w:r>
    </w:p>
    <w:p w:rsidR="00B57296" w:rsidRPr="00FB21B8" w:rsidRDefault="00B57296" w:rsidP="00B57296">
      <w:pPr>
        <w:numPr>
          <w:ilvl w:val="0"/>
          <w:numId w:val="1"/>
        </w:numPr>
        <w:spacing w:line="240" w:lineRule="auto"/>
        <w:ind w:left="567" w:hanging="567"/>
        <w:rPr>
          <w:szCs w:val="24"/>
          <w:lang w:val="lt-LT"/>
        </w:rPr>
      </w:pPr>
      <w:r w:rsidRPr="00FB21B8">
        <w:rPr>
          <w:szCs w:val="24"/>
          <w:lang w:val="lt-LT"/>
        </w:rPr>
        <w:t>Neišmeskite šio lapelio, nes vėl gali prireikti jį perskaityti.</w:t>
      </w:r>
    </w:p>
    <w:p w:rsidR="00B57296" w:rsidRPr="00FB21B8" w:rsidRDefault="00B57296" w:rsidP="00B57296">
      <w:pPr>
        <w:numPr>
          <w:ilvl w:val="0"/>
          <w:numId w:val="1"/>
        </w:numPr>
        <w:spacing w:line="240" w:lineRule="auto"/>
        <w:ind w:left="567" w:hanging="567"/>
        <w:rPr>
          <w:szCs w:val="24"/>
          <w:lang w:val="lt-LT"/>
        </w:rPr>
      </w:pPr>
      <w:r w:rsidRPr="00FB21B8">
        <w:rPr>
          <w:szCs w:val="24"/>
          <w:lang w:val="lt-LT"/>
        </w:rPr>
        <w:t>Jeigu norite sužinoti daugiau arba pasitarti, kreipkitės į vaistininką.</w:t>
      </w:r>
    </w:p>
    <w:p w:rsidR="00B57296" w:rsidRPr="00FB21B8" w:rsidRDefault="00B57296" w:rsidP="00B57296">
      <w:pPr>
        <w:numPr>
          <w:ilvl w:val="0"/>
          <w:numId w:val="1"/>
        </w:numPr>
        <w:spacing w:line="240" w:lineRule="auto"/>
        <w:ind w:left="567" w:hanging="567"/>
        <w:rPr>
          <w:szCs w:val="24"/>
          <w:lang w:val="lt-LT"/>
        </w:rPr>
      </w:pPr>
      <w:r w:rsidRPr="00FB21B8">
        <w:rPr>
          <w:szCs w:val="24"/>
          <w:lang w:val="lt-LT"/>
        </w:rPr>
        <w:t>Jeigu pasireiškė šalutinis poveikis (net jeigu jis šiame lapelyje nenurodytas), kreipkitės į gydytoją arba vaistininką. Žr. 4 skyrių.</w:t>
      </w:r>
    </w:p>
    <w:p w:rsidR="00B57296" w:rsidRPr="00FB21B8" w:rsidRDefault="00B57296" w:rsidP="00B57296">
      <w:pPr>
        <w:numPr>
          <w:ilvl w:val="0"/>
          <w:numId w:val="1"/>
        </w:numPr>
        <w:spacing w:line="240" w:lineRule="auto"/>
        <w:ind w:left="567" w:hanging="567"/>
        <w:rPr>
          <w:szCs w:val="24"/>
          <w:lang w:val="lt-LT"/>
        </w:rPr>
      </w:pPr>
      <w:r w:rsidRPr="00FB21B8">
        <w:rPr>
          <w:szCs w:val="24"/>
          <w:lang w:val="lt-LT"/>
        </w:rPr>
        <w:t>Jeigu per 3 dienas Jūsų savijauta nepagerėjo arba net pablogėjo, kreipkitės į gydytoją.</w:t>
      </w:r>
    </w:p>
    <w:p w:rsidR="00B57296" w:rsidRPr="00FB21B8" w:rsidRDefault="00B57296" w:rsidP="00B57296">
      <w:pPr>
        <w:widowControl w:val="0"/>
        <w:autoSpaceDE w:val="0"/>
        <w:autoSpaceDN w:val="0"/>
        <w:adjustRightInd w:val="0"/>
        <w:spacing w:line="240" w:lineRule="auto"/>
        <w:rPr>
          <w:bCs/>
          <w:snapToGrid/>
          <w:szCs w:val="22"/>
          <w:lang w:val="lt-LT"/>
        </w:rPr>
      </w:pPr>
    </w:p>
    <w:p w:rsidR="00B57296" w:rsidRPr="00FB21B8" w:rsidRDefault="00B57296" w:rsidP="00B57296">
      <w:pPr>
        <w:widowControl w:val="0"/>
        <w:tabs>
          <w:tab w:val="clear" w:pos="567"/>
        </w:tabs>
        <w:spacing w:line="240" w:lineRule="auto"/>
        <w:ind w:left="567" w:hanging="567"/>
        <w:rPr>
          <w:b/>
          <w:snapToGrid/>
          <w:szCs w:val="22"/>
          <w:lang w:val="lt-LT"/>
        </w:rPr>
      </w:pPr>
      <w:r w:rsidRPr="00FB21B8">
        <w:rPr>
          <w:b/>
          <w:snapToGrid/>
          <w:szCs w:val="22"/>
          <w:lang w:val="lt-LT"/>
        </w:rPr>
        <w:t>Apie ką rašoma šiame lapelyje?</w:t>
      </w:r>
    </w:p>
    <w:p w:rsidR="00B57296" w:rsidRPr="00FB21B8" w:rsidRDefault="00B57296" w:rsidP="00B57296">
      <w:pPr>
        <w:widowControl w:val="0"/>
        <w:tabs>
          <w:tab w:val="clear" w:pos="567"/>
        </w:tabs>
        <w:spacing w:line="240" w:lineRule="auto"/>
        <w:rPr>
          <w:bCs/>
          <w:snapToGrid/>
          <w:szCs w:val="22"/>
          <w:lang w:val="lt-LT"/>
        </w:rPr>
      </w:pPr>
    </w:p>
    <w:p w:rsidR="00B57296" w:rsidRPr="00FB21B8" w:rsidRDefault="00B57296" w:rsidP="00B57296">
      <w:pPr>
        <w:widowControl w:val="0"/>
        <w:tabs>
          <w:tab w:val="clear" w:pos="567"/>
        </w:tabs>
        <w:spacing w:line="240" w:lineRule="auto"/>
        <w:ind w:left="567" w:hanging="567"/>
        <w:rPr>
          <w:snapToGrid/>
          <w:szCs w:val="22"/>
          <w:lang w:val="lt-LT"/>
        </w:rPr>
      </w:pPr>
      <w:r w:rsidRPr="00FB21B8">
        <w:rPr>
          <w:snapToGrid/>
          <w:szCs w:val="22"/>
          <w:lang w:val="lt-LT"/>
        </w:rPr>
        <w:t>1.</w:t>
      </w:r>
      <w:r w:rsidRPr="00FB21B8">
        <w:rPr>
          <w:snapToGrid/>
          <w:szCs w:val="22"/>
          <w:lang w:val="lt-LT"/>
        </w:rPr>
        <w:tab/>
        <w:t>Kas yra LEVIOFLU ir kam jis vartojamas</w:t>
      </w:r>
    </w:p>
    <w:p w:rsidR="00B57296" w:rsidRPr="00FB21B8" w:rsidRDefault="00B57296" w:rsidP="00B57296">
      <w:pPr>
        <w:widowControl w:val="0"/>
        <w:tabs>
          <w:tab w:val="clear" w:pos="567"/>
        </w:tabs>
        <w:spacing w:line="240" w:lineRule="auto"/>
        <w:ind w:left="567" w:hanging="567"/>
        <w:rPr>
          <w:snapToGrid/>
          <w:szCs w:val="22"/>
          <w:lang w:val="lt-LT"/>
        </w:rPr>
      </w:pPr>
      <w:r w:rsidRPr="00FB21B8">
        <w:rPr>
          <w:snapToGrid/>
          <w:szCs w:val="22"/>
          <w:lang w:val="lt-LT"/>
        </w:rPr>
        <w:t>2.</w:t>
      </w:r>
      <w:r w:rsidRPr="00FB21B8">
        <w:rPr>
          <w:snapToGrid/>
          <w:szCs w:val="22"/>
          <w:lang w:val="lt-LT"/>
        </w:rPr>
        <w:tab/>
        <w:t>Kas žinotina prieš vartojant LEVIOFLU</w:t>
      </w:r>
    </w:p>
    <w:p w:rsidR="00B57296" w:rsidRPr="00FB21B8" w:rsidRDefault="00B57296" w:rsidP="00B57296">
      <w:pPr>
        <w:widowControl w:val="0"/>
        <w:tabs>
          <w:tab w:val="clear" w:pos="567"/>
        </w:tabs>
        <w:spacing w:line="240" w:lineRule="auto"/>
        <w:ind w:left="567" w:hanging="567"/>
        <w:rPr>
          <w:snapToGrid/>
          <w:szCs w:val="22"/>
          <w:lang w:val="lt-LT"/>
        </w:rPr>
      </w:pPr>
      <w:r w:rsidRPr="00FB21B8">
        <w:rPr>
          <w:snapToGrid/>
          <w:szCs w:val="22"/>
          <w:lang w:val="lt-LT"/>
        </w:rPr>
        <w:t>3.</w:t>
      </w:r>
      <w:r w:rsidRPr="00FB21B8">
        <w:rPr>
          <w:snapToGrid/>
          <w:szCs w:val="22"/>
          <w:lang w:val="lt-LT"/>
        </w:rPr>
        <w:tab/>
        <w:t>Kaip vartoti LEVIOFLU</w:t>
      </w:r>
    </w:p>
    <w:p w:rsidR="00B57296" w:rsidRPr="00FB21B8" w:rsidRDefault="00B57296" w:rsidP="00B57296">
      <w:pPr>
        <w:widowControl w:val="0"/>
        <w:tabs>
          <w:tab w:val="clear" w:pos="567"/>
        </w:tabs>
        <w:spacing w:line="240" w:lineRule="auto"/>
        <w:ind w:left="567" w:hanging="567"/>
        <w:rPr>
          <w:snapToGrid/>
          <w:szCs w:val="22"/>
          <w:lang w:val="lt-LT"/>
        </w:rPr>
      </w:pPr>
      <w:r w:rsidRPr="00FB21B8">
        <w:rPr>
          <w:snapToGrid/>
          <w:szCs w:val="22"/>
          <w:lang w:val="lt-LT"/>
        </w:rPr>
        <w:t>4.</w:t>
      </w:r>
      <w:r w:rsidRPr="00FB21B8">
        <w:rPr>
          <w:snapToGrid/>
          <w:szCs w:val="22"/>
          <w:lang w:val="lt-LT"/>
        </w:rPr>
        <w:tab/>
        <w:t>Galimas šalutinis poveikis</w:t>
      </w:r>
    </w:p>
    <w:p w:rsidR="00B57296" w:rsidRPr="00FB21B8" w:rsidRDefault="00B57296" w:rsidP="00B57296">
      <w:pPr>
        <w:widowControl w:val="0"/>
        <w:tabs>
          <w:tab w:val="clear" w:pos="567"/>
        </w:tabs>
        <w:spacing w:line="240" w:lineRule="auto"/>
        <w:ind w:left="567" w:hanging="567"/>
        <w:rPr>
          <w:snapToGrid/>
          <w:szCs w:val="22"/>
          <w:lang w:val="lt-LT"/>
        </w:rPr>
      </w:pPr>
      <w:r w:rsidRPr="00FB21B8">
        <w:rPr>
          <w:snapToGrid/>
          <w:szCs w:val="22"/>
          <w:lang w:val="lt-LT"/>
        </w:rPr>
        <w:t>5.</w:t>
      </w:r>
      <w:r w:rsidRPr="00FB21B8">
        <w:rPr>
          <w:snapToGrid/>
          <w:szCs w:val="22"/>
          <w:lang w:val="lt-LT"/>
        </w:rPr>
        <w:tab/>
        <w:t>Kaip laikyti LEVIOFLU</w:t>
      </w:r>
    </w:p>
    <w:p w:rsidR="00B57296" w:rsidRPr="00FB21B8" w:rsidRDefault="00B57296" w:rsidP="00B57296">
      <w:pPr>
        <w:widowControl w:val="0"/>
        <w:tabs>
          <w:tab w:val="clear" w:pos="567"/>
        </w:tabs>
        <w:spacing w:line="240" w:lineRule="auto"/>
        <w:ind w:left="567" w:hanging="567"/>
        <w:rPr>
          <w:snapToGrid/>
          <w:szCs w:val="22"/>
          <w:lang w:val="lt-LT"/>
        </w:rPr>
      </w:pPr>
      <w:r w:rsidRPr="00FB21B8">
        <w:rPr>
          <w:snapToGrid/>
          <w:szCs w:val="22"/>
          <w:lang w:val="lt-LT"/>
        </w:rPr>
        <w:t>6.</w:t>
      </w:r>
      <w:r w:rsidRPr="00FB21B8">
        <w:rPr>
          <w:snapToGrid/>
          <w:szCs w:val="22"/>
          <w:lang w:val="lt-LT"/>
        </w:rPr>
        <w:tab/>
        <w:t>Pakuotės turinys ir kita informacija</w:t>
      </w: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1.</w:t>
      </w:r>
      <w:r w:rsidRPr="00FB21B8">
        <w:rPr>
          <w:b/>
          <w:snapToGrid/>
          <w:szCs w:val="22"/>
          <w:lang w:val="lt-LT"/>
        </w:rPr>
        <w:tab/>
        <w:t xml:space="preserve">Kas yra </w:t>
      </w:r>
      <w:r w:rsidRPr="00FB21B8">
        <w:rPr>
          <w:b/>
          <w:bCs/>
          <w:snapToGrid/>
          <w:szCs w:val="22"/>
          <w:lang w:val="lt-LT"/>
        </w:rPr>
        <w:t xml:space="preserve">LEVIOFLU </w:t>
      </w:r>
      <w:r w:rsidRPr="00FB21B8">
        <w:rPr>
          <w:b/>
          <w:snapToGrid/>
          <w:szCs w:val="22"/>
          <w:lang w:val="lt-LT"/>
        </w:rPr>
        <w:t>ir kam jis vartojamas</w:t>
      </w:r>
    </w:p>
    <w:p w:rsidR="00B57296" w:rsidRPr="00FB21B8" w:rsidRDefault="00B57296" w:rsidP="00B57296">
      <w:pPr>
        <w:widowControl w:val="0"/>
        <w:tabs>
          <w:tab w:val="clear" w:pos="567"/>
        </w:tabs>
        <w:autoSpaceDE w:val="0"/>
        <w:autoSpaceDN w:val="0"/>
        <w:adjustRightInd w:val="0"/>
        <w:spacing w:line="240" w:lineRule="auto"/>
        <w:rPr>
          <w:rFonts w:eastAsia="TimesNewRoman"/>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rFonts w:eastAsia="TimesNewRoman"/>
          <w:snapToGrid/>
          <w:szCs w:val="22"/>
          <w:lang w:val="lt-LT"/>
        </w:rPr>
      </w:pPr>
      <w:r w:rsidRPr="00FB21B8">
        <w:rPr>
          <w:rFonts w:eastAsia="TimesNewRoman"/>
          <w:snapToGrid/>
          <w:szCs w:val="22"/>
          <w:lang w:val="lt-LT"/>
        </w:rPr>
        <w:t>LEVIOFLU vartojamas peršalimo ir gripo simptomams lengvinti suaugusiesiems ir vyresniems kaip 15 metų paaugliams.</w:t>
      </w: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r w:rsidRPr="00FB21B8">
        <w:rPr>
          <w:snapToGrid/>
          <w:szCs w:val="22"/>
          <w:lang w:val="lt-LT"/>
        </w:rPr>
        <w:t>LEVIOFLU sudėtyje yra trys veikliosios medžiagos, kurios sukelia skirtingą poveikį:</w:t>
      </w:r>
    </w:p>
    <w:p w:rsidR="00B57296" w:rsidRPr="00FB21B8" w:rsidRDefault="00B57296" w:rsidP="00B57296">
      <w:pPr>
        <w:widowControl w:val="0"/>
        <w:numPr>
          <w:ilvl w:val="0"/>
          <w:numId w:val="4"/>
        </w:numPr>
        <w:tabs>
          <w:tab w:val="clear" w:pos="567"/>
        </w:tabs>
        <w:spacing w:line="240" w:lineRule="auto"/>
        <w:ind w:left="567" w:hanging="567"/>
        <w:rPr>
          <w:snapToGrid/>
          <w:szCs w:val="22"/>
          <w:lang w:val="lt-LT"/>
        </w:rPr>
      </w:pPr>
      <w:r w:rsidRPr="00FB21B8">
        <w:rPr>
          <w:b/>
          <w:bCs/>
          <w:snapToGrid/>
          <w:szCs w:val="22"/>
          <w:lang w:val="lt-LT"/>
        </w:rPr>
        <w:t>paracetamolis</w:t>
      </w:r>
      <w:r w:rsidRPr="00FB21B8">
        <w:rPr>
          <w:snapToGrid/>
          <w:szCs w:val="22"/>
          <w:lang w:val="lt-LT"/>
        </w:rPr>
        <w:t xml:space="preserve"> malšina skausmą ir mažina karščiavimą;</w:t>
      </w:r>
    </w:p>
    <w:p w:rsidR="00B57296" w:rsidRPr="00FB21B8" w:rsidRDefault="00B57296" w:rsidP="00B57296">
      <w:pPr>
        <w:widowControl w:val="0"/>
        <w:numPr>
          <w:ilvl w:val="0"/>
          <w:numId w:val="4"/>
        </w:numPr>
        <w:tabs>
          <w:tab w:val="clear" w:pos="567"/>
        </w:tabs>
        <w:spacing w:line="240" w:lineRule="auto"/>
        <w:ind w:left="567" w:hanging="567"/>
        <w:rPr>
          <w:snapToGrid/>
          <w:szCs w:val="22"/>
          <w:lang w:val="lt-LT"/>
        </w:rPr>
      </w:pPr>
      <w:r w:rsidRPr="00FB21B8">
        <w:rPr>
          <w:b/>
          <w:bCs/>
          <w:snapToGrid/>
          <w:szCs w:val="22"/>
          <w:lang w:val="lt-LT"/>
        </w:rPr>
        <w:t>chlorfenaminas</w:t>
      </w:r>
      <w:r w:rsidRPr="00FB21B8">
        <w:rPr>
          <w:snapToGrid/>
          <w:szCs w:val="22"/>
          <w:lang w:val="lt-LT"/>
        </w:rPr>
        <w:t xml:space="preserve"> mažina nosies užgulimą, palengvina slogos ir akių ašarojimo simptomus;</w:t>
      </w:r>
    </w:p>
    <w:p w:rsidR="00B57296" w:rsidRPr="00FB21B8" w:rsidRDefault="00B57296" w:rsidP="00B57296">
      <w:pPr>
        <w:widowControl w:val="0"/>
        <w:numPr>
          <w:ilvl w:val="0"/>
          <w:numId w:val="4"/>
        </w:numPr>
        <w:tabs>
          <w:tab w:val="clear" w:pos="567"/>
        </w:tabs>
        <w:spacing w:line="240" w:lineRule="auto"/>
        <w:ind w:left="567" w:hanging="567"/>
        <w:rPr>
          <w:snapToGrid/>
          <w:szCs w:val="22"/>
          <w:lang w:val="lt-LT"/>
        </w:rPr>
      </w:pPr>
      <w:r w:rsidRPr="00FB21B8">
        <w:rPr>
          <w:b/>
          <w:bCs/>
          <w:snapToGrid/>
          <w:szCs w:val="22"/>
          <w:lang w:val="lt-LT"/>
        </w:rPr>
        <w:t>askorbo rūgštis</w:t>
      </w:r>
      <w:r w:rsidRPr="00FB21B8">
        <w:rPr>
          <w:snapToGrid/>
          <w:szCs w:val="22"/>
          <w:lang w:val="lt-LT"/>
        </w:rPr>
        <w:t xml:space="preserve"> (vitaminas C) kompensuoja padidėjusį šio vitamino poreikį esant ūminei virusinei infekcijai.</w:t>
      </w: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r w:rsidRPr="00FB21B8">
        <w:rPr>
          <w:snapToGrid/>
          <w:szCs w:val="22"/>
          <w:lang w:val="lt-LT"/>
        </w:rPr>
        <w:t>Turite pasitarti su gydytoju, jeigu karščiavimas ar skausmas išlieka ilgiau nei 3 dienas arba simptomai nepalengvėja po 3 gydymo dienų.</w:t>
      </w: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2.</w:t>
      </w:r>
      <w:r w:rsidRPr="00FB21B8">
        <w:rPr>
          <w:b/>
          <w:snapToGrid/>
          <w:szCs w:val="22"/>
          <w:lang w:val="lt-LT"/>
        </w:rPr>
        <w:tab/>
        <w:t xml:space="preserve">Kas žinotina prieš vartojant </w:t>
      </w:r>
      <w:r w:rsidRPr="00FB21B8">
        <w:rPr>
          <w:b/>
          <w:bCs/>
          <w:snapToGrid/>
          <w:szCs w:val="22"/>
          <w:lang w:val="lt-LT"/>
        </w:rPr>
        <w:t>LEVIOFLU</w:t>
      </w:r>
    </w:p>
    <w:p w:rsidR="00B57296" w:rsidRPr="00FB21B8" w:rsidRDefault="00B57296" w:rsidP="00B57296">
      <w:pPr>
        <w:widowControl w:val="0"/>
        <w:tabs>
          <w:tab w:val="clear" w:pos="567"/>
        </w:tabs>
        <w:spacing w:line="240" w:lineRule="auto"/>
        <w:ind w:left="567" w:hanging="567"/>
        <w:rPr>
          <w:snapToGrid/>
          <w:szCs w:val="22"/>
          <w:lang w:val="lt-LT"/>
        </w:rPr>
      </w:pPr>
    </w:p>
    <w:p w:rsidR="00B57296" w:rsidRPr="00FB21B8" w:rsidRDefault="00B57296" w:rsidP="00B57296">
      <w:pPr>
        <w:widowControl w:val="0"/>
        <w:tabs>
          <w:tab w:val="clear" w:pos="567"/>
        </w:tabs>
        <w:spacing w:line="240" w:lineRule="auto"/>
        <w:ind w:left="567" w:hanging="567"/>
        <w:rPr>
          <w:b/>
          <w:bCs/>
          <w:caps/>
          <w:snapToGrid/>
          <w:szCs w:val="22"/>
          <w:lang w:val="lt-LT"/>
        </w:rPr>
      </w:pPr>
      <w:r w:rsidRPr="00FB21B8">
        <w:rPr>
          <w:b/>
          <w:bCs/>
          <w:snapToGrid/>
          <w:szCs w:val="22"/>
          <w:lang w:val="lt-LT"/>
        </w:rPr>
        <w:t>LEVIOFLU vartoti draudžiama:</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yra alergija veikliosioms medžiagoms (paracetamoliui, chlorfenaminui arba askorbo rūgščiai) arba bet kuriai pagalbinei šio vaisto medžiagai (jos išvardytos 6 skyriuje);</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yra alergija bet kuriam kitam panašiam vaistui (pvz., antihistamininiams vaistams, vartojamiems įvairioms alergijoms gydyti);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esate nėščia arba žindote kūdikį (žr. skyrių „Nėštumas, žindymo laikotarpis ir vaisingumas“);</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sergate glaukoma (yra padidėjęs akispūdis);</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yra prostatos hipertrofija (padidėjimas), šlapimo pūslės kaklelio obstrukcija (susiaurėjimas), skrandžio prievarčio arba dvylikapirštės žarnos stenozė (skrandžio ar dvylikapirštės žarnos susiaurėjimas) arba bet koks kitoks virškinimo sistemos ar šlapimo ir lytinių takų susiaurėjimas;</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jeigu vartojate arba pastarąsias dvi savaites vartojote monoaminooksidazės inhibitorių (žr. poskyrį „Kiti vaistai ir LEVIOFLU“).</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lastRenderedPageBreak/>
        <w:t xml:space="preserve">LEVIOFLU </w:t>
      </w:r>
      <w:r>
        <w:rPr>
          <w:snapToGrid/>
          <w:szCs w:val="22"/>
          <w:lang w:val="lt-LT"/>
        </w:rPr>
        <w:t>draudžiama</w:t>
      </w:r>
      <w:r w:rsidRPr="00FB21B8">
        <w:rPr>
          <w:snapToGrid/>
          <w:szCs w:val="22"/>
          <w:lang w:val="lt-LT"/>
        </w:rPr>
        <w:t xml:space="preserve"> vartoti jaunesniems nei 15 metų vaikams.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spacing w:line="240" w:lineRule="auto"/>
        <w:ind w:left="567" w:hanging="567"/>
        <w:rPr>
          <w:b/>
          <w:snapToGrid/>
          <w:szCs w:val="22"/>
          <w:lang w:val="lt-LT"/>
        </w:rPr>
      </w:pPr>
      <w:r w:rsidRPr="00FB21B8">
        <w:rPr>
          <w:b/>
          <w:snapToGrid/>
          <w:szCs w:val="22"/>
          <w:lang w:val="lt-LT"/>
        </w:rPr>
        <w:t>Įspėjimai ir atsargumo priemonės</w:t>
      </w: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numPr>
          <w:ilvl w:val="12"/>
          <w:numId w:val="0"/>
        </w:numPr>
        <w:tabs>
          <w:tab w:val="clear" w:pos="567"/>
        </w:tabs>
        <w:spacing w:line="240" w:lineRule="auto"/>
        <w:ind w:right="-2"/>
        <w:rPr>
          <w:b/>
          <w:bCs/>
          <w:snapToGrid/>
          <w:szCs w:val="22"/>
          <w:lang w:val="lt-LT"/>
        </w:rPr>
      </w:pPr>
      <w:r w:rsidRPr="00FB21B8">
        <w:rPr>
          <w:b/>
          <w:bCs/>
          <w:szCs w:val="24"/>
          <w:lang w:val="lt-LT"/>
        </w:rPr>
        <w:t xml:space="preserve">Pasitarkite su gydytoju, prieš pradėdami vartoti </w:t>
      </w:r>
      <w:r w:rsidRPr="00FB21B8">
        <w:rPr>
          <w:b/>
          <w:bCs/>
          <w:snapToGrid/>
          <w:szCs w:val="22"/>
          <w:lang w:val="lt-LT"/>
        </w:rPr>
        <w:t>LEVIOFLU, jeigu yra:</w:t>
      </w:r>
    </w:p>
    <w:p w:rsidR="00B57296" w:rsidRPr="00FB21B8" w:rsidRDefault="00B57296" w:rsidP="00B57296">
      <w:pPr>
        <w:widowControl w:val="0"/>
        <w:numPr>
          <w:ilvl w:val="0"/>
          <w:numId w:val="3"/>
        </w:numPr>
        <w:tabs>
          <w:tab w:val="clear" w:pos="567"/>
        </w:tabs>
        <w:spacing w:line="240" w:lineRule="auto"/>
        <w:ind w:left="567" w:right="-2" w:hanging="567"/>
        <w:rPr>
          <w:snapToGrid/>
          <w:szCs w:val="22"/>
          <w:lang w:val="lt-LT"/>
        </w:rPr>
      </w:pPr>
      <w:r w:rsidRPr="00FB21B8">
        <w:rPr>
          <w:snapToGrid/>
          <w:szCs w:val="22"/>
          <w:lang w:val="lt-LT"/>
        </w:rPr>
        <w:t>lengvas arba vidutinio sunkumo kepenų funkcijos sutrikimas (</w:t>
      </w:r>
      <w:r w:rsidRPr="00FB21B8">
        <w:rPr>
          <w:rFonts w:eastAsia="TimesNewRoman"/>
          <w:snapToGrid/>
          <w:szCs w:val="22"/>
          <w:lang w:val="lt-LT"/>
        </w:rPr>
        <w:t xml:space="preserve">įskaitant </w:t>
      </w:r>
      <w:r>
        <w:rPr>
          <w:rFonts w:eastAsia="TimesNewRoman"/>
          <w:snapToGrid/>
          <w:szCs w:val="22"/>
          <w:lang w:val="lt-LT"/>
        </w:rPr>
        <w:t>Ž</w:t>
      </w:r>
      <w:r w:rsidRPr="00FB21B8">
        <w:rPr>
          <w:rFonts w:eastAsia="TimesNewRoman"/>
          <w:snapToGrid/>
          <w:szCs w:val="22"/>
          <w:lang w:val="lt-LT"/>
        </w:rPr>
        <w:t>ilberto (</w:t>
      </w:r>
      <w:r w:rsidRPr="00FB21B8">
        <w:rPr>
          <w:rFonts w:eastAsia="TimesNewRoman"/>
          <w:i/>
          <w:iCs/>
          <w:snapToGrid/>
          <w:szCs w:val="22"/>
          <w:lang w:val="lt-LT"/>
        </w:rPr>
        <w:t>Gilbert</w:t>
      </w:r>
      <w:r w:rsidRPr="00FB21B8">
        <w:rPr>
          <w:rFonts w:eastAsia="TimesNewRoman"/>
          <w:snapToGrid/>
          <w:szCs w:val="22"/>
          <w:lang w:val="lt-LT"/>
        </w:rPr>
        <w:t>) sindromą</w:t>
      </w:r>
      <w:r w:rsidRPr="00FB21B8">
        <w:rPr>
          <w:snapToGrid/>
          <w:szCs w:val="22"/>
          <w:lang w:val="lt-LT"/>
        </w:rPr>
        <w:t>, t. y. ligą, kuria sergant susidaro per daug bilirubino − medžiagos, dėl kurios oda ir akys tampa gelsvos spalvos);</w:t>
      </w:r>
    </w:p>
    <w:p w:rsidR="00B57296" w:rsidRPr="00FB21B8" w:rsidRDefault="00B57296" w:rsidP="00B57296">
      <w:pPr>
        <w:widowControl w:val="0"/>
        <w:numPr>
          <w:ilvl w:val="0"/>
          <w:numId w:val="3"/>
        </w:numPr>
        <w:tabs>
          <w:tab w:val="clear" w:pos="567"/>
        </w:tabs>
        <w:spacing w:line="240" w:lineRule="auto"/>
        <w:ind w:left="567" w:right="-2" w:hanging="567"/>
        <w:rPr>
          <w:snapToGrid/>
          <w:szCs w:val="22"/>
          <w:lang w:val="lt-LT"/>
        </w:rPr>
      </w:pPr>
      <w:r w:rsidRPr="00FB21B8">
        <w:rPr>
          <w:snapToGrid/>
          <w:szCs w:val="22"/>
          <w:lang w:val="lt-LT"/>
        </w:rPr>
        <w:t>sunk</w:t>
      </w:r>
      <w:r>
        <w:rPr>
          <w:snapToGrid/>
          <w:szCs w:val="22"/>
          <w:lang w:val="lt-LT"/>
        </w:rPr>
        <w:t>ių</w:t>
      </w:r>
      <w:r w:rsidRPr="00FB21B8">
        <w:rPr>
          <w:snapToGrid/>
          <w:szCs w:val="22"/>
          <w:lang w:val="lt-LT"/>
        </w:rPr>
        <w:t xml:space="preserve"> kepenų sutrikim</w:t>
      </w:r>
      <w:r>
        <w:rPr>
          <w:snapToGrid/>
          <w:szCs w:val="22"/>
          <w:lang w:val="lt-LT"/>
        </w:rPr>
        <w:t>ų</w:t>
      </w:r>
      <w:r w:rsidRPr="00FB21B8">
        <w:rPr>
          <w:snapToGrid/>
          <w:szCs w:val="22"/>
          <w:lang w:val="lt-LT"/>
        </w:rPr>
        <w:t>;</w:t>
      </w:r>
    </w:p>
    <w:p w:rsidR="00B57296" w:rsidRPr="00FB21B8" w:rsidRDefault="00B57296" w:rsidP="00B57296">
      <w:pPr>
        <w:widowControl w:val="0"/>
        <w:numPr>
          <w:ilvl w:val="0"/>
          <w:numId w:val="3"/>
        </w:numPr>
        <w:tabs>
          <w:tab w:val="clear" w:pos="567"/>
        </w:tabs>
        <w:spacing w:line="240" w:lineRule="auto"/>
        <w:ind w:left="567" w:right="-2" w:hanging="567"/>
        <w:rPr>
          <w:snapToGrid/>
          <w:szCs w:val="22"/>
          <w:lang w:val="lt-LT"/>
        </w:rPr>
      </w:pPr>
      <w:r w:rsidRPr="00FB21B8">
        <w:rPr>
          <w:snapToGrid/>
          <w:szCs w:val="22"/>
          <w:lang w:val="lt-LT"/>
        </w:rPr>
        <w:t>ūminis hepatitas (ūminis kepenų uždegimas);</w:t>
      </w:r>
    </w:p>
    <w:p w:rsidR="00B57296" w:rsidRPr="00FB21B8" w:rsidRDefault="00B57296" w:rsidP="00B57296">
      <w:pPr>
        <w:widowControl w:val="0"/>
        <w:numPr>
          <w:ilvl w:val="0"/>
          <w:numId w:val="3"/>
        </w:numPr>
        <w:tabs>
          <w:tab w:val="clear" w:pos="567"/>
        </w:tabs>
        <w:spacing w:line="240" w:lineRule="auto"/>
        <w:ind w:left="567" w:right="-2" w:hanging="567"/>
        <w:rPr>
          <w:snapToGrid/>
          <w:szCs w:val="22"/>
          <w:lang w:val="lt-LT"/>
        </w:rPr>
      </w:pPr>
      <w:r w:rsidRPr="00FB21B8">
        <w:rPr>
          <w:snapToGrid/>
          <w:szCs w:val="22"/>
          <w:lang w:val="lt-LT"/>
        </w:rPr>
        <w:t>kartu vartojama kepenų funkciją veikiančių vaistų;</w:t>
      </w:r>
    </w:p>
    <w:p w:rsidR="00B57296" w:rsidRPr="00FB21B8" w:rsidRDefault="00B57296" w:rsidP="00B57296">
      <w:pPr>
        <w:widowControl w:val="0"/>
        <w:numPr>
          <w:ilvl w:val="0"/>
          <w:numId w:val="3"/>
        </w:numPr>
        <w:tabs>
          <w:tab w:val="clear" w:pos="567"/>
        </w:tabs>
        <w:spacing w:line="240" w:lineRule="auto"/>
        <w:ind w:left="567" w:right="-2" w:hanging="567"/>
        <w:rPr>
          <w:snapToGrid/>
          <w:szCs w:val="22"/>
          <w:lang w:val="lt-LT"/>
        </w:rPr>
      </w:pPr>
      <w:r w:rsidRPr="00FB21B8">
        <w:rPr>
          <w:snapToGrid/>
          <w:szCs w:val="22"/>
          <w:lang w:val="lt-LT"/>
        </w:rPr>
        <w:t>gliukozės-6-fosfato dehidrogenazės (medžiagos, kurios paprastai būna žmogaus organizme ir kurios trūkumas gali sukelti hemolizinę anemiją) trūkumas;</w:t>
      </w:r>
    </w:p>
    <w:p w:rsidR="00B57296" w:rsidRPr="00FB21B8" w:rsidRDefault="00B57296" w:rsidP="00B57296">
      <w:pPr>
        <w:widowControl w:val="0"/>
        <w:numPr>
          <w:ilvl w:val="0"/>
          <w:numId w:val="3"/>
        </w:numPr>
        <w:tabs>
          <w:tab w:val="clear" w:pos="567"/>
        </w:tabs>
        <w:spacing w:line="240" w:lineRule="auto"/>
        <w:ind w:left="567" w:right="-2" w:hanging="567"/>
        <w:rPr>
          <w:snapToGrid/>
          <w:szCs w:val="22"/>
          <w:lang w:val="lt-LT"/>
        </w:rPr>
      </w:pPr>
      <w:r w:rsidRPr="00FB21B8">
        <w:rPr>
          <w:snapToGrid/>
          <w:szCs w:val="22"/>
          <w:lang w:val="lt-LT"/>
        </w:rPr>
        <w:t>hemolizinė anemija (liga, kurią sukelia tam tikrų kraujo ląstelių, vadinamų raudonosiomis kraujo ląstelėmis, suirimas);</w:t>
      </w:r>
    </w:p>
    <w:p w:rsidR="00B57296" w:rsidRPr="00524837" w:rsidRDefault="00B57296" w:rsidP="00B57296">
      <w:pPr>
        <w:widowControl w:val="0"/>
        <w:numPr>
          <w:ilvl w:val="0"/>
          <w:numId w:val="3"/>
        </w:numPr>
        <w:tabs>
          <w:tab w:val="clear" w:pos="567"/>
        </w:tabs>
        <w:spacing w:line="240" w:lineRule="auto"/>
        <w:ind w:left="567" w:right="-2" w:hanging="567"/>
        <w:rPr>
          <w:snapToGrid/>
          <w:szCs w:val="22"/>
          <w:lang w:val="lt-LT"/>
        </w:rPr>
      </w:pPr>
      <w:r w:rsidRPr="00FB21B8">
        <w:rPr>
          <w:snapToGrid/>
          <w:szCs w:val="22"/>
          <w:lang w:val="lt-LT"/>
        </w:rPr>
        <w:t>inkstų nepakankamumas (inkstų liga).</w:t>
      </w:r>
    </w:p>
    <w:p w:rsidR="00B57296" w:rsidRDefault="00B57296" w:rsidP="00B57296">
      <w:pPr>
        <w:widowControl w:val="0"/>
        <w:numPr>
          <w:ilvl w:val="12"/>
          <w:numId w:val="0"/>
        </w:numPr>
        <w:tabs>
          <w:tab w:val="clear" w:pos="567"/>
        </w:tabs>
        <w:spacing w:line="240" w:lineRule="auto"/>
        <w:ind w:right="-2"/>
        <w:rPr>
          <w:snapToGrid/>
          <w:szCs w:val="22"/>
          <w:lang w:val="lt-LT"/>
        </w:rPr>
      </w:pPr>
    </w:p>
    <w:p w:rsidR="00B57296" w:rsidRPr="00CA5AF5" w:rsidRDefault="00B57296" w:rsidP="00B57296">
      <w:pPr>
        <w:widowControl w:val="0"/>
        <w:numPr>
          <w:ilvl w:val="12"/>
          <w:numId w:val="0"/>
        </w:numPr>
        <w:tabs>
          <w:tab w:val="clear" w:pos="567"/>
        </w:tabs>
        <w:spacing w:line="240" w:lineRule="auto"/>
        <w:ind w:right="-2"/>
        <w:rPr>
          <w:snapToGrid/>
          <w:szCs w:val="22"/>
          <w:lang w:val="lt-LT"/>
        </w:rPr>
      </w:pPr>
      <w:r w:rsidRPr="007711FF">
        <w:rPr>
          <w:snapToGrid/>
          <w:szCs w:val="22"/>
          <w:lang w:val="lt-LT"/>
        </w:rPr>
        <w:t>Gydymo LEVIOFLU</w:t>
      </w:r>
      <w:r w:rsidRPr="00CA5AF5">
        <w:rPr>
          <w:snapToGrid/>
          <w:szCs w:val="22"/>
          <w:lang w:val="lt-LT"/>
        </w:rPr>
        <w:t xml:space="preserve"> laikotarpiu nedelsdami pasakykite gydytojui, jeigu:</w:t>
      </w:r>
    </w:p>
    <w:p w:rsidR="00B57296" w:rsidRDefault="00B57296" w:rsidP="00B57296">
      <w:pPr>
        <w:widowControl w:val="0"/>
        <w:numPr>
          <w:ilvl w:val="12"/>
          <w:numId w:val="0"/>
        </w:numPr>
        <w:tabs>
          <w:tab w:val="clear" w:pos="567"/>
        </w:tabs>
        <w:spacing w:line="240" w:lineRule="auto"/>
        <w:ind w:right="-2"/>
        <w:rPr>
          <w:snapToGrid/>
          <w:szCs w:val="22"/>
          <w:lang w:val="lt-LT"/>
        </w:rPr>
      </w:pPr>
      <w:r w:rsidRPr="00CA5AF5">
        <w:rPr>
          <w:snapToGrid/>
          <w:szCs w:val="22"/>
          <w:lang w:val="lt-LT"/>
        </w:rPr>
        <w:t>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 xml:space="preserve">Jeigu po trumpo gydymo laikotarpio nebūna pastebimų rezultatų, reikia kreiptis į gydytoją. Jeigu karščiavimas ar skausmas tęsiasi ilgiau nei tris </w:t>
      </w:r>
      <w:r>
        <w:rPr>
          <w:snapToGrid/>
          <w:szCs w:val="22"/>
          <w:lang w:val="lt-LT"/>
        </w:rPr>
        <w:t>paras</w:t>
      </w:r>
      <w:r w:rsidRPr="00FB21B8">
        <w:rPr>
          <w:snapToGrid/>
          <w:szCs w:val="22"/>
          <w:lang w:val="lt-LT"/>
        </w:rPr>
        <w:t>, simptomai nepalengvėja per 3 </w:t>
      </w:r>
      <w:r>
        <w:rPr>
          <w:snapToGrid/>
          <w:szCs w:val="22"/>
          <w:lang w:val="lt-LT"/>
        </w:rPr>
        <w:t>paras</w:t>
      </w:r>
      <w:r w:rsidRPr="00FB21B8">
        <w:rPr>
          <w:snapToGrid/>
          <w:szCs w:val="22"/>
          <w:lang w:val="lt-LT"/>
        </w:rPr>
        <w:t>, atsiranda kitų simptomų arba kartu pasireiškia sunkus karščiavimas, egzantema (odos raudonė kartu su odos paraudimu), per didelis kvėpavimo takų išskyrų kiekis ir nuolatinis kosulys, kreipkitės į gydytoją, kuris nustatys teisingą diagnozę.</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right="-2"/>
        <w:rPr>
          <w:b/>
          <w:bCs/>
          <w:snapToGrid/>
          <w:szCs w:val="22"/>
          <w:lang w:val="lt-LT"/>
        </w:rPr>
      </w:pPr>
      <w:r w:rsidRPr="00FB21B8">
        <w:rPr>
          <w:b/>
          <w:bCs/>
          <w:snapToGrid/>
          <w:szCs w:val="22"/>
          <w:lang w:val="lt-LT"/>
        </w:rPr>
        <w:t>Paracetamolis</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Gydymo paracetamoliu metu</w:t>
      </w:r>
      <w:r>
        <w:rPr>
          <w:snapToGrid/>
          <w:szCs w:val="22"/>
          <w:lang w:val="lt-LT"/>
        </w:rPr>
        <w:t>,</w:t>
      </w:r>
      <w:r w:rsidRPr="00FB21B8">
        <w:rPr>
          <w:snapToGrid/>
          <w:szCs w:val="22"/>
          <w:lang w:val="lt-LT"/>
        </w:rPr>
        <w:t xml:space="preserve"> prieš pradėdami vartoti kit</w:t>
      </w:r>
      <w:r>
        <w:rPr>
          <w:snapToGrid/>
          <w:szCs w:val="22"/>
          <w:lang w:val="lt-LT"/>
        </w:rPr>
        <w:t>ų</w:t>
      </w:r>
      <w:r w:rsidRPr="00FB21B8">
        <w:rPr>
          <w:snapToGrid/>
          <w:szCs w:val="22"/>
          <w:lang w:val="lt-LT"/>
        </w:rPr>
        <w:t xml:space="preserve"> vaist</w:t>
      </w:r>
      <w:r>
        <w:rPr>
          <w:snapToGrid/>
          <w:szCs w:val="22"/>
          <w:lang w:val="lt-LT"/>
        </w:rPr>
        <w:t>ų,</w:t>
      </w:r>
      <w:r w:rsidRPr="00FB21B8">
        <w:rPr>
          <w:snapToGrid/>
          <w:szCs w:val="22"/>
          <w:lang w:val="lt-LT"/>
        </w:rPr>
        <w:t xml:space="preserve"> turite patikrinti, ar jų sudėtyje nėra paracetamolio, nes vartojant dideles paracetamolio dozes gali pasireikšti sunkus šalutinis poveikis (taip pat žr. poskyrį „Ką daryti pavartojus per didelę LEVIOFLU dozę“).</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Taip pat, prieš pradėdami vartoti bet koki</w:t>
      </w:r>
      <w:r>
        <w:rPr>
          <w:snapToGrid/>
          <w:szCs w:val="22"/>
          <w:lang w:val="lt-LT"/>
        </w:rPr>
        <w:t>ų</w:t>
      </w:r>
      <w:r w:rsidRPr="00FB21B8">
        <w:rPr>
          <w:snapToGrid/>
          <w:szCs w:val="22"/>
          <w:lang w:val="lt-LT"/>
        </w:rPr>
        <w:t xml:space="preserve"> kit</w:t>
      </w:r>
      <w:r>
        <w:rPr>
          <w:snapToGrid/>
          <w:szCs w:val="22"/>
          <w:lang w:val="lt-LT"/>
        </w:rPr>
        <w:t>ų</w:t>
      </w:r>
      <w:r w:rsidRPr="00FB21B8">
        <w:rPr>
          <w:snapToGrid/>
          <w:szCs w:val="22"/>
          <w:lang w:val="lt-LT"/>
        </w:rPr>
        <w:t xml:space="preserve"> vaist</w:t>
      </w:r>
      <w:r>
        <w:rPr>
          <w:snapToGrid/>
          <w:szCs w:val="22"/>
          <w:lang w:val="lt-LT"/>
        </w:rPr>
        <w:t>ų</w:t>
      </w:r>
      <w:r w:rsidRPr="00FB21B8">
        <w:rPr>
          <w:snapToGrid/>
          <w:szCs w:val="22"/>
          <w:lang w:val="lt-LT"/>
        </w:rPr>
        <w:t>, pasitarkite su gydytoju (taip pat žr. poskyrį „Kiti vaistai ir LEVIOFLU“).</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Didelėmis dozėmis arba ilgai vartojamas vaistas gali sukelti hepatopatiją (kepenų ligą), kuri Jums gali būti pavojinga (taip pat žr. poskyrį „Ką daryti pavartojus per didelę LEVIOFLU dozę“), bei sunkių inkstų ir kraujo pokyčių.</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Jeigu vartojant LEVIOFLU atsiranda alergijos požymių, nutraukite gydymą ir nedelsdami kreipkitės į gydytoją, kadangi buvo sunkios alerginės reakcijos į paracetamolį (pvz., anafilaksinio šoko, taip pat žr. poskyrį „Galimas šalutinis poveikis“) atvejų.</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right="-2"/>
        <w:rPr>
          <w:b/>
          <w:bCs/>
          <w:snapToGrid/>
          <w:szCs w:val="22"/>
          <w:lang w:val="lt-LT"/>
        </w:rPr>
      </w:pPr>
      <w:r w:rsidRPr="00FB21B8">
        <w:rPr>
          <w:b/>
          <w:bCs/>
          <w:snapToGrid/>
          <w:szCs w:val="22"/>
          <w:lang w:val="lt-LT"/>
        </w:rPr>
        <w:t>Chlorfenamino maleatas</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 xml:space="preserve">LEVIOFLU sudėtyje yra antihistamininės medžiagos (chlorfenamino). </w:t>
      </w:r>
      <w:r w:rsidRPr="00FB21B8">
        <w:rPr>
          <w:rFonts w:eastAsia="TimesNewRoman"/>
          <w:snapToGrid/>
          <w:szCs w:val="22"/>
          <w:lang w:val="lt-LT"/>
        </w:rPr>
        <w:t>Įprastomis dozėmis vartojami antihistamininiai vaistai sukelia įvairų šalutinį poveikį, kuris gali skirtis įvairiems pacientams ir įvairiems vaistams</w:t>
      </w:r>
      <w:r w:rsidRPr="00FB21B8">
        <w:rPr>
          <w:snapToGrid/>
          <w:szCs w:val="22"/>
          <w:lang w:val="lt-LT"/>
        </w:rPr>
        <w:t>. Dažniausias šalutinis poveikis yra slopinimas (fizinis ir psichinis atsipalaidavimas), kuris gali pasireikšti apsnūdimu (taip pat žr. poskyrius „Vairavimas ir mechanizmų valdymas“ ir „Šalutinis poveikis“).</w:t>
      </w: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p>
    <w:p w:rsidR="00B57296" w:rsidRPr="00FB21B8" w:rsidRDefault="00B57296" w:rsidP="00B57296">
      <w:pPr>
        <w:widowControl w:val="0"/>
        <w:numPr>
          <w:ilvl w:val="12"/>
          <w:numId w:val="0"/>
        </w:numPr>
        <w:tabs>
          <w:tab w:val="clear" w:pos="567"/>
        </w:tabs>
        <w:spacing w:line="240" w:lineRule="auto"/>
        <w:ind w:right="-2"/>
        <w:rPr>
          <w:b/>
          <w:snapToGrid/>
          <w:szCs w:val="22"/>
          <w:lang w:val="lt-LT"/>
        </w:rPr>
      </w:pPr>
      <w:r w:rsidRPr="00FB21B8">
        <w:rPr>
          <w:b/>
          <w:snapToGrid/>
          <w:szCs w:val="22"/>
          <w:lang w:val="lt-LT"/>
        </w:rPr>
        <w:t>Askorbo rūgštis</w:t>
      </w: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r w:rsidRPr="00FB21B8">
        <w:rPr>
          <w:bCs/>
          <w:snapToGrid/>
          <w:szCs w:val="22"/>
          <w:lang w:val="lt-LT"/>
        </w:rPr>
        <w:t>Askorbo rūgšt</w:t>
      </w:r>
      <w:r>
        <w:rPr>
          <w:bCs/>
          <w:snapToGrid/>
          <w:szCs w:val="22"/>
          <w:lang w:val="lt-LT"/>
        </w:rPr>
        <w:t>ies</w:t>
      </w:r>
      <w:r w:rsidRPr="00FB21B8">
        <w:rPr>
          <w:bCs/>
          <w:snapToGrid/>
          <w:szCs w:val="22"/>
          <w:lang w:val="lt-LT"/>
        </w:rPr>
        <w:t xml:space="preserve"> (vitamin</w:t>
      </w:r>
      <w:r>
        <w:rPr>
          <w:bCs/>
          <w:snapToGrid/>
          <w:szCs w:val="22"/>
          <w:lang w:val="lt-LT"/>
        </w:rPr>
        <w:t>o</w:t>
      </w:r>
      <w:r w:rsidRPr="00FB21B8">
        <w:rPr>
          <w:bCs/>
          <w:snapToGrid/>
          <w:szCs w:val="22"/>
          <w:lang w:val="lt-LT"/>
        </w:rPr>
        <w:t xml:space="preserve"> C) reikia vartoti atsargiai, jeigu sergate arba anksčiau sirgote inkstų akmenlige (inkstuose yra arba anksčiau buvo akmenų), Jūsų organizme trūksta gliukozės-6-fosfato dehidrogenazės arba sergate tokiomis ligomis kaip hemochromatozė (kepenyse ir kituose organuose kaupiasi per daug geležies), didžioji talasemija ar sideroblastinė anemija (kraujo ląstelių susidarymo </w:t>
      </w:r>
      <w:r w:rsidRPr="00FB21B8">
        <w:rPr>
          <w:bCs/>
          <w:snapToGrid/>
          <w:szCs w:val="22"/>
          <w:lang w:val="lt-LT"/>
        </w:rPr>
        <w:lastRenderedPageBreak/>
        <w:t>sutrikimas).</w:t>
      </w: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r w:rsidRPr="00FB21B8">
        <w:rPr>
          <w:b/>
          <w:snapToGrid/>
          <w:szCs w:val="22"/>
          <w:lang w:val="lt-LT"/>
        </w:rPr>
        <w:t>Pacientai, sergantys inkstų arba kepenų nepakankamumu</w:t>
      </w:r>
      <w:r w:rsidRPr="00FB21B8">
        <w:rPr>
          <w:bCs/>
          <w:snapToGrid/>
          <w:szCs w:val="22"/>
          <w:lang w:val="lt-LT"/>
        </w:rPr>
        <w:t>: jeigu sergate inkstų ar kepenų nepakankamumu, š</w:t>
      </w:r>
      <w:r>
        <w:rPr>
          <w:bCs/>
          <w:snapToGrid/>
          <w:szCs w:val="22"/>
          <w:lang w:val="lt-LT"/>
        </w:rPr>
        <w:t>io</w:t>
      </w:r>
      <w:r w:rsidRPr="00FB21B8">
        <w:rPr>
          <w:bCs/>
          <w:snapToGrid/>
          <w:szCs w:val="22"/>
          <w:lang w:val="lt-LT"/>
        </w:rPr>
        <w:t xml:space="preserve"> vaist</w:t>
      </w:r>
      <w:r>
        <w:rPr>
          <w:bCs/>
          <w:snapToGrid/>
          <w:szCs w:val="22"/>
          <w:lang w:val="lt-LT"/>
        </w:rPr>
        <w:t>o</w:t>
      </w:r>
      <w:r w:rsidRPr="00FB21B8">
        <w:rPr>
          <w:bCs/>
          <w:snapToGrid/>
          <w:szCs w:val="22"/>
          <w:lang w:val="lt-LT"/>
        </w:rPr>
        <w:t xml:space="preserve"> vartokite atsargiai.</w:t>
      </w: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r w:rsidRPr="00FB21B8">
        <w:rPr>
          <w:b/>
          <w:snapToGrid/>
          <w:szCs w:val="22"/>
          <w:lang w:val="lt-LT"/>
        </w:rPr>
        <w:t>Senyvi žmonės</w:t>
      </w:r>
      <w:r w:rsidRPr="00FB21B8">
        <w:rPr>
          <w:bCs/>
          <w:snapToGrid/>
          <w:szCs w:val="22"/>
          <w:lang w:val="lt-LT"/>
        </w:rPr>
        <w:t>: dėl didesnio jautrumo vaistui senyvo amžiaus žmonės turi atidžiai laikytis dozavimo nurodymų. Antihistamininiais vaistais gydomiems senyviems pacientams gali pasireikšti ši</w:t>
      </w:r>
      <w:r>
        <w:rPr>
          <w:bCs/>
          <w:snapToGrid/>
          <w:szCs w:val="22"/>
          <w:lang w:val="lt-LT"/>
        </w:rPr>
        <w:t>ų</w:t>
      </w:r>
      <w:r w:rsidRPr="00FB21B8">
        <w:rPr>
          <w:bCs/>
          <w:snapToGrid/>
          <w:szCs w:val="22"/>
          <w:lang w:val="lt-LT"/>
        </w:rPr>
        <w:t xml:space="preserve"> simptom</w:t>
      </w:r>
      <w:r>
        <w:rPr>
          <w:bCs/>
          <w:snapToGrid/>
          <w:szCs w:val="22"/>
          <w:lang w:val="lt-LT"/>
        </w:rPr>
        <w:t>ų</w:t>
      </w:r>
      <w:r w:rsidRPr="00FB21B8">
        <w:rPr>
          <w:bCs/>
          <w:snapToGrid/>
          <w:szCs w:val="22"/>
          <w:lang w:val="lt-LT"/>
        </w:rPr>
        <w:t>: svaigulys, slopinimas, minčių susipainiojimas ir mažas kraujospūdis. Senyvi pacientai yra ypač jautrūs šalutiniam anticholinerginiam antihistamininių vaistų poveikiui, pavyzdžiui, burnos džiūvimui ir šlapimo susilaikymui (ypač vyrams).</w:t>
      </w: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r w:rsidRPr="00FB21B8">
        <w:rPr>
          <w:b/>
          <w:snapToGrid/>
          <w:szCs w:val="22"/>
          <w:lang w:val="lt-LT"/>
        </w:rPr>
        <w:t>Kiti vaistai ir LEVIOFLU</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Jeigu vartojate ar neseniai vartojote kitų vaistų arba nesate dėl to tikri, apie tai pasakykite gydytojui arba vaistininkui.</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Pasakykite gydytojui, jeigu vartojate:</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rifampicino (antibiotiko);</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izoniazido (vaisto tuberkuliozei gydyti);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cimetidino (vaisto skrandžio opai gydyti);</w:t>
      </w:r>
    </w:p>
    <w:p w:rsidR="00B57296"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antiepilepsinių vaistų (vaistų epilepsijai gydyti, pvz., glutetimido, fenobarbitono, karbamazepino)</w:t>
      </w:r>
      <w:r>
        <w:rPr>
          <w:snapToGrid/>
          <w:szCs w:val="22"/>
          <w:lang w:val="lt-LT"/>
        </w:rPr>
        <w:t>;</w:t>
      </w:r>
    </w:p>
    <w:p w:rsidR="00B57296" w:rsidRPr="007711FF"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944A48">
        <w:rPr>
          <w:lang w:val="lt-LT"/>
        </w:rPr>
        <w:t>flukloksaciliną (antibiotiką)</w:t>
      </w:r>
      <w:r>
        <w:rPr>
          <w:lang w:val="lt-LT"/>
        </w:rPr>
        <w:t xml:space="preserve"> </w:t>
      </w:r>
      <w:r w:rsidRPr="00CA7FAD">
        <w:rPr>
          <w:lang w:val="lt-LT"/>
        </w:rPr>
        <w:t>dėl didelės kraujo ir skysčių tyrimų nenormalių rodiklių</w:t>
      </w:r>
      <w:r w:rsidRPr="007711FF">
        <w:rPr>
          <w:lang w:val="lt-LT"/>
        </w:rPr>
        <w:t xml:space="preserve"> (vadinamos </w:t>
      </w:r>
      <w:r w:rsidRPr="007711FF">
        <w:rPr>
          <w:lang w:val="x-none"/>
        </w:rPr>
        <w:t>metabolinės acidozės</w:t>
      </w:r>
      <w:r w:rsidRPr="00CA5AF5">
        <w:rPr>
          <w:lang w:val="lt-LT"/>
        </w:rPr>
        <w:t xml:space="preserve">), </w:t>
      </w:r>
      <w:r w:rsidRPr="007711FF">
        <w:rPr>
          <w:lang w:val="x-none"/>
        </w:rPr>
        <w:t xml:space="preserve">rizikos (žr. 2 skyrių), </w:t>
      </w:r>
      <w:r w:rsidRPr="007711FF">
        <w:rPr>
          <w:lang w:val="lt-LT"/>
        </w:rPr>
        <w:t>kur</w:t>
      </w:r>
      <w:r w:rsidRPr="007711FF">
        <w:rPr>
          <w:lang w:val="x-none"/>
        </w:rPr>
        <w:t>ią</w:t>
      </w:r>
      <w:r w:rsidRPr="00CA5AF5">
        <w:rPr>
          <w:lang w:val="lt-LT"/>
        </w:rPr>
        <w:t xml:space="preserve"> reikia skubiai gydyti</w:t>
      </w:r>
      <w:r w:rsidRPr="00CA5AF5">
        <w:rPr>
          <w:snapToGrid/>
          <w:szCs w:val="22"/>
          <w:lang w:val="lt-LT"/>
        </w:rPr>
        <w:t>.</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Pr>
          <w:snapToGrid/>
          <w:szCs w:val="22"/>
          <w:lang w:val="lt-LT"/>
        </w:rPr>
        <w:t>Į</w:t>
      </w:r>
      <w:r w:rsidRPr="00FB21B8">
        <w:rPr>
          <w:snapToGrid/>
          <w:szCs w:val="22"/>
          <w:lang w:val="lt-LT"/>
        </w:rPr>
        <w:t xml:space="preserve">prastai nekenksmingos paracetamolio dozės, vartojamos kartu su paminėtais vaistais, gali sukelti kepenų pažeidimą. </w:t>
      </w:r>
      <w:r w:rsidRPr="00FB21B8">
        <w:rPr>
          <w:rFonts w:eastAsia="TimesNewRoman"/>
          <w:snapToGrid/>
          <w:szCs w:val="22"/>
          <w:lang w:val="lt-LT"/>
        </w:rPr>
        <w:t>Toks poveikis galimas ir piktnaudžiaujant alkoholiu ar vartojant toksinį poveikį kepenims sukelti galinčių medžiagų:</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probenecido (vaisto podagrai gydyti);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geriamųjų antikoaguliantų (vaistų, slopinančių arba stabdančių kraujo krešulių susidarymą);</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chloramfenikolio (antibiotiko);</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zidovudino (vaisto, vartojamo ŽIV infekuotiems pacientams gydyti);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kitų anticholinerginį poveikį sukeliančių medžiagų (vaistų, blokuojančių acetilcholino, t. y. medžiagos, dalyvaujančios nervinių impulsų perdavime, poveikį);</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fenitoino (vaisto, vartojamo traukuliams gydyti).</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LEVIOFLU veiksmingumas mažėja reguliariai vartojant:</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vaistų nuo traukulių (vaistų, vartojamų traukulių priepuoliams, pvz., epilepsijai, gydyti);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geriamųjų kontraceptikų (kontraceptinių tablečių);</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kolestiramino (vaisto padidėjusiam cholesterolio kiekiui mažinti);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skrandžio ištuštinimą lėtinančių vaistų, pvz., propantelino, nes jie mažina paracetamolio absorbcijos greitį ir atitolina jo poveikio pradžią.</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Nevartokite LEVIOFLU, jeigu vartojate:</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triciklių antidepresantų (vaistų depresijai gydyti);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monoaminooksidazės inhibitorių (kitos klasės antidepresantų, tokių kaip izokarboksazidas, fenelzinas ir tranilciprominas) arba po tokio gydymo dar nepraėjo dvi savaitės;</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neuroleptikų (vaistų, vartojamų psichikos sutrikimams, pvz., psichozei, gydyti);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kitų centrinę nervų sistemą slopinančių vaistų (raminamąjį poveikį centrinei nervų sistemai sukeliančių vaistų, tokių kaip barbitūratai, raminamieji, trankviliantai, migdomieji vaistai);</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metoklopramido (vaisto nuo vėmimo).</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Šio vaisto nerekomenduojama vartoti, jeigu esate gydomi vaistais nuo uždegimo.</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Kaip ir visi vaistai, kurių sudėtyje yra antihistamininių medžiagų, LEVIOFLU gali slopinti pirmuosius tam tikrų antibiotikų ototoksiškumo (žalingo poveikio ausims) požymius.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Poveikis laboratoriniams tyrimams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lastRenderedPageBreak/>
        <w:t>Jeigu Jums bus atliekami kraujo tyrimai, turėkite omenyje, kad paracetamolio vartojimas gali turėti įtakos šlapimo rūgšties kiekio (urikemijos) ir gliukozės kiekio kraujyje (glikemijos) tyrimų rezultatams.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LEVIOFLU vartojimas su maistu, gėrimais ir alkoholiu</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LEVIOFLU reikia vartoti po valgio. Vartojant LEVIOFLU šnypščiąsias tabletes, </w:t>
      </w:r>
      <w:r w:rsidRPr="00FB21B8">
        <w:rPr>
          <w:b/>
          <w:bCs/>
          <w:snapToGrid/>
          <w:szCs w:val="22"/>
          <w:lang w:val="lt-LT"/>
        </w:rPr>
        <w:t>negalima</w:t>
      </w:r>
      <w:r w:rsidRPr="00FB21B8">
        <w:rPr>
          <w:snapToGrid/>
          <w:szCs w:val="22"/>
          <w:lang w:val="lt-LT"/>
        </w:rPr>
        <w:t xml:space="preserve"> gerti alkoholio.</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Nėštumas, žindymo laikotarpis ir vaisingumas</w:t>
      </w:r>
    </w:p>
    <w:p w:rsidR="00B57296" w:rsidRPr="00FB21B8"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 xml:space="preserve">Jeigu esate nėščia, žindote kūdikį, manote, kad galbūt esate nėščia arba planuojate pastoti, Jums </w:t>
      </w:r>
      <w:r w:rsidRPr="00FB21B8">
        <w:rPr>
          <w:snapToGrid/>
          <w:szCs w:val="22"/>
          <w:lang w:val="lt-LT"/>
        </w:rPr>
        <w:t xml:space="preserve">LEVIOFLU vartoti </w:t>
      </w:r>
      <w:r>
        <w:rPr>
          <w:b/>
          <w:bCs/>
          <w:snapToGrid/>
          <w:szCs w:val="22"/>
          <w:lang w:val="lt-LT"/>
        </w:rPr>
        <w:t>draudžiama</w:t>
      </w:r>
      <w:r w:rsidRPr="00FB21B8">
        <w:rPr>
          <w:rFonts w:eastAsia="TimesNewRoman,Bold"/>
          <w:snapToGrid/>
          <w:szCs w:val="22"/>
          <w:lang w:val="lt-LT"/>
        </w:rPr>
        <w:t>.</w:t>
      </w: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Vairavimas ir mechanizmų valdymas</w:t>
      </w:r>
    </w:p>
    <w:p w:rsidR="00B57296" w:rsidRPr="00FB21B8"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LEVIOFLU gali sukelti nuovargį, apsnūdimą ir svaigulį. Jeigu atsiranda tokių simptomų, nevairuokite ir nevaldykite mechanizmų.</w:t>
      </w:r>
    </w:p>
    <w:p w:rsidR="00B57296" w:rsidRPr="00FB21B8" w:rsidRDefault="00B57296" w:rsidP="00B57296">
      <w:pPr>
        <w:widowControl w:val="0"/>
        <w:numPr>
          <w:ilvl w:val="12"/>
          <w:numId w:val="0"/>
        </w:numPr>
        <w:tabs>
          <w:tab w:val="clear" w:pos="567"/>
        </w:tabs>
        <w:spacing w:line="240" w:lineRule="auto"/>
        <w:ind w:right="-2"/>
        <w:rPr>
          <w:bCs/>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r w:rsidRPr="00FB21B8">
        <w:rPr>
          <w:b/>
          <w:snapToGrid/>
          <w:szCs w:val="22"/>
          <w:lang w:val="lt-LT"/>
        </w:rPr>
        <w:t>LEVIOFLU sudėtyje yra aspartamo</w:t>
      </w:r>
    </w:p>
    <w:p w:rsidR="00B57296" w:rsidRPr="00FB21B8" w:rsidRDefault="00B57296" w:rsidP="00B57296">
      <w:pPr>
        <w:widowControl w:val="0"/>
        <w:numPr>
          <w:ilvl w:val="12"/>
          <w:numId w:val="0"/>
        </w:numPr>
        <w:tabs>
          <w:tab w:val="clear" w:pos="567"/>
        </w:tabs>
        <w:spacing w:line="240" w:lineRule="auto"/>
        <w:ind w:right="-2"/>
        <w:rPr>
          <w:lang w:val="lt-LT"/>
        </w:rPr>
      </w:pPr>
      <w:r w:rsidRPr="00FB21B8">
        <w:rPr>
          <w:rFonts w:eastAsia="TimesNewRoman"/>
          <w:snapToGrid/>
          <w:szCs w:val="22"/>
          <w:lang w:val="lt-LT"/>
        </w:rPr>
        <w:t>Kiekvienoje šio vaisto šnypščiojoje tabletėje yra 40 mg aspartamo</w:t>
      </w:r>
      <w:r w:rsidRPr="00FB21B8">
        <w:rPr>
          <w:snapToGrid/>
          <w:szCs w:val="22"/>
          <w:lang w:val="lt-LT"/>
        </w:rPr>
        <w:t>.</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Aspartamas yra fenilalanino šaltinis. Jis gali būti kenksmingas sergantiems fenilketonurija, reta genetine liga, kuria sergant fenilaninas kaupiasi organizme, nes organizmas negali jo tinkamai pašalinti.</w:t>
      </w:r>
    </w:p>
    <w:p w:rsidR="00B57296" w:rsidRPr="00FB21B8" w:rsidRDefault="00B57296" w:rsidP="00B57296">
      <w:pPr>
        <w:widowControl w:val="0"/>
        <w:numPr>
          <w:ilvl w:val="12"/>
          <w:numId w:val="0"/>
        </w:numPr>
        <w:tabs>
          <w:tab w:val="clear" w:pos="567"/>
        </w:tabs>
        <w:spacing w:line="240" w:lineRule="auto"/>
        <w:rPr>
          <w:b/>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r w:rsidRPr="00FB21B8">
        <w:rPr>
          <w:b/>
          <w:snapToGrid/>
          <w:szCs w:val="22"/>
          <w:lang w:val="lt-LT"/>
        </w:rPr>
        <w:t>LEVIOFLU sudėtyje yra sorbitolio</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rFonts w:eastAsia="TimesNewRoman"/>
          <w:snapToGrid/>
          <w:szCs w:val="22"/>
          <w:lang w:val="lt-LT"/>
        </w:rPr>
        <w:t xml:space="preserve">Kiekvienoje šio vaisto šnypščiojoje tabletėje yra 212 mg sorbitolio. </w:t>
      </w:r>
      <w:r w:rsidRPr="00FB21B8">
        <w:rPr>
          <w:snapToGrid/>
          <w:szCs w:val="22"/>
          <w:lang w:val="lt-LT"/>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lang w:val="lt-LT"/>
        </w:rPr>
      </w:pPr>
      <w:r w:rsidRPr="00FB21B8">
        <w:rPr>
          <w:b/>
          <w:snapToGrid/>
          <w:szCs w:val="22"/>
          <w:lang w:val="lt-LT"/>
        </w:rPr>
        <w:t>LEVIOFLU sudėtyje yra natrio</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rFonts w:eastAsia="TimesNewRoman"/>
          <w:snapToGrid/>
          <w:szCs w:val="22"/>
          <w:lang w:val="lt-LT"/>
        </w:rPr>
        <w:t>Kiekvienoje šio vaisto šnypščiojoje tabletėje yra 314 mg natrio (valgomosios druskos sudedamosios dalies). Tai atitinka 16 % didžiausios rekomenduojamos natrio paros normos suaugusiesiems.</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3.</w:t>
      </w:r>
      <w:r w:rsidRPr="00FB21B8">
        <w:rPr>
          <w:b/>
          <w:snapToGrid/>
          <w:szCs w:val="22"/>
          <w:lang w:val="lt-LT"/>
        </w:rPr>
        <w:tab/>
        <w:t>Kaip vartoti LEVIOFLU</w:t>
      </w:r>
    </w:p>
    <w:p w:rsidR="00B57296" w:rsidRPr="00FB21B8" w:rsidRDefault="00B57296" w:rsidP="00B57296">
      <w:pPr>
        <w:widowControl w:val="0"/>
        <w:tabs>
          <w:tab w:val="clear" w:pos="567"/>
        </w:tabs>
        <w:spacing w:line="240" w:lineRule="auto"/>
        <w:ind w:left="567" w:hanging="567"/>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Visada vartokite šį vaistą tiksliai, kaip aprašyta šiame lapelyje arba kaip nurodė gydytojas arba vaistininkas. Jeigu abejojate, kreipkitės į gydytoją arba vaistininką.</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Laikykitės dozavimo rekomendacijų.</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Nepasitarę su gydytoju nevartokite didesnių dozių nei rekomenduojama.</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Suaugusiesiems ir vyresniems kaip 15 metų paaugliams</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Viena šnypščioji tabletė vartojama kas 4</w:t>
      </w:r>
      <w:r w:rsidRPr="00FB21B8">
        <w:rPr>
          <w:rFonts w:eastAsia="TimesNewRoman"/>
          <w:snapToGrid/>
          <w:szCs w:val="22"/>
          <w:lang w:val="lt-LT"/>
        </w:rPr>
        <w:noBreakHyphen/>
        <w:t>6 valandas pagal poreikį. Per 24 valandas galima suvartoti ne daugiau kaip 6 šnypščiąsias tabletes.</w:t>
      </w:r>
    </w:p>
    <w:p w:rsidR="00B57296" w:rsidRPr="00FB21B8" w:rsidRDefault="00B57296" w:rsidP="00B57296">
      <w:pPr>
        <w:widowControl w:val="0"/>
        <w:tabs>
          <w:tab w:val="clear" w:pos="567"/>
        </w:tabs>
        <w:spacing w:line="240" w:lineRule="auto"/>
        <w:rPr>
          <w:rFonts w:eastAsia="TimesNewRoman"/>
          <w:snapToGrid/>
          <w:szCs w:val="22"/>
          <w:lang w:val="lt-LT"/>
        </w:rPr>
      </w:pPr>
    </w:p>
    <w:p w:rsidR="00B57296" w:rsidRPr="00FB21B8" w:rsidRDefault="00B57296" w:rsidP="00B57296">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Senyviems pacientams</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Senyviems žmonėms yra ypač svarbu laikytis dozavimo rekomendacijų, nes jų jautrumas tokių vaistų poveikiui yra didesnis.</w:t>
      </w:r>
    </w:p>
    <w:p w:rsidR="00B57296" w:rsidRPr="00FB21B8" w:rsidRDefault="00B57296" w:rsidP="00B57296">
      <w:pPr>
        <w:widowControl w:val="0"/>
        <w:tabs>
          <w:tab w:val="clear" w:pos="567"/>
        </w:tabs>
        <w:spacing w:line="240" w:lineRule="auto"/>
        <w:rPr>
          <w:rFonts w:eastAsia="TimesNewRoman"/>
          <w:snapToGrid/>
          <w:szCs w:val="22"/>
          <w:lang w:val="lt-LT"/>
        </w:rPr>
      </w:pPr>
    </w:p>
    <w:p w:rsidR="00B57296" w:rsidRPr="00FB21B8" w:rsidRDefault="00B57296" w:rsidP="00B57296">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Vartojimas vaikams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 xml:space="preserve">LEVIOFLU </w:t>
      </w:r>
      <w:r>
        <w:rPr>
          <w:snapToGrid/>
          <w:szCs w:val="22"/>
          <w:lang w:val="lt-LT"/>
        </w:rPr>
        <w:t>draudžiama</w:t>
      </w:r>
      <w:r w:rsidRPr="00FB21B8">
        <w:rPr>
          <w:snapToGrid/>
          <w:szCs w:val="22"/>
          <w:lang w:val="lt-LT"/>
        </w:rPr>
        <w:t xml:space="preserve"> vartoti jaunesniems nei 15 metų vaikams.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Vartojimo metodas</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Vartoti per burną.</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LEVIOFLU yra tiekiamas šnypščiųjų tablečių forma.</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Vieną šnypščiąją tabletę reikia ištirpinti stiklinėje vandens (15</w:t>
      </w:r>
      <w:r w:rsidRPr="00FB21B8">
        <w:rPr>
          <w:rFonts w:eastAsia="TimesNewRoman"/>
          <w:snapToGrid/>
          <w:szCs w:val="22"/>
          <w:lang w:val="lt-LT"/>
        </w:rPr>
        <w:noBreakHyphen/>
        <w:t xml:space="preserve">25 °C). Paruoštas tirpalas yra šiek tiek opalinis ir bespalvis. Tirpalą reikia išgerti neleidžiant jam nusistovėti. LEVIOFLU reikia vartoti po </w:t>
      </w:r>
      <w:r w:rsidRPr="00FB21B8">
        <w:rPr>
          <w:rFonts w:eastAsia="TimesNewRoman"/>
          <w:snapToGrid/>
          <w:szCs w:val="22"/>
          <w:lang w:val="lt-LT"/>
        </w:rPr>
        <w:lastRenderedPageBreak/>
        <w:t>valgio.</w:t>
      </w:r>
    </w:p>
    <w:p w:rsidR="00B57296" w:rsidRPr="00FB21B8" w:rsidRDefault="00B57296" w:rsidP="00B57296">
      <w:pPr>
        <w:widowControl w:val="0"/>
        <w:tabs>
          <w:tab w:val="clear" w:pos="567"/>
        </w:tabs>
        <w:spacing w:line="240" w:lineRule="auto"/>
        <w:rPr>
          <w:rFonts w:eastAsia="TimesNewRoman"/>
          <w:snapToGrid/>
          <w:szCs w:val="22"/>
          <w:lang w:val="lt-LT"/>
        </w:rPr>
      </w:pPr>
    </w:p>
    <w:p w:rsidR="00B57296" w:rsidRPr="00FB21B8" w:rsidRDefault="00B57296" w:rsidP="00B57296">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Vartojimo trukmė</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Šis vaistas yra skirtas vartoti trumpai. Nepasitarus su gydytoju, šio vaisto negalima vartoti, jeigu karščiavimas ar skausmas tęsiasi ilgiau kaip 3 </w:t>
      </w:r>
      <w:r>
        <w:rPr>
          <w:rFonts w:eastAsia="TimesNewRoman"/>
          <w:snapToGrid/>
          <w:szCs w:val="22"/>
          <w:lang w:val="lt-LT"/>
        </w:rPr>
        <w:t>paras</w:t>
      </w:r>
      <w:r w:rsidRPr="00FB21B8">
        <w:rPr>
          <w:rFonts w:eastAsia="TimesNewRoman"/>
          <w:snapToGrid/>
          <w:szCs w:val="22"/>
          <w:lang w:val="lt-LT"/>
        </w:rPr>
        <w:t xml:space="preserve">. Jeigu simptomai pasunkėja ar nepalengvėja po 3 gydymo </w:t>
      </w:r>
      <w:r>
        <w:rPr>
          <w:rFonts w:eastAsia="TimesNewRoman"/>
          <w:snapToGrid/>
          <w:szCs w:val="22"/>
          <w:lang w:val="lt-LT"/>
        </w:rPr>
        <w:t>parų</w:t>
      </w:r>
      <w:r w:rsidRPr="00FB21B8">
        <w:rPr>
          <w:rFonts w:eastAsia="TimesNewRoman"/>
          <w:snapToGrid/>
          <w:szCs w:val="22"/>
          <w:lang w:val="lt-LT"/>
        </w:rPr>
        <w:t>, dėl gydymo tęsimo būtina pasitarti su medikais.</w:t>
      </w:r>
    </w:p>
    <w:p w:rsidR="00B57296" w:rsidRPr="00FB21B8" w:rsidRDefault="00B57296" w:rsidP="00B57296">
      <w:pPr>
        <w:widowControl w:val="0"/>
        <w:tabs>
          <w:tab w:val="clear" w:pos="567"/>
        </w:tabs>
        <w:spacing w:line="240" w:lineRule="auto"/>
        <w:rPr>
          <w:rFonts w:eastAsia="TimesNewRoman"/>
          <w:snapToGrid/>
          <w:szCs w:val="22"/>
          <w:lang w:val="lt-LT"/>
        </w:rPr>
      </w:pPr>
    </w:p>
    <w:p w:rsidR="00B57296" w:rsidRPr="00FB21B8" w:rsidRDefault="00B57296" w:rsidP="00B57296">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Inkstų nepakankamumas</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Jeigu yra inkstų nepakankamumas (</w:t>
      </w:r>
      <w:r w:rsidRPr="00FB21B8">
        <w:rPr>
          <w:rFonts w:eastAsia="TimesNewRoman"/>
          <w:i/>
          <w:iCs/>
          <w:snapToGrid/>
          <w:szCs w:val="22"/>
          <w:lang w:val="lt-LT"/>
        </w:rPr>
        <w:t>sergate inkstų liga</w:t>
      </w:r>
      <w:r w:rsidRPr="00FB21B8">
        <w:rPr>
          <w:rFonts w:eastAsia="TimesNewRoman"/>
          <w:snapToGrid/>
          <w:szCs w:val="22"/>
          <w:lang w:val="lt-LT"/>
        </w:rPr>
        <w:t>), kreipkitės į gydytoją, kuris pakoreguos dozes ir intervalus tarp jų vartojimo.</w:t>
      </w:r>
    </w:p>
    <w:p w:rsidR="00B57296" w:rsidRPr="00FB21B8" w:rsidRDefault="00B57296" w:rsidP="00B57296">
      <w:pPr>
        <w:widowControl w:val="0"/>
        <w:tabs>
          <w:tab w:val="clear" w:pos="567"/>
        </w:tabs>
        <w:spacing w:line="240" w:lineRule="auto"/>
        <w:rPr>
          <w:rFonts w:eastAsia="TimesNewRoman"/>
          <w:snapToGrid/>
          <w:szCs w:val="22"/>
          <w:lang w:val="lt-LT"/>
        </w:rPr>
      </w:pPr>
    </w:p>
    <w:p w:rsidR="00B57296" w:rsidRPr="00FB21B8" w:rsidRDefault="00B57296" w:rsidP="00B57296">
      <w:pPr>
        <w:widowControl w:val="0"/>
        <w:tabs>
          <w:tab w:val="clear" w:pos="567"/>
        </w:tabs>
        <w:spacing w:line="240" w:lineRule="auto"/>
        <w:rPr>
          <w:rFonts w:eastAsia="TimesNewRoman"/>
          <w:b/>
          <w:bCs/>
          <w:snapToGrid/>
          <w:szCs w:val="22"/>
          <w:lang w:val="lt-LT"/>
        </w:rPr>
      </w:pPr>
      <w:r w:rsidRPr="00FB21B8">
        <w:rPr>
          <w:rFonts w:eastAsia="TimesNewRoman"/>
          <w:b/>
          <w:bCs/>
          <w:snapToGrid/>
          <w:szCs w:val="22"/>
          <w:lang w:val="lt-LT"/>
        </w:rPr>
        <w:t>Kepenų nepakankamumas</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Jeigu yra kepenų nepakankamumas (</w:t>
      </w:r>
      <w:r w:rsidRPr="00FB21B8">
        <w:rPr>
          <w:rFonts w:eastAsia="TimesNewRoman"/>
          <w:i/>
          <w:iCs/>
          <w:snapToGrid/>
          <w:szCs w:val="22"/>
          <w:lang w:val="lt-LT"/>
        </w:rPr>
        <w:t>sergate kepenų liga</w:t>
      </w:r>
      <w:r w:rsidRPr="00FB21B8">
        <w:rPr>
          <w:rFonts w:eastAsia="TimesNewRoman"/>
          <w:snapToGrid/>
          <w:szCs w:val="22"/>
          <w:lang w:val="lt-LT"/>
        </w:rPr>
        <w:t>), kreipkitės į gydytoją, kuris patars dėl tinkamų dozių ir intervalų tarp jų vartojimo.</w:t>
      </w:r>
    </w:p>
    <w:p w:rsidR="00B57296" w:rsidRPr="00FB21B8" w:rsidRDefault="00B57296" w:rsidP="00B57296">
      <w:pPr>
        <w:widowControl w:val="0"/>
        <w:tabs>
          <w:tab w:val="clear" w:pos="567"/>
        </w:tabs>
        <w:spacing w:line="240" w:lineRule="auto"/>
        <w:rPr>
          <w:rFonts w:eastAsia="TimesNewRoman"/>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Ką daryti pavartojus per didelę LEVIOFLU dozę</w:t>
      </w:r>
    </w:p>
    <w:p w:rsidR="00B57296" w:rsidRPr="00FB21B8"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Atsitiktinai išgėrus per didelę LEVIOFLU šnypščiųjų tablečių dozę, nedelsdami kreipkitės į gydytoją arba į artimiausią ligoninę, nes kyla uždelsto ir sunkaus kepenų pažeidimo rizika.</w:t>
      </w:r>
    </w:p>
    <w:p w:rsidR="00B57296"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Per pirmąsias 24 valandas pasireiškiantys pagrindiniai apsinuodijimo simptomai yra vėmimas, pilvo skausmas ir blyškumas. Galite jausti tokius simptomus kaip apsnūdimas, letargija (gilaus miego būsena, kai susilpnėja atsakas į įprastus dirgiklius) ir lėtas kvėpavimas (sumažėjęs kvėpavimo aktyvumas).</w:t>
      </w:r>
    </w:p>
    <w:p w:rsidR="00B57296" w:rsidRPr="00FB21B8"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Per kelias valandas po per didelės paracetamolio dozės išgėrimo pavartotas acetilcisteinas (medžiaga, kuri valo kepenis) veiksmingai sumažina kepenų pažeidimą. Patartina sukelti vėmimą arba galbūt išplauti skrandį (tai turi atlikti specializuotas personalas ligoninėje); be to, Jūs turite būti stebimi ir turi būti skiriamas palaikomasis gydymas, kaip kad nusprendžia gydytojas.</w:t>
      </w:r>
    </w:p>
    <w:p w:rsidR="00B57296" w:rsidRPr="00FB21B8"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rFonts w:eastAsia="TimesNewRoman,Bold"/>
          <w:b/>
          <w:bCs/>
          <w:snapToGrid/>
          <w:szCs w:val="22"/>
          <w:lang w:val="lt-LT"/>
        </w:rPr>
      </w:pPr>
      <w:r w:rsidRPr="00FB21B8">
        <w:rPr>
          <w:rFonts w:eastAsia="TimesNewRoman,Bold"/>
          <w:b/>
          <w:bCs/>
          <w:snapToGrid/>
          <w:szCs w:val="22"/>
          <w:lang w:val="lt-LT"/>
        </w:rPr>
        <w:t>Pamiršus pavartoti LEVIOFLU</w:t>
      </w:r>
    </w:p>
    <w:p w:rsidR="00B57296" w:rsidRPr="00FB21B8"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r w:rsidRPr="00FB21B8">
        <w:rPr>
          <w:rFonts w:eastAsia="TimesNewRoman,Bold"/>
          <w:snapToGrid/>
          <w:szCs w:val="22"/>
          <w:lang w:val="lt-LT"/>
        </w:rPr>
        <w:t>Jeigu praleidote LEVIOFLU šnypščiųjų tablečių dozę ir išlieka karščiavimas ar skausmas, išgerkite kitą dozę. Intervalas tarp dozių turi būti ne trumpesnis kaip 4</w:t>
      </w:r>
      <w:r w:rsidRPr="00FB21B8">
        <w:rPr>
          <w:rFonts w:eastAsia="TimesNewRoman,Bold"/>
          <w:snapToGrid/>
          <w:szCs w:val="22"/>
          <w:lang w:val="lt-LT"/>
        </w:rPr>
        <w:noBreakHyphen/>
        <w:t>6 valandos. Negalima vartoti dvigubos dozės norint kompensuoti praleistą dozę.</w:t>
      </w:r>
    </w:p>
    <w:p w:rsidR="00B57296" w:rsidRPr="00FB21B8" w:rsidRDefault="00B57296" w:rsidP="00B57296">
      <w:pPr>
        <w:widowControl w:val="0"/>
        <w:tabs>
          <w:tab w:val="clear" w:pos="567"/>
        </w:tabs>
        <w:autoSpaceDE w:val="0"/>
        <w:autoSpaceDN w:val="0"/>
        <w:adjustRightInd w:val="0"/>
        <w:spacing w:line="240" w:lineRule="auto"/>
        <w:rPr>
          <w:rFonts w:eastAsia="TimesNewRoman,Bold"/>
          <w:snapToGrid/>
          <w:szCs w:val="22"/>
          <w:lang w:val="lt-LT"/>
        </w:rPr>
      </w:pPr>
    </w:p>
    <w:p w:rsidR="00B57296" w:rsidRPr="00FB21B8" w:rsidRDefault="00B57296" w:rsidP="00B57296">
      <w:pPr>
        <w:widowControl w:val="0"/>
        <w:numPr>
          <w:ilvl w:val="12"/>
          <w:numId w:val="0"/>
        </w:numPr>
        <w:tabs>
          <w:tab w:val="clear" w:pos="567"/>
        </w:tabs>
        <w:spacing w:line="240" w:lineRule="auto"/>
        <w:ind w:right="-2"/>
        <w:rPr>
          <w:b/>
          <w:bCs/>
          <w:snapToGrid/>
          <w:szCs w:val="22"/>
          <w:lang w:val="lt-LT"/>
        </w:rPr>
      </w:pPr>
      <w:r w:rsidRPr="00FB21B8">
        <w:rPr>
          <w:rFonts w:eastAsia="TimesNewRoman,Bold"/>
          <w:b/>
          <w:bCs/>
          <w:snapToGrid/>
          <w:szCs w:val="22"/>
          <w:lang w:val="lt-LT"/>
        </w:rPr>
        <w:t>Jeigu kiltų daugiau klausimų dėl šio vaisto vartojimo, kreipkitės į gydytoją arba vaistininką.</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left="567" w:hanging="567"/>
        <w:outlineLvl w:val="0"/>
        <w:rPr>
          <w:b/>
          <w:caps/>
          <w:snapToGrid/>
          <w:szCs w:val="22"/>
          <w:lang w:val="lt-LT"/>
        </w:rPr>
      </w:pPr>
      <w:r w:rsidRPr="00FB21B8">
        <w:rPr>
          <w:b/>
          <w:caps/>
          <w:snapToGrid/>
          <w:szCs w:val="22"/>
          <w:lang w:val="lt-LT"/>
        </w:rPr>
        <w:t>4.</w:t>
      </w:r>
      <w:r w:rsidRPr="00FB21B8">
        <w:rPr>
          <w:b/>
          <w:caps/>
          <w:snapToGrid/>
          <w:szCs w:val="22"/>
          <w:lang w:val="lt-LT"/>
        </w:rPr>
        <w:tab/>
      </w:r>
      <w:r w:rsidRPr="00FB21B8">
        <w:rPr>
          <w:b/>
          <w:snapToGrid/>
          <w:szCs w:val="22"/>
          <w:lang w:val="lt-LT"/>
        </w:rPr>
        <w:t>Galimas šalutinis poveikis</w:t>
      </w:r>
    </w:p>
    <w:p w:rsidR="00B57296" w:rsidRPr="00FB21B8" w:rsidRDefault="00B57296" w:rsidP="00B57296">
      <w:pPr>
        <w:widowControl w:val="0"/>
        <w:tabs>
          <w:tab w:val="clear" w:pos="567"/>
        </w:tabs>
        <w:spacing w:line="240" w:lineRule="auto"/>
        <w:ind w:left="567" w:hanging="567"/>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Šis vaistas, kaip ir visi kiti, gali sukelti šalutinį poveikį, nors jis pasireiškia ne visiems žmonėms. Toliau išvardyto šalutinio poveikio dažnis negali būti apskaičiuotas pagal turimus duomenis.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Jeigu pastebėsite bet kurį toliau paminėtą šalutinį poveikį, nutraukite šio vaisto vartojimą ir nedelsdami kreipkitės į gydytoją arba artimiausią ligoninę; Jums bus skirtas tinkamas ir specifinis gydymas: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sunkios odos išbėrimu pasireiškiančios odos reakcijos, kurios gali būti mirtinos (įskaitant Stivenso</w:t>
      </w:r>
      <w:r>
        <w:rPr>
          <w:snapToGrid/>
          <w:szCs w:val="22"/>
          <w:lang w:val="lt-LT"/>
        </w:rPr>
        <w:t>-</w:t>
      </w:r>
      <w:r w:rsidRPr="00FB21B8">
        <w:rPr>
          <w:snapToGrid/>
          <w:szCs w:val="22"/>
          <w:lang w:val="lt-LT"/>
        </w:rPr>
        <w:t>Džonsono sindromą, toksinę epidermio nekrolizę ir ūminę išplitusią egzanteminę pustuliozę);</w:t>
      </w:r>
    </w:p>
    <w:p w:rsidR="00B57296" w:rsidRPr="00FB21B8" w:rsidRDefault="00B57296" w:rsidP="00B57296">
      <w:pPr>
        <w:widowControl w:val="0"/>
        <w:numPr>
          <w:ilvl w:val="0"/>
          <w:numId w:val="3"/>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alerginės reakcijos, tokios kaip:</w:t>
      </w:r>
    </w:p>
    <w:p w:rsidR="00B57296" w:rsidRPr="00FB21B8" w:rsidRDefault="00B57296" w:rsidP="00B57296">
      <w:pPr>
        <w:widowControl w:val="0"/>
        <w:numPr>
          <w:ilvl w:val="1"/>
          <w:numId w:val="5"/>
        </w:numPr>
        <w:tabs>
          <w:tab w:val="clear" w:pos="567"/>
        </w:tabs>
        <w:autoSpaceDE w:val="0"/>
        <w:autoSpaceDN w:val="0"/>
        <w:adjustRightInd w:val="0"/>
        <w:spacing w:line="240" w:lineRule="auto"/>
        <w:ind w:left="1134" w:hanging="567"/>
        <w:rPr>
          <w:snapToGrid/>
          <w:szCs w:val="22"/>
          <w:lang w:val="lt-LT"/>
        </w:rPr>
      </w:pPr>
      <w:r w:rsidRPr="00FB21B8">
        <w:rPr>
          <w:snapToGrid/>
          <w:szCs w:val="22"/>
          <w:lang w:val="lt-LT"/>
        </w:rPr>
        <w:t>angioneurozinė edema (staigus odos ar gleivinių patinimas);</w:t>
      </w:r>
    </w:p>
    <w:p w:rsidR="00B57296" w:rsidRPr="00FB21B8" w:rsidRDefault="00B57296" w:rsidP="00B57296">
      <w:pPr>
        <w:widowControl w:val="0"/>
        <w:numPr>
          <w:ilvl w:val="1"/>
          <w:numId w:val="5"/>
        </w:numPr>
        <w:tabs>
          <w:tab w:val="clear" w:pos="567"/>
        </w:tabs>
        <w:autoSpaceDE w:val="0"/>
        <w:autoSpaceDN w:val="0"/>
        <w:adjustRightInd w:val="0"/>
        <w:spacing w:line="240" w:lineRule="auto"/>
        <w:ind w:left="1134" w:hanging="567"/>
        <w:rPr>
          <w:snapToGrid/>
          <w:szCs w:val="22"/>
          <w:lang w:val="lt-LT"/>
        </w:rPr>
      </w:pPr>
      <w:r w:rsidRPr="00FB21B8">
        <w:rPr>
          <w:snapToGrid/>
          <w:szCs w:val="22"/>
          <w:lang w:val="lt-LT"/>
        </w:rPr>
        <w:t>gerklų edema (gerklų patinimas);</w:t>
      </w:r>
    </w:p>
    <w:p w:rsidR="00B57296" w:rsidRPr="00FB21B8" w:rsidRDefault="00B57296" w:rsidP="00B57296">
      <w:pPr>
        <w:widowControl w:val="0"/>
        <w:numPr>
          <w:ilvl w:val="1"/>
          <w:numId w:val="5"/>
        </w:numPr>
        <w:tabs>
          <w:tab w:val="clear" w:pos="567"/>
        </w:tabs>
        <w:autoSpaceDE w:val="0"/>
        <w:autoSpaceDN w:val="0"/>
        <w:adjustRightInd w:val="0"/>
        <w:spacing w:line="240" w:lineRule="auto"/>
        <w:ind w:left="1134" w:hanging="567"/>
        <w:rPr>
          <w:snapToGrid/>
          <w:szCs w:val="22"/>
          <w:lang w:val="lt-LT"/>
        </w:rPr>
      </w:pPr>
      <w:r w:rsidRPr="00FB21B8">
        <w:rPr>
          <w:snapToGrid/>
          <w:szCs w:val="22"/>
          <w:lang w:val="lt-LT"/>
        </w:rPr>
        <w:t>anafilaksinis šokas (sunki alerginė reakcija).</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Kraują pažeidžiantis šalutinis poveikis: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trombocitopenija (trombocitų kiekio kraujyje sumažėjimas);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leukopenija (baltųjų kraujo ląstelių kiekio sumažėjimas);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anemija (hemoglobino ir raudonųjų kraujo ląstelių kiekio sumažėjimas);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agranulocitozė (granulocitų kiekio kraujyje sumažėjimas);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lastRenderedPageBreak/>
        <w:t>pancitopenija (visų ląstelių kiekio kraujyje sumažėjimas).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Nervų sistemos sutrikimai, tokie kaip:</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apsnūdimas;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astenija (silpnumas);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galvos sukimasis (svaigulys);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galvos skausmas;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dėmesio sutelkimo sutrikimas.</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keepNext/>
        <w:keepLines/>
        <w:widowControl w:val="0"/>
        <w:tabs>
          <w:tab w:val="clear" w:pos="567"/>
        </w:tabs>
        <w:autoSpaceDE w:val="0"/>
        <w:autoSpaceDN w:val="0"/>
        <w:adjustRightInd w:val="0"/>
        <w:spacing w:line="240" w:lineRule="auto"/>
        <w:rPr>
          <w:snapToGrid/>
          <w:szCs w:val="22"/>
          <w:lang w:val="lt-LT"/>
        </w:rPr>
      </w:pPr>
      <w:r w:rsidRPr="00FB21B8">
        <w:rPr>
          <w:snapToGrid/>
          <w:szCs w:val="22"/>
          <w:lang w:val="lt-LT"/>
        </w:rPr>
        <w:t>Buvo pranešta apie vartojant paracetamol</w:t>
      </w:r>
      <w:r>
        <w:rPr>
          <w:snapToGrid/>
          <w:szCs w:val="22"/>
          <w:lang w:val="lt-LT"/>
        </w:rPr>
        <w:t>io</w:t>
      </w:r>
      <w:r w:rsidRPr="00FB21B8">
        <w:rPr>
          <w:snapToGrid/>
          <w:szCs w:val="22"/>
          <w:lang w:val="lt-LT"/>
        </w:rPr>
        <w:t xml:space="preserve"> pasireiškusias įvairaus tipo ir sunkumo </w:t>
      </w:r>
      <w:r w:rsidRPr="00FB21B8">
        <w:rPr>
          <w:b/>
          <w:bCs/>
          <w:snapToGrid/>
          <w:szCs w:val="22"/>
          <w:lang w:val="lt-LT"/>
        </w:rPr>
        <w:t>odos reakcijas</w:t>
      </w:r>
      <w:r w:rsidRPr="00FB21B8">
        <w:rPr>
          <w:snapToGrid/>
          <w:szCs w:val="22"/>
          <w:lang w:val="lt-LT"/>
        </w:rPr>
        <w:t>, įskaitant:</w:t>
      </w:r>
    </w:p>
    <w:p w:rsidR="00B57296" w:rsidRPr="00FB21B8" w:rsidRDefault="00B57296" w:rsidP="00B57296">
      <w:pPr>
        <w:keepNext/>
        <w:keepLines/>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dilgėlinę (raudonų dėmių atsiradimą ant odos);</w:t>
      </w:r>
    </w:p>
    <w:p w:rsidR="00B57296" w:rsidRPr="00FB21B8" w:rsidRDefault="00B57296" w:rsidP="00B57296">
      <w:pPr>
        <w:keepNext/>
        <w:keepLines/>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daugiaformę eritemą (odos uždegimą);</w:t>
      </w:r>
    </w:p>
    <w:p w:rsidR="00B57296" w:rsidRPr="00FB21B8" w:rsidRDefault="00B57296" w:rsidP="00B57296">
      <w:pPr>
        <w:keepNext/>
        <w:keepLines/>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jautrumą šviesai (šviesos poveikio sukeltą alerginę odos reakciją).</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s>
        <w:autoSpaceDE w:val="0"/>
        <w:autoSpaceDN w:val="0"/>
        <w:adjustRightInd w:val="0"/>
        <w:spacing w:line="240" w:lineRule="auto"/>
        <w:rPr>
          <w:b/>
          <w:bCs/>
          <w:snapToGrid/>
          <w:szCs w:val="22"/>
          <w:lang w:val="lt-LT"/>
        </w:rPr>
      </w:pPr>
      <w:r w:rsidRPr="00FB21B8">
        <w:rPr>
          <w:b/>
          <w:bCs/>
          <w:snapToGrid/>
          <w:szCs w:val="22"/>
          <w:lang w:val="lt-LT"/>
        </w:rPr>
        <w:t>Gali pasireikšti ir kitoks šalutinis poveikis: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matomo vaizdo neryškumas;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padidėjęs bronchų sekreto klampumas (tirštesnės gleivės);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virškinimo trakto sutrikimai, tokie kaip burnos džiūvimas ir pykinimas;</w:t>
      </w:r>
    </w:p>
    <w:p w:rsidR="00B57296" w:rsidRPr="00FB21B8"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kepenų funkcijos sutrikimas ir hepatitas (kepenų uždegimas);</w:t>
      </w:r>
    </w:p>
    <w:p w:rsidR="00B57296"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inkstų sutrikimai: ūminis inkstų nepakankamumas (inkstų funkcijos susilpnėjimas), intersticinis nefritas (inkstų uždegimas), hematurija (kraujo buvimas šlapime), anurija (šlapimo nebuvimas), šlapimo susilaikymas (šlapimo buvimas šlapimo pūslėje)</w:t>
      </w:r>
      <w:r>
        <w:rPr>
          <w:snapToGrid/>
          <w:szCs w:val="22"/>
          <w:lang w:val="lt-LT"/>
        </w:rPr>
        <w:t>;</w:t>
      </w:r>
    </w:p>
    <w:p w:rsidR="00B57296" w:rsidRPr="007711FF" w:rsidRDefault="00B57296" w:rsidP="00B57296">
      <w:pPr>
        <w:widowControl w:val="0"/>
        <w:numPr>
          <w:ilvl w:val="0"/>
          <w:numId w:val="5"/>
        </w:numPr>
        <w:tabs>
          <w:tab w:val="clear" w:pos="567"/>
        </w:tabs>
        <w:autoSpaceDE w:val="0"/>
        <w:autoSpaceDN w:val="0"/>
        <w:adjustRightInd w:val="0"/>
        <w:spacing w:line="240" w:lineRule="auto"/>
        <w:ind w:left="567" w:hanging="567"/>
        <w:rPr>
          <w:snapToGrid/>
          <w:szCs w:val="22"/>
          <w:lang w:val="lt-LT"/>
        </w:rPr>
      </w:pPr>
      <w:r w:rsidRPr="007711FF">
        <w:rPr>
          <w:snapToGrid/>
          <w:szCs w:val="22"/>
          <w:lang w:val="lt-LT"/>
        </w:rPr>
        <w:t>sunkus sutrikimas, dėl kurio gali padidėti kraujo rūgštingumas (vadinamas metaboline acidoze) sunkia liga sergantiems pacientams, vartojantiems paracetamolį (žr. 2 skyrių).</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p>
    <w:p w:rsidR="00B57296" w:rsidRPr="00FB21B8" w:rsidRDefault="00B57296" w:rsidP="00B57296">
      <w:pPr>
        <w:widowControl w:val="0"/>
        <w:tabs>
          <w:tab w:val="clear" w:pos="567"/>
          <w:tab w:val="left" w:pos="540"/>
        </w:tabs>
        <w:spacing w:line="240" w:lineRule="auto"/>
        <w:rPr>
          <w:rFonts w:eastAsia="Calibri"/>
          <w:b/>
          <w:snapToGrid/>
          <w:szCs w:val="22"/>
          <w:lang w:val="lt-LT"/>
        </w:rPr>
      </w:pPr>
      <w:r w:rsidRPr="00FB21B8">
        <w:rPr>
          <w:rFonts w:eastAsia="Calibri"/>
          <w:b/>
          <w:snapToGrid/>
          <w:szCs w:val="22"/>
          <w:lang w:val="lt-LT"/>
        </w:rPr>
        <w:t>Pranešimas apie šalutinį poveikį</w:t>
      </w:r>
    </w:p>
    <w:p w:rsidR="00B57296" w:rsidRPr="00FB21B8" w:rsidRDefault="00B57296" w:rsidP="00B57296">
      <w:pPr>
        <w:widowControl w:val="0"/>
        <w:tabs>
          <w:tab w:val="clear" w:pos="567"/>
          <w:tab w:val="left" w:pos="540"/>
        </w:tabs>
        <w:spacing w:line="240" w:lineRule="auto"/>
        <w:rPr>
          <w:rFonts w:eastAsia="Calibri"/>
          <w:snapToGrid/>
          <w:szCs w:val="22"/>
          <w:lang w:val="lt-LT"/>
        </w:rPr>
      </w:pPr>
      <w:r w:rsidRPr="00FB21B8">
        <w:rPr>
          <w:rFonts w:eastAsia="Calibri"/>
          <w:snapToGrid/>
          <w:szCs w:val="22"/>
          <w:lang w:val="lt-LT"/>
        </w:rPr>
        <w:t>Jeigu pasireiškė šalutinis poveikis, įskaitant šiame lapelyje nenurodytą, pasakykite gydytojui arba vaistininkui</w:t>
      </w:r>
      <w:r>
        <w:t xml:space="preserve">. </w:t>
      </w:r>
      <w:r w:rsidRPr="0051496A">
        <w:rPr>
          <w:rFonts w:eastAsia="Calibri"/>
          <w:snapToGrid/>
          <w:szCs w:val="22"/>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B57296" w:rsidRPr="00FB21B8" w:rsidRDefault="00B57296" w:rsidP="00B57296">
      <w:pPr>
        <w:widowControl w:val="0"/>
        <w:numPr>
          <w:ilvl w:val="12"/>
          <w:numId w:val="0"/>
        </w:numPr>
        <w:tabs>
          <w:tab w:val="clear" w:pos="567"/>
        </w:tabs>
        <w:spacing w:line="240" w:lineRule="auto"/>
        <w:ind w:right="-2"/>
        <w:rPr>
          <w:snapToGrid/>
          <w:szCs w:val="24"/>
          <w:lang w:val="lt-LT"/>
        </w:rPr>
      </w:pP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5.</w:t>
      </w:r>
      <w:r w:rsidRPr="00FB21B8">
        <w:rPr>
          <w:b/>
          <w:snapToGrid/>
          <w:szCs w:val="22"/>
          <w:lang w:val="lt-LT"/>
        </w:rPr>
        <w:tab/>
        <w:t>Kaip laikyti LEVIOFLU</w:t>
      </w:r>
    </w:p>
    <w:p w:rsidR="00B57296" w:rsidRPr="00FB21B8" w:rsidRDefault="00B57296" w:rsidP="00B57296">
      <w:pPr>
        <w:widowControl w:val="0"/>
        <w:tabs>
          <w:tab w:val="clear" w:pos="567"/>
        </w:tabs>
        <w:spacing w:line="240" w:lineRule="auto"/>
        <w:rPr>
          <w:i/>
          <w:snapToGrid/>
          <w:szCs w:val="22"/>
          <w:lang w:val="lt-LT"/>
        </w:rPr>
      </w:pP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Šį vaistą laikykite vaikams nepastebimoje ir nepasiekiamoje vietoje.</w:t>
      </w:r>
    </w:p>
    <w:p w:rsidR="00B57296" w:rsidRPr="00FB21B8" w:rsidRDefault="00B57296" w:rsidP="00B57296">
      <w:pPr>
        <w:widowControl w:val="0"/>
        <w:tabs>
          <w:tab w:val="clear" w:pos="567"/>
        </w:tabs>
        <w:spacing w:line="240" w:lineRule="auto"/>
        <w:rPr>
          <w:rFonts w:eastAsia="TimesNewRoman"/>
          <w:snapToGrid/>
          <w:szCs w:val="22"/>
          <w:lang w:val="lt-LT"/>
        </w:rPr>
      </w:pPr>
      <w:r w:rsidRPr="00FB21B8">
        <w:rPr>
          <w:rFonts w:eastAsia="TimesNewRoman"/>
          <w:snapToGrid/>
          <w:szCs w:val="22"/>
          <w:lang w:val="lt-LT"/>
        </w:rPr>
        <w:t>Laikyti žemesnėje kaip 25 </w:t>
      </w:r>
      <w:r w:rsidRPr="00FB21B8">
        <w:rPr>
          <w:szCs w:val="22"/>
          <w:lang w:val="lt-LT"/>
        </w:rPr>
        <w:sym w:font="Symbol" w:char="F0B0"/>
      </w:r>
      <w:r w:rsidRPr="00FB21B8">
        <w:rPr>
          <w:lang w:val="lt-LT"/>
        </w:rPr>
        <w:t xml:space="preserve">C </w:t>
      </w:r>
      <w:r w:rsidRPr="00FB21B8">
        <w:rPr>
          <w:rFonts w:eastAsia="TimesNewRoman"/>
          <w:snapToGrid/>
          <w:szCs w:val="22"/>
          <w:lang w:val="lt-LT"/>
        </w:rPr>
        <w:t xml:space="preserve">temperatūroje. </w:t>
      </w:r>
      <w:r w:rsidRPr="00480467">
        <w:rPr>
          <w:rFonts w:eastAsia="TimesNewRoman"/>
          <w:snapToGrid/>
          <w:szCs w:val="22"/>
          <w:lang w:val="lt-LT"/>
        </w:rPr>
        <w:t>Tūbelę laikyti sandariai uždarytą</w:t>
      </w:r>
      <w:r w:rsidRPr="00FB21B8">
        <w:rPr>
          <w:rFonts w:eastAsia="TimesNewRoman"/>
          <w:snapToGrid/>
          <w:szCs w:val="22"/>
          <w:lang w:val="lt-LT"/>
        </w:rPr>
        <w:t>, kad vaistas būtų apsaugotas nuo šviesos ir drėgmės.</w:t>
      </w:r>
    </w:p>
    <w:p w:rsidR="00B57296" w:rsidRPr="00FB21B8" w:rsidRDefault="00B57296" w:rsidP="00B57296">
      <w:pPr>
        <w:widowControl w:val="0"/>
        <w:tabs>
          <w:tab w:val="clear" w:pos="567"/>
        </w:tabs>
        <w:spacing w:line="240" w:lineRule="auto"/>
        <w:rPr>
          <w:iCs/>
          <w:snapToGrid/>
          <w:szCs w:val="22"/>
          <w:lang w:val="lt-LT"/>
        </w:rPr>
      </w:pPr>
      <w:r w:rsidRPr="00FB21B8">
        <w:rPr>
          <w:iCs/>
          <w:snapToGrid/>
          <w:szCs w:val="22"/>
          <w:lang w:val="lt-LT"/>
        </w:rPr>
        <w:t>Ant pakuotės po „EXP“ nurodytam tinkamumo laikui pasibaigus, šio vaisto vartoti negalima. Vaistas tinkamas vartoti iki paskutinės nurodyto mėnesio dienos.</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r w:rsidRPr="00FB21B8">
        <w:rPr>
          <w:snapToGrid/>
          <w:szCs w:val="22"/>
          <w:lang w:val="lt-LT"/>
        </w:rPr>
        <w:t>Vaistų negalima išmesti į kanalizaciją arba su buitinėmis</w:t>
      </w:r>
      <w:r w:rsidRPr="00FB21B8">
        <w:rPr>
          <w:snapToGrid/>
          <w:color w:val="993366"/>
          <w:szCs w:val="22"/>
          <w:lang w:val="lt-LT"/>
        </w:rPr>
        <w:t xml:space="preserve"> </w:t>
      </w:r>
      <w:r w:rsidRPr="00FB21B8">
        <w:rPr>
          <w:snapToGrid/>
          <w:szCs w:val="22"/>
          <w:lang w:val="lt-LT"/>
        </w:rPr>
        <w:t>atliekomis. Kaip išmesti nereikalingus vaistus, klauskite vaistininko. Šios priemonės padės apsaugoti aplinką. Po pirmojo pakuotės atidarymo praėjus 3 mėnesiams, vaisto vartoti nebegalima.</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ind w:left="567" w:hanging="567"/>
        <w:outlineLvl w:val="0"/>
        <w:rPr>
          <w:b/>
          <w:caps/>
          <w:snapToGrid/>
          <w:szCs w:val="22"/>
          <w:lang w:val="lt-LT"/>
        </w:rPr>
      </w:pPr>
      <w:r w:rsidRPr="00FB21B8">
        <w:rPr>
          <w:b/>
          <w:snapToGrid/>
          <w:szCs w:val="22"/>
          <w:lang w:val="lt-LT"/>
        </w:rPr>
        <w:t>6.</w:t>
      </w:r>
      <w:r w:rsidRPr="00FB21B8">
        <w:rPr>
          <w:b/>
          <w:snapToGrid/>
          <w:szCs w:val="22"/>
          <w:lang w:val="lt-LT"/>
        </w:rPr>
        <w:tab/>
        <w:t>Pakuotės turinys ir kita informacija</w:t>
      </w:r>
    </w:p>
    <w:p w:rsidR="00B57296" w:rsidRPr="00FB21B8" w:rsidRDefault="00B57296" w:rsidP="00B57296">
      <w:pPr>
        <w:widowControl w:val="0"/>
        <w:numPr>
          <w:ilvl w:val="12"/>
          <w:numId w:val="0"/>
        </w:numPr>
        <w:tabs>
          <w:tab w:val="clear" w:pos="567"/>
        </w:tabs>
        <w:spacing w:line="240" w:lineRule="auto"/>
        <w:rPr>
          <w:snapToGrid/>
          <w:szCs w:val="22"/>
          <w:lang w:val="lt-LT"/>
        </w:rPr>
      </w:pPr>
    </w:p>
    <w:p w:rsidR="00B57296" w:rsidRPr="00FB21B8" w:rsidRDefault="00B57296" w:rsidP="00B57296">
      <w:pPr>
        <w:widowControl w:val="0"/>
        <w:numPr>
          <w:ilvl w:val="12"/>
          <w:numId w:val="0"/>
        </w:numPr>
        <w:tabs>
          <w:tab w:val="clear" w:pos="567"/>
        </w:tabs>
        <w:spacing w:line="240" w:lineRule="auto"/>
        <w:rPr>
          <w:snapToGrid/>
          <w:szCs w:val="22"/>
          <w:u w:val="single"/>
          <w:lang w:val="lt-LT"/>
        </w:rPr>
      </w:pPr>
      <w:r w:rsidRPr="00FB21B8">
        <w:rPr>
          <w:b/>
          <w:bCs/>
          <w:snapToGrid/>
          <w:szCs w:val="22"/>
          <w:lang w:val="lt-LT"/>
        </w:rPr>
        <w:t>LEVIOFLU sudėtis</w:t>
      </w:r>
    </w:p>
    <w:p w:rsidR="00B57296" w:rsidRPr="00FB21B8" w:rsidRDefault="00B57296" w:rsidP="00B57296">
      <w:pPr>
        <w:widowControl w:val="0"/>
        <w:numPr>
          <w:ilvl w:val="0"/>
          <w:numId w:val="2"/>
        </w:numPr>
        <w:tabs>
          <w:tab w:val="clear" w:pos="567"/>
        </w:tabs>
        <w:autoSpaceDE w:val="0"/>
        <w:autoSpaceDN w:val="0"/>
        <w:adjustRightInd w:val="0"/>
        <w:spacing w:line="240" w:lineRule="auto"/>
        <w:ind w:left="567" w:hanging="567"/>
        <w:rPr>
          <w:snapToGrid/>
          <w:szCs w:val="22"/>
          <w:lang w:val="lt-LT"/>
        </w:rPr>
      </w:pPr>
      <w:r w:rsidRPr="00FB21B8">
        <w:rPr>
          <w:snapToGrid/>
          <w:szCs w:val="22"/>
          <w:lang w:val="lt-LT"/>
        </w:rPr>
        <w:t>Veikliosios medžiagos yra paracetamolis, askorbo rūgštis ir chlorfenaminas. Kiekvienoje šnypščiojoje tabletėje yra 500 mg paracetamolio, 250 mg askorbo rūgšties (natrio askorbato forma) ir 2 mg chlorfenamino maleato.</w:t>
      </w:r>
    </w:p>
    <w:p w:rsidR="00B57296" w:rsidRPr="00FB21B8" w:rsidRDefault="00B57296" w:rsidP="00B57296">
      <w:pPr>
        <w:widowControl w:val="0"/>
        <w:numPr>
          <w:ilvl w:val="0"/>
          <w:numId w:val="2"/>
        </w:numPr>
        <w:tabs>
          <w:tab w:val="clear" w:pos="567"/>
        </w:tabs>
        <w:autoSpaceDE w:val="0"/>
        <w:autoSpaceDN w:val="0"/>
        <w:adjustRightInd w:val="0"/>
        <w:spacing w:line="240" w:lineRule="auto"/>
        <w:ind w:left="567" w:hanging="567"/>
        <w:rPr>
          <w:rFonts w:eastAsia="TimesNewRoman"/>
          <w:snapToGrid/>
          <w:szCs w:val="22"/>
          <w:lang w:val="lt-LT"/>
        </w:rPr>
      </w:pPr>
      <w:r w:rsidRPr="00FB21B8">
        <w:rPr>
          <w:snapToGrid/>
          <w:szCs w:val="22"/>
          <w:lang w:val="lt-LT"/>
        </w:rPr>
        <w:t>Pagalbinės medžiagos yra</w:t>
      </w:r>
      <w:r w:rsidRPr="00FB21B8">
        <w:rPr>
          <w:rFonts w:eastAsia="TimesNewRoman"/>
          <w:snapToGrid/>
          <w:szCs w:val="22"/>
          <w:lang w:val="lt-LT"/>
        </w:rPr>
        <w:t xml:space="preserve"> citrinų rūgštis, natrio-vandenilio karbonatas, sorbitolis (E420), natrio karbonatas, aspartamas (E951), apelsinų skonio medžiaga, citrinų skonio medžiaga, povidonas K30, simetikonas (30 % simetikono emulsijos forma).</w:t>
      </w:r>
    </w:p>
    <w:p w:rsidR="00B57296" w:rsidRPr="00FB21B8" w:rsidRDefault="00B57296" w:rsidP="00B57296">
      <w:pPr>
        <w:widowControl w:val="0"/>
        <w:tabs>
          <w:tab w:val="clear" w:pos="567"/>
        </w:tabs>
        <w:spacing w:line="240" w:lineRule="auto"/>
        <w:ind w:right="-2"/>
        <w:rPr>
          <w:snapToGrid/>
          <w:szCs w:val="22"/>
          <w:lang w:val="lt-LT"/>
        </w:rPr>
      </w:pPr>
    </w:p>
    <w:p w:rsidR="00B57296" w:rsidRPr="00FB21B8" w:rsidRDefault="00B57296" w:rsidP="00B57296">
      <w:pPr>
        <w:widowControl w:val="0"/>
        <w:numPr>
          <w:ilvl w:val="12"/>
          <w:numId w:val="0"/>
        </w:numPr>
        <w:tabs>
          <w:tab w:val="clear" w:pos="567"/>
        </w:tabs>
        <w:spacing w:line="240" w:lineRule="auto"/>
        <w:rPr>
          <w:b/>
          <w:bCs/>
          <w:snapToGrid/>
          <w:szCs w:val="22"/>
          <w:lang w:val="lt-LT"/>
        </w:rPr>
      </w:pPr>
      <w:r w:rsidRPr="00FB21B8">
        <w:rPr>
          <w:b/>
          <w:bCs/>
          <w:snapToGrid/>
          <w:szCs w:val="22"/>
          <w:lang w:val="lt-LT"/>
        </w:rPr>
        <w:t>LEVIOFLU išvaizda ir kiekis pakuotėje</w:t>
      </w:r>
    </w:p>
    <w:p w:rsidR="00B57296" w:rsidRPr="00FB21B8" w:rsidRDefault="00B57296" w:rsidP="00B57296">
      <w:pPr>
        <w:widowControl w:val="0"/>
        <w:tabs>
          <w:tab w:val="clear" w:pos="567"/>
        </w:tabs>
        <w:autoSpaceDE w:val="0"/>
        <w:autoSpaceDN w:val="0"/>
        <w:adjustRightInd w:val="0"/>
        <w:spacing w:line="240" w:lineRule="auto"/>
        <w:rPr>
          <w:snapToGrid/>
          <w:color w:val="000000"/>
          <w:szCs w:val="22"/>
          <w:lang w:val="lt-LT"/>
        </w:rPr>
      </w:pP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color w:val="000000"/>
          <w:szCs w:val="22"/>
          <w:lang w:val="lt-LT"/>
        </w:rPr>
        <w:t xml:space="preserve">LEVIOFLU </w:t>
      </w:r>
      <w:r w:rsidRPr="00FB21B8">
        <w:rPr>
          <w:snapToGrid/>
          <w:szCs w:val="22"/>
          <w:lang w:val="lt-LT"/>
        </w:rPr>
        <w:t>yra baltos ar beveik baltos, plokščios, apvalios šnypščiosios tabletės; nominalus tabletės skersmuo yra 25 mm, nominalus storis – 4,4 mm ir nominalus svoris – 3,000 gramai. Tabletės yra supakuotos į tūbelę.</w:t>
      </w:r>
    </w:p>
    <w:p w:rsidR="00B57296" w:rsidRPr="00FB21B8" w:rsidRDefault="00B57296" w:rsidP="00B57296">
      <w:pPr>
        <w:widowControl w:val="0"/>
        <w:tabs>
          <w:tab w:val="clear" w:pos="567"/>
        </w:tabs>
        <w:autoSpaceDE w:val="0"/>
        <w:autoSpaceDN w:val="0"/>
        <w:adjustRightInd w:val="0"/>
        <w:spacing w:line="240" w:lineRule="auto"/>
        <w:rPr>
          <w:snapToGrid/>
          <w:szCs w:val="22"/>
          <w:lang w:val="lt-LT"/>
        </w:rPr>
      </w:pPr>
      <w:r w:rsidRPr="00FB21B8">
        <w:rPr>
          <w:snapToGrid/>
          <w:szCs w:val="22"/>
          <w:lang w:val="lt-LT"/>
        </w:rPr>
        <w:t>Vaistas tiekiamas 12 tablečių tūbelėje, kuri yra dėžutėje.</w:t>
      </w:r>
    </w:p>
    <w:p w:rsidR="00B57296" w:rsidRPr="00FB21B8" w:rsidRDefault="00B57296" w:rsidP="00B57296">
      <w:pPr>
        <w:widowControl w:val="0"/>
        <w:tabs>
          <w:tab w:val="clear" w:pos="567"/>
        </w:tabs>
        <w:spacing w:line="240" w:lineRule="auto"/>
        <w:rPr>
          <w:snapToGrid/>
          <w:szCs w:val="22"/>
          <w:lang w:val="lt-LT"/>
        </w:rPr>
      </w:pPr>
    </w:p>
    <w:p w:rsidR="00B57296" w:rsidRPr="00FB21B8" w:rsidRDefault="00B57296" w:rsidP="00B57296">
      <w:pPr>
        <w:keepNext/>
        <w:keepLines/>
        <w:widowControl w:val="0"/>
        <w:numPr>
          <w:ilvl w:val="12"/>
          <w:numId w:val="0"/>
        </w:numPr>
        <w:tabs>
          <w:tab w:val="clear" w:pos="567"/>
        </w:tabs>
        <w:spacing w:line="240" w:lineRule="auto"/>
        <w:rPr>
          <w:b/>
          <w:bCs/>
          <w:snapToGrid/>
          <w:szCs w:val="22"/>
          <w:lang w:val="lt-LT"/>
        </w:rPr>
      </w:pPr>
      <w:r w:rsidRPr="00FB21B8">
        <w:rPr>
          <w:b/>
          <w:bCs/>
          <w:snapToGrid/>
          <w:szCs w:val="22"/>
          <w:lang w:val="lt-LT"/>
        </w:rPr>
        <w:t>Registruotojas ir gamintojas</w:t>
      </w:r>
    </w:p>
    <w:p w:rsidR="00B57296" w:rsidRPr="00FB21B8" w:rsidRDefault="00B57296" w:rsidP="00B57296">
      <w:pPr>
        <w:keepNext/>
        <w:keepLines/>
        <w:widowControl w:val="0"/>
        <w:numPr>
          <w:ilvl w:val="12"/>
          <w:numId w:val="0"/>
        </w:numPr>
        <w:tabs>
          <w:tab w:val="clear" w:pos="567"/>
        </w:tabs>
        <w:spacing w:line="240" w:lineRule="auto"/>
        <w:rPr>
          <w:b/>
          <w:bCs/>
          <w:snapToGrid/>
          <w:szCs w:val="22"/>
          <w:lang w:val="lt-LT"/>
        </w:rPr>
      </w:pPr>
    </w:p>
    <w:p w:rsidR="00B57296" w:rsidRPr="00FB21B8" w:rsidRDefault="00B57296" w:rsidP="00B57296">
      <w:pPr>
        <w:keepNext/>
        <w:keepLines/>
        <w:widowControl w:val="0"/>
        <w:numPr>
          <w:ilvl w:val="12"/>
          <w:numId w:val="0"/>
        </w:numPr>
        <w:tabs>
          <w:tab w:val="clear" w:pos="567"/>
        </w:tabs>
        <w:spacing w:line="240" w:lineRule="auto"/>
        <w:rPr>
          <w:bCs/>
          <w:i/>
          <w:snapToGrid/>
          <w:szCs w:val="22"/>
          <w:lang w:val="lt-LT"/>
        </w:rPr>
      </w:pPr>
      <w:r w:rsidRPr="00FB21B8">
        <w:rPr>
          <w:bCs/>
          <w:i/>
          <w:snapToGrid/>
          <w:szCs w:val="22"/>
          <w:lang w:val="lt-LT"/>
        </w:rPr>
        <w:t>Registruotojas</w:t>
      </w:r>
    </w:p>
    <w:p w:rsidR="00B57296" w:rsidRDefault="00B57296" w:rsidP="00B57296">
      <w:pPr>
        <w:tabs>
          <w:tab w:val="clear" w:pos="567"/>
          <w:tab w:val="left" w:pos="708"/>
        </w:tabs>
        <w:rPr>
          <w:lang w:val="it-IT"/>
        </w:rPr>
      </w:pPr>
      <w:r>
        <w:rPr>
          <w:lang w:val="it-IT"/>
        </w:rPr>
        <w:t xml:space="preserve">Aesculapius Farmaceutici S.r.l. </w:t>
      </w:r>
    </w:p>
    <w:p w:rsidR="00B57296" w:rsidRDefault="00B57296" w:rsidP="00B57296">
      <w:pPr>
        <w:tabs>
          <w:tab w:val="clear" w:pos="567"/>
          <w:tab w:val="left" w:pos="708"/>
        </w:tabs>
        <w:rPr>
          <w:lang w:val="it-IT"/>
        </w:rPr>
      </w:pPr>
      <w:r>
        <w:rPr>
          <w:lang w:val="it-IT"/>
        </w:rPr>
        <w:t xml:space="preserve">Via </w:t>
      </w:r>
      <w:r w:rsidRPr="00900BEF">
        <w:rPr>
          <w:lang w:val="it-IT"/>
        </w:rPr>
        <w:t>Cefalonia</w:t>
      </w:r>
      <w:r>
        <w:rPr>
          <w:lang w:val="it-IT"/>
        </w:rPr>
        <w:t xml:space="preserve"> 70</w:t>
      </w:r>
    </w:p>
    <w:p w:rsidR="00B57296" w:rsidRDefault="00B57296" w:rsidP="00B57296">
      <w:pPr>
        <w:tabs>
          <w:tab w:val="clear" w:pos="567"/>
          <w:tab w:val="left" w:pos="708"/>
        </w:tabs>
        <w:rPr>
          <w:lang w:val="it-IT"/>
        </w:rPr>
      </w:pPr>
      <w:r>
        <w:rPr>
          <w:lang w:val="it-IT"/>
        </w:rPr>
        <w:t>25124 Brescia</w:t>
      </w:r>
    </w:p>
    <w:p w:rsidR="00B57296" w:rsidRDefault="00B57296" w:rsidP="00B57296">
      <w:pPr>
        <w:tabs>
          <w:tab w:val="clear" w:pos="567"/>
          <w:tab w:val="left" w:pos="708"/>
        </w:tabs>
        <w:rPr>
          <w:snapToGrid/>
          <w:lang w:val="it-I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rsidR="00B57296" w:rsidRPr="006F5D16" w:rsidRDefault="00B57296" w:rsidP="00B57296">
      <w:pPr>
        <w:widowControl w:val="0"/>
        <w:numPr>
          <w:ilvl w:val="12"/>
          <w:numId w:val="0"/>
        </w:numPr>
        <w:tabs>
          <w:tab w:val="clear" w:pos="567"/>
        </w:tabs>
        <w:spacing w:line="240" w:lineRule="auto"/>
        <w:ind w:right="-2"/>
        <w:rPr>
          <w:snapToGrid/>
          <w:szCs w:val="22"/>
          <w:lang w:val="it-IT"/>
        </w:rPr>
      </w:pPr>
    </w:p>
    <w:p w:rsidR="00B57296" w:rsidRPr="00FB21B8" w:rsidRDefault="00B57296" w:rsidP="00B57296">
      <w:pPr>
        <w:widowControl w:val="0"/>
        <w:tabs>
          <w:tab w:val="clear" w:pos="567"/>
        </w:tabs>
        <w:spacing w:line="240" w:lineRule="auto"/>
        <w:ind w:left="142" w:hanging="142"/>
        <w:rPr>
          <w:i/>
          <w:snapToGrid/>
          <w:szCs w:val="24"/>
          <w:lang w:val="lt-LT"/>
        </w:rPr>
      </w:pPr>
      <w:r w:rsidRPr="00FB21B8">
        <w:rPr>
          <w:bCs/>
          <w:i/>
          <w:snapToGrid/>
          <w:szCs w:val="22"/>
          <w:lang w:val="lt-LT"/>
        </w:rPr>
        <w:t>Gamintojas</w:t>
      </w:r>
    </w:p>
    <w:p w:rsidR="00B57296" w:rsidRDefault="00B57296" w:rsidP="00B57296">
      <w:pPr>
        <w:widowControl w:val="0"/>
        <w:tabs>
          <w:tab w:val="clear" w:pos="567"/>
        </w:tabs>
        <w:spacing w:line="240" w:lineRule="auto"/>
        <w:rPr>
          <w:lang w:val="lt-LT"/>
        </w:rPr>
      </w:pPr>
      <w:r w:rsidRPr="00FB21B8">
        <w:rPr>
          <w:lang w:val="lt-LT"/>
        </w:rPr>
        <w:t>E</w:t>
      </w:r>
      <w:r w:rsidRPr="00FB21B8">
        <w:rPr>
          <w:spacing w:val="-2"/>
          <w:lang w:val="lt-LT"/>
        </w:rPr>
        <w:t>-</w:t>
      </w:r>
      <w:r w:rsidRPr="00FB21B8">
        <w:rPr>
          <w:lang w:val="lt-LT"/>
        </w:rPr>
        <w:t>Pha</w:t>
      </w:r>
      <w:r w:rsidRPr="00FB21B8">
        <w:rPr>
          <w:spacing w:val="-2"/>
          <w:lang w:val="lt-LT"/>
        </w:rPr>
        <w:t>r</w:t>
      </w:r>
      <w:r w:rsidRPr="00FB21B8">
        <w:rPr>
          <w:spacing w:val="1"/>
          <w:lang w:val="lt-LT"/>
        </w:rPr>
        <w:t>m</w:t>
      </w:r>
      <w:r w:rsidRPr="00FB21B8">
        <w:rPr>
          <w:lang w:val="lt-LT"/>
        </w:rPr>
        <w:t xml:space="preserve">a </w:t>
      </w:r>
      <w:r w:rsidRPr="00FB21B8">
        <w:rPr>
          <w:spacing w:val="-3"/>
          <w:lang w:val="lt-LT"/>
        </w:rPr>
        <w:t>T</w:t>
      </w:r>
      <w:r w:rsidRPr="00FB21B8">
        <w:rPr>
          <w:spacing w:val="-2"/>
          <w:lang w:val="lt-LT"/>
        </w:rPr>
        <w:t>r</w:t>
      </w:r>
      <w:r w:rsidRPr="00FB21B8">
        <w:rPr>
          <w:lang w:val="lt-LT"/>
        </w:rPr>
        <w:t>en</w:t>
      </w:r>
      <w:r w:rsidRPr="00FB21B8">
        <w:rPr>
          <w:spacing w:val="1"/>
          <w:lang w:val="lt-LT"/>
        </w:rPr>
        <w:t>t</w:t>
      </w:r>
      <w:r w:rsidRPr="00FB21B8">
        <w:rPr>
          <w:lang w:val="lt-LT"/>
        </w:rPr>
        <w:t>o S</w:t>
      </w:r>
      <w:r w:rsidRPr="00FB21B8">
        <w:rPr>
          <w:spacing w:val="-3"/>
          <w:lang w:val="lt-LT"/>
        </w:rPr>
        <w:t>.</w:t>
      </w:r>
      <w:r w:rsidRPr="00FB21B8">
        <w:rPr>
          <w:lang w:val="lt-LT"/>
        </w:rPr>
        <w:t>p.</w:t>
      </w:r>
      <w:r w:rsidRPr="00FB21B8">
        <w:rPr>
          <w:spacing w:val="-1"/>
          <w:lang w:val="lt-LT"/>
        </w:rPr>
        <w:t>A</w:t>
      </w:r>
      <w:r w:rsidRPr="00FB21B8">
        <w:rPr>
          <w:lang w:val="lt-LT"/>
        </w:rPr>
        <w:t>.</w:t>
      </w:r>
    </w:p>
    <w:p w:rsidR="00B57296" w:rsidRDefault="00B57296" w:rsidP="00B57296">
      <w:pPr>
        <w:widowControl w:val="0"/>
        <w:tabs>
          <w:tab w:val="clear" w:pos="567"/>
        </w:tabs>
        <w:spacing w:line="240" w:lineRule="auto"/>
        <w:rPr>
          <w:lang w:val="lt-LT"/>
        </w:rPr>
      </w:pPr>
      <w:r>
        <w:rPr>
          <w:lang w:val="lt-LT"/>
        </w:rPr>
        <w:t>Frazione Ravina V</w:t>
      </w:r>
      <w:r w:rsidRPr="00FB21B8">
        <w:rPr>
          <w:spacing w:val="-1"/>
          <w:lang w:val="lt-LT"/>
        </w:rPr>
        <w:t>i</w:t>
      </w:r>
      <w:r w:rsidRPr="00FB21B8">
        <w:rPr>
          <w:lang w:val="lt-LT"/>
        </w:rPr>
        <w:t>a P</w:t>
      </w:r>
      <w:r w:rsidRPr="00FB21B8">
        <w:rPr>
          <w:spacing w:val="1"/>
          <w:lang w:val="lt-LT"/>
        </w:rPr>
        <w:t>r</w:t>
      </w:r>
      <w:r w:rsidRPr="00FB21B8">
        <w:rPr>
          <w:spacing w:val="-2"/>
          <w:lang w:val="lt-LT"/>
        </w:rPr>
        <w:t>o</w:t>
      </w:r>
      <w:r w:rsidRPr="00FB21B8">
        <w:rPr>
          <w:lang w:val="lt-LT"/>
        </w:rPr>
        <w:t>v</w:t>
      </w:r>
      <w:r w:rsidRPr="00FB21B8">
        <w:rPr>
          <w:spacing w:val="1"/>
          <w:lang w:val="lt-LT"/>
        </w:rPr>
        <w:t>i</w:t>
      </w:r>
      <w:r w:rsidRPr="00FB21B8">
        <w:rPr>
          <w:spacing w:val="-2"/>
          <w:lang w:val="lt-LT"/>
        </w:rPr>
        <w:t>n</w:t>
      </w:r>
      <w:r w:rsidRPr="00FB21B8">
        <w:rPr>
          <w:lang w:val="lt-LT"/>
        </w:rPr>
        <w:t>a 2</w:t>
      </w:r>
    </w:p>
    <w:p w:rsidR="00B57296" w:rsidRDefault="00B57296" w:rsidP="00B57296">
      <w:pPr>
        <w:widowControl w:val="0"/>
        <w:tabs>
          <w:tab w:val="clear" w:pos="567"/>
        </w:tabs>
        <w:spacing w:line="240" w:lineRule="auto"/>
        <w:rPr>
          <w:lang w:val="lt-LT"/>
        </w:rPr>
      </w:pPr>
      <w:r w:rsidRPr="00FB21B8">
        <w:rPr>
          <w:lang w:val="lt-LT"/>
        </w:rPr>
        <w:t>38123 T</w:t>
      </w:r>
      <w:r w:rsidRPr="00FB21B8">
        <w:rPr>
          <w:spacing w:val="-2"/>
          <w:lang w:val="lt-LT"/>
        </w:rPr>
        <w:t>r</w:t>
      </w:r>
      <w:r w:rsidRPr="00FB21B8">
        <w:rPr>
          <w:lang w:val="lt-LT"/>
        </w:rPr>
        <w:t>en</w:t>
      </w:r>
      <w:r w:rsidRPr="00FB21B8">
        <w:rPr>
          <w:spacing w:val="-1"/>
          <w:lang w:val="lt-LT"/>
        </w:rPr>
        <w:t>t</w:t>
      </w:r>
      <w:r w:rsidRPr="00FB21B8">
        <w:rPr>
          <w:lang w:val="lt-LT"/>
        </w:rPr>
        <w:t xml:space="preserve">o </w:t>
      </w:r>
    </w:p>
    <w:p w:rsidR="00B57296" w:rsidRPr="006F5D16" w:rsidRDefault="00B57296" w:rsidP="00B57296">
      <w:pPr>
        <w:widowControl w:val="0"/>
        <w:tabs>
          <w:tab w:val="clear" w:pos="567"/>
        </w:tabs>
        <w:spacing w:line="240" w:lineRule="auto"/>
        <w:rPr>
          <w:lang w:val="lt-LT"/>
        </w:rPr>
      </w:pPr>
      <w:r w:rsidRPr="00FB21B8">
        <w:rPr>
          <w:spacing w:val="-2"/>
          <w:lang w:val="lt-LT"/>
        </w:rPr>
        <w:t>I</w:t>
      </w:r>
      <w:r w:rsidRPr="00FB21B8">
        <w:rPr>
          <w:spacing w:val="1"/>
          <w:lang w:val="lt-LT"/>
        </w:rPr>
        <w:t>t</w:t>
      </w:r>
      <w:r w:rsidRPr="00FB21B8">
        <w:rPr>
          <w:spacing w:val="-2"/>
          <w:lang w:val="lt-LT"/>
        </w:rPr>
        <w:t>a</w:t>
      </w:r>
      <w:r w:rsidRPr="00FB21B8">
        <w:rPr>
          <w:spacing w:val="1"/>
          <w:lang w:val="lt-LT"/>
        </w:rPr>
        <w:t>l</w:t>
      </w:r>
      <w:r w:rsidRPr="00FB21B8">
        <w:rPr>
          <w:lang w:val="lt-LT"/>
        </w:rPr>
        <w:t>ija</w:t>
      </w:r>
    </w:p>
    <w:p w:rsidR="00B57296" w:rsidRPr="00FB21B8" w:rsidRDefault="00B57296" w:rsidP="00B57296">
      <w:pPr>
        <w:widowControl w:val="0"/>
        <w:numPr>
          <w:ilvl w:val="12"/>
          <w:numId w:val="0"/>
        </w:numPr>
        <w:tabs>
          <w:tab w:val="clear" w:pos="567"/>
        </w:tabs>
        <w:spacing w:line="240" w:lineRule="auto"/>
        <w:ind w:right="-2"/>
        <w:rPr>
          <w:snapToGrid/>
          <w:szCs w:val="22"/>
          <w:lang w:val="lt-LT"/>
        </w:rPr>
      </w:pPr>
    </w:p>
    <w:p w:rsidR="00B57296" w:rsidRPr="00FB21B8" w:rsidRDefault="00B57296" w:rsidP="00B57296">
      <w:pPr>
        <w:widowControl w:val="0"/>
        <w:numPr>
          <w:ilvl w:val="12"/>
          <w:numId w:val="0"/>
        </w:numPr>
        <w:rPr>
          <w:lang w:val="lt-LT"/>
        </w:rPr>
      </w:pPr>
      <w:r w:rsidRPr="00FB21B8">
        <w:rPr>
          <w:b/>
          <w:lang w:val="lt-LT"/>
        </w:rPr>
        <w:t>Šis vaistas Europos ekonominės erdvės valstybėse narėse registruotas tokiais pavadinimais:</w:t>
      </w:r>
    </w:p>
    <w:p w:rsidR="00B57296" w:rsidRPr="00FB21B8" w:rsidRDefault="00B57296" w:rsidP="00B57296">
      <w:pPr>
        <w:rPr>
          <w:lang w:val="lt-LT"/>
        </w:rPr>
      </w:pPr>
      <w:r w:rsidRPr="00FB21B8">
        <w:rPr>
          <w:lang w:val="lt-LT"/>
        </w:rPr>
        <w:t>Lietuva:</w:t>
      </w:r>
      <w:r w:rsidRPr="00FB21B8">
        <w:rPr>
          <w:spacing w:val="1"/>
          <w:lang w:val="lt-LT"/>
        </w:rPr>
        <w:t xml:space="preserve"> </w:t>
      </w:r>
      <w:r w:rsidRPr="00FB21B8">
        <w:rPr>
          <w:lang w:val="lt-LT"/>
        </w:rPr>
        <w:t>L</w:t>
      </w:r>
      <w:r w:rsidRPr="00FB21B8">
        <w:rPr>
          <w:spacing w:val="-1"/>
          <w:lang w:val="lt-LT"/>
        </w:rPr>
        <w:t>EV</w:t>
      </w:r>
      <w:r w:rsidRPr="00FB21B8">
        <w:rPr>
          <w:spacing w:val="-2"/>
          <w:lang w:val="lt-LT"/>
        </w:rPr>
        <w:t>I</w:t>
      </w:r>
      <w:r w:rsidRPr="00FB21B8">
        <w:rPr>
          <w:lang w:val="lt-LT"/>
        </w:rPr>
        <w:t>OF</w:t>
      </w:r>
      <w:r w:rsidRPr="00FB21B8">
        <w:rPr>
          <w:spacing w:val="-1"/>
          <w:lang w:val="lt-LT"/>
        </w:rPr>
        <w:t>L</w:t>
      </w:r>
      <w:r w:rsidRPr="00FB21B8">
        <w:rPr>
          <w:lang w:val="lt-LT"/>
        </w:rPr>
        <w:t>U 500</w:t>
      </w:r>
      <w:r w:rsidRPr="00FB21B8">
        <w:rPr>
          <w:spacing w:val="-2"/>
          <w:lang w:val="lt-LT"/>
        </w:rPr>
        <w:t xml:space="preserve"> mg </w:t>
      </w:r>
      <w:r w:rsidRPr="00FB21B8">
        <w:rPr>
          <w:spacing w:val="-1"/>
          <w:lang w:val="lt-LT"/>
        </w:rPr>
        <w:t xml:space="preserve">/ </w:t>
      </w:r>
      <w:r w:rsidRPr="00FB21B8">
        <w:rPr>
          <w:lang w:val="lt-LT"/>
        </w:rPr>
        <w:t>250</w:t>
      </w:r>
      <w:r w:rsidRPr="00FB21B8">
        <w:rPr>
          <w:spacing w:val="-2"/>
          <w:lang w:val="lt-LT"/>
        </w:rPr>
        <w:t xml:space="preserve"> mg </w:t>
      </w:r>
      <w:r w:rsidRPr="00FB21B8">
        <w:rPr>
          <w:spacing w:val="-1"/>
          <w:lang w:val="lt-LT"/>
        </w:rPr>
        <w:t xml:space="preserve">/ </w:t>
      </w:r>
      <w:r w:rsidRPr="00FB21B8">
        <w:rPr>
          <w:lang w:val="lt-LT"/>
        </w:rPr>
        <w:t>2 mg šny</w:t>
      </w:r>
      <w:r w:rsidRPr="00FB21B8">
        <w:rPr>
          <w:spacing w:val="-2"/>
          <w:lang w:val="lt-LT"/>
        </w:rPr>
        <w:t>p</w:t>
      </w:r>
      <w:r w:rsidRPr="00FB21B8">
        <w:rPr>
          <w:lang w:val="lt-LT"/>
        </w:rPr>
        <w:t>š</w:t>
      </w:r>
      <w:r w:rsidRPr="00FB21B8">
        <w:rPr>
          <w:spacing w:val="-2"/>
          <w:lang w:val="lt-LT"/>
        </w:rPr>
        <w:t>č</w:t>
      </w:r>
      <w:r w:rsidRPr="00FB21B8">
        <w:rPr>
          <w:spacing w:val="1"/>
          <w:lang w:val="lt-LT"/>
        </w:rPr>
        <w:t>i</w:t>
      </w:r>
      <w:r w:rsidRPr="00FB21B8">
        <w:rPr>
          <w:spacing w:val="-2"/>
          <w:lang w:val="lt-LT"/>
        </w:rPr>
        <w:t>o</w:t>
      </w:r>
      <w:r w:rsidRPr="00FB21B8">
        <w:rPr>
          <w:lang w:val="lt-LT"/>
        </w:rPr>
        <w:t>s</w:t>
      </w:r>
      <w:r w:rsidRPr="00FB21B8">
        <w:rPr>
          <w:spacing w:val="1"/>
          <w:lang w:val="lt-LT"/>
        </w:rPr>
        <w:t>i</w:t>
      </w:r>
      <w:r w:rsidRPr="00FB21B8">
        <w:rPr>
          <w:lang w:val="lt-LT"/>
        </w:rPr>
        <w:t>os</w:t>
      </w:r>
      <w:r w:rsidRPr="00FB21B8">
        <w:rPr>
          <w:spacing w:val="-2"/>
          <w:lang w:val="lt-LT"/>
        </w:rPr>
        <w:t xml:space="preserve"> </w:t>
      </w:r>
      <w:r w:rsidRPr="00FB21B8">
        <w:rPr>
          <w:spacing w:val="1"/>
          <w:lang w:val="lt-LT"/>
        </w:rPr>
        <w:t>t</w:t>
      </w:r>
      <w:r w:rsidRPr="00FB21B8">
        <w:rPr>
          <w:lang w:val="lt-LT"/>
        </w:rPr>
        <w:t>a</w:t>
      </w:r>
      <w:r w:rsidRPr="00FB21B8">
        <w:rPr>
          <w:spacing w:val="-2"/>
          <w:lang w:val="lt-LT"/>
        </w:rPr>
        <w:t>b</w:t>
      </w:r>
      <w:r w:rsidRPr="00FB21B8">
        <w:rPr>
          <w:spacing w:val="1"/>
          <w:lang w:val="lt-LT"/>
        </w:rPr>
        <w:t>l</w:t>
      </w:r>
      <w:r w:rsidRPr="00FB21B8">
        <w:rPr>
          <w:spacing w:val="-2"/>
          <w:lang w:val="lt-LT"/>
        </w:rPr>
        <w:t>e</w:t>
      </w:r>
      <w:r w:rsidRPr="00FB21B8">
        <w:rPr>
          <w:spacing w:val="1"/>
          <w:lang w:val="lt-LT"/>
        </w:rPr>
        <w:t>t</w:t>
      </w:r>
      <w:r w:rsidRPr="00FB21B8">
        <w:rPr>
          <w:lang w:val="lt-LT"/>
        </w:rPr>
        <w:t>ės</w:t>
      </w:r>
    </w:p>
    <w:p w:rsidR="00B57296" w:rsidRPr="00FB21B8" w:rsidRDefault="00B57296" w:rsidP="00B57296">
      <w:pPr>
        <w:rPr>
          <w:lang w:val="lt-LT"/>
        </w:rPr>
      </w:pPr>
      <w:r w:rsidRPr="00FB21B8">
        <w:rPr>
          <w:spacing w:val="-2"/>
          <w:lang w:val="lt-LT"/>
        </w:rPr>
        <w:t>I</w:t>
      </w:r>
      <w:r w:rsidRPr="00FB21B8">
        <w:rPr>
          <w:spacing w:val="1"/>
          <w:lang w:val="lt-LT"/>
        </w:rPr>
        <w:t>t</w:t>
      </w:r>
      <w:r w:rsidRPr="00FB21B8">
        <w:rPr>
          <w:lang w:val="lt-LT"/>
        </w:rPr>
        <w:t>a</w:t>
      </w:r>
      <w:r w:rsidRPr="00FB21B8">
        <w:rPr>
          <w:spacing w:val="1"/>
          <w:lang w:val="lt-LT"/>
        </w:rPr>
        <w:t>l</w:t>
      </w:r>
      <w:r w:rsidRPr="00FB21B8">
        <w:rPr>
          <w:spacing w:val="-2"/>
          <w:lang w:val="lt-LT"/>
        </w:rPr>
        <w:t>ija:</w:t>
      </w:r>
      <w:r w:rsidRPr="00FB21B8">
        <w:rPr>
          <w:spacing w:val="1"/>
          <w:lang w:val="lt-LT"/>
        </w:rPr>
        <w:t xml:space="preserve"> </w:t>
      </w:r>
      <w:r w:rsidRPr="000B0FFA">
        <w:rPr>
          <w:lang w:val="lt-LT"/>
        </w:rPr>
        <w:t>PUMILFLU</w:t>
      </w:r>
      <w:r w:rsidRPr="00FB21B8">
        <w:rPr>
          <w:spacing w:val="-1"/>
          <w:lang w:val="lt-LT"/>
        </w:rPr>
        <w:t xml:space="preserve"> </w:t>
      </w:r>
      <w:r w:rsidRPr="00FB21B8">
        <w:rPr>
          <w:spacing w:val="-2"/>
          <w:lang w:val="lt-LT"/>
        </w:rPr>
        <w:t>I</w:t>
      </w:r>
      <w:r w:rsidRPr="00FB21B8">
        <w:rPr>
          <w:lang w:val="lt-LT"/>
        </w:rPr>
        <w:t>n</w:t>
      </w:r>
      <w:r w:rsidRPr="00FB21B8">
        <w:rPr>
          <w:spacing w:val="1"/>
          <w:lang w:val="lt-LT"/>
        </w:rPr>
        <w:t>fl</w:t>
      </w:r>
      <w:r w:rsidRPr="00FB21B8">
        <w:rPr>
          <w:lang w:val="lt-LT"/>
        </w:rPr>
        <w:t>uen</w:t>
      </w:r>
      <w:r w:rsidRPr="00FB21B8">
        <w:rPr>
          <w:spacing w:val="-2"/>
          <w:lang w:val="lt-LT"/>
        </w:rPr>
        <w:t>z</w:t>
      </w:r>
      <w:r w:rsidRPr="00FB21B8">
        <w:rPr>
          <w:lang w:val="lt-LT"/>
        </w:rPr>
        <w:t>a e</w:t>
      </w:r>
      <w:r w:rsidRPr="00FB21B8">
        <w:rPr>
          <w:spacing w:val="1"/>
          <w:lang w:val="lt-LT"/>
        </w:rPr>
        <w:t xml:space="preserve"> </w:t>
      </w:r>
      <w:r w:rsidRPr="00FB21B8">
        <w:rPr>
          <w:spacing w:val="-1"/>
          <w:lang w:val="lt-LT"/>
        </w:rPr>
        <w:t>R</w:t>
      </w:r>
      <w:r w:rsidRPr="00FB21B8">
        <w:rPr>
          <w:lang w:val="lt-LT"/>
        </w:rPr>
        <w:t>a</w:t>
      </w:r>
      <w:r w:rsidRPr="00FB21B8">
        <w:rPr>
          <w:spacing w:val="-1"/>
          <w:lang w:val="lt-LT"/>
        </w:rPr>
        <w:t>f</w:t>
      </w:r>
      <w:r w:rsidRPr="00FB21B8">
        <w:rPr>
          <w:spacing w:val="1"/>
          <w:lang w:val="lt-LT"/>
        </w:rPr>
        <w:t>f</w:t>
      </w:r>
      <w:r w:rsidRPr="00FB21B8">
        <w:rPr>
          <w:spacing w:val="-2"/>
          <w:lang w:val="lt-LT"/>
        </w:rPr>
        <w:t>r</w:t>
      </w:r>
      <w:r w:rsidRPr="00FB21B8">
        <w:rPr>
          <w:lang w:val="lt-LT"/>
        </w:rPr>
        <w:t>edd</w:t>
      </w:r>
      <w:r w:rsidRPr="00FB21B8">
        <w:rPr>
          <w:spacing w:val="-2"/>
          <w:lang w:val="lt-LT"/>
        </w:rPr>
        <w:t>o</w:t>
      </w:r>
      <w:r w:rsidRPr="00FB21B8">
        <w:rPr>
          <w:spacing w:val="1"/>
          <w:lang w:val="lt-LT"/>
        </w:rPr>
        <w:t>r</w:t>
      </w:r>
      <w:r w:rsidRPr="00FB21B8">
        <w:rPr>
          <w:lang w:val="lt-LT"/>
        </w:rPr>
        <w:t>e</w:t>
      </w:r>
      <w:r w:rsidRPr="00FB21B8">
        <w:rPr>
          <w:spacing w:val="3"/>
          <w:lang w:val="lt-LT"/>
        </w:rPr>
        <w:t xml:space="preserve"> </w:t>
      </w:r>
      <w:r w:rsidRPr="00FB21B8">
        <w:rPr>
          <w:lang w:val="lt-LT"/>
        </w:rPr>
        <w:t>5</w:t>
      </w:r>
      <w:r w:rsidRPr="00FB21B8">
        <w:rPr>
          <w:spacing w:val="-2"/>
          <w:lang w:val="lt-LT"/>
        </w:rPr>
        <w:t>0</w:t>
      </w:r>
      <w:r w:rsidRPr="00FB21B8">
        <w:rPr>
          <w:lang w:val="lt-LT"/>
        </w:rPr>
        <w:t xml:space="preserve">0 mg </w:t>
      </w:r>
      <w:r w:rsidRPr="00FB21B8">
        <w:rPr>
          <w:spacing w:val="1"/>
          <w:lang w:val="lt-LT"/>
        </w:rPr>
        <w:t xml:space="preserve">/ </w:t>
      </w:r>
      <w:r w:rsidRPr="00FB21B8">
        <w:rPr>
          <w:lang w:val="lt-LT"/>
        </w:rPr>
        <w:t>2</w:t>
      </w:r>
      <w:r w:rsidRPr="00FB21B8">
        <w:rPr>
          <w:spacing w:val="-2"/>
          <w:lang w:val="lt-LT"/>
        </w:rPr>
        <w:t>5</w:t>
      </w:r>
      <w:r w:rsidRPr="00FB21B8">
        <w:rPr>
          <w:lang w:val="lt-LT"/>
        </w:rPr>
        <w:t xml:space="preserve">0 mg </w:t>
      </w:r>
      <w:r w:rsidRPr="00FB21B8">
        <w:rPr>
          <w:spacing w:val="1"/>
          <w:lang w:val="lt-LT"/>
        </w:rPr>
        <w:t xml:space="preserve">/ </w:t>
      </w:r>
      <w:r w:rsidRPr="00FB21B8">
        <w:rPr>
          <w:lang w:val="lt-LT"/>
        </w:rPr>
        <w:t>2</w:t>
      </w:r>
      <w:r w:rsidRPr="00FB21B8">
        <w:rPr>
          <w:spacing w:val="-2"/>
          <w:lang w:val="lt-LT"/>
        </w:rPr>
        <w:t> mg</w:t>
      </w:r>
      <w:r w:rsidRPr="00FB21B8">
        <w:rPr>
          <w:lang w:val="lt-LT"/>
        </w:rPr>
        <w:t xml:space="preserve"> c</w:t>
      </w:r>
      <w:r w:rsidRPr="00FB21B8">
        <w:rPr>
          <w:spacing w:val="-2"/>
          <w:lang w:val="lt-LT"/>
        </w:rPr>
        <w:t>o</w:t>
      </w:r>
      <w:r w:rsidRPr="00FB21B8">
        <w:rPr>
          <w:spacing w:val="1"/>
          <w:lang w:val="lt-LT"/>
        </w:rPr>
        <w:t>m</w:t>
      </w:r>
      <w:r w:rsidRPr="00FB21B8">
        <w:rPr>
          <w:spacing w:val="-2"/>
          <w:lang w:val="lt-LT"/>
        </w:rPr>
        <w:t>p</w:t>
      </w:r>
      <w:r w:rsidRPr="00FB21B8">
        <w:rPr>
          <w:spacing w:val="1"/>
          <w:lang w:val="lt-LT"/>
        </w:rPr>
        <w:t>r</w:t>
      </w:r>
      <w:r w:rsidRPr="00FB21B8">
        <w:rPr>
          <w:lang w:val="lt-LT"/>
        </w:rPr>
        <w:t>e</w:t>
      </w:r>
      <w:r w:rsidRPr="00FB21B8">
        <w:rPr>
          <w:spacing w:val="-2"/>
          <w:lang w:val="lt-LT"/>
        </w:rPr>
        <w:t>s</w:t>
      </w:r>
      <w:r w:rsidRPr="00FB21B8">
        <w:rPr>
          <w:lang w:val="lt-LT"/>
        </w:rPr>
        <w:t>se</w:t>
      </w:r>
      <w:r w:rsidRPr="00FB21B8">
        <w:rPr>
          <w:spacing w:val="1"/>
          <w:lang w:val="lt-LT"/>
        </w:rPr>
        <w:t xml:space="preserve"> </w:t>
      </w:r>
      <w:r w:rsidRPr="00FB21B8">
        <w:rPr>
          <w:spacing w:val="-2"/>
          <w:lang w:val="lt-LT"/>
        </w:rPr>
        <w:t>e</w:t>
      </w:r>
      <w:r w:rsidRPr="00FB21B8">
        <w:rPr>
          <w:spacing w:val="1"/>
          <w:lang w:val="lt-LT"/>
        </w:rPr>
        <w:t>f</w:t>
      </w:r>
      <w:r w:rsidRPr="00FB21B8">
        <w:rPr>
          <w:spacing w:val="-2"/>
          <w:lang w:val="lt-LT"/>
        </w:rPr>
        <w:t>f</w:t>
      </w:r>
      <w:r w:rsidRPr="00FB21B8">
        <w:rPr>
          <w:lang w:val="lt-LT"/>
        </w:rPr>
        <w:t>e</w:t>
      </w:r>
      <w:r w:rsidRPr="00FB21B8">
        <w:rPr>
          <w:spacing w:val="-1"/>
          <w:lang w:val="lt-LT"/>
        </w:rPr>
        <w:t>r</w:t>
      </w:r>
      <w:r w:rsidRPr="00FB21B8">
        <w:rPr>
          <w:lang w:val="lt-LT"/>
        </w:rPr>
        <w:t>ve</w:t>
      </w:r>
      <w:r w:rsidRPr="00FB21B8">
        <w:rPr>
          <w:spacing w:val="1"/>
          <w:lang w:val="lt-LT"/>
        </w:rPr>
        <w:t>s</w:t>
      </w:r>
      <w:r w:rsidRPr="00FB21B8">
        <w:rPr>
          <w:lang w:val="lt-LT"/>
        </w:rPr>
        <w:t>c</w:t>
      </w:r>
      <w:r w:rsidRPr="00FB21B8">
        <w:rPr>
          <w:spacing w:val="-2"/>
          <w:lang w:val="lt-LT"/>
        </w:rPr>
        <w:t>e</w:t>
      </w:r>
      <w:r w:rsidRPr="00FB21B8">
        <w:rPr>
          <w:lang w:val="lt-LT"/>
        </w:rPr>
        <w:t>n</w:t>
      </w:r>
      <w:r w:rsidRPr="00FB21B8">
        <w:rPr>
          <w:spacing w:val="-1"/>
          <w:lang w:val="lt-LT"/>
        </w:rPr>
        <w:t>t</w:t>
      </w:r>
      <w:r w:rsidRPr="00FB21B8">
        <w:rPr>
          <w:lang w:val="lt-LT"/>
        </w:rPr>
        <w:t>i</w:t>
      </w:r>
    </w:p>
    <w:p w:rsidR="00B57296" w:rsidRPr="00FB21B8" w:rsidRDefault="00B57296" w:rsidP="00B57296">
      <w:pPr>
        <w:widowControl w:val="0"/>
        <w:tabs>
          <w:tab w:val="clear" w:pos="567"/>
        </w:tabs>
        <w:spacing w:line="240" w:lineRule="auto"/>
        <w:rPr>
          <w:snapToGrid/>
          <w:szCs w:val="24"/>
          <w:lang w:val="lt-LT" w:eastAsia="x-none"/>
        </w:rPr>
      </w:pPr>
    </w:p>
    <w:p w:rsidR="00B57296" w:rsidRPr="00FB21B8" w:rsidRDefault="00B57296" w:rsidP="00B57296">
      <w:pPr>
        <w:widowControl w:val="0"/>
        <w:tabs>
          <w:tab w:val="clear" w:pos="567"/>
        </w:tabs>
        <w:spacing w:line="240" w:lineRule="auto"/>
        <w:rPr>
          <w:snapToGrid/>
          <w:szCs w:val="24"/>
          <w:lang w:val="lt-LT"/>
        </w:rPr>
      </w:pPr>
      <w:r w:rsidRPr="00FB21B8">
        <w:rPr>
          <w:b/>
          <w:bCs/>
          <w:snapToGrid/>
          <w:szCs w:val="24"/>
          <w:lang w:val="lt-LT" w:eastAsia="x-none"/>
        </w:rPr>
        <w:t>Šis pakuotės lapelis</w:t>
      </w:r>
      <w:r w:rsidRPr="00FB21B8">
        <w:rPr>
          <w:b/>
          <w:snapToGrid/>
          <w:szCs w:val="24"/>
          <w:lang w:val="lt-LT" w:eastAsia="x-none"/>
        </w:rPr>
        <w:t xml:space="preserve"> paskutinį kartą peržiūrėtas</w:t>
      </w:r>
      <w:r>
        <w:rPr>
          <w:b/>
          <w:snapToGrid/>
          <w:szCs w:val="24"/>
          <w:lang w:val="lt-LT" w:eastAsia="x-none"/>
        </w:rPr>
        <w:t xml:space="preserve"> 2025-04-03.</w:t>
      </w:r>
    </w:p>
    <w:p w:rsidR="00B57296" w:rsidRPr="00FB21B8" w:rsidRDefault="00B57296" w:rsidP="00B57296">
      <w:pPr>
        <w:widowControl w:val="0"/>
        <w:tabs>
          <w:tab w:val="clear" w:pos="567"/>
        </w:tabs>
        <w:spacing w:line="240" w:lineRule="auto"/>
        <w:rPr>
          <w:snapToGrid/>
          <w:szCs w:val="24"/>
          <w:lang w:val="lt-LT"/>
        </w:rPr>
      </w:pPr>
    </w:p>
    <w:p w:rsidR="00B57296" w:rsidRPr="00FB21B8" w:rsidRDefault="00B57296" w:rsidP="00B57296">
      <w:pPr>
        <w:widowControl w:val="0"/>
        <w:tabs>
          <w:tab w:val="clear" w:pos="567"/>
        </w:tabs>
        <w:spacing w:line="240" w:lineRule="auto"/>
        <w:rPr>
          <w:snapToGrid/>
          <w:szCs w:val="24"/>
          <w:lang w:val="lt-LT"/>
        </w:rPr>
      </w:pPr>
      <w:r w:rsidRPr="00FB21B8">
        <w:rPr>
          <w:snapToGrid/>
          <w:szCs w:val="24"/>
          <w:lang w:val="lt-LT"/>
        </w:rPr>
        <w:t xml:space="preserve">Išsami informacija apie šį vaistą pateikiama Valstybinės vaistų kontrolės tarnybos prie Lietuvos Respublikos sveikatos apsaugos ministerijos tinklalapyje </w:t>
      </w:r>
      <w:hyperlink r:id="rId5" w:history="1">
        <w:r w:rsidRPr="00FB21B8">
          <w:rPr>
            <w:snapToGrid/>
            <w:color w:val="0000FF"/>
            <w:szCs w:val="24"/>
            <w:u w:val="single"/>
            <w:lang w:val="lt-LT"/>
          </w:rPr>
          <w:t>http://www.vvkt.lt/</w:t>
        </w:r>
      </w:hyperlink>
      <w:r w:rsidRPr="00FB21B8">
        <w:rPr>
          <w:snapToGrid/>
          <w:szCs w:val="24"/>
          <w:lang w:val="lt-LT"/>
        </w:rPr>
        <w:t>.</w:t>
      </w:r>
    </w:p>
    <w:p w:rsidR="00B57296" w:rsidRPr="00FB21B8" w:rsidRDefault="00B57296" w:rsidP="00B57296">
      <w:pPr>
        <w:widowControl w:val="0"/>
        <w:rPr>
          <w:lang w:val="lt-LT"/>
        </w:rPr>
      </w:pPr>
    </w:p>
    <w:p w:rsidR="00BA6577" w:rsidRDefault="00BA6577">
      <w:bookmarkStart w:id="0" w:name="_GoBack"/>
      <w:bookmarkEnd w:id="0"/>
    </w:p>
    <w:sectPr w:rsidR="00BA6577" w:rsidSect="00146468">
      <w:headerReference w:type="default" r:id="rId6"/>
      <w:footerReference w:type="even" r:id="rId7"/>
      <w:footerReference w:type="default" r:id="rId8"/>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NewRoman">
    <w:altName w:val="Times New Roman"/>
    <w:panose1 w:val="00000000000000000000"/>
    <w:charset w:val="80"/>
    <w:family w:val="auto"/>
    <w:notTrueType/>
    <w:pitch w:val="default"/>
    <w:sig w:usb0="00000001" w:usb1="08070000" w:usb2="00000010" w:usb3="00000000" w:csb0="0002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1CC" w:rsidRDefault="00B57296">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rsidR="002141CC" w:rsidRDefault="00B57296">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41CC" w:rsidRPr="00AA6CFE" w:rsidRDefault="00B57296">
    <w:pPr>
      <w:pStyle w:val="Porat"/>
      <w:ind w:right="360"/>
      <w:jc w:val="center"/>
      <w:rPr>
        <w:rStyle w:val="Puslapionumeris"/>
        <w:rFonts w:ascii="Arial" w:hAnsi="Arial" w:cs="Arial"/>
        <w:sz w:val="16"/>
        <w:szCs w:val="16"/>
        <w:lang w:val="lt-LT"/>
      </w:rPr>
    </w:pPr>
    <w:r w:rsidRPr="00AA6CFE">
      <w:rPr>
        <w:rStyle w:val="Puslapionumeris"/>
        <w:rFonts w:ascii="Arial" w:hAnsi="Arial" w:cs="Arial"/>
        <w:sz w:val="16"/>
        <w:szCs w:val="16"/>
        <w:lang w:val="lt-LT"/>
      </w:rPr>
      <w:fldChar w:fldCharType="begin"/>
    </w:r>
    <w:r w:rsidRPr="00AA6CFE">
      <w:rPr>
        <w:rStyle w:val="Puslapionumeris"/>
        <w:rFonts w:ascii="Arial" w:hAnsi="Arial" w:cs="Arial"/>
        <w:sz w:val="16"/>
        <w:szCs w:val="16"/>
        <w:lang w:val="lt-LT"/>
      </w:rPr>
      <w:instrText xml:space="preserve"> PAGE </w:instrText>
    </w:r>
    <w:r w:rsidRPr="00AA6CFE">
      <w:rPr>
        <w:rStyle w:val="Puslapionumeris"/>
        <w:rFonts w:ascii="Arial" w:hAnsi="Arial" w:cs="Arial"/>
        <w:sz w:val="16"/>
        <w:szCs w:val="16"/>
        <w:lang w:val="lt-LT"/>
      </w:rPr>
      <w:fldChar w:fldCharType="separate"/>
    </w:r>
    <w:r>
      <w:rPr>
        <w:rStyle w:val="Puslapionumeris"/>
        <w:rFonts w:ascii="Arial" w:hAnsi="Arial" w:cs="Arial"/>
        <w:noProof/>
        <w:sz w:val="16"/>
        <w:szCs w:val="16"/>
        <w:lang w:val="lt-LT"/>
      </w:rPr>
      <w:t>7</w:t>
    </w:r>
    <w:r w:rsidRPr="00AA6CFE">
      <w:rPr>
        <w:rStyle w:val="Puslapionumeris"/>
        <w:rFonts w:ascii="Arial" w:hAnsi="Arial" w:cs="Arial"/>
        <w:sz w:val="16"/>
        <w:szCs w:val="16"/>
        <w:lang w:val="lt-LT"/>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7342" w:rsidRDefault="00B5729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1004A2"/>
    <w:multiLevelType w:val="hybridMultilevel"/>
    <w:tmpl w:val="B46C03C0"/>
    <w:lvl w:ilvl="0" w:tplc="9A02E9A2">
      <w:start w:val="4"/>
      <w:numFmt w:val="bullet"/>
      <w:lvlText w:val="-"/>
      <w:lvlJc w:val="left"/>
      <w:pPr>
        <w:ind w:left="720" w:hanging="360"/>
      </w:pPr>
      <w:rPr>
        <w:rFonts w:ascii="Times New Roman" w:eastAsia="TimesNewRoman" w:hAnsi="Times New Roman" w:cs="Times New Roman" w:hint="default"/>
      </w:rPr>
    </w:lvl>
    <w:lvl w:ilvl="1" w:tplc="9A02E9A2">
      <w:start w:val="4"/>
      <w:numFmt w:val="bullet"/>
      <w:lvlText w:val="-"/>
      <w:lvlJc w:val="left"/>
      <w:pPr>
        <w:ind w:left="1440" w:hanging="360"/>
      </w:pPr>
      <w:rPr>
        <w:rFonts w:ascii="Times New Roman" w:eastAsia="TimesNew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AD3E90"/>
    <w:multiLevelType w:val="hybridMultilevel"/>
    <w:tmpl w:val="AEC08D6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296"/>
    <w:rsid w:val="00072F85"/>
    <w:rsid w:val="000A5E72"/>
    <w:rsid w:val="000A7B60"/>
    <w:rsid w:val="00181364"/>
    <w:rsid w:val="002945D9"/>
    <w:rsid w:val="00305C48"/>
    <w:rsid w:val="003362C6"/>
    <w:rsid w:val="00497D4D"/>
    <w:rsid w:val="00742EBF"/>
    <w:rsid w:val="00B4219F"/>
    <w:rsid w:val="00B57296"/>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E47C5D-987D-4201-8C63-678830988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57296"/>
    <w:pPr>
      <w:tabs>
        <w:tab w:val="left" w:pos="567"/>
      </w:tabs>
      <w:spacing w:after="0" w:line="260" w:lineRule="exact"/>
    </w:pPr>
    <w:rPr>
      <w:rFonts w:ascii="Times New Roman" w:eastAsia="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B57296"/>
    <w:pPr>
      <w:tabs>
        <w:tab w:val="center" w:pos="4536"/>
        <w:tab w:val="right" w:pos="8306"/>
      </w:tabs>
    </w:pPr>
    <w:rPr>
      <w:lang w:eastAsia="x-none"/>
    </w:rPr>
  </w:style>
  <w:style w:type="character" w:customStyle="1" w:styleId="PoratDiagrama">
    <w:name w:val="Poraštė Diagrama"/>
    <w:basedOn w:val="Numatytasispastraiposriftas"/>
    <w:link w:val="Porat"/>
    <w:rsid w:val="00B57296"/>
    <w:rPr>
      <w:rFonts w:ascii="Times New Roman" w:eastAsia="Times New Roman" w:hAnsi="Times New Roman" w:cs="Times New Roman"/>
      <w:snapToGrid w:val="0"/>
      <w:szCs w:val="20"/>
      <w:lang w:val="en-GB" w:eastAsia="x-none"/>
    </w:rPr>
  </w:style>
  <w:style w:type="character" w:styleId="Puslapionumeris">
    <w:name w:val="page number"/>
    <w:rsid w:val="00B57296"/>
    <w:rPr>
      <w:rFonts w:cs="Times New Roman"/>
    </w:rPr>
  </w:style>
  <w:style w:type="paragraph" w:styleId="Antrats">
    <w:name w:val="header"/>
    <w:basedOn w:val="prastasis"/>
    <w:link w:val="AntratsDiagrama"/>
    <w:rsid w:val="00B57296"/>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rsid w:val="00B57296"/>
    <w:rPr>
      <w:rFonts w:ascii="Times New Roman" w:eastAsia="SimSun" w:hAnsi="Times New Roman" w:cs="Times New Roman"/>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12036</Words>
  <Characters>6862</Characters>
  <Application>Microsoft Office Word</Application>
  <DocSecurity>0</DocSecurity>
  <Lines>57</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2025-04-07T05:50:00Z</dcterms:created>
  <dcterms:modified xsi:type="dcterms:W3CDTF">2025-04-07T05:51:00Z</dcterms:modified>
</cp:coreProperties>
</file>