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301" w:rsidRPr="002C4825" w:rsidRDefault="00F25301" w:rsidP="00F25301">
      <w:pPr>
        <w:widowControl/>
        <w:autoSpaceDE/>
        <w:autoSpaceDN/>
        <w:jc w:val="center"/>
        <w:outlineLvl w:val="0"/>
        <w:rPr>
          <w:b/>
          <w:kern w:val="28"/>
          <w:lang w:val="lt-LT" w:eastAsia="lt-LT"/>
        </w:rPr>
      </w:pPr>
      <w:r w:rsidRPr="002C4825">
        <w:rPr>
          <w:b/>
          <w:kern w:val="28"/>
          <w:lang w:val="lt-LT" w:eastAsia="lt-LT"/>
        </w:rPr>
        <w:t>Pakuotės lapelis: informacija vartotojui</w:t>
      </w:r>
    </w:p>
    <w:p w:rsidR="00F25301" w:rsidRPr="002C4825" w:rsidRDefault="00F25301" w:rsidP="00F25301">
      <w:pPr>
        <w:autoSpaceDE/>
        <w:autoSpaceDN/>
        <w:jc w:val="center"/>
        <w:rPr>
          <w:b/>
          <w:lang w:val="lt-LT"/>
        </w:rPr>
      </w:pPr>
    </w:p>
    <w:p w:rsidR="00F25301" w:rsidRPr="002C4825" w:rsidRDefault="00F25301" w:rsidP="00F25301">
      <w:pPr>
        <w:widowControl/>
        <w:autoSpaceDE/>
        <w:autoSpaceDN/>
        <w:jc w:val="center"/>
        <w:outlineLvl w:val="0"/>
        <w:rPr>
          <w:i/>
          <w:lang w:val="lt-LT"/>
        </w:rPr>
      </w:pPr>
      <w:r w:rsidRPr="002C4825">
        <w:rPr>
          <w:b/>
          <w:bCs/>
          <w:lang w:val="lt-LT"/>
        </w:rPr>
        <w:t>Wintrozen 600 mg šnypščiosios tabletės</w:t>
      </w:r>
    </w:p>
    <w:p w:rsidR="00F25301" w:rsidRPr="002C4825" w:rsidRDefault="00F25301" w:rsidP="00F25301">
      <w:pPr>
        <w:widowControl/>
        <w:autoSpaceDE/>
        <w:autoSpaceDN/>
        <w:jc w:val="center"/>
        <w:rPr>
          <w:bCs/>
          <w:lang w:val="lt-LT"/>
        </w:rPr>
      </w:pPr>
      <w:r>
        <w:rPr>
          <w:bCs/>
          <w:lang w:val="lt-LT"/>
        </w:rPr>
        <w:t>a</w:t>
      </w:r>
      <w:r w:rsidRPr="002C4825">
        <w:rPr>
          <w:bCs/>
          <w:lang w:val="lt-LT"/>
        </w:rPr>
        <w:t>cetilcisteinas</w:t>
      </w:r>
    </w:p>
    <w:p w:rsidR="00F25301" w:rsidRPr="002C4825" w:rsidRDefault="00F25301" w:rsidP="00F25301">
      <w:pPr>
        <w:widowControl/>
        <w:autoSpaceDE/>
        <w:autoSpaceDN/>
        <w:jc w:val="center"/>
        <w:rPr>
          <w:lang w:val="lt-LT"/>
        </w:rPr>
      </w:pPr>
    </w:p>
    <w:p w:rsidR="00F25301" w:rsidRPr="002C4825" w:rsidRDefault="00F25301" w:rsidP="00F25301">
      <w:pPr>
        <w:widowControl/>
        <w:autoSpaceDE/>
        <w:autoSpaceDN/>
        <w:rPr>
          <w:b/>
          <w:lang w:val="lt-LT"/>
        </w:rPr>
      </w:pPr>
      <w:r w:rsidRPr="002C4825">
        <w:rPr>
          <w:b/>
          <w:lang w:val="lt-LT"/>
        </w:rPr>
        <w:t xml:space="preserve">Atidžiai perskaitykite visą šį lapelį, prieš pradėdami vartoti šį vaistą, nes jame pateikiama Jums svarbi informacija. </w:t>
      </w:r>
    </w:p>
    <w:p w:rsidR="00F25301" w:rsidRPr="002C4825" w:rsidRDefault="00F25301" w:rsidP="00F25301">
      <w:pPr>
        <w:widowControl/>
        <w:autoSpaceDE/>
        <w:autoSpaceDN/>
        <w:rPr>
          <w:b/>
          <w:lang w:val="lt-LT"/>
        </w:rPr>
      </w:pPr>
      <w:r w:rsidRPr="002C4825">
        <w:rPr>
          <w:noProof/>
          <w:snapToGrid w:val="0"/>
          <w:lang w:val="lt-LT"/>
        </w:rPr>
        <w:t>Visada vartokite šį vaistą</w:t>
      </w:r>
      <w:r w:rsidRPr="002C4825">
        <w:rPr>
          <w:lang w:val="lt-LT"/>
        </w:rPr>
        <w:t xml:space="preserve"> tiksliai kaip </w:t>
      </w:r>
      <w:r w:rsidRPr="002C4825">
        <w:rPr>
          <w:noProof/>
          <w:snapToGrid w:val="0"/>
          <w:lang w:val="lt-LT"/>
        </w:rPr>
        <w:t>aprašyta šiame lapelyje arba kaip nurodė gydytojas arba vaistininkas</w:t>
      </w:r>
      <w:r w:rsidRPr="002C4825">
        <w:rPr>
          <w:lang w:val="lt-LT"/>
        </w:rPr>
        <w:t>.</w:t>
      </w:r>
    </w:p>
    <w:p w:rsidR="00F25301" w:rsidRPr="002C4825" w:rsidRDefault="00F25301" w:rsidP="00F25301">
      <w:pPr>
        <w:widowControl/>
        <w:autoSpaceDE/>
        <w:autoSpaceDN/>
        <w:ind w:left="540" w:hanging="540"/>
        <w:rPr>
          <w:lang w:val="lt-LT"/>
        </w:rPr>
      </w:pPr>
      <w:r w:rsidRPr="002C4825">
        <w:rPr>
          <w:lang w:val="lt-LT"/>
        </w:rPr>
        <w:t>-</w:t>
      </w:r>
      <w:r w:rsidRPr="002C4825">
        <w:rPr>
          <w:lang w:val="lt-LT"/>
        </w:rPr>
        <w:tab/>
        <w:t>Neišmeskite šio lapelio, nes vėl gali prireikti jį perskaityti.</w:t>
      </w:r>
    </w:p>
    <w:p w:rsidR="00F25301" w:rsidRPr="002C4825" w:rsidRDefault="00F25301" w:rsidP="00F25301">
      <w:pPr>
        <w:widowControl/>
        <w:autoSpaceDE/>
        <w:autoSpaceDN/>
        <w:ind w:left="540" w:hanging="540"/>
        <w:rPr>
          <w:lang w:val="lt-LT"/>
        </w:rPr>
      </w:pPr>
      <w:r w:rsidRPr="002C4825">
        <w:rPr>
          <w:lang w:val="lt-LT"/>
        </w:rPr>
        <w:t>-</w:t>
      </w:r>
      <w:r w:rsidRPr="002C4825">
        <w:rPr>
          <w:lang w:val="lt-LT"/>
        </w:rPr>
        <w:tab/>
        <w:t>Jeigu norite sužinoti daugiau arba pasitarti, kreipkitės į vaistininką.</w:t>
      </w:r>
    </w:p>
    <w:p w:rsidR="00F25301" w:rsidRPr="002C4825" w:rsidRDefault="00F25301" w:rsidP="00F25301">
      <w:pPr>
        <w:widowControl/>
        <w:autoSpaceDE/>
        <w:autoSpaceDN/>
        <w:ind w:left="540" w:hanging="540"/>
        <w:rPr>
          <w:lang w:val="lt-LT"/>
        </w:rPr>
      </w:pPr>
      <w:r w:rsidRPr="002C4825">
        <w:rPr>
          <w:lang w:val="lt-LT"/>
        </w:rPr>
        <w:t>-</w:t>
      </w:r>
      <w:r w:rsidRPr="002C4825">
        <w:rPr>
          <w:lang w:val="lt-LT"/>
        </w:rPr>
        <w:tab/>
        <w:t>Jeigu pasireiškė šalutinis poveikis (net jeigu jis šiame lapelyje nenurodytas), kreipkitės į gydytoją arba vaistininką. Žr. 4 skyrių.</w:t>
      </w:r>
    </w:p>
    <w:p w:rsidR="00F25301" w:rsidRPr="002C4825" w:rsidRDefault="00F25301" w:rsidP="00F25301">
      <w:pPr>
        <w:widowControl/>
        <w:autoSpaceDE/>
        <w:autoSpaceDN/>
        <w:ind w:left="540" w:hanging="540"/>
        <w:rPr>
          <w:lang w:val="lt-LT"/>
        </w:rPr>
      </w:pPr>
      <w:r w:rsidRPr="002C4825">
        <w:rPr>
          <w:lang w:val="lt-LT"/>
        </w:rPr>
        <w:t>-</w:t>
      </w:r>
      <w:r w:rsidRPr="002C4825">
        <w:rPr>
          <w:lang w:val="lt-LT"/>
        </w:rPr>
        <w:tab/>
        <w:t>Jeigu per 5 dienas Jūsų savijauta nepagerėjo arba net pablogėjo, kreipkitės į gydytoją.</w:t>
      </w:r>
    </w:p>
    <w:p w:rsidR="00F25301" w:rsidRPr="002C4825" w:rsidRDefault="00F25301" w:rsidP="00F25301">
      <w:pPr>
        <w:rPr>
          <w:bCs/>
          <w:lang w:val="lt-LT"/>
        </w:rPr>
      </w:pPr>
    </w:p>
    <w:p w:rsidR="00F25301" w:rsidRPr="002C4825" w:rsidRDefault="00F25301" w:rsidP="00F25301">
      <w:pPr>
        <w:rPr>
          <w:b/>
          <w:lang w:val="lt-LT"/>
        </w:rPr>
      </w:pPr>
      <w:r w:rsidRPr="002C4825">
        <w:rPr>
          <w:b/>
          <w:lang w:val="lt-LT"/>
        </w:rPr>
        <w:t>Apie ką rašoma šiame lapelyje?</w:t>
      </w:r>
    </w:p>
    <w:p w:rsidR="00F25301" w:rsidRPr="002C4825" w:rsidRDefault="00F25301" w:rsidP="00F25301">
      <w:pPr>
        <w:rPr>
          <w:b/>
          <w:u w:val="single"/>
          <w:lang w:val="lt-LT"/>
        </w:rPr>
      </w:pPr>
    </w:p>
    <w:p w:rsidR="00F25301" w:rsidRPr="002C4825" w:rsidRDefault="00F25301" w:rsidP="00F25301">
      <w:pPr>
        <w:ind w:left="540" w:hanging="540"/>
        <w:rPr>
          <w:lang w:val="lt-LT"/>
        </w:rPr>
      </w:pPr>
      <w:r w:rsidRPr="002C4825">
        <w:rPr>
          <w:lang w:val="lt-LT"/>
        </w:rPr>
        <w:t>1.</w:t>
      </w:r>
      <w:r w:rsidRPr="002C4825">
        <w:rPr>
          <w:lang w:val="lt-LT"/>
        </w:rPr>
        <w:tab/>
        <w:t>Kas yra Wintrozen ir kam jis vartojamas</w:t>
      </w:r>
    </w:p>
    <w:p w:rsidR="00F25301" w:rsidRPr="002C4825" w:rsidRDefault="00F25301" w:rsidP="00F25301">
      <w:pPr>
        <w:ind w:left="540" w:hanging="540"/>
        <w:rPr>
          <w:lang w:val="lt-LT"/>
        </w:rPr>
      </w:pPr>
      <w:r w:rsidRPr="002C4825">
        <w:rPr>
          <w:lang w:val="lt-LT"/>
        </w:rPr>
        <w:t>2.</w:t>
      </w:r>
      <w:r w:rsidRPr="002C4825">
        <w:rPr>
          <w:lang w:val="lt-LT"/>
        </w:rPr>
        <w:tab/>
        <w:t>Kas žinotina prieš vartojant Wintrozen</w:t>
      </w:r>
    </w:p>
    <w:p w:rsidR="00F25301" w:rsidRPr="002C4825" w:rsidRDefault="00F25301" w:rsidP="00F25301">
      <w:pPr>
        <w:ind w:left="540" w:hanging="540"/>
        <w:rPr>
          <w:lang w:val="lt-LT"/>
        </w:rPr>
      </w:pPr>
      <w:r w:rsidRPr="002C4825">
        <w:rPr>
          <w:lang w:val="lt-LT"/>
        </w:rPr>
        <w:t>3.</w:t>
      </w:r>
      <w:r w:rsidRPr="002C4825">
        <w:rPr>
          <w:lang w:val="lt-LT"/>
        </w:rPr>
        <w:tab/>
        <w:t>Kaip vartoti Wintrozen</w:t>
      </w:r>
    </w:p>
    <w:p w:rsidR="00F25301" w:rsidRPr="002C4825" w:rsidRDefault="00F25301" w:rsidP="00F25301">
      <w:pPr>
        <w:ind w:left="540" w:hanging="540"/>
        <w:rPr>
          <w:lang w:val="lt-LT"/>
        </w:rPr>
      </w:pPr>
      <w:r w:rsidRPr="002C4825">
        <w:rPr>
          <w:lang w:val="lt-LT"/>
        </w:rPr>
        <w:t>4.</w:t>
      </w:r>
      <w:r w:rsidRPr="002C4825">
        <w:rPr>
          <w:lang w:val="lt-LT"/>
        </w:rPr>
        <w:tab/>
        <w:t>Galimas šalutinis poveikis</w:t>
      </w:r>
    </w:p>
    <w:p w:rsidR="00F25301" w:rsidRPr="002C4825" w:rsidRDefault="00F25301" w:rsidP="00F25301">
      <w:pPr>
        <w:ind w:left="540" w:hanging="540"/>
        <w:rPr>
          <w:lang w:val="lt-LT"/>
        </w:rPr>
      </w:pPr>
      <w:r w:rsidRPr="002C4825">
        <w:rPr>
          <w:lang w:val="lt-LT"/>
        </w:rPr>
        <w:t>5.</w:t>
      </w:r>
      <w:r w:rsidRPr="002C4825">
        <w:rPr>
          <w:lang w:val="lt-LT"/>
        </w:rPr>
        <w:tab/>
        <w:t>Kaip laikyti Wintrozen</w:t>
      </w:r>
    </w:p>
    <w:p w:rsidR="00F25301" w:rsidRPr="002C4825" w:rsidRDefault="00F25301" w:rsidP="00F25301">
      <w:pPr>
        <w:ind w:left="540" w:hanging="540"/>
        <w:rPr>
          <w:lang w:val="lt-LT"/>
        </w:rPr>
      </w:pPr>
      <w:r w:rsidRPr="002C4825">
        <w:rPr>
          <w:lang w:val="lt-LT"/>
        </w:rPr>
        <w:t>6.</w:t>
      </w:r>
      <w:r w:rsidRPr="002C4825">
        <w:rPr>
          <w:lang w:val="lt-LT"/>
        </w:rPr>
        <w:tab/>
        <w:t>Pakuotės turinys ir kita informacija</w:t>
      </w:r>
    </w:p>
    <w:p w:rsidR="00F25301" w:rsidRPr="002C4825" w:rsidRDefault="00F25301" w:rsidP="00F25301">
      <w:pPr>
        <w:rPr>
          <w:lang w:val="lt-LT"/>
        </w:rPr>
      </w:pPr>
    </w:p>
    <w:p w:rsidR="00F25301" w:rsidRPr="002C4825" w:rsidRDefault="00F25301" w:rsidP="00F25301">
      <w:pPr>
        <w:rPr>
          <w:lang w:val="lt-LT"/>
        </w:rPr>
      </w:pPr>
    </w:p>
    <w:p w:rsidR="00F25301" w:rsidRPr="002C4825" w:rsidRDefault="00F25301" w:rsidP="00F25301">
      <w:pPr>
        <w:numPr>
          <w:ilvl w:val="12"/>
          <w:numId w:val="0"/>
        </w:numPr>
        <w:ind w:left="540" w:hanging="540"/>
        <w:outlineLvl w:val="0"/>
        <w:rPr>
          <w:b/>
          <w:caps/>
          <w:lang w:val="lt-LT"/>
        </w:rPr>
      </w:pPr>
      <w:r w:rsidRPr="002C4825">
        <w:rPr>
          <w:b/>
          <w:lang w:val="lt-LT"/>
        </w:rPr>
        <w:t>1.</w:t>
      </w:r>
      <w:r w:rsidRPr="002C4825">
        <w:rPr>
          <w:b/>
          <w:lang w:val="lt-LT"/>
        </w:rPr>
        <w:tab/>
        <w:t>Kas yra Wintrozen ir kam jis vartojamas</w:t>
      </w:r>
    </w:p>
    <w:p w:rsidR="00F25301" w:rsidRPr="002C4825" w:rsidRDefault="00F25301" w:rsidP="00F25301">
      <w:pPr>
        <w:rPr>
          <w:bCs/>
          <w:lang w:val="lt-LT"/>
        </w:rPr>
      </w:pPr>
    </w:p>
    <w:p w:rsidR="00F25301" w:rsidRPr="002C4825" w:rsidRDefault="00F25301" w:rsidP="00F25301">
      <w:pPr>
        <w:rPr>
          <w:lang w:val="lt-LT"/>
        </w:rPr>
      </w:pPr>
      <w:r w:rsidRPr="002C4825">
        <w:rPr>
          <w:lang w:val="lt-LT"/>
        </w:rPr>
        <w:t>Wintrozen sudėtyje yra veikliosios medžiagos acetilcisteino, kuris priklauso</w:t>
      </w:r>
      <w:r>
        <w:rPr>
          <w:lang w:val="lt-LT"/>
        </w:rPr>
        <w:t xml:space="preserve"> gleives skystinančių</w:t>
      </w:r>
      <w:r w:rsidRPr="002C4825">
        <w:rPr>
          <w:lang w:val="lt-LT"/>
        </w:rPr>
        <w:t xml:space="preserve"> vaistų grupei, naudojamų palengvinti gleivių pašalinimą iš kvėpavimo takų.</w:t>
      </w:r>
    </w:p>
    <w:p w:rsidR="00F25301" w:rsidRPr="002C4825" w:rsidRDefault="00F25301" w:rsidP="00F25301">
      <w:pPr>
        <w:rPr>
          <w:bCs/>
          <w:lang w:val="lt-LT"/>
        </w:rPr>
      </w:pPr>
    </w:p>
    <w:p w:rsidR="00F25301" w:rsidRPr="002C4825" w:rsidRDefault="00F25301" w:rsidP="00F25301">
      <w:pPr>
        <w:rPr>
          <w:lang w:val="lt-LT"/>
        </w:rPr>
      </w:pPr>
      <w:r w:rsidRPr="002C4825">
        <w:rPr>
          <w:lang w:val="lt-LT"/>
        </w:rPr>
        <w:t xml:space="preserve">Wintrozen skirtas gleivių skystinimui ir atsikosėjimo lengvinimui sergant peršalimo sukeltu bronchitu, suaugusiems ir vyresniems </w:t>
      </w:r>
      <w:r>
        <w:rPr>
          <w:lang w:val="lt-LT"/>
        </w:rPr>
        <w:t xml:space="preserve">kaip </w:t>
      </w:r>
      <w:r w:rsidRPr="002C4825">
        <w:rPr>
          <w:lang w:val="lt-LT"/>
        </w:rPr>
        <w:t>14 metų paaugliams.</w:t>
      </w:r>
    </w:p>
    <w:p w:rsidR="00F25301" w:rsidRDefault="00F25301" w:rsidP="00F25301">
      <w:pPr>
        <w:rPr>
          <w:bCs/>
          <w:lang w:val="lt-LT"/>
        </w:rPr>
      </w:pPr>
    </w:p>
    <w:p w:rsidR="00F25301" w:rsidRPr="002C4825" w:rsidRDefault="00F25301" w:rsidP="00F25301">
      <w:pPr>
        <w:rPr>
          <w:bCs/>
          <w:lang w:val="lt-LT"/>
        </w:rPr>
      </w:pPr>
    </w:p>
    <w:p w:rsidR="00F25301" w:rsidRPr="002C4825" w:rsidRDefault="00F25301" w:rsidP="00F25301">
      <w:pPr>
        <w:ind w:left="540" w:hanging="540"/>
        <w:rPr>
          <w:b/>
          <w:lang w:val="lt-LT"/>
        </w:rPr>
      </w:pPr>
      <w:r w:rsidRPr="002C4825">
        <w:rPr>
          <w:b/>
          <w:lang w:val="lt-LT"/>
        </w:rPr>
        <w:t xml:space="preserve">2. </w:t>
      </w:r>
      <w:r w:rsidRPr="002C4825">
        <w:rPr>
          <w:b/>
          <w:lang w:val="lt-LT"/>
        </w:rPr>
        <w:tab/>
        <w:t>Kas žinotina prieš vartojant Wintrozen</w:t>
      </w:r>
    </w:p>
    <w:p w:rsidR="00F25301" w:rsidRPr="002C4825" w:rsidRDefault="00F25301" w:rsidP="00F25301">
      <w:pPr>
        <w:tabs>
          <w:tab w:val="left" w:pos="5954"/>
        </w:tabs>
        <w:rPr>
          <w:b/>
          <w:lang w:val="lt-LT"/>
        </w:rPr>
      </w:pPr>
    </w:p>
    <w:p w:rsidR="00F25301" w:rsidRPr="002C4825" w:rsidRDefault="00F25301" w:rsidP="00F25301">
      <w:pPr>
        <w:tabs>
          <w:tab w:val="left" w:pos="5954"/>
        </w:tabs>
        <w:rPr>
          <w:b/>
          <w:lang w:val="lt-LT"/>
        </w:rPr>
      </w:pPr>
      <w:r w:rsidRPr="002C4825">
        <w:rPr>
          <w:b/>
          <w:lang w:val="lt-LT"/>
        </w:rPr>
        <w:t xml:space="preserve">Wintrozen vartoti </w:t>
      </w:r>
      <w:r>
        <w:rPr>
          <w:b/>
          <w:lang w:val="lt-LT"/>
        </w:rPr>
        <w:t>draudžiama</w:t>
      </w:r>
      <w:r w:rsidRPr="002C4825">
        <w:rPr>
          <w:b/>
          <w:lang w:val="lt-LT"/>
        </w:rPr>
        <w:t>:</w:t>
      </w:r>
    </w:p>
    <w:p w:rsidR="00F25301" w:rsidRPr="002C4825" w:rsidRDefault="00F25301" w:rsidP="00F25301">
      <w:pPr>
        <w:widowControl/>
        <w:numPr>
          <w:ilvl w:val="0"/>
          <w:numId w:val="1"/>
        </w:numPr>
        <w:tabs>
          <w:tab w:val="clear" w:pos="360"/>
          <w:tab w:val="num" w:pos="567"/>
          <w:tab w:val="left" w:pos="5954"/>
        </w:tabs>
        <w:autoSpaceDE/>
        <w:autoSpaceDN/>
        <w:ind w:left="567" w:hanging="567"/>
        <w:rPr>
          <w:lang w:val="lt-LT"/>
        </w:rPr>
      </w:pPr>
      <w:r w:rsidRPr="002C4825">
        <w:rPr>
          <w:lang w:val="lt-LT"/>
        </w:rPr>
        <w:t>jeigu yra alergija acetilcisteinui arba bet kuriai pagalbinei šio vaisto medžiagai (jos išvardytos 6 skyriuje).</w:t>
      </w:r>
    </w:p>
    <w:p w:rsidR="00F25301" w:rsidRPr="002C4825" w:rsidRDefault="00F25301" w:rsidP="00F25301">
      <w:pPr>
        <w:rPr>
          <w:lang w:val="lt-LT"/>
        </w:rPr>
      </w:pPr>
      <w:r w:rsidRPr="002C4825">
        <w:rPr>
          <w:lang w:val="lt-LT"/>
        </w:rPr>
        <w:t>Dėl didelio veikliosios medžiagos kiekio Wintrozen negalima vartoti vaikams ir jaunesniems kaip 14 metų paaugliams.</w:t>
      </w:r>
    </w:p>
    <w:p w:rsidR="00F25301" w:rsidRPr="002C4825" w:rsidRDefault="00F25301" w:rsidP="00F25301">
      <w:pPr>
        <w:widowControl/>
        <w:tabs>
          <w:tab w:val="left" w:pos="5954"/>
        </w:tabs>
        <w:autoSpaceDE/>
        <w:autoSpaceDN/>
        <w:rPr>
          <w:lang w:val="lt-LT"/>
        </w:rPr>
      </w:pPr>
    </w:p>
    <w:p w:rsidR="00F25301" w:rsidRPr="002C4825" w:rsidRDefault="00F25301" w:rsidP="00F25301">
      <w:pPr>
        <w:pStyle w:val="Pagrindinistekstas"/>
        <w:keepNext/>
        <w:rPr>
          <w:b/>
          <w:lang w:val="lt-LT"/>
        </w:rPr>
      </w:pPr>
      <w:r w:rsidRPr="002C4825">
        <w:rPr>
          <w:b/>
          <w:lang w:val="lt-LT"/>
        </w:rPr>
        <w:t>Įspėjimai ir atsargumo priemonės</w:t>
      </w:r>
    </w:p>
    <w:p w:rsidR="00F25301" w:rsidRPr="002C4825" w:rsidRDefault="00F25301" w:rsidP="00F25301">
      <w:pPr>
        <w:keepNext/>
        <w:numPr>
          <w:ilvl w:val="12"/>
          <w:numId w:val="0"/>
        </w:numPr>
        <w:ind w:right="-2"/>
        <w:rPr>
          <w:lang w:val="lt-LT"/>
        </w:rPr>
      </w:pPr>
      <w:r w:rsidRPr="002C4825">
        <w:rPr>
          <w:noProof/>
          <w:snapToGrid w:val="0"/>
          <w:lang w:val="lt-LT"/>
        </w:rPr>
        <w:t xml:space="preserve">Pasitarkite su gydytoju arba vaistininku, prieš pradėdami vartoti </w:t>
      </w:r>
      <w:r w:rsidRPr="002C4825">
        <w:rPr>
          <w:lang w:val="lt-LT"/>
        </w:rPr>
        <w:t>Wintrozen, jeigu:</w:t>
      </w:r>
    </w:p>
    <w:p w:rsidR="00F25301" w:rsidRPr="002C4825" w:rsidRDefault="00F25301" w:rsidP="00F25301">
      <w:pPr>
        <w:pStyle w:val="Sraopastraipa"/>
        <w:numPr>
          <w:ilvl w:val="0"/>
          <w:numId w:val="1"/>
        </w:numPr>
        <w:tabs>
          <w:tab w:val="clear" w:pos="360"/>
          <w:tab w:val="num" w:pos="709"/>
        </w:tabs>
        <w:ind w:left="567" w:right="-2" w:hanging="567"/>
        <w:rPr>
          <w:noProof/>
          <w:snapToGrid w:val="0"/>
          <w:lang w:val="lt-LT"/>
        </w:rPr>
      </w:pPr>
      <w:r w:rsidRPr="002C4825">
        <w:rPr>
          <w:noProof/>
          <w:snapToGrid w:val="0"/>
          <w:lang w:val="lt-LT"/>
        </w:rPr>
        <w:t xml:space="preserve">atsiranda naujų odos ir gleivinės pokyčių. </w:t>
      </w:r>
      <w:r w:rsidRPr="002C4825">
        <w:rPr>
          <w:lang w:val="lt-LT"/>
        </w:rPr>
        <w:t>Labai retai gauta pranešimų apie sunkių odos reakcijų, įskaitant Stivenso-Džonsono (</w:t>
      </w:r>
      <w:r w:rsidRPr="002C4825">
        <w:rPr>
          <w:i/>
          <w:lang w:val="lt-LT"/>
        </w:rPr>
        <w:t>Stevens-Johnson</w:t>
      </w:r>
      <w:r w:rsidRPr="002C4825">
        <w:rPr>
          <w:lang w:val="lt-LT"/>
        </w:rPr>
        <w:t>) sindromo ir Lajelio (</w:t>
      </w:r>
      <w:r w:rsidRPr="002C4825">
        <w:rPr>
          <w:i/>
          <w:lang w:val="lt-LT"/>
        </w:rPr>
        <w:t>Lyell</w:t>
      </w:r>
      <w:r w:rsidRPr="002C4825">
        <w:rPr>
          <w:lang w:val="lt-LT"/>
        </w:rPr>
        <w:t>) sindromo, pasireiškimą, susijusį su acetilcisteino vartojimu. Jeigu atsiranda naujų odos ir gleivinės pokyčių, būtina nedelsiant kreiptis į gydytoją ir nutraukti acetilcisteino vartojimą;</w:t>
      </w:r>
    </w:p>
    <w:p w:rsidR="00F25301" w:rsidRPr="002C4825" w:rsidRDefault="00F25301" w:rsidP="00F25301">
      <w:pPr>
        <w:pStyle w:val="Sraopastraipa"/>
        <w:numPr>
          <w:ilvl w:val="0"/>
          <w:numId w:val="1"/>
        </w:numPr>
        <w:tabs>
          <w:tab w:val="clear" w:pos="360"/>
          <w:tab w:val="num" w:pos="709"/>
        </w:tabs>
        <w:ind w:left="567" w:right="-2" w:hanging="567"/>
        <w:rPr>
          <w:noProof/>
          <w:snapToGrid w:val="0"/>
          <w:lang w:val="lt-LT"/>
        </w:rPr>
      </w:pPr>
      <w:r w:rsidRPr="002C4825">
        <w:rPr>
          <w:lang w:val="lt-LT"/>
        </w:rPr>
        <w:t>sergate uždegimine bronchų liga, vadinama bronchine astma. Pasireiškus kvėpavimo raumenų susitraukimui (bronchų spazmui) gydymą acetilcisteinu reikia nedelsiant nutraukti. Pasitarkite su gydytoju, jei šių sutrikimų yra buvę praeityje;</w:t>
      </w:r>
    </w:p>
    <w:p w:rsidR="00F25301" w:rsidRPr="002C4825" w:rsidRDefault="00F25301" w:rsidP="00F25301">
      <w:pPr>
        <w:pStyle w:val="Sraopastraipa"/>
        <w:numPr>
          <w:ilvl w:val="0"/>
          <w:numId w:val="1"/>
        </w:numPr>
        <w:tabs>
          <w:tab w:val="clear" w:pos="360"/>
          <w:tab w:val="num" w:pos="709"/>
        </w:tabs>
        <w:ind w:left="567" w:right="-2" w:hanging="567"/>
        <w:rPr>
          <w:noProof/>
          <w:snapToGrid w:val="0"/>
          <w:lang w:val="lt-LT"/>
        </w:rPr>
      </w:pPr>
      <w:r w:rsidRPr="002C4825">
        <w:rPr>
          <w:lang w:val="lt-LT"/>
        </w:rPr>
        <w:t xml:space="preserve">netoleruojate histamino. Reikia vengti ilgesnio gydymo, kadangi Wintrozen daro įtaką </w:t>
      </w:r>
      <w:r w:rsidRPr="002C4825">
        <w:rPr>
          <w:color w:val="000000"/>
          <w:lang w:val="lt-LT"/>
        </w:rPr>
        <w:t>histamino apykaitai ir gali sukelti netoleravimo požymius (pvz., galvos skausmą, nosies varvėjimą, niež</w:t>
      </w:r>
      <w:r>
        <w:rPr>
          <w:color w:val="000000"/>
          <w:lang w:val="lt-LT"/>
        </w:rPr>
        <w:t>ėjimą</w:t>
      </w:r>
      <w:r w:rsidRPr="002C4825">
        <w:rPr>
          <w:color w:val="000000"/>
          <w:lang w:val="lt-LT"/>
        </w:rPr>
        <w:t>);</w:t>
      </w:r>
    </w:p>
    <w:p w:rsidR="00F25301" w:rsidRPr="002C4825" w:rsidRDefault="00F25301" w:rsidP="00F25301">
      <w:pPr>
        <w:pStyle w:val="Sraopastraipa"/>
        <w:numPr>
          <w:ilvl w:val="0"/>
          <w:numId w:val="1"/>
        </w:numPr>
        <w:tabs>
          <w:tab w:val="clear" w:pos="360"/>
          <w:tab w:val="num" w:pos="709"/>
        </w:tabs>
        <w:ind w:left="567" w:right="-2" w:hanging="567"/>
        <w:rPr>
          <w:bCs/>
          <w:lang w:val="lt-LT"/>
        </w:rPr>
      </w:pPr>
      <w:r w:rsidRPr="002C4825">
        <w:rPr>
          <w:lang w:val="lt-LT"/>
        </w:rPr>
        <w:t>yra ar anksčiau buvo skrandžio ar žarnyno problemų, vadinamų skrandžio ar dvylikapirštės žarnos opomis, ypač kai kartu su Wintrozen vartojami kiti skrandžio gleivinę dirginantys vaistai.</w:t>
      </w:r>
    </w:p>
    <w:p w:rsidR="00F25301" w:rsidRPr="002C4825" w:rsidRDefault="00F25301" w:rsidP="00F25301">
      <w:pPr>
        <w:ind w:right="-2"/>
        <w:rPr>
          <w:bCs/>
          <w:lang w:val="lt-LT"/>
        </w:rPr>
      </w:pPr>
    </w:p>
    <w:p w:rsidR="00F25301" w:rsidRPr="002C4825" w:rsidRDefault="00F25301" w:rsidP="00F25301">
      <w:pPr>
        <w:rPr>
          <w:lang w:val="lt-LT"/>
        </w:rPr>
      </w:pPr>
      <w:r w:rsidRPr="002C4825">
        <w:rPr>
          <w:lang w:val="lt-LT"/>
        </w:rPr>
        <w:t>Acetilcisteino vartojimas, ypač gydymo pradžioje, gali padidinti bronchų sekreto kiekį (bronchų sekreciją). Jeigu taip atsitinka ir pacientas negali pašalinti bronchų sekreto kosėdamas, būtina kreiptis į gydytoją, kuris parinks tinkamą būdą gleivių šalinimui (su kūno padėtimi susijęs drenažas ar išsiurbimas).</w:t>
      </w:r>
    </w:p>
    <w:p w:rsidR="00F25301" w:rsidRPr="002C4825" w:rsidRDefault="00F25301" w:rsidP="00F25301">
      <w:pPr>
        <w:rPr>
          <w:lang w:val="lt-LT"/>
        </w:rPr>
      </w:pPr>
    </w:p>
    <w:p w:rsidR="00F25301" w:rsidRPr="002C4825" w:rsidRDefault="00F25301" w:rsidP="00F25301">
      <w:pPr>
        <w:rPr>
          <w:lang w:val="lt-LT"/>
        </w:rPr>
      </w:pPr>
      <w:r w:rsidRPr="002C4825">
        <w:rPr>
          <w:lang w:val="lt-LT"/>
        </w:rPr>
        <w:t>Jeigu jaučiate sieros kvapą, nesijaudinkite, nes tai yra acetilcisteino savybė ir nereiškia, kad vaistas pakito.</w:t>
      </w:r>
    </w:p>
    <w:p w:rsidR="00F25301" w:rsidRPr="002C4825" w:rsidRDefault="00F25301" w:rsidP="00F25301">
      <w:pPr>
        <w:rPr>
          <w:lang w:val="lt-LT"/>
        </w:rPr>
      </w:pPr>
    </w:p>
    <w:p w:rsidR="00F25301" w:rsidRPr="002C4825" w:rsidRDefault="00F25301" w:rsidP="00F25301">
      <w:pPr>
        <w:rPr>
          <w:snapToGrid w:val="0"/>
          <w:szCs w:val="24"/>
          <w:lang w:val="lt-LT"/>
        </w:rPr>
      </w:pPr>
      <w:r w:rsidRPr="002C4825">
        <w:rPr>
          <w:lang w:val="lt-LT"/>
        </w:rPr>
        <w:t xml:space="preserve">Laboratoriniai tyrimai. Acetilcisteinas gali </w:t>
      </w:r>
      <w:r w:rsidRPr="002C4825">
        <w:rPr>
          <w:snapToGrid w:val="0"/>
          <w:szCs w:val="24"/>
          <w:lang w:val="lt-LT"/>
        </w:rPr>
        <w:t>daryti įtaką kai kurių kraujo ir šlapimo laboratorinių tyrimų rezultatams (</w:t>
      </w:r>
      <w:r w:rsidRPr="002C4825">
        <w:rPr>
          <w:snapToGrid w:val="0"/>
          <w:lang w:val="lt-LT"/>
        </w:rPr>
        <w:t>kolorimetrinio salicilatų nustatymo tyrimo ir ketoninių kūnų nustatymo šlapime</w:t>
      </w:r>
      <w:r w:rsidRPr="002C4825">
        <w:rPr>
          <w:snapToGrid w:val="0"/>
          <w:szCs w:val="24"/>
          <w:lang w:val="lt-LT"/>
        </w:rPr>
        <w:t>). Pasakykite gydytojui, kad vartojate šį vaistą, prieš atliekant tyrimus.</w:t>
      </w:r>
    </w:p>
    <w:p w:rsidR="00F25301" w:rsidRPr="002C4825" w:rsidRDefault="00F25301" w:rsidP="00F25301">
      <w:pPr>
        <w:rPr>
          <w:snapToGrid w:val="0"/>
          <w:szCs w:val="24"/>
          <w:lang w:val="lt-LT"/>
        </w:rPr>
      </w:pPr>
    </w:p>
    <w:p w:rsidR="00F25301" w:rsidRPr="002C4825" w:rsidRDefault="00F25301" w:rsidP="00F25301">
      <w:pPr>
        <w:keepNext/>
        <w:rPr>
          <w:b/>
          <w:bCs/>
          <w:lang w:val="lt-LT"/>
        </w:rPr>
      </w:pPr>
      <w:r w:rsidRPr="002C4825">
        <w:rPr>
          <w:b/>
          <w:bCs/>
          <w:snapToGrid w:val="0"/>
          <w:szCs w:val="24"/>
          <w:lang w:val="lt-LT"/>
        </w:rPr>
        <w:t>Kiti vaistai ir Wintrozen</w:t>
      </w:r>
    </w:p>
    <w:p w:rsidR="00F25301" w:rsidRPr="002C4825" w:rsidRDefault="00F25301" w:rsidP="00F25301">
      <w:pPr>
        <w:keepNext/>
        <w:ind w:right="-2"/>
        <w:rPr>
          <w:bCs/>
          <w:lang w:val="lt-LT"/>
        </w:rPr>
      </w:pPr>
      <w:r w:rsidRPr="002C4825">
        <w:rPr>
          <w:bCs/>
          <w:lang w:val="lt-LT"/>
        </w:rPr>
        <w:t>Jeigu vartojate ar neseniai vartojote kitų vaistų arba dėl to nesate tikri, apie tai pasakykite gydytojui arba vaistininkui.</w:t>
      </w:r>
    </w:p>
    <w:p w:rsidR="00F25301" w:rsidRPr="002C4825" w:rsidRDefault="00F25301" w:rsidP="00F25301">
      <w:pPr>
        <w:ind w:right="-2"/>
        <w:rPr>
          <w:bCs/>
          <w:lang w:val="lt-LT"/>
        </w:rPr>
      </w:pPr>
    </w:p>
    <w:p w:rsidR="00F25301" w:rsidRPr="002C4825" w:rsidRDefault="00F25301" w:rsidP="00F25301">
      <w:pPr>
        <w:ind w:right="-2"/>
        <w:rPr>
          <w:bCs/>
          <w:lang w:val="lt-LT"/>
        </w:rPr>
      </w:pPr>
      <w:r w:rsidRPr="002C4825">
        <w:rPr>
          <w:bCs/>
          <w:lang w:val="lt-LT"/>
        </w:rPr>
        <w:t>Nevartokite šio vaisto, jeigu vartojate:</w:t>
      </w:r>
    </w:p>
    <w:p w:rsidR="00F25301" w:rsidRPr="002C4825" w:rsidRDefault="00F25301" w:rsidP="00F25301">
      <w:pPr>
        <w:pStyle w:val="Sraopastraipa"/>
        <w:numPr>
          <w:ilvl w:val="0"/>
          <w:numId w:val="2"/>
        </w:numPr>
        <w:ind w:left="567" w:right="-2" w:hanging="567"/>
        <w:rPr>
          <w:bCs/>
          <w:lang w:val="lt-LT"/>
        </w:rPr>
      </w:pPr>
      <w:r w:rsidRPr="002C4825">
        <w:rPr>
          <w:bCs/>
          <w:lang w:val="lt-LT"/>
        </w:rPr>
        <w:t>vaistų nuo kosulio, nes tai gali paskatinti gleivių susikaupimą bronchuose.</w:t>
      </w:r>
    </w:p>
    <w:p w:rsidR="00F25301" w:rsidRPr="002C4825" w:rsidRDefault="00F25301" w:rsidP="00F25301">
      <w:pPr>
        <w:ind w:right="-2"/>
        <w:rPr>
          <w:bCs/>
          <w:lang w:val="lt-LT"/>
        </w:rPr>
      </w:pPr>
    </w:p>
    <w:p w:rsidR="00F25301" w:rsidRPr="002C4825" w:rsidRDefault="00F25301" w:rsidP="00F25301">
      <w:pPr>
        <w:ind w:right="-2"/>
        <w:rPr>
          <w:bCs/>
          <w:lang w:val="lt-LT"/>
        </w:rPr>
      </w:pPr>
      <w:r w:rsidRPr="002C4825">
        <w:rPr>
          <w:bCs/>
          <w:lang w:val="lt-LT"/>
        </w:rPr>
        <w:t>Atsargiai vartokite šį vaistą ir pasakykite gydytojui, jeigu vartojate šiuos vaistus:</w:t>
      </w:r>
    </w:p>
    <w:p w:rsidR="00F25301" w:rsidRPr="002C4825" w:rsidRDefault="00F25301" w:rsidP="00F25301">
      <w:pPr>
        <w:pStyle w:val="Sraopastraipa"/>
        <w:numPr>
          <w:ilvl w:val="0"/>
          <w:numId w:val="2"/>
        </w:numPr>
        <w:ind w:left="567" w:right="-2" w:hanging="567"/>
        <w:rPr>
          <w:bCs/>
          <w:lang w:val="lt-LT"/>
        </w:rPr>
      </w:pPr>
      <w:r w:rsidRPr="002C4825">
        <w:rPr>
          <w:bCs/>
          <w:lang w:val="lt-LT"/>
        </w:rPr>
        <w:t>aktyvintosios anglies, naudojamos gydyti virškinimo sutrikimus ar šalinti žarnyne susikaupusias dujas (meteorizmą), nes gali mažinti Wintrozen poveikį;</w:t>
      </w:r>
    </w:p>
    <w:p w:rsidR="00F25301" w:rsidRPr="002C4825" w:rsidRDefault="00F25301" w:rsidP="00F25301">
      <w:pPr>
        <w:pStyle w:val="Sraopastraipa"/>
        <w:numPr>
          <w:ilvl w:val="0"/>
          <w:numId w:val="2"/>
        </w:numPr>
        <w:ind w:left="567" w:right="-2" w:hanging="567"/>
        <w:rPr>
          <w:bCs/>
          <w:lang w:val="lt-LT"/>
        </w:rPr>
      </w:pPr>
      <w:r w:rsidRPr="002C4825">
        <w:rPr>
          <w:bCs/>
          <w:lang w:val="lt-LT"/>
        </w:rPr>
        <w:t>geriamuosius vaistus infekcijų gydymui (antibiotikus), išskyrus lorakarbefą. Vartokite šiuos vaistus dvi valandas prieš arba po Wintrozen vartojimo;</w:t>
      </w:r>
    </w:p>
    <w:p w:rsidR="00F25301" w:rsidRPr="002C4825" w:rsidRDefault="00F25301" w:rsidP="00F25301">
      <w:pPr>
        <w:pStyle w:val="Sraopastraipa"/>
        <w:numPr>
          <w:ilvl w:val="0"/>
          <w:numId w:val="2"/>
        </w:numPr>
        <w:ind w:left="567" w:right="-2" w:hanging="567"/>
        <w:rPr>
          <w:bCs/>
          <w:lang w:val="lt-LT"/>
        </w:rPr>
      </w:pPr>
      <w:r w:rsidRPr="002C4825">
        <w:rPr>
          <w:lang w:val="lt-LT"/>
        </w:rPr>
        <w:t>glicerolio trinitrato (nitroglicerino), naudojamo kai kuriems širdies sutrikimams gydyti. Šio vaisto vartojimas kartu su Wintrozen gali pasireikšti kraujo spaudimo sumažėjimas (hipotenzija) ir galvos skausmas (cefalija). Tokiu atveju, gydytojas atliks griežtą kontrolę.</w:t>
      </w:r>
    </w:p>
    <w:p w:rsidR="00F25301" w:rsidRPr="002C4825" w:rsidRDefault="00F25301" w:rsidP="00F25301">
      <w:pPr>
        <w:ind w:right="-2"/>
        <w:rPr>
          <w:bCs/>
          <w:lang w:val="lt-LT"/>
        </w:rPr>
      </w:pPr>
    </w:p>
    <w:p w:rsidR="00F25301" w:rsidRPr="002C4825" w:rsidRDefault="00F25301" w:rsidP="00F25301">
      <w:pPr>
        <w:keepNext/>
        <w:tabs>
          <w:tab w:val="left" w:pos="5954"/>
        </w:tabs>
        <w:rPr>
          <w:b/>
          <w:lang w:val="lt-LT"/>
        </w:rPr>
      </w:pPr>
      <w:r w:rsidRPr="002C4825">
        <w:rPr>
          <w:b/>
          <w:lang w:val="lt-LT"/>
        </w:rPr>
        <w:t>Nėštumas ir žindymo laikotarpis</w:t>
      </w:r>
    </w:p>
    <w:p w:rsidR="00F25301" w:rsidRPr="002C4825" w:rsidRDefault="00F25301" w:rsidP="00F25301">
      <w:pPr>
        <w:keepNext/>
        <w:rPr>
          <w:lang w:val="lt-LT"/>
        </w:rPr>
      </w:pPr>
      <w:r w:rsidRPr="002C4825">
        <w:rPr>
          <w:lang w:val="lt-LT"/>
        </w:rPr>
        <w:t>Jeigu esate nėščia, žindote kūdikį, manote, kad galbūt esate nėščia, arba planuojate pastoti, tai prieš vartodama šį vaistą, pasitarkite su gydytoju arba vaistininku.</w:t>
      </w:r>
    </w:p>
    <w:p w:rsidR="00F25301" w:rsidRPr="002C4825" w:rsidRDefault="00F25301" w:rsidP="00F25301">
      <w:pPr>
        <w:rPr>
          <w:lang w:val="lt-LT"/>
        </w:rPr>
      </w:pPr>
    </w:p>
    <w:p w:rsidR="00F25301" w:rsidRPr="002C4825" w:rsidRDefault="00F25301" w:rsidP="00F25301">
      <w:pPr>
        <w:rPr>
          <w:lang w:val="lt-LT"/>
        </w:rPr>
      </w:pPr>
      <w:r w:rsidRPr="002C4825">
        <w:rPr>
          <w:lang w:val="lt-LT"/>
        </w:rPr>
        <w:t>Kadangi acetilcisteino vartojimo nėštumo ir žindymo laikotarpiu patirties nepakanka, vartoti Wintrozen nėštumo ir žindymo metu Jūs galite tiktai jeigu Jūsų gydytojas mano, jog šis vaistas yra neabejotinai būtinas.</w:t>
      </w:r>
    </w:p>
    <w:p w:rsidR="00F25301" w:rsidRPr="002C4825" w:rsidRDefault="00F25301" w:rsidP="00F25301">
      <w:pPr>
        <w:ind w:right="-2"/>
        <w:rPr>
          <w:bCs/>
          <w:lang w:val="lt-LT"/>
        </w:rPr>
      </w:pPr>
    </w:p>
    <w:p w:rsidR="00F25301" w:rsidRPr="002C4825" w:rsidRDefault="00F25301" w:rsidP="00F25301">
      <w:pPr>
        <w:ind w:right="-2"/>
        <w:rPr>
          <w:b/>
          <w:lang w:val="lt-LT"/>
        </w:rPr>
      </w:pPr>
      <w:r w:rsidRPr="002C4825">
        <w:rPr>
          <w:b/>
          <w:lang w:val="lt-LT"/>
        </w:rPr>
        <w:t>Vairavimas ir mechanizmų valdymas</w:t>
      </w:r>
    </w:p>
    <w:p w:rsidR="00F25301" w:rsidRPr="002C4825" w:rsidRDefault="00F25301" w:rsidP="00F25301">
      <w:pPr>
        <w:ind w:right="-2"/>
        <w:rPr>
          <w:b/>
          <w:lang w:val="lt-LT"/>
        </w:rPr>
      </w:pPr>
    </w:p>
    <w:p w:rsidR="00F25301" w:rsidRPr="002C4825" w:rsidRDefault="00F25301" w:rsidP="00F25301">
      <w:pPr>
        <w:ind w:right="-2"/>
        <w:rPr>
          <w:bCs/>
          <w:lang w:val="lt-LT"/>
        </w:rPr>
      </w:pPr>
      <w:r w:rsidRPr="002C4825">
        <w:rPr>
          <w:bCs/>
          <w:lang w:val="lt-LT"/>
        </w:rPr>
        <w:t>Wintrozen</w:t>
      </w:r>
      <w:r w:rsidRPr="002C4825">
        <w:rPr>
          <w:b/>
          <w:lang w:val="lt-LT"/>
        </w:rPr>
        <w:t xml:space="preserve"> </w:t>
      </w:r>
      <w:r w:rsidRPr="002C4825">
        <w:rPr>
          <w:bCs/>
          <w:lang w:val="lt-LT"/>
        </w:rPr>
        <w:t>įtakos gebėjimui vairuoti ir valdyti mechanizmus neturi.</w:t>
      </w:r>
    </w:p>
    <w:p w:rsidR="00F25301" w:rsidRPr="002C4825" w:rsidRDefault="00F25301" w:rsidP="00F25301">
      <w:pPr>
        <w:ind w:right="-2"/>
        <w:rPr>
          <w:bCs/>
          <w:lang w:val="lt-LT"/>
        </w:rPr>
      </w:pPr>
    </w:p>
    <w:p w:rsidR="00F25301" w:rsidRPr="002C4825" w:rsidRDefault="00F25301" w:rsidP="00F25301">
      <w:pPr>
        <w:keepNext/>
        <w:rPr>
          <w:b/>
          <w:bCs/>
          <w:lang w:val="lt-LT"/>
        </w:rPr>
      </w:pPr>
      <w:r w:rsidRPr="002C4825">
        <w:rPr>
          <w:b/>
          <w:bCs/>
          <w:lang w:val="lt-LT"/>
        </w:rPr>
        <w:t>Wintrozen sudėtyje yra natrio</w:t>
      </w:r>
    </w:p>
    <w:p w:rsidR="00F25301" w:rsidRPr="002C4825" w:rsidRDefault="00F25301" w:rsidP="00F25301">
      <w:pPr>
        <w:keepNext/>
        <w:tabs>
          <w:tab w:val="left" w:pos="425"/>
        </w:tabs>
        <w:rPr>
          <w:lang w:val="lt-LT"/>
        </w:rPr>
      </w:pPr>
      <w:r w:rsidRPr="002C4825">
        <w:rPr>
          <w:lang w:val="lt-LT"/>
        </w:rPr>
        <w:t>Kiekvienoje šio vaisto šnypščiojoje tabletėje yra 194 mg natrio (valgomosios druskos sudedamosios dalies). Tai atitinka 10 % didžiausios rekomenduojamos natrio paros normos suaugusiesiems.</w:t>
      </w:r>
    </w:p>
    <w:p w:rsidR="00F25301" w:rsidRDefault="00F25301" w:rsidP="00F25301">
      <w:pPr>
        <w:tabs>
          <w:tab w:val="left" w:pos="425"/>
        </w:tabs>
        <w:rPr>
          <w:lang w:val="lt-LT"/>
        </w:rPr>
      </w:pPr>
    </w:p>
    <w:p w:rsidR="00F25301" w:rsidRPr="002C4825" w:rsidRDefault="00F25301" w:rsidP="00F25301">
      <w:pPr>
        <w:tabs>
          <w:tab w:val="left" w:pos="425"/>
        </w:tabs>
        <w:rPr>
          <w:lang w:val="lt-LT"/>
        </w:rPr>
      </w:pPr>
    </w:p>
    <w:p w:rsidR="00F25301" w:rsidRPr="002C4825" w:rsidRDefault="00F25301" w:rsidP="00F25301">
      <w:pPr>
        <w:tabs>
          <w:tab w:val="left" w:pos="425"/>
        </w:tabs>
        <w:rPr>
          <w:b/>
          <w:lang w:val="lt-LT"/>
        </w:rPr>
      </w:pPr>
      <w:r w:rsidRPr="002C4825">
        <w:rPr>
          <w:b/>
          <w:lang w:val="lt-LT"/>
        </w:rPr>
        <w:t xml:space="preserve">3. </w:t>
      </w:r>
      <w:r w:rsidRPr="002C4825">
        <w:rPr>
          <w:b/>
          <w:lang w:val="lt-LT"/>
        </w:rPr>
        <w:tab/>
        <w:t>Kaip vartoti Wintrozen</w:t>
      </w:r>
    </w:p>
    <w:p w:rsidR="00F25301" w:rsidRPr="002C4825" w:rsidRDefault="00F25301" w:rsidP="00F25301">
      <w:pPr>
        <w:tabs>
          <w:tab w:val="left" w:pos="425"/>
        </w:tabs>
        <w:rPr>
          <w:b/>
          <w:lang w:val="lt-LT"/>
        </w:rPr>
      </w:pPr>
    </w:p>
    <w:p w:rsidR="00F25301" w:rsidRPr="002C4825" w:rsidRDefault="00F25301" w:rsidP="00F25301">
      <w:pPr>
        <w:tabs>
          <w:tab w:val="left" w:pos="425"/>
        </w:tabs>
        <w:rPr>
          <w:lang w:val="lt-LT"/>
        </w:rPr>
      </w:pPr>
      <w:r w:rsidRPr="002C4825">
        <w:rPr>
          <w:noProof/>
          <w:lang w:val="lt-LT"/>
        </w:rPr>
        <w:t>Visada vartokite šį vaistą tiksliai kaip aprašyta šiame lapelyje arba kaip nurodė gydytojas arba vaistininkas</w:t>
      </w:r>
      <w:r w:rsidRPr="002C4825">
        <w:rPr>
          <w:lang w:val="lt-LT"/>
        </w:rPr>
        <w:t>. Jeigu abejojate, kreipkitės į gydytoją arba vaistininką.</w:t>
      </w:r>
    </w:p>
    <w:p w:rsidR="00F25301" w:rsidRPr="002C4825" w:rsidRDefault="00F25301" w:rsidP="00F25301">
      <w:pPr>
        <w:tabs>
          <w:tab w:val="left" w:pos="425"/>
        </w:tabs>
        <w:rPr>
          <w:b/>
          <w:lang w:val="lt-LT"/>
        </w:rPr>
      </w:pPr>
    </w:p>
    <w:p w:rsidR="00F25301" w:rsidRPr="002C4825" w:rsidRDefault="00F25301" w:rsidP="00F25301">
      <w:pPr>
        <w:tabs>
          <w:tab w:val="left" w:pos="425"/>
        </w:tabs>
        <w:rPr>
          <w:bCs/>
          <w:u w:val="single"/>
          <w:lang w:val="lt-LT"/>
        </w:rPr>
      </w:pPr>
      <w:r w:rsidRPr="002C4825">
        <w:rPr>
          <w:bCs/>
          <w:u w:val="single"/>
          <w:lang w:val="lt-LT"/>
        </w:rPr>
        <w:t xml:space="preserve">Suaugusiems ir </w:t>
      </w:r>
      <w:r w:rsidRPr="002C4825">
        <w:rPr>
          <w:lang w:val="lt-LT"/>
        </w:rPr>
        <w:t xml:space="preserve">vyresniems </w:t>
      </w:r>
      <w:r>
        <w:rPr>
          <w:lang w:val="lt-LT"/>
        </w:rPr>
        <w:t xml:space="preserve">kaip </w:t>
      </w:r>
      <w:r w:rsidRPr="002C4825">
        <w:rPr>
          <w:bCs/>
          <w:u w:val="single"/>
          <w:lang w:val="lt-LT"/>
        </w:rPr>
        <w:t>14 metų paaugliams</w:t>
      </w:r>
    </w:p>
    <w:p w:rsidR="00F25301" w:rsidRPr="002C4825" w:rsidRDefault="00F25301" w:rsidP="00F25301">
      <w:pPr>
        <w:tabs>
          <w:tab w:val="left" w:pos="425"/>
        </w:tabs>
        <w:rPr>
          <w:bCs/>
          <w:u w:val="single"/>
          <w:lang w:val="lt-LT"/>
        </w:rPr>
      </w:pPr>
    </w:p>
    <w:p w:rsidR="00F25301" w:rsidRPr="002C4825" w:rsidRDefault="00F25301" w:rsidP="00F25301">
      <w:pPr>
        <w:tabs>
          <w:tab w:val="left" w:pos="425"/>
        </w:tabs>
        <w:rPr>
          <w:lang w:val="lt-LT"/>
        </w:rPr>
      </w:pPr>
      <w:r w:rsidRPr="002C4825">
        <w:rPr>
          <w:bCs/>
          <w:lang w:val="lt-LT"/>
        </w:rPr>
        <w:t>Rekomenduojama dozė yra 1 tabletė (</w:t>
      </w:r>
      <w:r w:rsidRPr="002C4825">
        <w:rPr>
          <w:lang w:val="lt-LT"/>
        </w:rPr>
        <w:t>600 mg) vieną kartą per parą, vakare. Jūsų gydytojas gali pakeisti vartojimo dažnį ir dozę, neviršijant 600 mg didžiausios paros dozės.</w:t>
      </w:r>
    </w:p>
    <w:p w:rsidR="00F25301" w:rsidRPr="002C4825" w:rsidRDefault="00F25301" w:rsidP="00F25301">
      <w:pPr>
        <w:tabs>
          <w:tab w:val="left" w:pos="425"/>
        </w:tabs>
        <w:rPr>
          <w:lang w:val="lt-LT"/>
        </w:rPr>
      </w:pPr>
    </w:p>
    <w:p w:rsidR="00F25301" w:rsidRPr="002C4825" w:rsidRDefault="00F25301" w:rsidP="00F25301">
      <w:pPr>
        <w:tabs>
          <w:tab w:val="left" w:pos="425"/>
        </w:tabs>
        <w:rPr>
          <w:lang w:val="lt-LT"/>
        </w:rPr>
      </w:pPr>
      <w:r w:rsidRPr="002C4825">
        <w:rPr>
          <w:lang w:val="lt-LT"/>
        </w:rPr>
        <w:t>Wintrozen negali būti vartojamas ilgiau nei 5 dienas.</w:t>
      </w:r>
    </w:p>
    <w:p w:rsidR="00F25301" w:rsidRPr="002C4825" w:rsidRDefault="00F25301" w:rsidP="00F25301">
      <w:pPr>
        <w:tabs>
          <w:tab w:val="left" w:pos="425"/>
        </w:tabs>
        <w:rPr>
          <w:lang w:val="lt-LT"/>
        </w:rPr>
      </w:pPr>
    </w:p>
    <w:p w:rsidR="00F25301" w:rsidRPr="002C4825" w:rsidRDefault="00F25301" w:rsidP="00F25301">
      <w:pPr>
        <w:keepNext/>
        <w:tabs>
          <w:tab w:val="left" w:pos="425"/>
        </w:tabs>
        <w:rPr>
          <w:bCs/>
          <w:u w:val="single"/>
          <w:lang w:val="lt-LT"/>
        </w:rPr>
      </w:pPr>
      <w:r w:rsidRPr="002C4825">
        <w:rPr>
          <w:bCs/>
          <w:u w:val="single"/>
          <w:lang w:val="lt-LT"/>
        </w:rPr>
        <w:t>Vartojimo metodas</w:t>
      </w:r>
    </w:p>
    <w:p w:rsidR="00F25301" w:rsidRPr="002C4825" w:rsidRDefault="00F25301" w:rsidP="00F25301">
      <w:pPr>
        <w:keepNext/>
        <w:rPr>
          <w:lang w:val="lt-LT"/>
        </w:rPr>
      </w:pPr>
      <w:r w:rsidRPr="002C4825">
        <w:rPr>
          <w:lang w:val="lt-LT"/>
        </w:rPr>
        <w:t xml:space="preserve">Vieną šnypščiąją tabletę ištirpinti stiklinėje vandens. </w:t>
      </w:r>
    </w:p>
    <w:p w:rsidR="00F25301" w:rsidRPr="002C4825" w:rsidRDefault="00F25301" w:rsidP="00F25301">
      <w:pPr>
        <w:keepNext/>
        <w:rPr>
          <w:lang w:val="lt-LT"/>
        </w:rPr>
      </w:pPr>
      <w:r w:rsidRPr="002C4825">
        <w:rPr>
          <w:lang w:val="lt-LT"/>
        </w:rPr>
        <w:t xml:space="preserve">Paruoštą tirpalą reikia išgerti per kelias minutes. </w:t>
      </w:r>
    </w:p>
    <w:p w:rsidR="00F25301" w:rsidRPr="002C4825" w:rsidRDefault="00F25301" w:rsidP="00F25301">
      <w:pPr>
        <w:keepNext/>
        <w:tabs>
          <w:tab w:val="left" w:pos="425"/>
        </w:tabs>
        <w:rPr>
          <w:bCs/>
          <w:lang w:val="lt-LT"/>
        </w:rPr>
      </w:pPr>
      <w:r w:rsidRPr="002C4825">
        <w:rPr>
          <w:bCs/>
          <w:lang w:val="lt-LT"/>
        </w:rPr>
        <w:t>Rekomenduojama nemaišyti Wintrozen su kitais vaistais.</w:t>
      </w:r>
    </w:p>
    <w:p w:rsidR="00F25301" w:rsidRPr="002C4825" w:rsidRDefault="00F25301" w:rsidP="00F25301">
      <w:pPr>
        <w:tabs>
          <w:tab w:val="left" w:pos="425"/>
        </w:tabs>
        <w:rPr>
          <w:bCs/>
          <w:lang w:val="lt-LT"/>
        </w:rPr>
      </w:pPr>
    </w:p>
    <w:p w:rsidR="00F25301" w:rsidRPr="002C4825" w:rsidRDefault="00F25301" w:rsidP="00F25301">
      <w:pPr>
        <w:keepNext/>
        <w:tabs>
          <w:tab w:val="left" w:pos="425"/>
        </w:tabs>
        <w:rPr>
          <w:b/>
          <w:lang w:val="lt-LT"/>
        </w:rPr>
      </w:pPr>
      <w:r w:rsidRPr="002C4825">
        <w:rPr>
          <w:b/>
          <w:lang w:val="lt-LT"/>
        </w:rPr>
        <w:t>Ką daryti pavartojus per didelę Wintrozen</w:t>
      </w:r>
      <w:r w:rsidRPr="002C4825">
        <w:rPr>
          <w:lang w:val="lt-LT"/>
        </w:rPr>
        <w:t xml:space="preserve"> </w:t>
      </w:r>
      <w:r w:rsidRPr="002C4825">
        <w:rPr>
          <w:b/>
          <w:lang w:val="lt-LT"/>
        </w:rPr>
        <w:t>dozę</w:t>
      </w:r>
    </w:p>
    <w:p w:rsidR="00F25301" w:rsidRPr="002C4825" w:rsidRDefault="00F25301" w:rsidP="00F25301">
      <w:pPr>
        <w:keepNext/>
        <w:tabs>
          <w:tab w:val="left" w:pos="425"/>
        </w:tabs>
        <w:rPr>
          <w:bCs/>
          <w:lang w:val="lt-LT"/>
        </w:rPr>
      </w:pPr>
      <w:r w:rsidRPr="002C4825">
        <w:rPr>
          <w:bCs/>
          <w:lang w:val="lt-LT"/>
        </w:rPr>
        <w:t>Nėra pranešta apie perdozavimo atvejus. Perdozavimo simptomai gali būti pykinimas, vėmimas ir viduriavimas.</w:t>
      </w:r>
    </w:p>
    <w:p w:rsidR="00F25301" w:rsidRPr="002C4825" w:rsidRDefault="00F25301" w:rsidP="00F25301">
      <w:pPr>
        <w:keepNext/>
        <w:tabs>
          <w:tab w:val="left" w:pos="425"/>
        </w:tabs>
        <w:rPr>
          <w:lang w:val="lt-LT"/>
        </w:rPr>
      </w:pPr>
      <w:r w:rsidRPr="002C4825">
        <w:rPr>
          <w:lang w:val="lt-LT"/>
        </w:rPr>
        <w:t>Jei perdozavote ar nurijote šio vaisto, nedelsiant pasakykite savo gydytojui ar kreipkitės į artimiausią ligoninę.</w:t>
      </w:r>
    </w:p>
    <w:p w:rsidR="00F25301" w:rsidRPr="002C4825" w:rsidRDefault="00F25301" w:rsidP="00F25301">
      <w:pPr>
        <w:tabs>
          <w:tab w:val="left" w:pos="425"/>
        </w:tabs>
        <w:rPr>
          <w:lang w:val="lt-LT"/>
        </w:rPr>
      </w:pPr>
    </w:p>
    <w:p w:rsidR="00F25301" w:rsidRPr="002C4825" w:rsidRDefault="00F25301" w:rsidP="00F25301">
      <w:pPr>
        <w:keepNext/>
        <w:tabs>
          <w:tab w:val="left" w:pos="425"/>
        </w:tabs>
        <w:rPr>
          <w:bCs/>
          <w:lang w:val="lt-LT"/>
        </w:rPr>
      </w:pPr>
      <w:r w:rsidRPr="002C4825">
        <w:rPr>
          <w:b/>
          <w:lang w:val="lt-LT"/>
        </w:rPr>
        <w:t>Pamiršus pavartoti Wintrozen šnypščiųjų tablečių</w:t>
      </w:r>
    </w:p>
    <w:p w:rsidR="00F25301" w:rsidRPr="002C4825" w:rsidRDefault="00F25301" w:rsidP="00F25301">
      <w:pPr>
        <w:keepNext/>
        <w:rPr>
          <w:lang w:val="lt-LT"/>
        </w:rPr>
      </w:pPr>
      <w:r w:rsidRPr="002C4825">
        <w:rPr>
          <w:lang w:val="lt-LT"/>
        </w:rPr>
        <w:t xml:space="preserve">Negalima vartoti dvigubos dozės norint kompensuoti praleistą dozę. </w:t>
      </w:r>
    </w:p>
    <w:p w:rsidR="00F25301" w:rsidRPr="002C4825" w:rsidRDefault="00F25301" w:rsidP="00F25301">
      <w:pPr>
        <w:ind w:left="567" w:hanging="567"/>
        <w:rPr>
          <w:lang w:val="lt-LT"/>
        </w:rPr>
      </w:pPr>
      <w:r w:rsidRPr="002C4825">
        <w:rPr>
          <w:lang w:val="lt-LT"/>
        </w:rPr>
        <w:t>Jeigu kiltų daugiau klausimų dėl šio vaisto vartojimo, kreipkitės į gydytoją arba vaistininką.</w:t>
      </w:r>
    </w:p>
    <w:p w:rsidR="00F25301" w:rsidRPr="002C4825" w:rsidRDefault="00F25301" w:rsidP="00F25301">
      <w:pPr>
        <w:rPr>
          <w:b/>
          <w:bCs/>
          <w:lang w:val="lt-LT"/>
        </w:rPr>
      </w:pPr>
    </w:p>
    <w:p w:rsidR="00F25301" w:rsidRPr="002C4825" w:rsidRDefault="00F25301" w:rsidP="00F25301">
      <w:pPr>
        <w:rPr>
          <w:b/>
          <w:bCs/>
          <w:lang w:val="lt-LT"/>
        </w:rPr>
      </w:pPr>
    </w:p>
    <w:p w:rsidR="00F25301" w:rsidRPr="002C4825" w:rsidRDefault="00F25301" w:rsidP="00F25301">
      <w:pPr>
        <w:tabs>
          <w:tab w:val="left" w:pos="540"/>
        </w:tabs>
        <w:rPr>
          <w:b/>
          <w:bCs/>
          <w:lang w:val="lt-LT"/>
        </w:rPr>
      </w:pPr>
      <w:r w:rsidRPr="002C4825">
        <w:rPr>
          <w:b/>
          <w:bCs/>
          <w:lang w:val="lt-LT"/>
        </w:rPr>
        <w:t>4.</w:t>
      </w:r>
      <w:r w:rsidRPr="002C4825">
        <w:rPr>
          <w:b/>
          <w:bCs/>
          <w:lang w:val="lt-LT"/>
        </w:rPr>
        <w:tab/>
        <w:t xml:space="preserve"> Galimas šalutinis poveikis</w:t>
      </w:r>
    </w:p>
    <w:p w:rsidR="00F25301" w:rsidRPr="002C4825" w:rsidRDefault="00F25301" w:rsidP="00F25301">
      <w:pPr>
        <w:tabs>
          <w:tab w:val="left" w:pos="425"/>
        </w:tabs>
        <w:rPr>
          <w:bCs/>
          <w:lang w:val="lt-LT"/>
        </w:rPr>
      </w:pPr>
    </w:p>
    <w:p w:rsidR="00F25301" w:rsidRPr="002C4825" w:rsidRDefault="00F25301" w:rsidP="00F25301">
      <w:pPr>
        <w:rPr>
          <w:lang w:val="lt-LT"/>
        </w:rPr>
      </w:pPr>
      <w:r w:rsidRPr="002C4825">
        <w:rPr>
          <w:lang w:val="lt-LT"/>
        </w:rPr>
        <w:t>Šis vaistas, kaip ir visi kiti, gali sukelti šalutinį poveikį, nors jis pasireiškia ne visiems žmonėms.</w:t>
      </w:r>
    </w:p>
    <w:p w:rsidR="00F25301" w:rsidRPr="002C4825" w:rsidRDefault="00F25301" w:rsidP="00F25301">
      <w:pPr>
        <w:tabs>
          <w:tab w:val="left" w:pos="425"/>
        </w:tabs>
        <w:rPr>
          <w:bCs/>
          <w:lang w:val="lt-LT"/>
        </w:rPr>
      </w:pPr>
      <w:r w:rsidRPr="002C4825">
        <w:rPr>
          <w:bCs/>
          <w:lang w:val="lt-LT"/>
        </w:rPr>
        <w:t>Gali pasireikšti šie šalutiniai poveikiai:</w:t>
      </w:r>
    </w:p>
    <w:p w:rsidR="00F25301" w:rsidRPr="002C4825" w:rsidRDefault="00F25301" w:rsidP="00F25301">
      <w:pPr>
        <w:tabs>
          <w:tab w:val="left" w:pos="425"/>
        </w:tabs>
        <w:rPr>
          <w:bCs/>
          <w:lang w:val="lt-LT"/>
        </w:rPr>
      </w:pPr>
    </w:p>
    <w:p w:rsidR="00F25301" w:rsidRPr="002C4825" w:rsidRDefault="00F25301" w:rsidP="00F25301">
      <w:pPr>
        <w:tabs>
          <w:tab w:val="left" w:pos="425"/>
        </w:tabs>
        <w:rPr>
          <w:color w:val="000000"/>
          <w:lang w:val="lt-LT" w:eastAsia="sl-SI"/>
        </w:rPr>
      </w:pPr>
      <w:r w:rsidRPr="00FE1075">
        <w:rPr>
          <w:b/>
          <w:lang w:val="lt-LT"/>
        </w:rPr>
        <w:t>Nedažni šalutinio poveikio reiškiniai (gali pasireikšti rečiau kaip 1 iš 100 asmenų):</w:t>
      </w:r>
    </w:p>
    <w:p w:rsidR="00F25301" w:rsidRPr="002C4825" w:rsidRDefault="00F25301" w:rsidP="00F25301">
      <w:pPr>
        <w:pStyle w:val="Sraopastraipa"/>
        <w:numPr>
          <w:ilvl w:val="0"/>
          <w:numId w:val="3"/>
        </w:numPr>
        <w:tabs>
          <w:tab w:val="left" w:pos="567"/>
        </w:tabs>
        <w:ind w:left="567" w:hanging="567"/>
        <w:rPr>
          <w:bCs/>
          <w:lang w:val="lt-LT"/>
        </w:rPr>
      </w:pPr>
      <w:r w:rsidRPr="002C4825">
        <w:rPr>
          <w:bCs/>
          <w:lang w:val="lt-LT"/>
        </w:rPr>
        <w:t>alerginė reakcija (padidėjusio jautrumo reakcija);</w:t>
      </w:r>
    </w:p>
    <w:p w:rsidR="00F25301" w:rsidRPr="002C4825" w:rsidRDefault="00F25301" w:rsidP="00F25301">
      <w:pPr>
        <w:pStyle w:val="Sraopastraipa"/>
        <w:numPr>
          <w:ilvl w:val="0"/>
          <w:numId w:val="3"/>
        </w:numPr>
        <w:tabs>
          <w:tab w:val="left" w:pos="567"/>
        </w:tabs>
        <w:ind w:left="567" w:hanging="567"/>
        <w:rPr>
          <w:bCs/>
          <w:lang w:val="lt-LT"/>
        </w:rPr>
      </w:pPr>
      <w:r w:rsidRPr="002C4825">
        <w:rPr>
          <w:bCs/>
          <w:lang w:val="lt-LT"/>
        </w:rPr>
        <w:t>galvos skausmas (cefalija);</w:t>
      </w:r>
    </w:p>
    <w:p w:rsidR="00F25301" w:rsidRPr="002C4825" w:rsidRDefault="00F25301" w:rsidP="00F25301">
      <w:pPr>
        <w:pStyle w:val="Sraopastraipa"/>
        <w:numPr>
          <w:ilvl w:val="0"/>
          <w:numId w:val="3"/>
        </w:numPr>
        <w:tabs>
          <w:tab w:val="left" w:pos="567"/>
        </w:tabs>
        <w:ind w:left="567" w:hanging="567"/>
        <w:rPr>
          <w:bCs/>
          <w:lang w:val="lt-LT"/>
        </w:rPr>
      </w:pPr>
      <w:r w:rsidRPr="002C4825">
        <w:rPr>
          <w:bCs/>
          <w:lang w:val="lt-LT"/>
        </w:rPr>
        <w:t>spengimas ausyse (tinitas);</w:t>
      </w:r>
    </w:p>
    <w:p w:rsidR="00F25301" w:rsidRPr="002C4825" w:rsidRDefault="00F25301" w:rsidP="00F25301">
      <w:pPr>
        <w:pStyle w:val="Sraopastraipa"/>
        <w:numPr>
          <w:ilvl w:val="0"/>
          <w:numId w:val="3"/>
        </w:numPr>
        <w:tabs>
          <w:tab w:val="left" w:pos="567"/>
        </w:tabs>
        <w:ind w:left="567" w:hanging="567"/>
        <w:rPr>
          <w:bCs/>
          <w:lang w:val="lt-LT"/>
        </w:rPr>
      </w:pPr>
      <w:r w:rsidRPr="002C4825">
        <w:rPr>
          <w:bCs/>
          <w:lang w:val="lt-LT"/>
        </w:rPr>
        <w:t>padidėjęs širdies ritmas (tachikardija)</w:t>
      </w:r>
    </w:p>
    <w:p w:rsidR="00F25301" w:rsidRPr="002C4825" w:rsidRDefault="00F25301" w:rsidP="00F25301">
      <w:pPr>
        <w:pStyle w:val="Sraopastraipa"/>
        <w:numPr>
          <w:ilvl w:val="0"/>
          <w:numId w:val="3"/>
        </w:numPr>
        <w:tabs>
          <w:tab w:val="left" w:pos="567"/>
        </w:tabs>
        <w:ind w:left="567" w:hanging="567"/>
        <w:rPr>
          <w:bCs/>
          <w:lang w:val="lt-LT"/>
        </w:rPr>
      </w:pPr>
      <w:r w:rsidRPr="002C4825">
        <w:rPr>
          <w:bCs/>
          <w:lang w:val="lt-LT"/>
        </w:rPr>
        <w:t>vėmimas, viduriavimas, burnos gleivinės uždegimas (stomatitas), pilvo skausmas, pykinimas;</w:t>
      </w:r>
    </w:p>
    <w:p w:rsidR="00F25301" w:rsidRPr="002C4825" w:rsidRDefault="00F25301" w:rsidP="00F25301">
      <w:pPr>
        <w:pStyle w:val="Sraopastraipa"/>
        <w:numPr>
          <w:ilvl w:val="0"/>
          <w:numId w:val="3"/>
        </w:numPr>
        <w:tabs>
          <w:tab w:val="left" w:pos="567"/>
        </w:tabs>
        <w:ind w:left="567" w:hanging="567"/>
        <w:rPr>
          <w:bCs/>
          <w:lang w:val="lt-LT"/>
        </w:rPr>
      </w:pPr>
      <w:r w:rsidRPr="002C4825">
        <w:rPr>
          <w:bCs/>
          <w:lang w:val="lt-LT"/>
        </w:rPr>
        <w:t>niež</w:t>
      </w:r>
      <w:r>
        <w:rPr>
          <w:bCs/>
          <w:lang w:val="lt-LT"/>
        </w:rPr>
        <w:t>ėjimas</w:t>
      </w:r>
      <w:r w:rsidRPr="002C4825">
        <w:rPr>
          <w:bCs/>
          <w:lang w:val="lt-LT"/>
        </w:rPr>
        <w:t>, dilgėlinė, odos bėrimas;</w:t>
      </w:r>
    </w:p>
    <w:p w:rsidR="00F25301" w:rsidRPr="002C4825" w:rsidRDefault="00F25301" w:rsidP="00F25301">
      <w:pPr>
        <w:pStyle w:val="Sraopastraipa"/>
        <w:numPr>
          <w:ilvl w:val="0"/>
          <w:numId w:val="3"/>
        </w:numPr>
        <w:tabs>
          <w:tab w:val="left" w:pos="567"/>
        </w:tabs>
        <w:ind w:left="567" w:hanging="567"/>
        <w:rPr>
          <w:bCs/>
          <w:lang w:val="lt-LT"/>
        </w:rPr>
      </w:pPr>
      <w:r w:rsidRPr="002C4825">
        <w:rPr>
          <w:color w:val="000000"/>
          <w:lang w:val="lt-LT" w:eastAsia="sl-SI"/>
        </w:rPr>
        <w:t>veido, lūpų, liežuvio ir (arba) gerklės paburkimas, galintis sukelti rijimo ar kvėpavimo pasunkėjimą (angioneurozinė edema);</w:t>
      </w:r>
    </w:p>
    <w:p w:rsidR="00F25301" w:rsidRPr="002C4825" w:rsidRDefault="00F25301" w:rsidP="00F25301">
      <w:pPr>
        <w:pStyle w:val="Sraopastraipa"/>
        <w:numPr>
          <w:ilvl w:val="0"/>
          <w:numId w:val="3"/>
        </w:numPr>
        <w:tabs>
          <w:tab w:val="left" w:pos="567"/>
        </w:tabs>
        <w:ind w:left="567" w:hanging="567"/>
        <w:rPr>
          <w:bCs/>
          <w:lang w:val="lt-LT"/>
        </w:rPr>
      </w:pPr>
      <w:r w:rsidRPr="002C4825">
        <w:rPr>
          <w:color w:val="000000"/>
          <w:lang w:val="lt-LT" w:eastAsia="sl-SI"/>
        </w:rPr>
        <w:t>karščiavimas;</w:t>
      </w:r>
    </w:p>
    <w:p w:rsidR="00F25301" w:rsidRPr="002C4825" w:rsidRDefault="00F25301" w:rsidP="00F25301">
      <w:pPr>
        <w:pStyle w:val="Sraopastraipa"/>
        <w:numPr>
          <w:ilvl w:val="0"/>
          <w:numId w:val="3"/>
        </w:numPr>
        <w:tabs>
          <w:tab w:val="left" w:pos="567"/>
        </w:tabs>
        <w:ind w:left="567" w:hanging="567"/>
        <w:rPr>
          <w:bCs/>
          <w:lang w:val="lt-LT"/>
        </w:rPr>
      </w:pPr>
      <w:r w:rsidRPr="002C4825">
        <w:rPr>
          <w:color w:val="000000"/>
          <w:lang w:val="lt-LT" w:eastAsia="sl-SI"/>
        </w:rPr>
        <w:t>sumažėjęs kraujo spaudimas.</w:t>
      </w:r>
    </w:p>
    <w:p w:rsidR="00F25301" w:rsidRPr="002C4825" w:rsidRDefault="00F25301" w:rsidP="00F25301">
      <w:pPr>
        <w:tabs>
          <w:tab w:val="left" w:pos="425"/>
        </w:tabs>
        <w:rPr>
          <w:bCs/>
          <w:lang w:val="lt-LT"/>
        </w:rPr>
      </w:pPr>
    </w:p>
    <w:p w:rsidR="00F25301" w:rsidRPr="002C4825" w:rsidRDefault="00F25301" w:rsidP="00F25301">
      <w:pPr>
        <w:tabs>
          <w:tab w:val="left" w:pos="425"/>
        </w:tabs>
        <w:rPr>
          <w:lang w:val="lt-LT"/>
        </w:rPr>
      </w:pPr>
      <w:r w:rsidRPr="00FE1075">
        <w:rPr>
          <w:b/>
          <w:lang w:val="lt-LT"/>
        </w:rPr>
        <w:t>Reti šalutinio poveikio reiškiniai (gali pasireikšti rečiau kaip 1 iš 1 000 asmenų):</w:t>
      </w:r>
    </w:p>
    <w:p w:rsidR="00F25301" w:rsidRPr="002C4825" w:rsidRDefault="00F25301" w:rsidP="00F25301">
      <w:pPr>
        <w:pStyle w:val="Sraopastraipa"/>
        <w:numPr>
          <w:ilvl w:val="0"/>
          <w:numId w:val="4"/>
        </w:numPr>
        <w:tabs>
          <w:tab w:val="left" w:pos="567"/>
        </w:tabs>
        <w:ind w:left="567" w:hanging="567"/>
        <w:rPr>
          <w:bCs/>
          <w:lang w:val="lt-LT"/>
        </w:rPr>
      </w:pPr>
      <w:r w:rsidRPr="002C4825">
        <w:rPr>
          <w:bCs/>
          <w:lang w:val="lt-LT"/>
        </w:rPr>
        <w:t>kvėpavimo raumenų susitraukimas (bronchų spazmas);</w:t>
      </w:r>
    </w:p>
    <w:p w:rsidR="00F25301" w:rsidRPr="002C4825" w:rsidRDefault="00F25301" w:rsidP="00F25301">
      <w:pPr>
        <w:pStyle w:val="Sraopastraipa"/>
        <w:numPr>
          <w:ilvl w:val="0"/>
          <w:numId w:val="4"/>
        </w:numPr>
        <w:tabs>
          <w:tab w:val="left" w:pos="567"/>
        </w:tabs>
        <w:ind w:left="567" w:hanging="567"/>
        <w:rPr>
          <w:bCs/>
          <w:lang w:val="lt-LT"/>
        </w:rPr>
      </w:pPr>
      <w:r w:rsidRPr="002C4825">
        <w:rPr>
          <w:bCs/>
          <w:lang w:val="lt-LT"/>
        </w:rPr>
        <w:t>dusulys (dispnėja);</w:t>
      </w:r>
    </w:p>
    <w:p w:rsidR="00F25301" w:rsidRPr="002C4825" w:rsidRDefault="00F25301" w:rsidP="00F25301">
      <w:pPr>
        <w:pStyle w:val="Sraopastraipa"/>
        <w:numPr>
          <w:ilvl w:val="0"/>
          <w:numId w:val="4"/>
        </w:numPr>
        <w:tabs>
          <w:tab w:val="left" w:pos="567"/>
        </w:tabs>
        <w:ind w:left="567" w:hanging="567"/>
        <w:rPr>
          <w:bCs/>
          <w:lang w:val="lt-LT"/>
        </w:rPr>
      </w:pPr>
      <w:r w:rsidRPr="002C4825">
        <w:rPr>
          <w:bCs/>
          <w:lang w:val="lt-LT"/>
        </w:rPr>
        <w:t>virškinimo sutrikimai (dispepsija).</w:t>
      </w:r>
    </w:p>
    <w:p w:rsidR="00F25301" w:rsidRPr="002C4825" w:rsidRDefault="00F25301" w:rsidP="00F25301">
      <w:pPr>
        <w:tabs>
          <w:tab w:val="left" w:pos="567"/>
        </w:tabs>
        <w:rPr>
          <w:bCs/>
          <w:lang w:val="lt-LT"/>
        </w:rPr>
      </w:pPr>
    </w:p>
    <w:p w:rsidR="00F25301" w:rsidRPr="00FF6A87" w:rsidRDefault="00F25301" w:rsidP="00F25301">
      <w:pPr>
        <w:tabs>
          <w:tab w:val="left" w:pos="567"/>
        </w:tabs>
        <w:rPr>
          <w:b/>
          <w:lang w:val="lt-LT"/>
        </w:rPr>
      </w:pPr>
      <w:r w:rsidRPr="00FE1075">
        <w:rPr>
          <w:b/>
          <w:lang w:val="lt-LT"/>
        </w:rPr>
        <w:t>Labai reti šalutinio poveikio reiškiniai (gali pasireikšti rečiau kaip 1 iš 10</w:t>
      </w:r>
      <w:r>
        <w:rPr>
          <w:b/>
          <w:lang w:val="lt-LT"/>
        </w:rPr>
        <w:t> </w:t>
      </w:r>
      <w:r w:rsidRPr="00FE1075">
        <w:rPr>
          <w:b/>
          <w:lang w:val="lt-LT"/>
        </w:rPr>
        <w:t>000 asmenų</w:t>
      </w:r>
      <w:r>
        <w:rPr>
          <w:b/>
          <w:lang w:val="lt-LT"/>
        </w:rPr>
        <w:t>):</w:t>
      </w:r>
    </w:p>
    <w:p w:rsidR="00F25301" w:rsidRPr="002C4825" w:rsidRDefault="00F25301" w:rsidP="00F25301">
      <w:pPr>
        <w:pStyle w:val="Sraopastraipa"/>
        <w:numPr>
          <w:ilvl w:val="0"/>
          <w:numId w:val="5"/>
        </w:numPr>
        <w:tabs>
          <w:tab w:val="left" w:pos="567"/>
        </w:tabs>
        <w:ind w:left="567" w:hanging="567"/>
        <w:rPr>
          <w:b/>
          <w:lang w:val="lt-LT"/>
        </w:rPr>
      </w:pPr>
      <w:r w:rsidRPr="002C4825">
        <w:rPr>
          <w:bCs/>
          <w:lang w:val="lt-LT"/>
        </w:rPr>
        <w:t>sunkios alerginės reakcijos (anafilaksinis šokas, anafilaksinė/anafilaktoidinė reakcija);</w:t>
      </w:r>
    </w:p>
    <w:p w:rsidR="00F25301" w:rsidRPr="002C4825" w:rsidRDefault="00F25301" w:rsidP="00F25301">
      <w:pPr>
        <w:pStyle w:val="Sraopastraipa"/>
        <w:numPr>
          <w:ilvl w:val="0"/>
          <w:numId w:val="5"/>
        </w:numPr>
        <w:tabs>
          <w:tab w:val="left" w:pos="567"/>
        </w:tabs>
        <w:ind w:left="567" w:hanging="567"/>
        <w:rPr>
          <w:b/>
          <w:lang w:val="lt-LT"/>
        </w:rPr>
      </w:pPr>
      <w:r w:rsidRPr="002C4825">
        <w:rPr>
          <w:bCs/>
          <w:lang w:val="lt-LT"/>
        </w:rPr>
        <w:t>kraujavimas (hemoragija).</w:t>
      </w:r>
    </w:p>
    <w:p w:rsidR="00F25301" w:rsidRPr="002C4825" w:rsidRDefault="00F25301" w:rsidP="00F25301">
      <w:pPr>
        <w:tabs>
          <w:tab w:val="left" w:pos="567"/>
        </w:tabs>
        <w:rPr>
          <w:b/>
          <w:lang w:val="lt-LT"/>
        </w:rPr>
      </w:pPr>
    </w:p>
    <w:p w:rsidR="00F25301" w:rsidRPr="002C4825" w:rsidRDefault="00F25301" w:rsidP="00F25301">
      <w:pPr>
        <w:tabs>
          <w:tab w:val="left" w:pos="567"/>
        </w:tabs>
        <w:rPr>
          <w:lang w:val="lt-LT"/>
        </w:rPr>
      </w:pPr>
      <w:r w:rsidRPr="00FE1075">
        <w:rPr>
          <w:b/>
          <w:lang w:val="lt-LT"/>
        </w:rPr>
        <w:t>Šalutinio poveikio reiškiniai, kurių dažnis nežinomas (negali būti apskaičiuotas pagal turimus duomenis):</w:t>
      </w:r>
    </w:p>
    <w:p w:rsidR="00F25301" w:rsidRPr="002C4825" w:rsidRDefault="00F25301" w:rsidP="00F25301">
      <w:pPr>
        <w:pStyle w:val="Sraopastraipa"/>
        <w:numPr>
          <w:ilvl w:val="0"/>
          <w:numId w:val="6"/>
        </w:numPr>
        <w:tabs>
          <w:tab w:val="left" w:pos="567"/>
        </w:tabs>
        <w:ind w:left="567" w:hanging="567"/>
        <w:rPr>
          <w:b/>
          <w:lang w:val="lt-LT"/>
        </w:rPr>
      </w:pPr>
      <w:r w:rsidRPr="002C4825">
        <w:rPr>
          <w:lang w:val="lt-LT"/>
        </w:rPr>
        <w:t>veido patinimas (edema);</w:t>
      </w:r>
    </w:p>
    <w:p w:rsidR="00F25301" w:rsidRPr="002C4825" w:rsidRDefault="00F25301" w:rsidP="00F25301">
      <w:pPr>
        <w:pStyle w:val="Sraopastraipa"/>
        <w:numPr>
          <w:ilvl w:val="0"/>
          <w:numId w:val="6"/>
        </w:numPr>
        <w:tabs>
          <w:tab w:val="left" w:pos="567"/>
        </w:tabs>
        <w:ind w:left="567" w:hanging="567"/>
        <w:rPr>
          <w:bCs/>
          <w:lang w:val="lt-LT"/>
        </w:rPr>
      </w:pPr>
      <w:r w:rsidRPr="002C4825">
        <w:rPr>
          <w:bCs/>
          <w:lang w:val="lt-LT"/>
        </w:rPr>
        <w:t>bronchų užsikimšimas (obstrukcija).</w:t>
      </w:r>
    </w:p>
    <w:p w:rsidR="00F25301" w:rsidRPr="002C4825" w:rsidRDefault="00F25301" w:rsidP="00F25301">
      <w:pPr>
        <w:tabs>
          <w:tab w:val="left" w:pos="567"/>
        </w:tabs>
        <w:rPr>
          <w:bCs/>
          <w:lang w:val="lt-LT"/>
        </w:rPr>
      </w:pPr>
    </w:p>
    <w:p w:rsidR="00F25301" w:rsidRPr="002C4825" w:rsidRDefault="00F25301" w:rsidP="00F25301">
      <w:pPr>
        <w:ind w:right="-2"/>
        <w:rPr>
          <w:lang w:val="lt-LT"/>
        </w:rPr>
      </w:pPr>
      <w:r w:rsidRPr="002C4825">
        <w:rPr>
          <w:lang w:val="lt-LT"/>
        </w:rPr>
        <w:t>Labai retai gauta pranešimų apie sunkių odos reakcijų pasireiškimą (įskaitant Stivenso-Džonsono (</w:t>
      </w:r>
      <w:r w:rsidRPr="002C4825">
        <w:rPr>
          <w:i/>
          <w:lang w:val="lt-LT"/>
        </w:rPr>
        <w:t>Stevens-Johnson</w:t>
      </w:r>
      <w:r w:rsidRPr="002C4825">
        <w:rPr>
          <w:lang w:val="lt-LT"/>
        </w:rPr>
        <w:t>) sindromą ir Lajelio (</w:t>
      </w:r>
      <w:r w:rsidRPr="002C4825">
        <w:rPr>
          <w:i/>
          <w:lang w:val="lt-LT"/>
        </w:rPr>
        <w:t>Lyell</w:t>
      </w:r>
      <w:r w:rsidRPr="002C4825">
        <w:rPr>
          <w:lang w:val="lt-LT"/>
        </w:rPr>
        <w:t>) sindromą). Jeigu atsiranda odos ar gleivinės pokyčių, nutraukite vaisto vartojimą ir pasakykite savo gydytojui.</w:t>
      </w:r>
    </w:p>
    <w:p w:rsidR="00F25301" w:rsidRPr="002C4825" w:rsidRDefault="00F25301" w:rsidP="00F25301">
      <w:pPr>
        <w:ind w:right="-2"/>
        <w:rPr>
          <w:lang w:val="lt-LT"/>
        </w:rPr>
      </w:pPr>
    </w:p>
    <w:p w:rsidR="00F25301" w:rsidRPr="002C4825" w:rsidRDefault="00F25301" w:rsidP="00F25301">
      <w:pPr>
        <w:ind w:right="-2"/>
        <w:rPr>
          <w:lang w:val="lt-LT"/>
        </w:rPr>
      </w:pPr>
      <w:r w:rsidRPr="002C4825">
        <w:rPr>
          <w:lang w:val="lt-LT"/>
        </w:rPr>
        <w:t>Taip pat kreipkitės į  gydytoją, jeigu pasireiškė ilgesnis nei įprastai kraujavimo laikas (sumažėjęs kraujo plokštelių sulipimas).</w:t>
      </w:r>
    </w:p>
    <w:p w:rsidR="00F25301" w:rsidRPr="002C4825" w:rsidRDefault="00F25301" w:rsidP="00F25301">
      <w:pPr>
        <w:ind w:right="-2"/>
        <w:rPr>
          <w:lang w:val="lt-LT"/>
        </w:rPr>
      </w:pPr>
    </w:p>
    <w:p w:rsidR="00F25301" w:rsidRPr="002C4825" w:rsidRDefault="00F25301" w:rsidP="00F25301">
      <w:pPr>
        <w:rPr>
          <w:b/>
          <w:lang w:val="lt-LT"/>
        </w:rPr>
      </w:pPr>
      <w:r w:rsidRPr="002C4825">
        <w:rPr>
          <w:b/>
          <w:lang w:val="lt-LT"/>
        </w:rPr>
        <w:t>Pranešimas apie šalutinį poveikį</w:t>
      </w:r>
    </w:p>
    <w:p w:rsidR="00F25301" w:rsidRPr="002C4825" w:rsidRDefault="00F25301" w:rsidP="00F25301">
      <w:pPr>
        <w:adjustRightInd w:val="0"/>
        <w:rPr>
          <w:color w:val="000000"/>
          <w:lang w:val="lt-LT" w:eastAsia="sl-SI"/>
        </w:rPr>
      </w:pPr>
      <w:r w:rsidRPr="00FE1075">
        <w:rPr>
          <w:lang w:val="lt-LT"/>
        </w:rPr>
        <w:t xml:space="preserve">Jeigu pasireiškė šalutinis poveikis, įskaitant šiame lapelyje nenurodytą, pasakykite gydytojui arba </w:t>
      </w:r>
      <w:r w:rsidRPr="00FE1075">
        <w:rPr>
          <w:lang w:val="lt-LT"/>
        </w:rPr>
        <w:lastRenderedPageBreak/>
        <w:t>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NepageidaujamaR@vvkt.lt) arba nemokamu telefonu 8 800 73 568.</w:t>
      </w:r>
    </w:p>
    <w:p w:rsidR="00F25301" w:rsidRDefault="00F25301" w:rsidP="00F25301">
      <w:pPr>
        <w:adjustRightInd w:val="0"/>
        <w:rPr>
          <w:color w:val="000000"/>
          <w:lang w:val="lt-LT" w:eastAsia="sl-SI"/>
        </w:rPr>
      </w:pPr>
    </w:p>
    <w:p w:rsidR="00F25301" w:rsidRPr="002C4825" w:rsidRDefault="00F25301" w:rsidP="00F25301">
      <w:pPr>
        <w:adjustRightInd w:val="0"/>
        <w:rPr>
          <w:color w:val="000000"/>
          <w:lang w:val="lt-LT" w:eastAsia="sl-SI"/>
        </w:rPr>
      </w:pPr>
    </w:p>
    <w:p w:rsidR="00F25301" w:rsidRPr="002C4825" w:rsidRDefault="00F25301" w:rsidP="00F25301">
      <w:pPr>
        <w:ind w:right="-2"/>
        <w:rPr>
          <w:b/>
          <w:bCs/>
          <w:color w:val="000000"/>
          <w:lang w:val="lt-LT" w:eastAsia="sl-SI"/>
        </w:rPr>
      </w:pPr>
      <w:r w:rsidRPr="002C4825">
        <w:rPr>
          <w:b/>
          <w:bCs/>
          <w:color w:val="000000"/>
          <w:lang w:val="lt-LT" w:eastAsia="sl-SI"/>
        </w:rPr>
        <w:t>5.</w:t>
      </w:r>
      <w:r w:rsidRPr="002C4825">
        <w:rPr>
          <w:b/>
          <w:bCs/>
          <w:color w:val="000000"/>
          <w:lang w:val="lt-LT" w:eastAsia="sl-SI"/>
        </w:rPr>
        <w:tab/>
        <w:t>Kaip laikyti Wintrozen</w:t>
      </w:r>
    </w:p>
    <w:p w:rsidR="00F25301" w:rsidRPr="002C4825" w:rsidRDefault="00F25301" w:rsidP="00F25301">
      <w:pPr>
        <w:ind w:right="-2"/>
        <w:rPr>
          <w:b/>
          <w:bCs/>
          <w:color w:val="000000"/>
          <w:lang w:val="lt-LT" w:eastAsia="sl-SI"/>
        </w:rPr>
      </w:pPr>
    </w:p>
    <w:p w:rsidR="00F25301" w:rsidRPr="002C4825" w:rsidRDefault="00F25301" w:rsidP="00F25301">
      <w:pPr>
        <w:numPr>
          <w:ilvl w:val="12"/>
          <w:numId w:val="0"/>
        </w:numPr>
        <w:ind w:right="-2"/>
        <w:rPr>
          <w:szCs w:val="24"/>
          <w:lang w:val="lt-LT"/>
        </w:rPr>
      </w:pPr>
      <w:r w:rsidRPr="002C4825">
        <w:rPr>
          <w:noProof/>
          <w:szCs w:val="24"/>
          <w:lang w:val="lt-LT"/>
        </w:rPr>
        <w:t>Šį vaistą laikykite vaikams nepastebimoje ir nepasiekiamoje vietoje.</w:t>
      </w:r>
    </w:p>
    <w:p w:rsidR="00F25301" w:rsidRPr="002C4825" w:rsidRDefault="00F25301" w:rsidP="00F25301">
      <w:pPr>
        <w:rPr>
          <w:lang w:val="lt-LT"/>
        </w:rPr>
      </w:pPr>
      <w:r w:rsidRPr="002C4825">
        <w:rPr>
          <w:bCs/>
          <w:lang w:val="lt-LT"/>
        </w:rPr>
        <w:t xml:space="preserve">Tūbelę laikyti sandariai uždarytą, kad </w:t>
      </w:r>
      <w:r w:rsidRPr="002C4825">
        <w:rPr>
          <w:lang w:val="lt-LT"/>
        </w:rPr>
        <w:t>vaistas būtų apsaugotas nuo šviesos ir drėgmės.</w:t>
      </w:r>
    </w:p>
    <w:p w:rsidR="00F25301" w:rsidRPr="002C4825" w:rsidRDefault="00F25301" w:rsidP="00F25301">
      <w:pPr>
        <w:adjustRightInd w:val="0"/>
        <w:rPr>
          <w:color w:val="000000"/>
          <w:lang w:val="lt-LT" w:eastAsia="sl-SI"/>
        </w:rPr>
      </w:pPr>
      <w:r w:rsidRPr="00AC2CD5">
        <w:rPr>
          <w:lang w:val="lt-LT"/>
        </w:rPr>
        <w:t>Šio vaisto laikymui specialių temperatū</w:t>
      </w:r>
      <w:r>
        <w:rPr>
          <w:lang w:val="lt-LT"/>
        </w:rPr>
        <w:t>ros sąlygų nereikalaujama</w:t>
      </w:r>
      <w:r w:rsidRPr="002C4825" w:rsidDel="00A06B14">
        <w:rPr>
          <w:lang w:val="lt-LT"/>
        </w:rPr>
        <w:t xml:space="preserve"> </w:t>
      </w:r>
    </w:p>
    <w:p w:rsidR="00F25301" w:rsidRPr="002C4825" w:rsidRDefault="00F25301" w:rsidP="00F25301">
      <w:pPr>
        <w:adjustRightInd w:val="0"/>
        <w:rPr>
          <w:color w:val="000000"/>
          <w:lang w:val="lt-LT" w:eastAsia="sl-SI"/>
        </w:rPr>
      </w:pPr>
      <w:r w:rsidRPr="002C4825">
        <w:rPr>
          <w:color w:val="000000"/>
          <w:lang w:val="lt-LT" w:eastAsia="sl-SI"/>
        </w:rPr>
        <w:t>Ant dėžutės</w:t>
      </w:r>
      <w:r>
        <w:rPr>
          <w:color w:val="000000"/>
          <w:lang w:val="lt-LT" w:eastAsia="sl-SI"/>
        </w:rPr>
        <w:t xml:space="preserve"> ir tūbelės</w:t>
      </w:r>
      <w:r w:rsidRPr="002C4825">
        <w:rPr>
          <w:color w:val="000000"/>
          <w:lang w:val="lt-LT" w:eastAsia="sl-SI"/>
        </w:rPr>
        <w:t xml:space="preserve"> po „EXP“ nurodytam tinkamumo laikui pasibaigus, šio vaisto vartoti negalima. Vaistas tinkamas vartoti iki paskutinės nurodyto mėnesio dienos.</w:t>
      </w:r>
    </w:p>
    <w:p w:rsidR="00F25301" w:rsidRPr="002C4825" w:rsidRDefault="00F25301" w:rsidP="00F25301">
      <w:pPr>
        <w:ind w:right="-2"/>
        <w:rPr>
          <w:noProof/>
          <w:snapToGrid w:val="0"/>
          <w:lang w:val="lt-LT"/>
        </w:rPr>
      </w:pPr>
    </w:p>
    <w:p w:rsidR="00F25301" w:rsidRPr="002C4825" w:rsidRDefault="00F25301" w:rsidP="00F25301">
      <w:pPr>
        <w:adjustRightInd w:val="0"/>
        <w:rPr>
          <w:color w:val="000000"/>
          <w:lang w:val="lt-LT" w:eastAsia="sl-SI"/>
        </w:rPr>
      </w:pPr>
      <w:r w:rsidRPr="002C4825">
        <w:rPr>
          <w:color w:val="000000"/>
          <w:lang w:val="lt-LT" w:eastAsia="sl-SI"/>
        </w:rPr>
        <w:t>Vaistų negalima išmesti į kanalizaciją arba su buitinėmis atliekomis. Kaip išmesti nereikalingus vaistus, klauskite vaistininko. Šios priemonės padės apsaugoti aplinką.</w:t>
      </w:r>
    </w:p>
    <w:p w:rsidR="00F25301" w:rsidRDefault="00F25301" w:rsidP="00F25301">
      <w:pPr>
        <w:tabs>
          <w:tab w:val="left" w:pos="567"/>
        </w:tabs>
        <w:rPr>
          <w:bCs/>
          <w:lang w:val="lt-LT"/>
        </w:rPr>
      </w:pPr>
    </w:p>
    <w:p w:rsidR="00F25301" w:rsidRPr="002C4825" w:rsidRDefault="00F25301" w:rsidP="00F25301">
      <w:pPr>
        <w:tabs>
          <w:tab w:val="left" w:pos="567"/>
        </w:tabs>
        <w:rPr>
          <w:bCs/>
          <w:lang w:val="lt-LT"/>
        </w:rPr>
      </w:pPr>
    </w:p>
    <w:p w:rsidR="00F25301" w:rsidRPr="002C4825" w:rsidRDefault="00F25301" w:rsidP="00F25301">
      <w:pPr>
        <w:adjustRightInd w:val="0"/>
        <w:rPr>
          <w:color w:val="000000"/>
          <w:lang w:val="lt-LT" w:eastAsia="sl-SI"/>
        </w:rPr>
      </w:pPr>
      <w:r w:rsidRPr="002C4825">
        <w:rPr>
          <w:b/>
          <w:bCs/>
          <w:color w:val="000000"/>
          <w:lang w:val="lt-LT" w:eastAsia="sl-SI"/>
        </w:rPr>
        <w:t>6.</w:t>
      </w:r>
      <w:r w:rsidRPr="002C4825">
        <w:rPr>
          <w:b/>
          <w:bCs/>
          <w:color w:val="000000"/>
          <w:lang w:val="lt-LT" w:eastAsia="sl-SI"/>
        </w:rPr>
        <w:tab/>
        <w:t>Pakuotės turinys ir kita informacija</w:t>
      </w:r>
    </w:p>
    <w:p w:rsidR="00F25301" w:rsidRPr="002C4825" w:rsidRDefault="00F25301" w:rsidP="00F25301">
      <w:pPr>
        <w:tabs>
          <w:tab w:val="left" w:pos="567"/>
        </w:tabs>
        <w:rPr>
          <w:bCs/>
          <w:lang w:val="lt-LT"/>
        </w:rPr>
      </w:pPr>
    </w:p>
    <w:p w:rsidR="00F25301" w:rsidRPr="002C4825" w:rsidRDefault="00F25301" w:rsidP="00F25301">
      <w:pPr>
        <w:tabs>
          <w:tab w:val="left" w:pos="567"/>
        </w:tabs>
        <w:rPr>
          <w:b/>
          <w:lang w:val="lt-LT"/>
        </w:rPr>
      </w:pPr>
      <w:r w:rsidRPr="002C4825">
        <w:rPr>
          <w:b/>
          <w:lang w:val="lt-LT"/>
        </w:rPr>
        <w:t>Wintrozen sudėtis</w:t>
      </w:r>
    </w:p>
    <w:p w:rsidR="00F25301" w:rsidRPr="002C4825" w:rsidRDefault="00F25301" w:rsidP="00F25301">
      <w:pPr>
        <w:pStyle w:val="Sraopastraipa"/>
        <w:numPr>
          <w:ilvl w:val="0"/>
          <w:numId w:val="7"/>
        </w:numPr>
        <w:tabs>
          <w:tab w:val="left" w:pos="567"/>
        </w:tabs>
        <w:ind w:left="567" w:hanging="567"/>
        <w:rPr>
          <w:bCs/>
          <w:lang w:val="lt-LT"/>
        </w:rPr>
      </w:pPr>
      <w:r w:rsidRPr="002C4825">
        <w:rPr>
          <w:bCs/>
          <w:lang w:val="lt-LT"/>
        </w:rPr>
        <w:t xml:space="preserve">Veiklioji medžiaga yra acetilcisteinas: </w:t>
      </w:r>
      <w:r>
        <w:rPr>
          <w:bCs/>
          <w:lang w:val="lt-LT"/>
        </w:rPr>
        <w:t>kiek</w:t>
      </w:r>
      <w:r w:rsidRPr="002C4825">
        <w:rPr>
          <w:bCs/>
          <w:lang w:val="lt-LT"/>
        </w:rPr>
        <w:t>vienoje šnypščiojoje tabletėje yra 600 mg acetilcisteino.</w:t>
      </w:r>
    </w:p>
    <w:p w:rsidR="00F25301" w:rsidRPr="002C4825" w:rsidRDefault="00F25301" w:rsidP="00F25301">
      <w:pPr>
        <w:pStyle w:val="Sraopastraipa"/>
        <w:numPr>
          <w:ilvl w:val="0"/>
          <w:numId w:val="7"/>
        </w:numPr>
        <w:tabs>
          <w:tab w:val="left" w:pos="567"/>
        </w:tabs>
        <w:ind w:left="567" w:hanging="567"/>
        <w:rPr>
          <w:lang w:val="lt-LT"/>
        </w:rPr>
      </w:pPr>
      <w:r w:rsidRPr="002C4825">
        <w:rPr>
          <w:bCs/>
          <w:lang w:val="lt-LT"/>
        </w:rPr>
        <w:t xml:space="preserve">Pagalbinės medžiagos: </w:t>
      </w:r>
      <w:r w:rsidRPr="002C4825">
        <w:rPr>
          <w:lang w:val="lt-LT"/>
        </w:rPr>
        <w:t>citrinų rūgštis, maltodekstrinas, natrio</w:t>
      </w:r>
      <w:r>
        <w:rPr>
          <w:lang w:val="lt-LT"/>
        </w:rPr>
        <w:t>-vandenilio</w:t>
      </w:r>
      <w:r w:rsidRPr="002C4825">
        <w:rPr>
          <w:lang w:val="lt-LT"/>
        </w:rPr>
        <w:t xml:space="preserve"> karbonatas, apelsinų skonio medžiaga</w:t>
      </w:r>
      <w:r>
        <w:rPr>
          <w:lang w:val="lt-LT"/>
        </w:rPr>
        <w:t xml:space="preserve"> (maltodekstrinas, gumiarabikas, askorbo rūgštis, butilhidroksianizolas (BHA)</w:t>
      </w:r>
      <w:r w:rsidRPr="002C4825">
        <w:rPr>
          <w:lang w:val="lt-LT"/>
        </w:rPr>
        <w:t>, leucinas, sacharino natrio druska.</w:t>
      </w:r>
    </w:p>
    <w:p w:rsidR="00F25301" w:rsidRPr="002C4825" w:rsidRDefault="00F25301" w:rsidP="00F25301">
      <w:pPr>
        <w:tabs>
          <w:tab w:val="left" w:pos="567"/>
        </w:tabs>
        <w:rPr>
          <w:bCs/>
          <w:lang w:val="lt-LT"/>
        </w:rPr>
      </w:pPr>
    </w:p>
    <w:p w:rsidR="00F25301" w:rsidRPr="002C4825" w:rsidRDefault="00F25301" w:rsidP="00F25301">
      <w:pPr>
        <w:adjustRightInd w:val="0"/>
        <w:rPr>
          <w:color w:val="000000"/>
          <w:lang w:val="lt-LT" w:eastAsia="sl-SI"/>
        </w:rPr>
      </w:pPr>
      <w:r w:rsidRPr="002C4825">
        <w:rPr>
          <w:b/>
          <w:lang w:val="lt-LT"/>
        </w:rPr>
        <w:t xml:space="preserve">Wintrozen </w:t>
      </w:r>
      <w:r w:rsidRPr="002C4825">
        <w:rPr>
          <w:b/>
          <w:bCs/>
          <w:color w:val="000000"/>
          <w:lang w:val="lt-LT" w:eastAsia="sl-SI"/>
        </w:rPr>
        <w:t>išvaizda ir kiekis pakuotėje</w:t>
      </w:r>
    </w:p>
    <w:p w:rsidR="00F25301" w:rsidRPr="002C4825" w:rsidRDefault="00F25301" w:rsidP="00F25301">
      <w:pPr>
        <w:tabs>
          <w:tab w:val="left" w:pos="567"/>
        </w:tabs>
        <w:rPr>
          <w:bCs/>
          <w:lang w:val="lt-LT"/>
        </w:rPr>
      </w:pPr>
      <w:r w:rsidRPr="002C4825">
        <w:rPr>
          <w:bCs/>
          <w:lang w:val="lt-LT"/>
        </w:rPr>
        <w:t xml:space="preserve">Wintrozen </w:t>
      </w:r>
      <w:r>
        <w:rPr>
          <w:bCs/>
          <w:lang w:val="lt-LT"/>
        </w:rPr>
        <w:t>600 mg šnypščiosios tabletės</w:t>
      </w:r>
      <w:r w:rsidRPr="002C4825">
        <w:rPr>
          <w:bCs/>
          <w:lang w:val="lt-LT"/>
        </w:rPr>
        <w:t xml:space="preserve"> yra </w:t>
      </w:r>
      <w:r>
        <w:rPr>
          <w:bCs/>
          <w:lang w:val="lt-LT"/>
        </w:rPr>
        <w:t xml:space="preserve">baltos spalvos, apvalios, </w:t>
      </w:r>
      <w:r w:rsidRPr="002C4825">
        <w:rPr>
          <w:bCs/>
          <w:lang w:val="lt-LT"/>
        </w:rPr>
        <w:t>plokščios tabletės, supakuotos į tūbeles.</w:t>
      </w:r>
    </w:p>
    <w:p w:rsidR="00F25301" w:rsidRPr="002C4825" w:rsidRDefault="00F25301" w:rsidP="00F25301">
      <w:pPr>
        <w:tabs>
          <w:tab w:val="left" w:pos="567"/>
        </w:tabs>
        <w:rPr>
          <w:bCs/>
          <w:lang w:val="lt-LT"/>
        </w:rPr>
      </w:pPr>
      <w:r w:rsidRPr="002C4825">
        <w:rPr>
          <w:bCs/>
          <w:lang w:val="lt-LT"/>
        </w:rPr>
        <w:t xml:space="preserve">Vaistas tiekiamas kartoninėje dėžutėje, kurioje yra tūbelė su 10 arba 20 </w:t>
      </w:r>
      <w:r>
        <w:rPr>
          <w:bCs/>
          <w:lang w:val="lt-LT"/>
        </w:rPr>
        <w:t xml:space="preserve">šnypščiųjų </w:t>
      </w:r>
      <w:r w:rsidRPr="002C4825">
        <w:rPr>
          <w:bCs/>
          <w:lang w:val="lt-LT"/>
        </w:rPr>
        <w:t>tablečių.</w:t>
      </w:r>
    </w:p>
    <w:p w:rsidR="00F25301" w:rsidRPr="002C4825" w:rsidRDefault="00F25301" w:rsidP="00F25301">
      <w:pPr>
        <w:tabs>
          <w:tab w:val="left" w:pos="567"/>
        </w:tabs>
        <w:rPr>
          <w:noProof/>
          <w:snapToGrid w:val="0"/>
          <w:lang w:val="lt-LT"/>
        </w:rPr>
      </w:pPr>
      <w:r w:rsidRPr="002C4825">
        <w:rPr>
          <w:noProof/>
          <w:snapToGrid w:val="0"/>
          <w:lang w:val="lt-LT"/>
        </w:rPr>
        <w:t>Gali būti tiekiamos ne visų dydžių pakuotės.</w:t>
      </w:r>
    </w:p>
    <w:p w:rsidR="00F25301" w:rsidRPr="002C4825" w:rsidRDefault="00F25301" w:rsidP="00F25301">
      <w:pPr>
        <w:tabs>
          <w:tab w:val="left" w:pos="567"/>
        </w:tabs>
        <w:rPr>
          <w:noProof/>
          <w:snapToGrid w:val="0"/>
          <w:lang w:val="lt-LT"/>
        </w:rPr>
      </w:pPr>
    </w:p>
    <w:p w:rsidR="00F25301" w:rsidRDefault="00F25301" w:rsidP="00F25301">
      <w:pPr>
        <w:tabs>
          <w:tab w:val="left" w:pos="567"/>
        </w:tabs>
        <w:rPr>
          <w:b/>
          <w:bCs/>
          <w:noProof/>
          <w:snapToGrid w:val="0"/>
          <w:lang w:val="lt-LT"/>
        </w:rPr>
      </w:pPr>
      <w:r w:rsidRPr="002C4825">
        <w:rPr>
          <w:b/>
          <w:bCs/>
          <w:noProof/>
          <w:snapToGrid w:val="0"/>
          <w:lang w:val="lt-LT"/>
        </w:rPr>
        <w:t>Registruotojas ir gamintojas</w:t>
      </w:r>
    </w:p>
    <w:p w:rsidR="00F25301" w:rsidRPr="002C4825" w:rsidRDefault="00F25301" w:rsidP="00F25301">
      <w:pPr>
        <w:tabs>
          <w:tab w:val="left" w:pos="567"/>
        </w:tabs>
        <w:rPr>
          <w:b/>
          <w:bCs/>
          <w:noProof/>
          <w:snapToGrid w:val="0"/>
          <w:lang w:val="lt-LT"/>
        </w:rPr>
      </w:pPr>
    </w:p>
    <w:p w:rsidR="00F25301" w:rsidRPr="002C4825" w:rsidRDefault="00F25301" w:rsidP="00F25301">
      <w:pPr>
        <w:rPr>
          <w:i/>
          <w:iCs/>
          <w:lang w:val="lt-LT"/>
        </w:rPr>
      </w:pPr>
      <w:r w:rsidRPr="002C4825">
        <w:rPr>
          <w:i/>
          <w:iCs/>
          <w:lang w:val="lt-LT"/>
        </w:rPr>
        <w:t>Registruotojas</w:t>
      </w:r>
    </w:p>
    <w:p w:rsidR="00F25301" w:rsidRPr="002C4825" w:rsidRDefault="00F25301" w:rsidP="00F25301">
      <w:pPr>
        <w:rPr>
          <w:lang w:val="lt-LT"/>
        </w:rPr>
      </w:pPr>
      <w:r w:rsidRPr="002C4825">
        <w:rPr>
          <w:lang w:val="lt-LT"/>
        </w:rPr>
        <w:t>Zentiva, k.s.</w:t>
      </w:r>
    </w:p>
    <w:p w:rsidR="00F25301" w:rsidRPr="002C4825" w:rsidRDefault="00F25301" w:rsidP="00F25301">
      <w:pPr>
        <w:rPr>
          <w:lang w:val="lt-LT"/>
        </w:rPr>
      </w:pPr>
      <w:r w:rsidRPr="002C4825">
        <w:rPr>
          <w:lang w:val="lt-LT"/>
        </w:rPr>
        <w:t xml:space="preserve">U </w:t>
      </w:r>
      <w:r>
        <w:rPr>
          <w:lang w:val="lt-LT"/>
        </w:rPr>
        <w:t>k</w:t>
      </w:r>
      <w:r w:rsidRPr="002C4825">
        <w:rPr>
          <w:lang w:val="lt-LT"/>
        </w:rPr>
        <w:t>abelovny 130</w:t>
      </w:r>
    </w:p>
    <w:p w:rsidR="00F25301" w:rsidRPr="0074523E" w:rsidRDefault="00F25301" w:rsidP="00F25301">
      <w:pPr>
        <w:rPr>
          <w:lang w:val="pl-PL"/>
        </w:rPr>
      </w:pPr>
      <w:r w:rsidRPr="0074523E">
        <w:rPr>
          <w:lang w:val="pl-PL"/>
        </w:rPr>
        <w:t>Dolní Měcholupy</w:t>
      </w:r>
    </w:p>
    <w:p w:rsidR="00F25301" w:rsidRPr="002C4825" w:rsidRDefault="00F25301" w:rsidP="00F25301">
      <w:pPr>
        <w:rPr>
          <w:lang w:val="lt-LT"/>
        </w:rPr>
      </w:pPr>
      <w:r w:rsidRPr="002C4825">
        <w:rPr>
          <w:lang w:val="lt-LT"/>
        </w:rPr>
        <w:t>102 37 Pra</w:t>
      </w:r>
      <w:r>
        <w:rPr>
          <w:lang w:val="lt-LT"/>
        </w:rPr>
        <w:t>ha</w:t>
      </w:r>
      <w:r w:rsidRPr="002C4825">
        <w:rPr>
          <w:lang w:val="lt-LT"/>
        </w:rPr>
        <w:t xml:space="preserve"> 10</w:t>
      </w:r>
    </w:p>
    <w:p w:rsidR="00F25301" w:rsidRPr="002C4825" w:rsidRDefault="00F25301" w:rsidP="00F25301">
      <w:pPr>
        <w:numPr>
          <w:ilvl w:val="12"/>
          <w:numId w:val="0"/>
        </w:numPr>
        <w:ind w:right="-2"/>
        <w:rPr>
          <w:lang w:val="lt-LT"/>
        </w:rPr>
      </w:pPr>
      <w:r w:rsidRPr="002C4825">
        <w:rPr>
          <w:lang w:val="lt-LT"/>
        </w:rPr>
        <w:t>Čekija</w:t>
      </w:r>
    </w:p>
    <w:p w:rsidR="00F25301" w:rsidRPr="002C4825" w:rsidRDefault="00F25301" w:rsidP="00F25301">
      <w:pPr>
        <w:numPr>
          <w:ilvl w:val="12"/>
          <w:numId w:val="0"/>
        </w:numPr>
        <w:ind w:right="-2"/>
        <w:rPr>
          <w:lang w:val="lt-LT"/>
        </w:rPr>
      </w:pPr>
    </w:p>
    <w:p w:rsidR="00F25301" w:rsidRPr="002C4825" w:rsidRDefault="00F25301" w:rsidP="00F25301">
      <w:pPr>
        <w:numPr>
          <w:ilvl w:val="12"/>
          <w:numId w:val="0"/>
        </w:numPr>
        <w:ind w:right="-2"/>
        <w:rPr>
          <w:i/>
          <w:iCs/>
          <w:lang w:val="lt-LT"/>
        </w:rPr>
      </w:pPr>
      <w:r w:rsidRPr="002C4825">
        <w:rPr>
          <w:i/>
          <w:iCs/>
          <w:lang w:val="lt-LT"/>
        </w:rPr>
        <w:t>Gamintojas</w:t>
      </w:r>
    </w:p>
    <w:p w:rsidR="00F25301" w:rsidRPr="002C4825" w:rsidRDefault="00F25301" w:rsidP="00F25301">
      <w:pPr>
        <w:numPr>
          <w:ilvl w:val="12"/>
          <w:numId w:val="0"/>
        </w:numPr>
        <w:ind w:right="-2"/>
        <w:rPr>
          <w:lang w:val="lt-LT" w:bidi="en-US"/>
        </w:rPr>
      </w:pPr>
      <w:r w:rsidRPr="002C4825">
        <w:rPr>
          <w:lang w:val="lt-LT" w:bidi="en-US"/>
        </w:rPr>
        <w:t>E-Pharma Trento S.p.A.</w:t>
      </w:r>
    </w:p>
    <w:p w:rsidR="00F25301" w:rsidRPr="002C4825" w:rsidRDefault="00F25301" w:rsidP="00F25301">
      <w:pPr>
        <w:numPr>
          <w:ilvl w:val="12"/>
          <w:numId w:val="0"/>
        </w:numPr>
        <w:ind w:right="-2"/>
        <w:rPr>
          <w:lang w:val="lt-LT" w:bidi="en-US"/>
        </w:rPr>
      </w:pPr>
      <w:r w:rsidRPr="002C4825">
        <w:rPr>
          <w:lang w:val="lt-LT" w:bidi="en-US"/>
        </w:rPr>
        <w:t>via Provina 2</w:t>
      </w:r>
    </w:p>
    <w:p w:rsidR="00F25301" w:rsidRPr="002C4825" w:rsidRDefault="00F25301" w:rsidP="00F25301">
      <w:pPr>
        <w:numPr>
          <w:ilvl w:val="12"/>
          <w:numId w:val="0"/>
        </w:numPr>
        <w:ind w:right="-2"/>
        <w:rPr>
          <w:lang w:val="lt-LT" w:bidi="en-US"/>
        </w:rPr>
      </w:pPr>
      <w:r w:rsidRPr="002C4825">
        <w:rPr>
          <w:lang w:val="lt-LT" w:bidi="en-US"/>
        </w:rPr>
        <w:t>38123 Trento (TN)</w:t>
      </w:r>
    </w:p>
    <w:p w:rsidR="00F25301" w:rsidRPr="002C4825" w:rsidRDefault="00F25301" w:rsidP="00F25301">
      <w:pPr>
        <w:numPr>
          <w:ilvl w:val="12"/>
          <w:numId w:val="0"/>
        </w:numPr>
        <w:ind w:right="-2"/>
        <w:rPr>
          <w:sz w:val="20"/>
          <w:szCs w:val="20"/>
          <w:lang w:val="lt-LT"/>
        </w:rPr>
      </w:pPr>
      <w:r w:rsidRPr="002C4825">
        <w:rPr>
          <w:lang w:val="lt-LT" w:bidi="en-US"/>
        </w:rPr>
        <w:t>Italija</w:t>
      </w:r>
    </w:p>
    <w:p w:rsidR="00F25301" w:rsidRPr="002C4825" w:rsidRDefault="00F25301" w:rsidP="00F25301">
      <w:pPr>
        <w:tabs>
          <w:tab w:val="left" w:pos="567"/>
        </w:tabs>
        <w:rPr>
          <w:b/>
          <w:bCs/>
          <w:i/>
          <w:iCs/>
          <w:lang w:val="lt-LT"/>
        </w:rPr>
      </w:pPr>
    </w:p>
    <w:p w:rsidR="00F25301" w:rsidRPr="002C4825" w:rsidRDefault="00F25301" w:rsidP="00F25301">
      <w:pPr>
        <w:numPr>
          <w:ilvl w:val="12"/>
          <w:numId w:val="0"/>
        </w:numPr>
        <w:ind w:right="-2"/>
        <w:rPr>
          <w:lang w:val="lt-LT"/>
        </w:rPr>
      </w:pPr>
      <w:r w:rsidRPr="002C4825">
        <w:rPr>
          <w:b/>
          <w:lang w:val="lt-LT"/>
        </w:rPr>
        <w:t xml:space="preserve">Šis vaistas </w:t>
      </w:r>
      <w:r w:rsidRPr="00FE1075">
        <w:rPr>
          <w:b/>
          <w:lang w:val="lt-LT"/>
        </w:rPr>
        <w:t>Europos ekonominės erdvės</w:t>
      </w:r>
      <w:r w:rsidRPr="00FE1075" w:rsidDel="00FE1075">
        <w:rPr>
          <w:b/>
          <w:lang w:val="lt-LT"/>
        </w:rPr>
        <w:t xml:space="preserve"> </w:t>
      </w:r>
      <w:r w:rsidRPr="002C4825">
        <w:rPr>
          <w:b/>
          <w:lang w:val="lt-LT"/>
        </w:rPr>
        <w:t>valstybėse narėse registruotas tokiais pavadinimais</w:t>
      </w:r>
      <w:r w:rsidRPr="002C4825">
        <w:rPr>
          <w:lang w:val="lt-LT"/>
        </w:rPr>
        <w:t>:</w:t>
      </w:r>
    </w:p>
    <w:p w:rsidR="00F25301" w:rsidRPr="002C4825" w:rsidRDefault="00F25301" w:rsidP="00F25301">
      <w:pPr>
        <w:tabs>
          <w:tab w:val="left" w:pos="567"/>
        </w:tabs>
        <w:rPr>
          <w:lang w:val="lt-LT"/>
        </w:rPr>
      </w:pPr>
      <w:r w:rsidRPr="002C4825">
        <w:rPr>
          <w:lang w:val="lt-LT"/>
        </w:rPr>
        <w:t>Portugalija: Zentorant</w:t>
      </w:r>
    </w:p>
    <w:p w:rsidR="00F25301" w:rsidRPr="00DE2DFF" w:rsidRDefault="00F25301" w:rsidP="00F25301">
      <w:pPr>
        <w:tabs>
          <w:tab w:val="left" w:pos="567"/>
        </w:tabs>
        <w:rPr>
          <w:lang w:val="lt-LT"/>
        </w:rPr>
      </w:pPr>
      <w:r w:rsidRPr="002C4825">
        <w:rPr>
          <w:lang w:val="lt-LT"/>
        </w:rPr>
        <w:t xml:space="preserve">Vokietija: </w:t>
      </w:r>
      <w:r w:rsidRPr="00DE2DFF">
        <w:rPr>
          <w:lang w:val="lt-LT"/>
        </w:rPr>
        <w:t>Acetylcystein Zentiva</w:t>
      </w:r>
    </w:p>
    <w:p w:rsidR="00F25301" w:rsidRPr="00DE2DFF" w:rsidRDefault="00F25301" w:rsidP="00F25301">
      <w:pPr>
        <w:tabs>
          <w:tab w:val="left" w:pos="567"/>
        </w:tabs>
        <w:rPr>
          <w:lang w:val="lt-LT"/>
        </w:rPr>
      </w:pPr>
      <w:r w:rsidRPr="00DE2DFF">
        <w:rPr>
          <w:lang w:val="lt-LT"/>
        </w:rPr>
        <w:t>Estija, Latvija, Lietuva: Wintrozen</w:t>
      </w:r>
    </w:p>
    <w:p w:rsidR="00F25301" w:rsidRPr="00DE2DFF" w:rsidRDefault="00F25301" w:rsidP="00F25301">
      <w:pPr>
        <w:tabs>
          <w:tab w:val="left" w:pos="567"/>
        </w:tabs>
        <w:rPr>
          <w:lang w:val="lt-LT"/>
        </w:rPr>
      </w:pPr>
      <w:r w:rsidRPr="00DE2DFF">
        <w:rPr>
          <w:lang w:val="lt-LT"/>
        </w:rPr>
        <w:t>Rumunija: Acetilcisteină Zentiva</w:t>
      </w:r>
    </w:p>
    <w:p w:rsidR="00F25301" w:rsidRPr="002C4825" w:rsidRDefault="00F25301" w:rsidP="00F25301">
      <w:pPr>
        <w:tabs>
          <w:tab w:val="left" w:pos="567"/>
        </w:tabs>
        <w:rPr>
          <w:b/>
          <w:bCs/>
          <w:lang w:val="lt-LT"/>
        </w:rPr>
      </w:pPr>
    </w:p>
    <w:p w:rsidR="00F25301" w:rsidRPr="002C4825" w:rsidRDefault="00F25301" w:rsidP="00F25301">
      <w:pPr>
        <w:numPr>
          <w:ilvl w:val="12"/>
          <w:numId w:val="0"/>
        </w:numPr>
        <w:rPr>
          <w:b/>
          <w:bCs/>
          <w:lang w:val="lt-LT" w:eastAsia="lt-LT"/>
        </w:rPr>
      </w:pPr>
      <w:r w:rsidRPr="002C4825">
        <w:rPr>
          <w:b/>
          <w:bCs/>
          <w:lang w:val="lt-LT" w:eastAsia="lt-LT"/>
        </w:rPr>
        <w:t xml:space="preserve">Šis pakuotės lapelis paskutinį kartą peržiūrėtas </w:t>
      </w:r>
      <w:r>
        <w:rPr>
          <w:b/>
          <w:bCs/>
          <w:lang w:val="lt-LT" w:eastAsia="lt-LT"/>
        </w:rPr>
        <w:t>2022-04-15</w:t>
      </w:r>
      <w:r w:rsidRPr="002C4825">
        <w:rPr>
          <w:b/>
          <w:bCs/>
          <w:lang w:val="lt-LT" w:eastAsia="lt-LT"/>
        </w:rPr>
        <w:t>.</w:t>
      </w:r>
    </w:p>
    <w:p w:rsidR="00F25301" w:rsidRPr="002C4825" w:rsidRDefault="00F25301" w:rsidP="00F25301">
      <w:pPr>
        <w:ind w:left="567" w:hanging="567"/>
        <w:rPr>
          <w:lang w:val="lt-LT"/>
        </w:rPr>
      </w:pPr>
    </w:p>
    <w:p w:rsidR="00F25301" w:rsidRPr="002C4825" w:rsidRDefault="00F25301" w:rsidP="00F25301">
      <w:pPr>
        <w:keepLines/>
        <w:numPr>
          <w:ilvl w:val="12"/>
          <w:numId w:val="0"/>
        </w:numPr>
        <w:rPr>
          <w:b/>
          <w:bCs/>
          <w:lang w:val="lt-LT"/>
        </w:rPr>
      </w:pPr>
      <w:r w:rsidRPr="002C4825">
        <w:rPr>
          <w:lang w:val="lt-LT"/>
        </w:rPr>
        <w:t>Išsami informacija apie šį vaistą pateikiama Valstybinės vaistų kontrolės tarnybos prie Lietuvos Respublikos sveikatos apsaugos ministerijos tinklalapyje</w:t>
      </w:r>
      <w:r w:rsidRPr="002C4825">
        <w:rPr>
          <w:i/>
          <w:lang w:val="lt-LT"/>
        </w:rPr>
        <w:t xml:space="preserve"> </w:t>
      </w:r>
      <w:hyperlink r:id="rId5" w:history="1">
        <w:r w:rsidRPr="002C4825">
          <w:rPr>
            <w:rFonts w:eastAsia="SimSun"/>
            <w:color w:val="0000FF"/>
            <w:u w:val="single"/>
            <w:lang w:val="lt-LT"/>
          </w:rPr>
          <w:t>http://www.vvkt.lt/</w:t>
        </w:r>
      </w:hyperlink>
      <w:r w:rsidRPr="002C4825">
        <w:rPr>
          <w:lang w:val="lt-LT"/>
        </w:rPr>
        <w:t>.</w:t>
      </w:r>
    </w:p>
    <w:p w:rsidR="009041DB" w:rsidRDefault="009041DB">
      <w:bookmarkStart w:id="0" w:name="_GoBack"/>
      <w:bookmarkEnd w:id="0"/>
    </w:p>
    <w:sectPr w:rsidR="009041DB" w:rsidSect="00CC7994">
      <w:headerReference w:type="default" r:id="rId6"/>
      <w:footerReference w:type="default" r:id="rId7"/>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652175"/>
      <w:docPartObj>
        <w:docPartGallery w:val="Page Numbers (Bottom of Page)"/>
        <w:docPartUnique/>
      </w:docPartObj>
    </w:sdtPr>
    <w:sdtEndPr>
      <w:rPr>
        <w:noProof/>
      </w:rPr>
    </w:sdtEndPr>
    <w:sdtContent>
      <w:p w:rsidR="002A57E7" w:rsidRDefault="00F25301">
        <w:pPr>
          <w:pStyle w:val="Porat"/>
          <w:jc w:val="center"/>
        </w:pPr>
        <w:r>
          <w:fldChar w:fldCharType="begin"/>
        </w:r>
        <w:r>
          <w:instrText xml:space="preserve"> PAGE   \* MERGEFORMAT </w:instrText>
        </w:r>
        <w:r>
          <w:fldChar w:fldCharType="separate"/>
        </w:r>
        <w:r>
          <w:rPr>
            <w:noProof/>
          </w:rPr>
          <w:t>5</w:t>
        </w:r>
        <w:r>
          <w:rPr>
            <w:noProof/>
          </w:rPr>
          <w:fldChar w:fldCharType="end"/>
        </w:r>
      </w:p>
    </w:sdtContent>
  </w:sdt>
  <w:p w:rsidR="002A57E7" w:rsidRDefault="00F25301">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7E7" w:rsidRDefault="00F253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90DB5"/>
    <w:multiLevelType w:val="hybridMultilevel"/>
    <w:tmpl w:val="04520C70"/>
    <w:lvl w:ilvl="0" w:tplc="81DA0A94">
      <w:numFmt w:val="bullet"/>
      <w:lvlText w:val="-"/>
      <w:lvlJc w:val="left"/>
      <w:pPr>
        <w:tabs>
          <w:tab w:val="num" w:pos="360"/>
        </w:tabs>
        <w:ind w:left="36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E27E99"/>
    <w:multiLevelType w:val="hybridMultilevel"/>
    <w:tmpl w:val="EF8C7A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5D6EAF"/>
    <w:multiLevelType w:val="hybridMultilevel"/>
    <w:tmpl w:val="F9908CD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AF4E3E"/>
    <w:multiLevelType w:val="hybridMultilevel"/>
    <w:tmpl w:val="02B65EC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F94C6B"/>
    <w:multiLevelType w:val="hybridMultilevel"/>
    <w:tmpl w:val="2FBA57AA"/>
    <w:lvl w:ilvl="0" w:tplc="81DA0A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50050F"/>
    <w:multiLevelType w:val="hybridMultilevel"/>
    <w:tmpl w:val="5B2E5E6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CC23EC"/>
    <w:multiLevelType w:val="hybridMultilevel"/>
    <w:tmpl w:val="B56213D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301"/>
    <w:rsid w:val="00234094"/>
    <w:rsid w:val="002A211A"/>
    <w:rsid w:val="009041DB"/>
    <w:rsid w:val="00975D35"/>
    <w:rsid w:val="00D95EFF"/>
    <w:rsid w:val="00EE3634"/>
    <w:rsid w:val="00F253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8CF48-A73F-4CC7-BA3C-AF90AD9CE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5301"/>
    <w:pPr>
      <w:widowControl w:val="0"/>
      <w:autoSpaceDE w:val="0"/>
      <w:autoSpaceDN w:val="0"/>
      <w:spacing w:after="0" w:line="240" w:lineRule="auto"/>
    </w:pPr>
    <w:rPr>
      <w:rFonts w:ascii="Times New Roman" w:hAnsi="Times New Roman"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25301"/>
    <w:pPr>
      <w:tabs>
        <w:tab w:val="center" w:pos="4680"/>
        <w:tab w:val="right" w:pos="9360"/>
      </w:tabs>
    </w:pPr>
  </w:style>
  <w:style w:type="character" w:customStyle="1" w:styleId="AntratsDiagrama">
    <w:name w:val="Antraštės Diagrama"/>
    <w:basedOn w:val="Numatytasispastraiposriftas"/>
    <w:link w:val="Antrats"/>
    <w:uiPriority w:val="99"/>
    <w:rsid w:val="00F25301"/>
    <w:rPr>
      <w:rFonts w:ascii="Times New Roman" w:hAnsi="Times New Roman" w:cs="Times New Roman"/>
      <w:lang w:val="en-US"/>
    </w:rPr>
  </w:style>
  <w:style w:type="paragraph" w:styleId="Porat">
    <w:name w:val="footer"/>
    <w:basedOn w:val="prastasis"/>
    <w:link w:val="PoratDiagrama"/>
    <w:uiPriority w:val="99"/>
    <w:unhideWhenUsed/>
    <w:rsid w:val="00F25301"/>
    <w:pPr>
      <w:tabs>
        <w:tab w:val="center" w:pos="4680"/>
        <w:tab w:val="right" w:pos="9360"/>
      </w:tabs>
    </w:pPr>
  </w:style>
  <w:style w:type="character" w:customStyle="1" w:styleId="PoratDiagrama">
    <w:name w:val="Poraštė Diagrama"/>
    <w:basedOn w:val="Numatytasispastraiposriftas"/>
    <w:link w:val="Porat"/>
    <w:uiPriority w:val="99"/>
    <w:rsid w:val="00F25301"/>
    <w:rPr>
      <w:rFonts w:ascii="Times New Roman" w:hAnsi="Times New Roman" w:cs="Times New Roman"/>
      <w:lang w:val="en-US"/>
    </w:rPr>
  </w:style>
  <w:style w:type="paragraph" w:styleId="Pagrindinistekstas">
    <w:name w:val="Body Text"/>
    <w:basedOn w:val="prastasis"/>
    <w:link w:val="PagrindinistekstasDiagrama"/>
    <w:uiPriority w:val="1"/>
    <w:qFormat/>
    <w:rsid w:val="00F25301"/>
  </w:style>
  <w:style w:type="character" w:customStyle="1" w:styleId="PagrindinistekstasDiagrama">
    <w:name w:val="Pagrindinis tekstas Diagrama"/>
    <w:basedOn w:val="Numatytasispastraiposriftas"/>
    <w:link w:val="Pagrindinistekstas"/>
    <w:uiPriority w:val="1"/>
    <w:rsid w:val="00F25301"/>
    <w:rPr>
      <w:rFonts w:ascii="Times New Roman" w:hAnsi="Times New Roman" w:cs="Times New Roman"/>
      <w:lang w:val="en-US"/>
    </w:rPr>
  </w:style>
  <w:style w:type="paragraph" w:styleId="Sraopastraipa">
    <w:name w:val="List Paragraph"/>
    <w:basedOn w:val="prastasis"/>
    <w:uiPriority w:val="34"/>
    <w:qFormat/>
    <w:rsid w:val="00F253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6715</Words>
  <Characters>3829</Characters>
  <Application>Microsoft Office Word</Application>
  <DocSecurity>0</DocSecurity>
  <Lines>31</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2022-05-02T08:07:00Z</dcterms:created>
  <dcterms:modified xsi:type="dcterms:W3CDTF">2022-05-02T08:08:00Z</dcterms:modified>
</cp:coreProperties>
</file>