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07D1A" w14:textId="77777777" w:rsidR="00883C99" w:rsidRPr="002C4825" w:rsidRDefault="00883C99" w:rsidP="00883C99">
      <w:pPr>
        <w:pStyle w:val="Pagrindinistekstas"/>
        <w:rPr>
          <w:sz w:val="20"/>
          <w:lang w:val="lt-LT"/>
        </w:rPr>
      </w:pPr>
    </w:p>
    <w:p w14:paraId="427C261D" w14:textId="77777777" w:rsidR="00883C99" w:rsidRPr="002C4825" w:rsidRDefault="00883C99" w:rsidP="00883C99">
      <w:pPr>
        <w:pStyle w:val="Pagrindinistekstas"/>
        <w:rPr>
          <w:sz w:val="20"/>
          <w:lang w:val="lt-LT"/>
        </w:rPr>
      </w:pPr>
    </w:p>
    <w:p w14:paraId="2FCEEDF1" w14:textId="77777777" w:rsidR="00883C99" w:rsidRPr="002C4825" w:rsidRDefault="00883C99" w:rsidP="00883C99">
      <w:pPr>
        <w:pStyle w:val="Pagrindinistekstas"/>
        <w:rPr>
          <w:sz w:val="20"/>
          <w:lang w:val="lt-LT"/>
        </w:rPr>
      </w:pPr>
    </w:p>
    <w:p w14:paraId="308B145D" w14:textId="77777777" w:rsidR="00883C99" w:rsidRPr="002C4825" w:rsidRDefault="00883C99" w:rsidP="00883C99">
      <w:pPr>
        <w:pStyle w:val="Pagrindinistekstas"/>
        <w:rPr>
          <w:sz w:val="20"/>
          <w:lang w:val="lt-LT"/>
        </w:rPr>
      </w:pPr>
    </w:p>
    <w:p w14:paraId="6298F725" w14:textId="77777777" w:rsidR="00883C99" w:rsidRPr="002C4825" w:rsidRDefault="00883C99" w:rsidP="00883C99">
      <w:pPr>
        <w:pStyle w:val="Pagrindinistekstas"/>
        <w:rPr>
          <w:sz w:val="20"/>
          <w:lang w:val="lt-LT"/>
        </w:rPr>
      </w:pPr>
    </w:p>
    <w:p w14:paraId="214E2B99" w14:textId="77777777" w:rsidR="00883C99" w:rsidRPr="002C4825" w:rsidRDefault="00883C99" w:rsidP="00883C99">
      <w:pPr>
        <w:pStyle w:val="Pagrindinistekstas"/>
        <w:rPr>
          <w:sz w:val="20"/>
          <w:lang w:val="lt-LT"/>
        </w:rPr>
      </w:pPr>
    </w:p>
    <w:p w14:paraId="4EEB484D" w14:textId="77777777" w:rsidR="00883C99" w:rsidRPr="002C4825" w:rsidRDefault="00883C99" w:rsidP="00883C99">
      <w:pPr>
        <w:pStyle w:val="Pagrindinistekstas"/>
        <w:rPr>
          <w:sz w:val="20"/>
          <w:lang w:val="lt-LT"/>
        </w:rPr>
      </w:pPr>
    </w:p>
    <w:p w14:paraId="334182E5" w14:textId="77777777" w:rsidR="00883C99" w:rsidRPr="002C4825" w:rsidRDefault="00883C99" w:rsidP="00883C99">
      <w:pPr>
        <w:pStyle w:val="Pagrindinistekstas"/>
        <w:rPr>
          <w:sz w:val="20"/>
          <w:lang w:val="lt-LT"/>
        </w:rPr>
      </w:pPr>
    </w:p>
    <w:p w14:paraId="73476B9F" w14:textId="77777777" w:rsidR="00883C99" w:rsidRPr="002C4825" w:rsidRDefault="00883C99" w:rsidP="00883C99">
      <w:pPr>
        <w:pStyle w:val="Pagrindinistekstas"/>
        <w:rPr>
          <w:sz w:val="20"/>
          <w:lang w:val="lt-LT"/>
        </w:rPr>
      </w:pPr>
    </w:p>
    <w:p w14:paraId="15F8AA33" w14:textId="77777777" w:rsidR="00883C99" w:rsidRPr="002C4825" w:rsidRDefault="00883C99" w:rsidP="00883C99">
      <w:pPr>
        <w:pStyle w:val="Pagrindinistekstas"/>
        <w:rPr>
          <w:sz w:val="20"/>
          <w:lang w:val="lt-LT"/>
        </w:rPr>
      </w:pPr>
    </w:p>
    <w:p w14:paraId="7FA62EAE" w14:textId="77777777" w:rsidR="00883C99" w:rsidRPr="002C4825" w:rsidRDefault="00883C99" w:rsidP="00883C99">
      <w:pPr>
        <w:pStyle w:val="Pagrindinistekstas"/>
        <w:rPr>
          <w:sz w:val="20"/>
          <w:lang w:val="lt-LT"/>
        </w:rPr>
      </w:pPr>
    </w:p>
    <w:p w14:paraId="2559C658" w14:textId="77777777" w:rsidR="00883C99" w:rsidRPr="002C4825" w:rsidRDefault="00883C99" w:rsidP="00883C99">
      <w:pPr>
        <w:pStyle w:val="Pagrindinistekstas"/>
        <w:rPr>
          <w:sz w:val="20"/>
          <w:lang w:val="lt-LT"/>
        </w:rPr>
      </w:pPr>
    </w:p>
    <w:p w14:paraId="001ADEA3" w14:textId="77777777" w:rsidR="00883C99" w:rsidRPr="002C4825" w:rsidRDefault="00883C99" w:rsidP="00883C99">
      <w:pPr>
        <w:pStyle w:val="Pagrindinistekstas"/>
        <w:rPr>
          <w:sz w:val="20"/>
          <w:lang w:val="lt-LT"/>
        </w:rPr>
      </w:pPr>
    </w:p>
    <w:p w14:paraId="21DBBD54" w14:textId="77777777" w:rsidR="00883C99" w:rsidRPr="002C4825" w:rsidRDefault="00883C99" w:rsidP="00883C99">
      <w:pPr>
        <w:pStyle w:val="Pagrindinistekstas"/>
        <w:rPr>
          <w:sz w:val="20"/>
          <w:lang w:val="lt-LT"/>
        </w:rPr>
      </w:pPr>
    </w:p>
    <w:p w14:paraId="05FAF625" w14:textId="77777777" w:rsidR="00883C99" w:rsidRPr="002C4825" w:rsidRDefault="00883C99" w:rsidP="00883C99">
      <w:pPr>
        <w:pStyle w:val="Pagrindinistekstas"/>
        <w:rPr>
          <w:sz w:val="20"/>
          <w:lang w:val="lt-LT"/>
        </w:rPr>
      </w:pPr>
    </w:p>
    <w:p w14:paraId="07C194E7" w14:textId="77777777" w:rsidR="00883C99" w:rsidRPr="002C4825" w:rsidRDefault="00883C99" w:rsidP="00883C99">
      <w:pPr>
        <w:pStyle w:val="Pagrindinistekstas"/>
        <w:rPr>
          <w:sz w:val="20"/>
          <w:lang w:val="lt-LT"/>
        </w:rPr>
      </w:pPr>
    </w:p>
    <w:p w14:paraId="287A22E2" w14:textId="77777777" w:rsidR="00883C99" w:rsidRPr="002C4825" w:rsidRDefault="00883C99" w:rsidP="00883C99">
      <w:pPr>
        <w:pStyle w:val="Pagrindinistekstas"/>
        <w:rPr>
          <w:sz w:val="20"/>
          <w:lang w:val="lt-LT"/>
        </w:rPr>
      </w:pPr>
    </w:p>
    <w:p w14:paraId="7098FE15" w14:textId="77777777" w:rsidR="00883C99" w:rsidRPr="002C4825" w:rsidRDefault="00883C99" w:rsidP="00883C99">
      <w:pPr>
        <w:pStyle w:val="Pagrindinistekstas"/>
        <w:rPr>
          <w:sz w:val="20"/>
          <w:lang w:val="lt-LT"/>
        </w:rPr>
      </w:pPr>
    </w:p>
    <w:p w14:paraId="38585E7F" w14:textId="77777777" w:rsidR="00883C99" w:rsidRPr="002C4825" w:rsidRDefault="00883C99" w:rsidP="00883C99">
      <w:pPr>
        <w:pStyle w:val="Pagrindinistekstas"/>
        <w:rPr>
          <w:sz w:val="20"/>
          <w:lang w:val="lt-LT"/>
        </w:rPr>
      </w:pPr>
    </w:p>
    <w:p w14:paraId="312DF326" w14:textId="77777777" w:rsidR="00883C99" w:rsidRPr="002C4825" w:rsidRDefault="00883C99" w:rsidP="00883C99">
      <w:pPr>
        <w:pStyle w:val="Pagrindinistekstas"/>
        <w:rPr>
          <w:sz w:val="20"/>
          <w:lang w:val="lt-LT"/>
        </w:rPr>
      </w:pPr>
    </w:p>
    <w:p w14:paraId="4AD5B772" w14:textId="77777777" w:rsidR="00883C99" w:rsidRPr="002C4825" w:rsidRDefault="00883C99" w:rsidP="00883C99">
      <w:pPr>
        <w:pStyle w:val="Pagrindinistekstas"/>
        <w:rPr>
          <w:sz w:val="20"/>
          <w:lang w:val="lt-LT"/>
        </w:rPr>
      </w:pPr>
    </w:p>
    <w:p w14:paraId="03EB6490" w14:textId="77777777" w:rsidR="00883C99" w:rsidRPr="002C4825" w:rsidRDefault="00883C99" w:rsidP="00883C99">
      <w:pPr>
        <w:pStyle w:val="Pagrindinistekstas"/>
        <w:rPr>
          <w:sz w:val="20"/>
          <w:lang w:val="lt-LT"/>
        </w:rPr>
      </w:pPr>
    </w:p>
    <w:p w14:paraId="787D9B1C" w14:textId="77777777" w:rsidR="00883C99" w:rsidRPr="002C4825" w:rsidRDefault="00883C99" w:rsidP="00883C99">
      <w:pPr>
        <w:pStyle w:val="Pagrindinistekstas"/>
        <w:spacing w:before="8"/>
        <w:rPr>
          <w:sz w:val="23"/>
          <w:lang w:val="lt-LT"/>
        </w:rPr>
      </w:pPr>
    </w:p>
    <w:p w14:paraId="05B48739" w14:textId="77777777" w:rsidR="00883C99" w:rsidRPr="002C4825" w:rsidRDefault="00883C99" w:rsidP="00883C99">
      <w:pPr>
        <w:pStyle w:val="Antrat2"/>
        <w:spacing w:before="91"/>
        <w:ind w:left="2296" w:right="2194"/>
        <w:jc w:val="center"/>
        <w:rPr>
          <w:lang w:val="lt-LT"/>
        </w:rPr>
      </w:pPr>
      <w:bookmarkStart w:id="0" w:name="PREPARATO_CHARAKTERISTIKŲ_SANTRAUKA"/>
      <w:bookmarkEnd w:id="0"/>
      <w:r w:rsidRPr="002C4825">
        <w:rPr>
          <w:lang w:val="lt-LT"/>
        </w:rPr>
        <w:t>I PRIEDAS</w:t>
      </w:r>
    </w:p>
    <w:p w14:paraId="79B44788" w14:textId="77777777" w:rsidR="00883C99" w:rsidRPr="002C4825" w:rsidRDefault="00883C99" w:rsidP="00883C99">
      <w:pPr>
        <w:pStyle w:val="Pagrindinistekstas"/>
        <w:spacing w:before="3"/>
        <w:rPr>
          <w:b/>
          <w:lang w:val="lt-LT"/>
        </w:rPr>
      </w:pPr>
    </w:p>
    <w:p w14:paraId="14292498" w14:textId="77777777" w:rsidR="00883C99" w:rsidRPr="002C4825" w:rsidRDefault="00883C99" w:rsidP="00883C99">
      <w:pPr>
        <w:ind w:right="2"/>
        <w:jc w:val="center"/>
        <w:rPr>
          <w:b/>
          <w:lang w:val="lt-LT"/>
        </w:rPr>
      </w:pPr>
      <w:r w:rsidRPr="002C4825">
        <w:rPr>
          <w:b/>
          <w:lang w:val="lt-LT"/>
        </w:rPr>
        <w:t>PREPARATO CHARAKTERISTIKŲ SANTRAUKA</w:t>
      </w:r>
    </w:p>
    <w:p w14:paraId="096D9C2F" w14:textId="77777777" w:rsidR="00883C99" w:rsidRPr="002C4825" w:rsidRDefault="00883C99" w:rsidP="00883C99">
      <w:pPr>
        <w:widowControl/>
        <w:autoSpaceDE/>
        <w:autoSpaceDN/>
        <w:spacing w:after="160" w:line="259" w:lineRule="auto"/>
        <w:rPr>
          <w:lang w:val="lt-LT"/>
        </w:rPr>
      </w:pPr>
      <w:r w:rsidRPr="002C4825">
        <w:rPr>
          <w:lang w:val="lt-LT"/>
        </w:rPr>
        <w:br w:type="page"/>
      </w:r>
    </w:p>
    <w:p w14:paraId="4D0D7D0F" w14:textId="4F1F4A22" w:rsidR="00883C99" w:rsidRPr="002C4825" w:rsidRDefault="00883C99" w:rsidP="00883C99">
      <w:pPr>
        <w:pStyle w:val="Antrat2"/>
        <w:numPr>
          <w:ilvl w:val="0"/>
          <w:numId w:val="1"/>
        </w:numPr>
        <w:spacing w:before="67"/>
        <w:ind w:left="567" w:hanging="568"/>
        <w:rPr>
          <w:lang w:val="lt-LT"/>
        </w:rPr>
      </w:pPr>
      <w:r w:rsidRPr="002C4825">
        <w:rPr>
          <w:lang w:val="lt-LT"/>
        </w:rPr>
        <w:lastRenderedPageBreak/>
        <w:t>VAISTINIO PREPARATO</w:t>
      </w:r>
      <w:r w:rsidRPr="002C4825">
        <w:rPr>
          <w:spacing w:val="6"/>
          <w:lang w:val="lt-LT"/>
        </w:rPr>
        <w:t xml:space="preserve"> </w:t>
      </w:r>
      <w:r w:rsidRPr="002C4825">
        <w:rPr>
          <w:spacing w:val="-3"/>
          <w:lang w:val="lt-LT"/>
        </w:rPr>
        <w:t>PAVADINIMAS</w:t>
      </w:r>
    </w:p>
    <w:p w14:paraId="198374F4" w14:textId="77777777" w:rsidR="00883C99" w:rsidRPr="002C4825" w:rsidRDefault="00883C99" w:rsidP="00883C99">
      <w:pPr>
        <w:rPr>
          <w:lang w:val="lt-LT"/>
        </w:rPr>
      </w:pPr>
    </w:p>
    <w:p w14:paraId="632A7993" w14:textId="1018456A" w:rsidR="00883C99" w:rsidRPr="002C4825" w:rsidRDefault="005F743F" w:rsidP="00883C99">
      <w:pPr>
        <w:rPr>
          <w:lang w:val="lt-LT"/>
        </w:rPr>
      </w:pPr>
      <w:r w:rsidRPr="002C4825">
        <w:rPr>
          <w:lang w:val="lt-LT"/>
        </w:rPr>
        <w:t>Wintrozen</w:t>
      </w:r>
      <w:r w:rsidR="00883C99" w:rsidRPr="002C4825">
        <w:rPr>
          <w:lang w:val="lt-LT"/>
        </w:rPr>
        <w:t> 600 mg šnypščiosios tabletės</w:t>
      </w:r>
    </w:p>
    <w:p w14:paraId="6F86DA6F" w14:textId="77777777" w:rsidR="00883C99" w:rsidRPr="002C4825" w:rsidRDefault="00883C99" w:rsidP="00883C99">
      <w:pPr>
        <w:rPr>
          <w:lang w:val="lt-LT"/>
        </w:rPr>
      </w:pPr>
    </w:p>
    <w:p w14:paraId="2376D2F5" w14:textId="77777777" w:rsidR="00883C99" w:rsidRPr="002C4825" w:rsidRDefault="00883C99" w:rsidP="00883C99">
      <w:pPr>
        <w:rPr>
          <w:lang w:val="lt-LT"/>
        </w:rPr>
      </w:pPr>
    </w:p>
    <w:p w14:paraId="2087B395" w14:textId="77777777" w:rsidR="00883C99" w:rsidRPr="002C4825" w:rsidRDefault="00883C99" w:rsidP="00883C99">
      <w:pPr>
        <w:pStyle w:val="Sraopastraipa"/>
        <w:numPr>
          <w:ilvl w:val="0"/>
          <w:numId w:val="1"/>
        </w:numPr>
        <w:ind w:left="567"/>
        <w:rPr>
          <w:lang w:val="lt-LT"/>
        </w:rPr>
      </w:pPr>
      <w:r w:rsidRPr="002C4825">
        <w:rPr>
          <w:b/>
          <w:bCs/>
          <w:lang w:val="lt-LT"/>
        </w:rPr>
        <w:t>KOKYBINĖ IR KIEKYBINĖ SUDĖTIS</w:t>
      </w:r>
    </w:p>
    <w:p w14:paraId="110125E9" w14:textId="77777777" w:rsidR="00883C99" w:rsidRPr="002C4825" w:rsidRDefault="00883C99" w:rsidP="00883C99">
      <w:pPr>
        <w:rPr>
          <w:lang w:val="lt-LT"/>
        </w:rPr>
      </w:pPr>
    </w:p>
    <w:p w14:paraId="741819C2" w14:textId="53BD2FF9" w:rsidR="00883C99" w:rsidRDefault="00883C99" w:rsidP="00883C99">
      <w:pPr>
        <w:rPr>
          <w:lang w:val="lt-LT"/>
        </w:rPr>
      </w:pPr>
      <w:r w:rsidRPr="002C4825">
        <w:rPr>
          <w:lang w:val="lt-LT"/>
        </w:rPr>
        <w:t>Kiekvienoje šnypščiojoje tabletėje yra 600 mg acetilcisteino.</w:t>
      </w:r>
    </w:p>
    <w:p w14:paraId="1BE64DA2" w14:textId="77777777" w:rsidR="00F430BE" w:rsidRPr="002C4825" w:rsidRDefault="00F430BE" w:rsidP="00883C99">
      <w:pPr>
        <w:rPr>
          <w:lang w:val="lt-LT"/>
        </w:rPr>
      </w:pPr>
    </w:p>
    <w:p w14:paraId="516BEA2D" w14:textId="0DC26865" w:rsidR="002A57E7" w:rsidRDefault="00D76C00" w:rsidP="00883C99">
      <w:pPr>
        <w:rPr>
          <w:lang w:val="lt-LT"/>
        </w:rPr>
      </w:pPr>
      <w:r w:rsidRPr="00FF6A87">
        <w:rPr>
          <w:u w:val="single"/>
          <w:lang w:val="lt-LT"/>
        </w:rPr>
        <w:t>Pagalbinė medžiaga, kurios poveikis žinomas</w:t>
      </w:r>
      <w:r w:rsidRPr="002C4825">
        <w:rPr>
          <w:lang w:val="lt-LT"/>
        </w:rPr>
        <w:t xml:space="preserve">: </w:t>
      </w:r>
    </w:p>
    <w:p w14:paraId="5BA11791" w14:textId="0915C3EC" w:rsidR="00883C99" w:rsidRDefault="002A57E7" w:rsidP="00883C99">
      <w:pPr>
        <w:rPr>
          <w:lang w:val="lt-LT"/>
        </w:rPr>
      </w:pPr>
      <w:r>
        <w:rPr>
          <w:lang w:val="lt-LT"/>
        </w:rPr>
        <w:t xml:space="preserve">Kiekvienoje šnypščiojoje tabletėje yra </w:t>
      </w:r>
      <w:r w:rsidRPr="008521E7">
        <w:rPr>
          <w:lang w:val="lt-LT"/>
        </w:rPr>
        <w:t>194 mg</w:t>
      </w:r>
      <w:r>
        <w:rPr>
          <w:lang w:val="lt-LT"/>
        </w:rPr>
        <w:t xml:space="preserve"> </w:t>
      </w:r>
      <w:r w:rsidR="00D76C00" w:rsidRPr="002C4825">
        <w:rPr>
          <w:lang w:val="lt-LT"/>
        </w:rPr>
        <w:t>natri</w:t>
      </w:r>
      <w:r>
        <w:rPr>
          <w:lang w:val="lt-LT"/>
        </w:rPr>
        <w:t>o</w:t>
      </w:r>
      <w:r w:rsidR="00D76C00" w:rsidRPr="002C4825">
        <w:rPr>
          <w:lang w:val="lt-LT"/>
        </w:rPr>
        <w:t>.</w:t>
      </w:r>
    </w:p>
    <w:p w14:paraId="2E83637A" w14:textId="77777777" w:rsidR="00F430BE" w:rsidRPr="002C4825" w:rsidRDefault="00F430BE" w:rsidP="00883C99">
      <w:pPr>
        <w:rPr>
          <w:lang w:val="lt-LT"/>
        </w:rPr>
      </w:pPr>
    </w:p>
    <w:p w14:paraId="4E120BB0" w14:textId="77777777" w:rsidR="00883C99" w:rsidRPr="002C4825" w:rsidRDefault="00883C99" w:rsidP="00883C99">
      <w:pPr>
        <w:rPr>
          <w:lang w:val="lt-LT"/>
        </w:rPr>
      </w:pPr>
      <w:r w:rsidRPr="002C4825">
        <w:rPr>
          <w:lang w:val="lt-LT"/>
        </w:rPr>
        <w:t>Visos pagalbinės medžiagos išvardytos 6.1 skyriuje.</w:t>
      </w:r>
    </w:p>
    <w:p w14:paraId="25573C00" w14:textId="77777777" w:rsidR="00883C99" w:rsidRPr="002C4825" w:rsidRDefault="00883C99" w:rsidP="00883C99">
      <w:pPr>
        <w:rPr>
          <w:lang w:val="lt-LT"/>
        </w:rPr>
      </w:pPr>
    </w:p>
    <w:p w14:paraId="1EA59668" w14:textId="77777777" w:rsidR="00883C99" w:rsidRPr="002C4825" w:rsidRDefault="00883C99" w:rsidP="00883C99">
      <w:pPr>
        <w:rPr>
          <w:lang w:val="lt-LT"/>
        </w:rPr>
      </w:pPr>
    </w:p>
    <w:p w14:paraId="5187D56B" w14:textId="77777777" w:rsidR="00883C99" w:rsidRPr="002C4825" w:rsidRDefault="00883C99" w:rsidP="00883C99">
      <w:pPr>
        <w:pStyle w:val="Sraopastraipa"/>
        <w:numPr>
          <w:ilvl w:val="0"/>
          <w:numId w:val="1"/>
        </w:numPr>
        <w:ind w:left="567"/>
        <w:rPr>
          <w:b/>
          <w:bCs/>
          <w:lang w:val="lt-LT"/>
        </w:rPr>
      </w:pPr>
      <w:r w:rsidRPr="002C4825">
        <w:rPr>
          <w:b/>
          <w:bCs/>
          <w:lang w:val="lt-LT"/>
        </w:rPr>
        <w:t>FARMACINĖ FORMA</w:t>
      </w:r>
    </w:p>
    <w:p w14:paraId="63134834" w14:textId="77777777" w:rsidR="00883C99" w:rsidRPr="002C4825" w:rsidRDefault="00883C99" w:rsidP="00883C99">
      <w:pPr>
        <w:rPr>
          <w:b/>
          <w:bCs/>
          <w:lang w:val="lt-LT"/>
        </w:rPr>
      </w:pPr>
    </w:p>
    <w:p w14:paraId="75C5E707" w14:textId="3477A5C3" w:rsidR="00883C99" w:rsidRPr="002C4825" w:rsidRDefault="00D76C00" w:rsidP="00883C99">
      <w:pPr>
        <w:rPr>
          <w:lang w:val="lt-LT"/>
        </w:rPr>
      </w:pPr>
      <w:r w:rsidRPr="002C4825">
        <w:rPr>
          <w:lang w:val="lt-LT"/>
        </w:rPr>
        <w:t>Šnypščioji tabletė</w:t>
      </w:r>
      <w:r w:rsidR="00883C99" w:rsidRPr="002C4825">
        <w:rPr>
          <w:lang w:val="lt-LT"/>
        </w:rPr>
        <w:t>.</w:t>
      </w:r>
    </w:p>
    <w:p w14:paraId="6F588A65" w14:textId="3F31E4C2" w:rsidR="00883C99" w:rsidRDefault="00883C99" w:rsidP="00883C99">
      <w:pPr>
        <w:rPr>
          <w:lang w:val="lt-LT"/>
        </w:rPr>
      </w:pPr>
    </w:p>
    <w:p w14:paraId="7821BE5D" w14:textId="65E8E002" w:rsidR="002A57E7" w:rsidRPr="002C4825" w:rsidRDefault="002A57E7" w:rsidP="00883C99">
      <w:pPr>
        <w:rPr>
          <w:lang w:val="lt-LT"/>
        </w:rPr>
      </w:pPr>
      <w:r>
        <w:rPr>
          <w:lang w:val="lt-LT"/>
        </w:rPr>
        <w:t>Baltos spalvos, apvalios, plokščios tabletės.</w:t>
      </w:r>
    </w:p>
    <w:p w14:paraId="32C22A4C" w14:textId="77777777" w:rsidR="00883C99" w:rsidRPr="002C4825" w:rsidRDefault="00883C99" w:rsidP="00883C99">
      <w:pPr>
        <w:rPr>
          <w:lang w:val="lt-LT"/>
        </w:rPr>
      </w:pPr>
    </w:p>
    <w:p w14:paraId="5DDD64C6" w14:textId="77777777" w:rsidR="00883C99" w:rsidRPr="002C4825" w:rsidRDefault="00883C99" w:rsidP="00883C99">
      <w:pPr>
        <w:ind w:left="567" w:hanging="567"/>
        <w:rPr>
          <w:b/>
          <w:bCs/>
          <w:lang w:val="lt-LT"/>
        </w:rPr>
      </w:pPr>
      <w:r w:rsidRPr="002C4825">
        <w:rPr>
          <w:b/>
          <w:bCs/>
          <w:lang w:val="lt-LT"/>
        </w:rPr>
        <w:t>4.</w:t>
      </w:r>
      <w:r w:rsidRPr="002C4825">
        <w:rPr>
          <w:b/>
          <w:bCs/>
          <w:lang w:val="lt-LT"/>
        </w:rPr>
        <w:tab/>
        <w:t>KLINIKINĖ INFORMACIJA</w:t>
      </w:r>
    </w:p>
    <w:p w14:paraId="116FDE7E" w14:textId="77777777" w:rsidR="00883C99" w:rsidRPr="002C4825" w:rsidRDefault="00883C99" w:rsidP="00883C99">
      <w:pPr>
        <w:rPr>
          <w:b/>
          <w:bCs/>
          <w:lang w:val="lt-LT"/>
        </w:rPr>
      </w:pPr>
    </w:p>
    <w:p w14:paraId="0BB74418" w14:textId="77777777" w:rsidR="00883C99" w:rsidRPr="002C4825" w:rsidRDefault="00883C99" w:rsidP="00883C99">
      <w:pPr>
        <w:ind w:left="567" w:hanging="567"/>
        <w:rPr>
          <w:lang w:val="lt-LT"/>
        </w:rPr>
      </w:pPr>
      <w:r w:rsidRPr="002C4825">
        <w:rPr>
          <w:b/>
          <w:bCs/>
          <w:lang w:val="lt-LT"/>
        </w:rPr>
        <w:t>4.1</w:t>
      </w:r>
      <w:r w:rsidRPr="002C4825">
        <w:rPr>
          <w:b/>
          <w:bCs/>
          <w:lang w:val="lt-LT"/>
        </w:rPr>
        <w:tab/>
        <w:t>Terapinės indikacijos</w:t>
      </w:r>
    </w:p>
    <w:p w14:paraId="10BC08AA" w14:textId="77777777" w:rsidR="00883C99" w:rsidRPr="002C4825" w:rsidRDefault="00883C99" w:rsidP="00883C99">
      <w:pPr>
        <w:rPr>
          <w:lang w:val="lt-LT"/>
        </w:rPr>
      </w:pPr>
    </w:p>
    <w:p w14:paraId="11F85BC8" w14:textId="7B0B838D" w:rsidR="00883C99" w:rsidRPr="002C4825" w:rsidRDefault="005F743F" w:rsidP="00883C99">
      <w:pPr>
        <w:rPr>
          <w:lang w:val="lt-LT"/>
        </w:rPr>
      </w:pPr>
      <w:r w:rsidRPr="002C4825">
        <w:rPr>
          <w:lang w:val="lt-LT"/>
        </w:rPr>
        <w:t>Wintrozen</w:t>
      </w:r>
      <w:r w:rsidR="00D76C00" w:rsidRPr="002C4825">
        <w:rPr>
          <w:lang w:val="lt-LT"/>
        </w:rPr>
        <w:t xml:space="preserve"> skirtas </w:t>
      </w:r>
      <w:r w:rsidR="00FD690A">
        <w:rPr>
          <w:lang w:val="lt-LT"/>
        </w:rPr>
        <w:t xml:space="preserve">suaugusiųjų ir vyresnių 14 metų paauglių </w:t>
      </w:r>
      <w:r w:rsidR="00D76C00" w:rsidRPr="002C4825">
        <w:rPr>
          <w:lang w:val="lt-LT"/>
        </w:rPr>
        <w:t>gleivių skystinimui ir atsikosėjimo lengvinimui sergant peršalimo sukeltu bronchitu</w:t>
      </w:r>
      <w:r w:rsidR="00FD690A">
        <w:rPr>
          <w:lang w:val="lt-LT"/>
        </w:rPr>
        <w:t xml:space="preserve">. </w:t>
      </w:r>
    </w:p>
    <w:p w14:paraId="7FE5B37C" w14:textId="77777777" w:rsidR="00883C99" w:rsidRPr="002C4825" w:rsidRDefault="00883C99" w:rsidP="00883C99">
      <w:pPr>
        <w:rPr>
          <w:lang w:val="lt-LT"/>
        </w:rPr>
      </w:pPr>
    </w:p>
    <w:p w14:paraId="2A23A637" w14:textId="77777777" w:rsidR="00883C99" w:rsidRPr="002C4825" w:rsidRDefault="00883C99" w:rsidP="00883C99">
      <w:pPr>
        <w:ind w:left="567" w:hanging="567"/>
        <w:rPr>
          <w:lang w:val="lt-LT"/>
        </w:rPr>
      </w:pPr>
      <w:r w:rsidRPr="002C4825">
        <w:rPr>
          <w:b/>
          <w:bCs/>
          <w:lang w:val="lt-LT"/>
        </w:rPr>
        <w:t>4.2</w:t>
      </w:r>
      <w:r w:rsidRPr="002C4825">
        <w:rPr>
          <w:b/>
          <w:bCs/>
          <w:lang w:val="lt-LT"/>
        </w:rPr>
        <w:tab/>
        <w:t>Dozavimas ir vartojimo metodas</w:t>
      </w:r>
    </w:p>
    <w:p w14:paraId="34AC63B9" w14:textId="77777777" w:rsidR="00883C99" w:rsidRPr="002C4825" w:rsidRDefault="00883C99" w:rsidP="00883C99">
      <w:pPr>
        <w:rPr>
          <w:lang w:val="lt-LT"/>
        </w:rPr>
      </w:pPr>
    </w:p>
    <w:p w14:paraId="547A7E95" w14:textId="77777777" w:rsidR="00883C99" w:rsidRPr="002C4825" w:rsidRDefault="00883C99" w:rsidP="00883C99">
      <w:pPr>
        <w:rPr>
          <w:lang w:val="lt-LT"/>
        </w:rPr>
      </w:pPr>
      <w:r w:rsidRPr="002C4825">
        <w:rPr>
          <w:u w:val="single"/>
          <w:lang w:val="lt-LT"/>
        </w:rPr>
        <w:t>Dozavimas</w:t>
      </w:r>
    </w:p>
    <w:p w14:paraId="73F010E4" w14:textId="7C30BD39" w:rsidR="00710B25" w:rsidRPr="002C4825" w:rsidRDefault="00710B25">
      <w:pPr>
        <w:rPr>
          <w:u w:val="single"/>
          <w:lang w:val="lt-LT"/>
        </w:rPr>
      </w:pPr>
    </w:p>
    <w:p w14:paraId="74D83302" w14:textId="5D0243C2" w:rsidR="00D76C00" w:rsidRPr="002C4825" w:rsidRDefault="00D76C00">
      <w:pPr>
        <w:rPr>
          <w:i/>
          <w:iCs/>
          <w:lang w:val="lt-LT"/>
        </w:rPr>
      </w:pPr>
      <w:r w:rsidRPr="002C4825">
        <w:rPr>
          <w:i/>
          <w:iCs/>
          <w:lang w:val="lt-LT"/>
        </w:rPr>
        <w:t xml:space="preserve">Suaugusiems </w:t>
      </w:r>
      <w:r w:rsidR="009A434C" w:rsidRPr="002C4825">
        <w:rPr>
          <w:i/>
          <w:iCs/>
          <w:lang w:val="lt-LT"/>
        </w:rPr>
        <w:t xml:space="preserve">ir </w:t>
      </w:r>
      <w:r w:rsidR="00FD690A" w:rsidRPr="002C4825">
        <w:rPr>
          <w:i/>
          <w:iCs/>
          <w:lang w:val="lt-LT"/>
        </w:rPr>
        <w:t>vyresniems</w:t>
      </w:r>
      <w:r w:rsidR="00FD690A">
        <w:rPr>
          <w:i/>
          <w:iCs/>
          <w:lang w:val="lt-LT"/>
        </w:rPr>
        <w:t xml:space="preserve"> kaip</w:t>
      </w:r>
      <w:r w:rsidR="00FD690A" w:rsidRPr="002C4825">
        <w:rPr>
          <w:i/>
          <w:iCs/>
          <w:lang w:val="lt-LT"/>
        </w:rPr>
        <w:t xml:space="preserve"> </w:t>
      </w:r>
      <w:r w:rsidR="009A434C" w:rsidRPr="002C4825">
        <w:rPr>
          <w:i/>
          <w:iCs/>
          <w:lang w:val="lt-LT"/>
        </w:rPr>
        <w:t>14 metų paaugliams</w:t>
      </w:r>
    </w:p>
    <w:p w14:paraId="22F0EE34" w14:textId="53BE965A" w:rsidR="009A434C" w:rsidRPr="002C4825" w:rsidRDefault="009A434C">
      <w:pPr>
        <w:rPr>
          <w:lang w:val="lt-LT"/>
        </w:rPr>
      </w:pPr>
      <w:r w:rsidRPr="002C4825">
        <w:rPr>
          <w:lang w:val="lt-LT"/>
        </w:rPr>
        <w:t>1 šnypščioji tabletė vieną kartą per parą, vakare.</w:t>
      </w:r>
    </w:p>
    <w:p w14:paraId="519AE039" w14:textId="2DF83F30" w:rsidR="009A434C" w:rsidRPr="002C4825" w:rsidRDefault="005F743F">
      <w:pPr>
        <w:rPr>
          <w:lang w:val="lt-LT"/>
        </w:rPr>
      </w:pPr>
      <w:r w:rsidRPr="002C4825">
        <w:rPr>
          <w:lang w:val="lt-LT"/>
        </w:rPr>
        <w:t>Wintrozen</w:t>
      </w:r>
      <w:r w:rsidR="009A434C" w:rsidRPr="002C4825">
        <w:rPr>
          <w:lang w:val="lt-LT"/>
        </w:rPr>
        <w:t xml:space="preserve"> negalima vartoti ilgiau nei 5 dienas.</w:t>
      </w:r>
    </w:p>
    <w:p w14:paraId="18BDEB07" w14:textId="48EE3127" w:rsidR="009A434C" w:rsidRPr="002C4825" w:rsidRDefault="009A434C">
      <w:pPr>
        <w:rPr>
          <w:lang w:val="lt-LT"/>
        </w:rPr>
      </w:pPr>
    </w:p>
    <w:p w14:paraId="74E07530" w14:textId="1D253D9A" w:rsidR="009A434C" w:rsidRPr="002C4825" w:rsidRDefault="009A434C">
      <w:pPr>
        <w:rPr>
          <w:u w:val="single"/>
          <w:lang w:val="lt-LT"/>
        </w:rPr>
      </w:pPr>
      <w:r w:rsidRPr="002C4825">
        <w:rPr>
          <w:u w:val="single"/>
          <w:lang w:val="lt-LT"/>
        </w:rPr>
        <w:t>Vartojimo metodas</w:t>
      </w:r>
    </w:p>
    <w:p w14:paraId="38B8EE2D" w14:textId="2E3A5F28" w:rsidR="009A434C" w:rsidRPr="002C4825" w:rsidRDefault="009A434C">
      <w:pPr>
        <w:rPr>
          <w:lang w:val="lt-LT"/>
        </w:rPr>
      </w:pPr>
      <w:r w:rsidRPr="002C4825">
        <w:rPr>
          <w:lang w:val="lt-LT"/>
        </w:rPr>
        <w:t xml:space="preserve">Vieną šnypščiąją tabletę ištirpinti stiklinėje vandens. Paruoštą tirpalą reikia išgerti per kelias minutes. </w:t>
      </w:r>
    </w:p>
    <w:p w14:paraId="10613D2D" w14:textId="7D74B14C" w:rsidR="002247E4" w:rsidRPr="002C4825" w:rsidRDefault="002247E4">
      <w:pPr>
        <w:rPr>
          <w:lang w:val="lt-LT"/>
        </w:rPr>
      </w:pPr>
    </w:p>
    <w:p w14:paraId="49A0FAE4" w14:textId="77777777" w:rsidR="002247E4" w:rsidRPr="002C4825" w:rsidRDefault="002247E4" w:rsidP="002247E4">
      <w:pPr>
        <w:ind w:left="567" w:hanging="567"/>
        <w:jc w:val="both"/>
        <w:outlineLvl w:val="3"/>
        <w:rPr>
          <w:b/>
          <w:bCs/>
          <w:lang w:val="lt-LT" w:eastAsia="lt-LT"/>
        </w:rPr>
      </w:pPr>
      <w:r w:rsidRPr="002C4825">
        <w:rPr>
          <w:b/>
          <w:bCs/>
          <w:lang w:val="lt-LT" w:eastAsia="lt-LT"/>
        </w:rPr>
        <w:t>4.3</w:t>
      </w:r>
      <w:r w:rsidRPr="002C4825">
        <w:rPr>
          <w:b/>
          <w:bCs/>
          <w:lang w:val="lt-LT" w:eastAsia="lt-LT"/>
        </w:rPr>
        <w:tab/>
        <w:t>Kontraindikacijos</w:t>
      </w:r>
    </w:p>
    <w:p w14:paraId="3FC5D64B" w14:textId="77777777" w:rsidR="002247E4" w:rsidRPr="002C4825" w:rsidRDefault="002247E4" w:rsidP="002247E4">
      <w:pPr>
        <w:rPr>
          <w:lang w:val="lt-LT"/>
        </w:rPr>
      </w:pPr>
    </w:p>
    <w:p w14:paraId="23BADBE8" w14:textId="77777777" w:rsidR="002247E4" w:rsidRPr="002C4825" w:rsidRDefault="002247E4" w:rsidP="002247E4">
      <w:pPr>
        <w:rPr>
          <w:lang w:val="lt-LT"/>
        </w:rPr>
      </w:pPr>
      <w:r w:rsidRPr="002C4825">
        <w:rPr>
          <w:lang w:val="lt-LT"/>
        </w:rPr>
        <w:t>Padidėjęs jautrumas veikliajai arba bet kuriai 6.1 skyriuje nurodytai pagalbinei medžiagai.</w:t>
      </w:r>
    </w:p>
    <w:p w14:paraId="548F177B" w14:textId="4C1FFB91" w:rsidR="002247E4" w:rsidRPr="002C4825" w:rsidRDefault="002247E4" w:rsidP="002247E4">
      <w:pPr>
        <w:rPr>
          <w:lang w:val="lt-LT"/>
        </w:rPr>
      </w:pPr>
      <w:r w:rsidRPr="002C4825">
        <w:rPr>
          <w:lang w:val="lt-LT"/>
        </w:rPr>
        <w:t xml:space="preserve">Dėl didelio veikliosios medžiagos kiekio </w:t>
      </w:r>
      <w:r w:rsidR="005F743F" w:rsidRPr="002C4825">
        <w:rPr>
          <w:lang w:val="lt-LT"/>
        </w:rPr>
        <w:t>Wintrozen</w:t>
      </w:r>
      <w:r w:rsidRPr="002C4825">
        <w:rPr>
          <w:lang w:val="lt-LT"/>
        </w:rPr>
        <w:t xml:space="preserve"> negalima vartoti vaikams ir jaunesniems kaip 14 metų paaugliams.</w:t>
      </w:r>
    </w:p>
    <w:p w14:paraId="644A58E9" w14:textId="77777777" w:rsidR="002247E4" w:rsidRPr="002C4825" w:rsidRDefault="002247E4" w:rsidP="002247E4">
      <w:pPr>
        <w:rPr>
          <w:lang w:val="lt-LT"/>
        </w:rPr>
      </w:pPr>
    </w:p>
    <w:p w14:paraId="1084AE51" w14:textId="77777777" w:rsidR="002247E4" w:rsidRPr="002C4825" w:rsidRDefault="002247E4" w:rsidP="002247E4">
      <w:pPr>
        <w:ind w:left="567" w:hanging="567"/>
        <w:jc w:val="both"/>
        <w:outlineLvl w:val="3"/>
        <w:rPr>
          <w:b/>
          <w:bCs/>
          <w:lang w:val="lt-LT" w:eastAsia="lt-LT"/>
        </w:rPr>
      </w:pPr>
      <w:r w:rsidRPr="002C4825">
        <w:rPr>
          <w:b/>
          <w:bCs/>
          <w:lang w:val="lt-LT" w:eastAsia="lt-LT"/>
        </w:rPr>
        <w:t>4.4</w:t>
      </w:r>
      <w:r w:rsidRPr="002C4825">
        <w:rPr>
          <w:b/>
          <w:bCs/>
          <w:lang w:val="lt-LT" w:eastAsia="lt-LT"/>
        </w:rPr>
        <w:tab/>
        <w:t>Specialūs įspėjimai ir atsargumo priemonės</w:t>
      </w:r>
    </w:p>
    <w:p w14:paraId="00C2BB88" w14:textId="279CEC68" w:rsidR="002247E4" w:rsidRPr="002C4825" w:rsidRDefault="002247E4">
      <w:pPr>
        <w:rPr>
          <w:lang w:val="lt-LT"/>
        </w:rPr>
      </w:pPr>
    </w:p>
    <w:p w14:paraId="4A260EB3" w14:textId="3FA4D800" w:rsidR="005F743F" w:rsidRPr="002C4825" w:rsidRDefault="005F743F">
      <w:pPr>
        <w:rPr>
          <w:lang w:val="lt-LT"/>
        </w:rPr>
      </w:pPr>
      <w:r w:rsidRPr="002C4825">
        <w:rPr>
          <w:lang w:val="lt-LT"/>
        </w:rPr>
        <w:t>Bronchų astma sergantys pacientai gydymo acetilcisteinu metu turi būti griežtai kontroliuojami. Pasireiškus bronchų spazmui gydymą acetilcisteinu reikia nedelsiant nutraukti ir pradėti tinkamą gydymą.</w:t>
      </w:r>
    </w:p>
    <w:p w14:paraId="31FF4B79" w14:textId="77777777" w:rsidR="005F743F" w:rsidRPr="002C4825" w:rsidRDefault="005F743F">
      <w:pPr>
        <w:rPr>
          <w:lang w:val="lt-LT"/>
        </w:rPr>
      </w:pPr>
    </w:p>
    <w:p w14:paraId="11BCD047" w14:textId="3BBF60FA" w:rsidR="005F743F" w:rsidRPr="002C4825" w:rsidRDefault="005F743F">
      <w:pPr>
        <w:rPr>
          <w:lang w:val="lt-LT"/>
        </w:rPr>
      </w:pPr>
      <w:r w:rsidRPr="002C4825">
        <w:rPr>
          <w:lang w:val="lt-LT"/>
        </w:rPr>
        <w:t>Ypatingo atsargumo patariama imtis pacientams, kuriems yra buvusios skrandžio ar dvylikapirštės žarnos opos, ypač kai kartu vartojami kiti skrandžio gleivinę dirginantys vaistiniai preparatai.</w:t>
      </w:r>
    </w:p>
    <w:p w14:paraId="37F82B91" w14:textId="46AC1DDC" w:rsidR="005F743F" w:rsidRPr="002C4825" w:rsidRDefault="005F743F">
      <w:pPr>
        <w:rPr>
          <w:lang w:val="lt-LT"/>
        </w:rPr>
      </w:pPr>
    </w:p>
    <w:p w14:paraId="54026600" w14:textId="0B636DAD" w:rsidR="005F743F" w:rsidRPr="002C4825" w:rsidRDefault="009241A6">
      <w:pPr>
        <w:rPr>
          <w:lang w:val="lt-LT"/>
        </w:rPr>
      </w:pPr>
      <w:r w:rsidRPr="002C4825">
        <w:rPr>
          <w:lang w:val="lt-LT"/>
        </w:rPr>
        <w:t>Gydymo acetilcisteinu metu labai retais atvejais buvo stebėtos sunkios nepageidaujamos odos reakcijos, pvz., Stivenso-Džonsono (</w:t>
      </w:r>
      <w:r w:rsidRPr="002C4825">
        <w:rPr>
          <w:i/>
          <w:iCs/>
          <w:lang w:val="lt-LT"/>
        </w:rPr>
        <w:t>Stevens-Johnson</w:t>
      </w:r>
      <w:r w:rsidRPr="002C4825">
        <w:rPr>
          <w:lang w:val="lt-LT"/>
        </w:rPr>
        <w:t>) ir toksinė epidermio nekrolizė [Lajelio (</w:t>
      </w:r>
      <w:r w:rsidRPr="002C4825">
        <w:rPr>
          <w:i/>
          <w:iCs/>
          <w:lang w:val="lt-LT"/>
        </w:rPr>
        <w:t>Lyell</w:t>
      </w:r>
      <w:r w:rsidRPr="002C4825">
        <w:rPr>
          <w:lang w:val="lt-LT"/>
        </w:rPr>
        <w:t xml:space="preserve">) sindromas]. Jei atsiranda odos ir gleivinės pokyčių, reikia nedelsiant pasitarti su gydytoju ir iškart </w:t>
      </w:r>
      <w:r w:rsidRPr="002C4825">
        <w:rPr>
          <w:lang w:val="lt-LT"/>
        </w:rPr>
        <w:lastRenderedPageBreak/>
        <w:t>nutraukti acetilcisteino vartojimą (žr. 4.8 skyrių).</w:t>
      </w:r>
    </w:p>
    <w:p w14:paraId="00733967" w14:textId="5F6DD6B1" w:rsidR="009241A6" w:rsidRPr="002C4825" w:rsidRDefault="009241A6">
      <w:pPr>
        <w:rPr>
          <w:lang w:val="lt-LT"/>
        </w:rPr>
      </w:pPr>
    </w:p>
    <w:p w14:paraId="13D23FF0" w14:textId="08D30C4C" w:rsidR="009241A6" w:rsidRPr="002C4825" w:rsidRDefault="009241A6">
      <w:pPr>
        <w:rPr>
          <w:noProof/>
          <w:lang w:val="lt-LT"/>
        </w:rPr>
      </w:pPr>
    </w:p>
    <w:p w14:paraId="560E72ED" w14:textId="035BE4F0" w:rsidR="009241A6" w:rsidRPr="002C4825" w:rsidRDefault="009241A6">
      <w:pPr>
        <w:rPr>
          <w:noProof/>
          <w:lang w:val="lt-LT"/>
        </w:rPr>
      </w:pPr>
    </w:p>
    <w:p w14:paraId="776A81CF" w14:textId="67B8A045" w:rsidR="009241A6" w:rsidRPr="002C4825" w:rsidRDefault="009241A6">
      <w:pPr>
        <w:rPr>
          <w:lang w:val="lt-LT"/>
        </w:rPr>
      </w:pPr>
      <w:r w:rsidRPr="002C4825">
        <w:rPr>
          <w:lang w:val="lt-LT"/>
        </w:rPr>
        <w:t>Galimas sieros kvapo buvimas yra veikliosios medžiagos savybė</w:t>
      </w:r>
      <w:r w:rsidR="007B41AE" w:rsidRPr="002C4825">
        <w:rPr>
          <w:lang w:val="lt-LT"/>
        </w:rPr>
        <w:t xml:space="preserve">, tai </w:t>
      </w:r>
      <w:r w:rsidRPr="002C4825">
        <w:rPr>
          <w:lang w:val="lt-LT"/>
        </w:rPr>
        <w:t>nereiškia, kad vaistas pa</w:t>
      </w:r>
      <w:r w:rsidR="007B41AE" w:rsidRPr="002C4825">
        <w:rPr>
          <w:lang w:val="lt-LT"/>
        </w:rPr>
        <w:t>kito.</w:t>
      </w:r>
    </w:p>
    <w:p w14:paraId="30E96596" w14:textId="04EB0243" w:rsidR="007B41AE" w:rsidRPr="002C4825" w:rsidRDefault="007B41AE">
      <w:pPr>
        <w:rPr>
          <w:lang w:val="lt-LT"/>
        </w:rPr>
      </w:pPr>
    </w:p>
    <w:p w14:paraId="46C284DA" w14:textId="64AFC888" w:rsidR="007B41AE" w:rsidRPr="002C4825" w:rsidRDefault="007B41AE">
      <w:pPr>
        <w:rPr>
          <w:lang w:val="lt-LT"/>
        </w:rPr>
      </w:pPr>
      <w:r w:rsidRPr="002C4825">
        <w:rPr>
          <w:lang w:val="lt-LT"/>
        </w:rPr>
        <w:t xml:space="preserve">Acetilcisteino vartojimas, ypač ankstyvojo gydymo metu, gali skatinti bronchų sekreto skystėjimą ir tokiu būdu jo tūrio didėjimą. Jeigu pacientas negali </w:t>
      </w:r>
      <w:r w:rsidR="000546B7">
        <w:rPr>
          <w:lang w:val="lt-LT"/>
        </w:rPr>
        <w:t xml:space="preserve">veiksmingai </w:t>
      </w:r>
      <w:r w:rsidRPr="002C4825">
        <w:rPr>
          <w:lang w:val="lt-LT"/>
        </w:rPr>
        <w:t>atkosėti, turi būti taikomos su kūno padėtimi susijęs drenažas ir išsiurbimas, siekiant išvengti sekreto susilaikymo.</w:t>
      </w:r>
    </w:p>
    <w:p w14:paraId="7FCA079C" w14:textId="0492FAB7" w:rsidR="007B41AE" w:rsidRPr="002C4825" w:rsidRDefault="007B41AE">
      <w:pPr>
        <w:rPr>
          <w:lang w:val="lt-LT"/>
        </w:rPr>
      </w:pPr>
    </w:p>
    <w:p w14:paraId="15A8E885" w14:textId="5FB579DE" w:rsidR="007B41AE" w:rsidRPr="002C4825" w:rsidRDefault="007B41AE">
      <w:pPr>
        <w:rPr>
          <w:lang w:val="lt-LT"/>
        </w:rPr>
      </w:pPr>
      <w:r w:rsidRPr="002C4825">
        <w:rPr>
          <w:lang w:val="lt-LT"/>
        </w:rPr>
        <w:t>Acetilcisteinas gali veikti histamino apykaitą. Todėl patariama atsargiai skirti pacientams, netoleruojantiems histamino</w:t>
      </w:r>
      <w:r w:rsidR="00283B02" w:rsidRPr="002C4825">
        <w:rPr>
          <w:lang w:val="lt-LT"/>
        </w:rPr>
        <w:t>, nes gali pasireikšti padidėjusio jautrumo reakcijos.</w:t>
      </w:r>
      <w:r w:rsidR="002A57E7" w:rsidRPr="002A57E7">
        <w:rPr>
          <w:noProof/>
          <w:lang w:val="lt-LT"/>
        </w:rPr>
        <w:t xml:space="preserve"> </w:t>
      </w:r>
      <w:r w:rsidR="002A57E7" w:rsidRPr="002C4825">
        <w:rPr>
          <w:noProof/>
          <w:lang w:val="lt-LT"/>
        </w:rPr>
        <w:t>Šie pacientai turėtų vengti ilgalaikio gydymo acetilcisteinu, nes acetilcisteinas veikia histamino apykaitą ir gali sukelti netoleravimo simptomus (pvz., galvos skausmą, slogą, niež</w:t>
      </w:r>
      <w:r w:rsidR="002A57E7">
        <w:rPr>
          <w:noProof/>
          <w:lang w:val="lt-LT"/>
        </w:rPr>
        <w:t>ėjimą</w:t>
      </w:r>
      <w:r w:rsidR="002A57E7" w:rsidRPr="002C4825">
        <w:rPr>
          <w:noProof/>
          <w:lang w:val="lt-LT"/>
        </w:rPr>
        <w:t>).</w:t>
      </w:r>
    </w:p>
    <w:p w14:paraId="2735EA09" w14:textId="5A602B4B" w:rsidR="00283B02" w:rsidRPr="002C4825" w:rsidRDefault="00283B02">
      <w:pPr>
        <w:rPr>
          <w:lang w:val="lt-LT"/>
        </w:rPr>
      </w:pPr>
    </w:p>
    <w:p w14:paraId="3669CCCA" w14:textId="34E766B1" w:rsidR="00283B02" w:rsidRPr="002C4825" w:rsidRDefault="00283B02">
      <w:pPr>
        <w:rPr>
          <w:lang w:val="lt-LT"/>
        </w:rPr>
      </w:pPr>
      <w:r w:rsidRPr="002C4825">
        <w:rPr>
          <w:u w:val="single"/>
          <w:lang w:val="lt-LT"/>
        </w:rPr>
        <w:t>Natris</w:t>
      </w:r>
    </w:p>
    <w:p w14:paraId="7B5DD7E6" w14:textId="5E3E169C" w:rsidR="00283B02" w:rsidRPr="002C4825" w:rsidRDefault="00283B02" w:rsidP="00283B02">
      <w:pPr>
        <w:tabs>
          <w:tab w:val="left" w:pos="425"/>
        </w:tabs>
        <w:rPr>
          <w:lang w:val="lt-LT"/>
        </w:rPr>
      </w:pPr>
      <w:r w:rsidRPr="002C4825">
        <w:rPr>
          <w:lang w:val="lt-LT"/>
        </w:rPr>
        <w:t>Šio vaistinio preparato šnypščiojoje tabletėje yra 194 mg natrio, tai atitinka 10 % didžiausios PSO rekomenduojamos paros normos suaugusiesiems, kuri yra 2 g natrio.</w:t>
      </w:r>
    </w:p>
    <w:p w14:paraId="2C5B7569" w14:textId="0EF64BD9" w:rsidR="00283B02" w:rsidRPr="002C4825" w:rsidRDefault="00283B02">
      <w:pPr>
        <w:rPr>
          <w:lang w:val="lt-LT"/>
        </w:rPr>
      </w:pPr>
    </w:p>
    <w:p w14:paraId="5DD32EB9" w14:textId="77777777" w:rsidR="00283B02" w:rsidRPr="002C4825" w:rsidRDefault="00283B02" w:rsidP="00283B02">
      <w:pPr>
        <w:rPr>
          <w:b/>
          <w:lang w:val="lt-LT"/>
        </w:rPr>
      </w:pPr>
      <w:r w:rsidRPr="002C4825">
        <w:rPr>
          <w:b/>
          <w:lang w:val="lt-LT"/>
        </w:rPr>
        <w:t>4.5</w:t>
      </w:r>
      <w:r w:rsidRPr="002C4825">
        <w:rPr>
          <w:b/>
          <w:lang w:val="lt-LT"/>
        </w:rPr>
        <w:tab/>
        <w:t>Sąveika su kitais vaistiniais preparatais ir kitokia sąveika</w:t>
      </w:r>
    </w:p>
    <w:p w14:paraId="19C8755D" w14:textId="6AF63FB3" w:rsidR="00283B02" w:rsidRPr="002C4825" w:rsidRDefault="00283B02">
      <w:pPr>
        <w:rPr>
          <w:lang w:val="lt-LT"/>
        </w:rPr>
      </w:pPr>
    </w:p>
    <w:p w14:paraId="03F6AD64" w14:textId="36C6BEEF" w:rsidR="00283B02" w:rsidRPr="002C4825" w:rsidRDefault="00283B02">
      <w:pPr>
        <w:rPr>
          <w:u w:val="single"/>
          <w:lang w:val="lt-LT"/>
        </w:rPr>
      </w:pPr>
      <w:r w:rsidRPr="002C4825">
        <w:rPr>
          <w:u w:val="single"/>
          <w:lang w:val="lt-LT"/>
        </w:rPr>
        <w:t>Sąveika su kitais vaistiniais preparatais</w:t>
      </w:r>
    </w:p>
    <w:p w14:paraId="0197ACD9" w14:textId="32CEA207" w:rsidR="00283B02" w:rsidRPr="002C4825" w:rsidRDefault="00283B02">
      <w:pPr>
        <w:rPr>
          <w:lang w:val="lt-LT"/>
        </w:rPr>
      </w:pPr>
    </w:p>
    <w:p w14:paraId="3C2AABEE" w14:textId="7916EF35" w:rsidR="00283B02" w:rsidRPr="002C4825" w:rsidRDefault="00283B02">
      <w:pPr>
        <w:rPr>
          <w:lang w:val="lt-LT" w:eastAsia="lt-LT"/>
        </w:rPr>
      </w:pPr>
      <w:r w:rsidRPr="002C4825">
        <w:rPr>
          <w:lang w:val="lt-LT"/>
        </w:rPr>
        <w:t xml:space="preserve">Kosulį slopinančių vaistinių preparatų </w:t>
      </w:r>
      <w:r w:rsidRPr="002C4825">
        <w:rPr>
          <w:lang w:val="lt-LT" w:eastAsia="lt-LT"/>
        </w:rPr>
        <w:t>negalima skirti kartu su</w:t>
      </w:r>
      <w:r w:rsidRPr="002C4825">
        <w:rPr>
          <w:lang w:val="lt-LT"/>
        </w:rPr>
        <w:t xml:space="preserve"> </w:t>
      </w:r>
      <w:r w:rsidRPr="002C4825">
        <w:rPr>
          <w:lang w:val="lt-LT" w:eastAsia="lt-LT"/>
        </w:rPr>
        <w:t xml:space="preserve">gleives skystinančiais vaistiniais preparatais, pvz., acetilcisteinu, </w:t>
      </w:r>
      <w:r w:rsidR="000546B7">
        <w:rPr>
          <w:lang w:val="lt-LT" w:eastAsia="lt-LT"/>
        </w:rPr>
        <w:t xml:space="preserve">nes </w:t>
      </w:r>
      <w:r w:rsidR="00B44873" w:rsidRPr="002C4825">
        <w:rPr>
          <w:lang w:val="lt-LT" w:eastAsia="lt-LT"/>
        </w:rPr>
        <w:t xml:space="preserve">dėl </w:t>
      </w:r>
      <w:r w:rsidRPr="002C4825">
        <w:rPr>
          <w:lang w:val="lt-LT" w:eastAsia="lt-LT"/>
        </w:rPr>
        <w:t>sumažėj</w:t>
      </w:r>
      <w:r w:rsidR="00B44873" w:rsidRPr="002C4825">
        <w:rPr>
          <w:lang w:val="lt-LT" w:eastAsia="lt-LT"/>
        </w:rPr>
        <w:t>usio</w:t>
      </w:r>
      <w:r w:rsidRPr="002C4825">
        <w:rPr>
          <w:lang w:val="lt-LT" w:eastAsia="lt-LT"/>
        </w:rPr>
        <w:t xml:space="preserve"> kosulio refleks</w:t>
      </w:r>
      <w:r w:rsidR="00B44873" w:rsidRPr="002C4825">
        <w:rPr>
          <w:lang w:val="lt-LT" w:eastAsia="lt-LT"/>
        </w:rPr>
        <w:t>o gali pasireikšti bronchų sekreto susikaupimas.</w:t>
      </w:r>
    </w:p>
    <w:p w14:paraId="3C6FD7BF" w14:textId="29B48BFC" w:rsidR="00B44873" w:rsidRPr="002C4825" w:rsidRDefault="00B44873">
      <w:pPr>
        <w:rPr>
          <w:lang w:val="lt-LT" w:eastAsia="lt-LT"/>
        </w:rPr>
      </w:pPr>
    </w:p>
    <w:p w14:paraId="0E6B14F9" w14:textId="56E8FF67" w:rsidR="00B44873" w:rsidRPr="002C4825" w:rsidRDefault="00B44873">
      <w:pPr>
        <w:rPr>
          <w:lang w:val="lt-LT"/>
        </w:rPr>
      </w:pPr>
      <w:r w:rsidRPr="002C4825">
        <w:rPr>
          <w:lang w:val="lt-LT"/>
        </w:rPr>
        <w:t>Aktyvintosios anglies vartojimas gali mažinti acetilcisteino poveikį.</w:t>
      </w:r>
    </w:p>
    <w:p w14:paraId="13C0B756" w14:textId="63462439" w:rsidR="00B44873" w:rsidRPr="002C4825" w:rsidRDefault="00B44873">
      <w:pPr>
        <w:rPr>
          <w:lang w:val="lt-LT"/>
        </w:rPr>
      </w:pPr>
    </w:p>
    <w:p w14:paraId="14E89193" w14:textId="6D502C2C" w:rsidR="00B44873" w:rsidRPr="002C4825" w:rsidRDefault="00B44873">
      <w:pPr>
        <w:rPr>
          <w:lang w:val="lt-LT"/>
        </w:rPr>
      </w:pPr>
      <w:r w:rsidRPr="002C4825">
        <w:rPr>
          <w:lang w:val="lt-LT"/>
        </w:rPr>
        <w:t>Rekomenduojama nemaišyti Wintrozen tirpalo su kitais vaistiniais preparatais.</w:t>
      </w:r>
    </w:p>
    <w:p w14:paraId="37BB96CF" w14:textId="329562BC" w:rsidR="00B44873" w:rsidRPr="002C4825" w:rsidRDefault="00B44873">
      <w:pPr>
        <w:rPr>
          <w:lang w:val="lt-LT"/>
        </w:rPr>
      </w:pPr>
    </w:p>
    <w:p w14:paraId="27F9907A" w14:textId="46ACF467" w:rsidR="00B44873" w:rsidRPr="002C4825" w:rsidRDefault="00B44873">
      <w:pPr>
        <w:rPr>
          <w:lang w:val="lt-LT"/>
        </w:rPr>
      </w:pPr>
      <w:r w:rsidRPr="002C4825">
        <w:rPr>
          <w:lang w:val="lt-LT"/>
        </w:rPr>
        <w:t xml:space="preserve">Pranešimai apie acetilcisteino ir antibiotikų sąveiką kol kas pagrįsti tik </w:t>
      </w:r>
      <w:r w:rsidRPr="00FF6A87">
        <w:rPr>
          <w:i/>
          <w:lang w:val="lt-LT"/>
        </w:rPr>
        <w:t>in vitro</w:t>
      </w:r>
      <w:r w:rsidR="000546B7" w:rsidRPr="000546B7">
        <w:rPr>
          <w:lang w:val="lt-LT"/>
        </w:rPr>
        <w:t xml:space="preserve"> </w:t>
      </w:r>
      <w:r w:rsidR="000546B7" w:rsidRPr="002C4825">
        <w:rPr>
          <w:lang w:val="lt-LT"/>
        </w:rPr>
        <w:t>tyrimų</w:t>
      </w:r>
      <w:r w:rsidRPr="002C4825">
        <w:rPr>
          <w:lang w:val="lt-LT"/>
        </w:rPr>
        <w:t>, kurių metu minėtos medžiagos buvo tiesiogiai maišomos, duomenimis, kurie parodė antibiotikų veiksmingumo sumažėjimą. Vis dėlto, saugumo sumetimais antibiotikai ir acetilcisteinas turėtų būti vartojami atskirai, tarp jų vartojimo turi būti mažiausiai 2 valandų pertrauka.</w:t>
      </w:r>
      <w:r w:rsidR="00E40E4A" w:rsidRPr="002C4825">
        <w:rPr>
          <w:lang w:val="lt-LT"/>
        </w:rPr>
        <w:t xml:space="preserve"> Tai netaikoma lorakarbefui.</w:t>
      </w:r>
    </w:p>
    <w:p w14:paraId="5E050952" w14:textId="02437479" w:rsidR="00E40E4A" w:rsidRPr="002C4825" w:rsidRDefault="00E40E4A">
      <w:pPr>
        <w:rPr>
          <w:lang w:val="lt-LT"/>
        </w:rPr>
      </w:pPr>
    </w:p>
    <w:p w14:paraId="02679E91" w14:textId="77777777" w:rsidR="00DE16BA" w:rsidRPr="002C4825" w:rsidRDefault="00E40E4A">
      <w:pPr>
        <w:rPr>
          <w:lang w:val="lt-LT"/>
        </w:rPr>
      </w:pPr>
      <w:r w:rsidRPr="002C4825">
        <w:rPr>
          <w:lang w:val="lt-LT"/>
        </w:rPr>
        <w:t xml:space="preserve">Yra duomenų, kad vartojant glicerolio trinitrato (nitroglicerino) kartu su acetilcisteinu pasireiškia stipri hipotenzija ir </w:t>
      </w:r>
      <w:r w:rsidR="00DE16BA" w:rsidRPr="002C4825">
        <w:rPr>
          <w:lang w:val="lt-LT"/>
        </w:rPr>
        <w:t>laikinas arterijų</w:t>
      </w:r>
      <w:r w:rsidRPr="002C4825">
        <w:rPr>
          <w:lang w:val="lt-LT"/>
        </w:rPr>
        <w:t xml:space="preserve"> </w:t>
      </w:r>
      <w:r w:rsidR="00DE16BA" w:rsidRPr="002C4825">
        <w:rPr>
          <w:lang w:val="lt-LT"/>
        </w:rPr>
        <w:t>išsiplėtimas su galimu galvos skausmu</w:t>
      </w:r>
      <w:r w:rsidRPr="002C4825">
        <w:rPr>
          <w:lang w:val="lt-LT"/>
        </w:rPr>
        <w:t>.</w:t>
      </w:r>
    </w:p>
    <w:p w14:paraId="70D7E5B9" w14:textId="5D42AC25" w:rsidR="00E40E4A" w:rsidRPr="002C4825" w:rsidRDefault="00E40E4A">
      <w:pPr>
        <w:rPr>
          <w:lang w:val="lt-LT"/>
        </w:rPr>
      </w:pPr>
      <w:r w:rsidRPr="002C4825">
        <w:rPr>
          <w:lang w:val="lt-LT"/>
        </w:rPr>
        <w:t xml:space="preserve">Jeigu manoma, kad bendras gydymas nitroglicerinu ir acetilcisteinu yra būtinas, pacientą būtina stebėti </w:t>
      </w:r>
      <w:r w:rsidR="00DE16BA" w:rsidRPr="002C4825">
        <w:rPr>
          <w:lang w:val="lt-LT"/>
        </w:rPr>
        <w:t xml:space="preserve">ir įspėti </w:t>
      </w:r>
      <w:r w:rsidRPr="002C4825">
        <w:rPr>
          <w:lang w:val="lt-LT"/>
        </w:rPr>
        <w:t>dėl galimos hipotenzijos, kuri gali būti sunki ir pasireikšti galvos skausmu.</w:t>
      </w:r>
    </w:p>
    <w:p w14:paraId="61D2F24A" w14:textId="74A5DB78" w:rsidR="00DE16BA" w:rsidRPr="002C4825" w:rsidRDefault="00DE16BA">
      <w:pPr>
        <w:rPr>
          <w:lang w:val="lt-LT"/>
        </w:rPr>
      </w:pPr>
    </w:p>
    <w:p w14:paraId="19E17B97" w14:textId="360D7B93" w:rsidR="00DE16BA" w:rsidRPr="002C4825" w:rsidRDefault="00DE16BA">
      <w:pPr>
        <w:rPr>
          <w:iCs/>
          <w:u w:val="single"/>
          <w:lang w:val="lt-LT"/>
        </w:rPr>
      </w:pPr>
      <w:r w:rsidRPr="002C4825">
        <w:rPr>
          <w:iCs/>
          <w:u w:val="single"/>
          <w:lang w:val="lt-LT"/>
        </w:rPr>
        <w:t>Įtaka laboratoriniams tyrimams</w:t>
      </w:r>
    </w:p>
    <w:p w14:paraId="3E4A9616" w14:textId="4E6CA21B" w:rsidR="00DE16BA" w:rsidRPr="002C4825" w:rsidRDefault="00DE16BA">
      <w:pPr>
        <w:rPr>
          <w:iCs/>
          <w:u w:val="single"/>
          <w:lang w:val="lt-LT"/>
        </w:rPr>
      </w:pPr>
    </w:p>
    <w:p w14:paraId="34F6ECFE" w14:textId="77777777" w:rsidR="00DE16BA" w:rsidRPr="002C4825" w:rsidRDefault="00DE16BA" w:rsidP="00DE16BA">
      <w:pPr>
        <w:rPr>
          <w:iCs/>
          <w:lang w:val="lt-LT"/>
        </w:rPr>
      </w:pPr>
      <w:r w:rsidRPr="002C4825">
        <w:rPr>
          <w:iCs/>
          <w:lang w:val="lt-LT"/>
        </w:rPr>
        <w:t>Acetilcisteinas gali paveikti kolorimetrinį salicilatų nustatymo tyrimą. Acetilcisteinas gali daryti įtaką ketoninių kūnų nustatymo šlapime rezultatams.</w:t>
      </w:r>
    </w:p>
    <w:p w14:paraId="7FEEA68F" w14:textId="77777777" w:rsidR="00DE16BA" w:rsidRPr="002C4825" w:rsidRDefault="00DE16BA" w:rsidP="00DE16BA">
      <w:pPr>
        <w:rPr>
          <w:iCs/>
          <w:lang w:val="lt-LT"/>
        </w:rPr>
      </w:pPr>
    </w:p>
    <w:p w14:paraId="3893D707" w14:textId="48E4AF17" w:rsidR="00DE16BA" w:rsidRPr="002C4825" w:rsidRDefault="00DE16BA" w:rsidP="00DE16BA">
      <w:pPr>
        <w:rPr>
          <w:b/>
          <w:bCs/>
          <w:iCs/>
          <w:lang w:val="lt-LT"/>
        </w:rPr>
      </w:pPr>
      <w:r w:rsidRPr="002C4825">
        <w:rPr>
          <w:b/>
          <w:bCs/>
          <w:iCs/>
          <w:lang w:val="lt-LT"/>
        </w:rPr>
        <w:t>4.6</w:t>
      </w:r>
      <w:r w:rsidRPr="002C4825">
        <w:rPr>
          <w:b/>
          <w:bCs/>
          <w:iCs/>
          <w:lang w:val="lt-LT"/>
        </w:rPr>
        <w:tab/>
        <w:t>Vaisingumas, nėštumo ir žindymo laikotarpis</w:t>
      </w:r>
    </w:p>
    <w:p w14:paraId="081DD771" w14:textId="7BDED02E" w:rsidR="00DE16BA" w:rsidRPr="002C4825" w:rsidRDefault="00DE16BA" w:rsidP="00DE16BA">
      <w:pPr>
        <w:rPr>
          <w:b/>
          <w:bCs/>
          <w:iCs/>
          <w:lang w:val="lt-LT"/>
        </w:rPr>
      </w:pPr>
    </w:p>
    <w:p w14:paraId="2DE57584" w14:textId="5B5F8467" w:rsidR="00DE16BA" w:rsidRPr="002C4825" w:rsidRDefault="00DE16BA" w:rsidP="00DE16BA">
      <w:pPr>
        <w:rPr>
          <w:iCs/>
          <w:lang w:val="lt-LT"/>
        </w:rPr>
      </w:pPr>
      <w:r w:rsidRPr="002C4825">
        <w:rPr>
          <w:i/>
          <w:lang w:val="lt-LT"/>
        </w:rPr>
        <w:t>Nėštumas</w:t>
      </w:r>
    </w:p>
    <w:p w14:paraId="1EB60EBD" w14:textId="7428FBF1" w:rsidR="00DE16BA" w:rsidRPr="002C4825" w:rsidRDefault="000546B7" w:rsidP="00DE16BA">
      <w:pPr>
        <w:rPr>
          <w:lang w:val="lt-LT"/>
        </w:rPr>
      </w:pPr>
      <w:r>
        <w:rPr>
          <w:lang w:val="lt-LT"/>
        </w:rPr>
        <w:t>D</w:t>
      </w:r>
      <w:r w:rsidR="00DE16BA" w:rsidRPr="002C4825">
        <w:rPr>
          <w:lang w:val="lt-LT"/>
        </w:rPr>
        <w:t>uomenų apie acetilcisteino vartojimą nėščiosioms</w:t>
      </w:r>
      <w:r>
        <w:rPr>
          <w:lang w:val="lt-LT"/>
        </w:rPr>
        <w:t xml:space="preserve"> nepakanka</w:t>
      </w:r>
      <w:r w:rsidR="00DE16BA" w:rsidRPr="002C4825">
        <w:rPr>
          <w:lang w:val="lt-LT"/>
        </w:rPr>
        <w:t xml:space="preserve">. </w:t>
      </w:r>
    </w:p>
    <w:p w14:paraId="4960371C" w14:textId="77777777" w:rsidR="00DE16BA" w:rsidRPr="002C4825" w:rsidRDefault="00DE16BA" w:rsidP="00DE16BA">
      <w:pPr>
        <w:rPr>
          <w:lang w:val="lt-LT"/>
        </w:rPr>
      </w:pPr>
      <w:r w:rsidRPr="002C4825">
        <w:rPr>
          <w:lang w:val="lt-LT"/>
        </w:rPr>
        <w:t>Tyrimai su gyvūnais tiesioginio ar netiesioginio kenksmingo poveikio dėl reprodukcinio toksiškumo neparodė (žr. 5.3 skyrių).</w:t>
      </w:r>
    </w:p>
    <w:p w14:paraId="7A675B3A" w14:textId="6356354C" w:rsidR="00DE16BA" w:rsidRPr="002C4825" w:rsidRDefault="00DE16BA" w:rsidP="00DE16BA">
      <w:pPr>
        <w:rPr>
          <w:lang w:val="lt-LT"/>
        </w:rPr>
      </w:pPr>
      <w:r w:rsidRPr="002C4825">
        <w:rPr>
          <w:iCs/>
          <w:lang w:val="lt-LT"/>
        </w:rPr>
        <w:t xml:space="preserve">Esant galimybei </w:t>
      </w:r>
      <w:r w:rsidRPr="002C4825">
        <w:rPr>
          <w:lang w:val="lt-LT"/>
        </w:rPr>
        <w:t xml:space="preserve">nėštumo laikotarpiu acetilcisteino nevartoti ir skirti tik </w:t>
      </w:r>
      <w:r w:rsidR="000546B7">
        <w:rPr>
          <w:lang w:val="lt-LT"/>
        </w:rPr>
        <w:t>griežtai įvertinus naudos ir rizikos santykį.</w:t>
      </w:r>
    </w:p>
    <w:p w14:paraId="08ED2F05" w14:textId="0E317968" w:rsidR="00DE16BA" w:rsidRPr="002C4825" w:rsidRDefault="00DE16BA" w:rsidP="00DE16BA">
      <w:pPr>
        <w:rPr>
          <w:lang w:val="lt-LT"/>
        </w:rPr>
      </w:pPr>
    </w:p>
    <w:p w14:paraId="1B0B532A" w14:textId="7470D75A" w:rsidR="00DE16BA" w:rsidRPr="002C4825" w:rsidRDefault="00726B08" w:rsidP="00DE16BA">
      <w:pPr>
        <w:rPr>
          <w:lang w:val="lt-LT"/>
        </w:rPr>
      </w:pPr>
      <w:r w:rsidRPr="002C4825">
        <w:rPr>
          <w:i/>
          <w:iCs/>
          <w:lang w:val="lt-LT"/>
        </w:rPr>
        <w:t>Žindymas</w:t>
      </w:r>
    </w:p>
    <w:p w14:paraId="46D473EC" w14:textId="7D47A269" w:rsidR="00726B08" w:rsidRPr="002C4825" w:rsidRDefault="00726B08" w:rsidP="00726B08">
      <w:pPr>
        <w:rPr>
          <w:lang w:val="lt-LT"/>
        </w:rPr>
      </w:pPr>
      <w:r w:rsidRPr="002C4825">
        <w:rPr>
          <w:lang w:val="lt-LT"/>
        </w:rPr>
        <w:t xml:space="preserve">Informacijos apie acetilcisteino ar jo metabolitų išsiskyrimą į motinos pieną nėra. Rizikos kūdikiui </w:t>
      </w:r>
      <w:r w:rsidRPr="002C4825">
        <w:rPr>
          <w:lang w:val="lt-LT"/>
        </w:rPr>
        <w:lastRenderedPageBreak/>
        <w:t xml:space="preserve">paneigti negalima. Žindymo laikotarpiu vartoti tik </w:t>
      </w:r>
      <w:r w:rsidR="0029610F">
        <w:rPr>
          <w:lang w:val="lt-LT"/>
        </w:rPr>
        <w:t>griežtai</w:t>
      </w:r>
      <w:r w:rsidR="0029610F" w:rsidRPr="002C4825">
        <w:rPr>
          <w:lang w:val="lt-LT"/>
        </w:rPr>
        <w:t xml:space="preserve"> </w:t>
      </w:r>
      <w:r w:rsidRPr="002C4825">
        <w:rPr>
          <w:lang w:val="lt-LT"/>
        </w:rPr>
        <w:t>įvertinus naudos ir rizikos santykį.</w:t>
      </w:r>
    </w:p>
    <w:p w14:paraId="1B6E2D0E" w14:textId="6CC329FB" w:rsidR="00726B08" w:rsidRPr="002C4825" w:rsidRDefault="00726B08" w:rsidP="00726B08">
      <w:pPr>
        <w:rPr>
          <w:lang w:val="lt-LT"/>
        </w:rPr>
      </w:pPr>
    </w:p>
    <w:p w14:paraId="162E6F5B" w14:textId="11C1ED51" w:rsidR="00726B08" w:rsidRPr="002C4825" w:rsidRDefault="00726B08" w:rsidP="00726B08">
      <w:pPr>
        <w:rPr>
          <w:lang w:val="lt-LT"/>
        </w:rPr>
      </w:pPr>
      <w:r w:rsidRPr="002C4825">
        <w:rPr>
          <w:i/>
          <w:iCs/>
          <w:lang w:val="lt-LT"/>
        </w:rPr>
        <w:t>Vaisingumas</w:t>
      </w:r>
    </w:p>
    <w:p w14:paraId="086A45FF" w14:textId="402E9560" w:rsidR="00726B08" w:rsidRPr="002C4825" w:rsidRDefault="00726B08" w:rsidP="00726B08">
      <w:pPr>
        <w:rPr>
          <w:lang w:val="lt-LT"/>
        </w:rPr>
      </w:pPr>
      <w:r w:rsidRPr="002C4825">
        <w:rPr>
          <w:lang w:val="lt-LT"/>
        </w:rPr>
        <w:t xml:space="preserve">Duomenų apie acetilcisteino poveikį žmonių vaisingumui nėra. Tyrimai su gyvūnais nerodo jokio žalingo poveikio žmonių vaisingumui, kai vartojama </w:t>
      </w:r>
      <w:r w:rsidR="00DA614A">
        <w:rPr>
          <w:lang w:val="lt-LT"/>
        </w:rPr>
        <w:t>gydomosiomis</w:t>
      </w:r>
      <w:r w:rsidR="00DA614A" w:rsidRPr="002C4825">
        <w:rPr>
          <w:lang w:val="lt-LT"/>
        </w:rPr>
        <w:t xml:space="preserve"> </w:t>
      </w:r>
      <w:r w:rsidRPr="002C4825">
        <w:rPr>
          <w:lang w:val="lt-LT"/>
        </w:rPr>
        <w:t>dozėmis (žr. 5.3 skyrių).</w:t>
      </w:r>
    </w:p>
    <w:p w14:paraId="700C0753" w14:textId="77777777" w:rsidR="00726B08" w:rsidRPr="002C4825" w:rsidRDefault="00726B08" w:rsidP="00726B08">
      <w:pPr>
        <w:rPr>
          <w:szCs w:val="24"/>
          <w:lang w:val="lt-LT"/>
        </w:rPr>
      </w:pPr>
    </w:p>
    <w:p w14:paraId="1881E421" w14:textId="77777777" w:rsidR="00726B08" w:rsidRPr="002C4825" w:rsidRDefault="00726B08" w:rsidP="00726B08">
      <w:pPr>
        <w:pStyle w:val="Antrat4"/>
        <w:rPr>
          <w:rFonts w:ascii="Times New Roman" w:hAnsi="Times New Roman"/>
          <w:b/>
          <w:bCs/>
          <w:i w:val="0"/>
          <w:iCs w:val="0"/>
          <w:lang w:val="lt-LT"/>
        </w:rPr>
      </w:pPr>
      <w:r w:rsidRPr="002C4825">
        <w:rPr>
          <w:rFonts w:ascii="Times New Roman" w:hAnsi="Times New Roman"/>
          <w:b/>
          <w:bCs/>
          <w:i w:val="0"/>
          <w:iCs w:val="0"/>
          <w:color w:val="auto"/>
          <w:lang w:val="lt-LT"/>
        </w:rPr>
        <w:t>4.7</w:t>
      </w:r>
      <w:r w:rsidRPr="002C4825">
        <w:rPr>
          <w:rFonts w:ascii="Times New Roman" w:hAnsi="Times New Roman"/>
          <w:b/>
          <w:bCs/>
          <w:i w:val="0"/>
          <w:iCs w:val="0"/>
          <w:color w:val="auto"/>
          <w:lang w:val="lt-LT"/>
        </w:rPr>
        <w:tab/>
        <w:t>Poveikis gebėjimui vairuoti ir valdyti mechanizmus</w:t>
      </w:r>
    </w:p>
    <w:p w14:paraId="4A198BE5" w14:textId="77777777" w:rsidR="00726B08" w:rsidRPr="002C4825" w:rsidRDefault="00726B08" w:rsidP="00726B08">
      <w:pPr>
        <w:rPr>
          <w:szCs w:val="24"/>
          <w:lang w:val="lt-LT"/>
        </w:rPr>
      </w:pPr>
    </w:p>
    <w:p w14:paraId="5118BC16" w14:textId="04E7CA0B" w:rsidR="00726B08" w:rsidRPr="002C4825" w:rsidRDefault="00726B08" w:rsidP="00726B08">
      <w:pPr>
        <w:rPr>
          <w:bCs/>
          <w:lang w:val="lt-LT"/>
        </w:rPr>
      </w:pPr>
      <w:r w:rsidRPr="002C4825">
        <w:rPr>
          <w:szCs w:val="24"/>
          <w:lang w:val="lt-LT"/>
        </w:rPr>
        <w:t>A</w:t>
      </w:r>
      <w:r w:rsidRPr="002C4825">
        <w:rPr>
          <w:bCs/>
          <w:lang w:val="lt-LT"/>
        </w:rPr>
        <w:t>cetilcisteinas įtakos gebėjimui vairuoti ir valdyti mechanizmus neturi.</w:t>
      </w:r>
    </w:p>
    <w:p w14:paraId="3CF48769" w14:textId="77777777" w:rsidR="00726B08" w:rsidRPr="002C4825" w:rsidRDefault="00726B08" w:rsidP="00726B08">
      <w:pPr>
        <w:rPr>
          <w:szCs w:val="24"/>
          <w:lang w:val="lt-LT"/>
        </w:rPr>
      </w:pPr>
    </w:p>
    <w:p w14:paraId="57B9F8F7" w14:textId="0BFBA4CF" w:rsidR="00726B08" w:rsidRPr="002C4825" w:rsidRDefault="00726B08" w:rsidP="00726B08">
      <w:pPr>
        <w:rPr>
          <w:lang w:val="lt-LT"/>
        </w:rPr>
      </w:pPr>
      <w:r w:rsidRPr="002C4825">
        <w:rPr>
          <w:b/>
          <w:lang w:val="lt-LT"/>
        </w:rPr>
        <w:t>4.8</w:t>
      </w:r>
      <w:r w:rsidRPr="002C4825">
        <w:rPr>
          <w:b/>
          <w:lang w:val="lt-LT"/>
        </w:rPr>
        <w:tab/>
        <w:t>Nepageidaujamas poveikis</w:t>
      </w:r>
    </w:p>
    <w:p w14:paraId="5F6FFC79" w14:textId="4B3EAFA2" w:rsidR="00726B08" w:rsidRPr="002C4825" w:rsidRDefault="00726B08" w:rsidP="00726B08">
      <w:pPr>
        <w:rPr>
          <w:lang w:val="lt-LT"/>
        </w:rPr>
      </w:pPr>
    </w:p>
    <w:p w14:paraId="3EE4B710" w14:textId="093143FB" w:rsidR="00726B08" w:rsidRPr="002C4825" w:rsidRDefault="00726B08" w:rsidP="00726B08">
      <w:pPr>
        <w:rPr>
          <w:lang w:val="lt-LT"/>
        </w:rPr>
      </w:pPr>
      <w:r w:rsidRPr="002C4825">
        <w:rPr>
          <w:u w:val="single"/>
          <w:lang w:val="lt-LT"/>
        </w:rPr>
        <w:t>Saugumo duomenų santrauka</w:t>
      </w:r>
    </w:p>
    <w:p w14:paraId="4209AF61" w14:textId="3A716ADC" w:rsidR="00726B08" w:rsidRPr="002C4825" w:rsidRDefault="00726B08" w:rsidP="00726B08">
      <w:pPr>
        <w:rPr>
          <w:lang w:val="lt-LT"/>
        </w:rPr>
      </w:pPr>
      <w:r w:rsidRPr="002C4825">
        <w:rPr>
          <w:lang w:val="lt-LT"/>
        </w:rPr>
        <w:t>Dažniausiai</w:t>
      </w:r>
      <w:r w:rsidR="00265C06" w:rsidRPr="002C4825">
        <w:rPr>
          <w:lang w:val="lt-LT"/>
        </w:rPr>
        <w:t xml:space="preserve"> pasireiškiantys nepageidaujami poveikiai, susiję su </w:t>
      </w:r>
      <w:r w:rsidRPr="002C4825">
        <w:rPr>
          <w:lang w:val="lt-LT"/>
        </w:rPr>
        <w:t>acetilcisteino</w:t>
      </w:r>
      <w:r w:rsidR="00265C06" w:rsidRPr="002C4825">
        <w:rPr>
          <w:lang w:val="lt-LT"/>
        </w:rPr>
        <w:t xml:space="preserve"> vartojimu,</w:t>
      </w:r>
      <w:r w:rsidRPr="002C4825">
        <w:rPr>
          <w:lang w:val="lt-LT"/>
        </w:rPr>
        <w:t xml:space="preserve"> yra virškinimo trakto sutrikimai. Rečiau pranešta apie padidėjusio jautrumo reakcijas, įskaitant anafilaksinį šoką, anafilaksines/anafilaktoidines reakcijas, bronchų spazmus, angio</w:t>
      </w:r>
      <w:r w:rsidR="00265C06" w:rsidRPr="002C4825">
        <w:rPr>
          <w:lang w:val="lt-LT"/>
        </w:rPr>
        <w:t xml:space="preserve">neurozinę </w:t>
      </w:r>
      <w:r w:rsidRPr="002C4825">
        <w:rPr>
          <w:lang w:val="lt-LT"/>
        </w:rPr>
        <w:t>edemą, bėrimą ir niežėjimą.</w:t>
      </w:r>
    </w:p>
    <w:p w14:paraId="2C1D50C4" w14:textId="7BB036AE" w:rsidR="00265C06" w:rsidRPr="002C4825" w:rsidRDefault="00265C06" w:rsidP="00726B08">
      <w:pPr>
        <w:rPr>
          <w:lang w:val="lt-LT"/>
        </w:rPr>
      </w:pPr>
    </w:p>
    <w:p w14:paraId="083C10AC" w14:textId="77777777" w:rsidR="00265C06" w:rsidRPr="002C4825" w:rsidRDefault="00265C06" w:rsidP="00265C06">
      <w:pPr>
        <w:rPr>
          <w:u w:val="single"/>
          <w:lang w:val="lt-LT"/>
        </w:rPr>
      </w:pPr>
      <w:r w:rsidRPr="002C4825">
        <w:rPr>
          <w:u w:val="single"/>
          <w:lang w:val="lt-LT"/>
        </w:rPr>
        <w:t>Nepageidaujamų reakcijų santrauka lentelėje</w:t>
      </w:r>
    </w:p>
    <w:p w14:paraId="5D23858F" w14:textId="70C733F9" w:rsidR="00265C06" w:rsidRPr="002C4825" w:rsidRDefault="008F667A" w:rsidP="00265C06">
      <w:pPr>
        <w:rPr>
          <w:lang w:val="lt-LT"/>
        </w:rPr>
      </w:pPr>
      <w:r w:rsidRPr="002C4825">
        <w:rPr>
          <w:lang w:val="lt-LT"/>
        </w:rPr>
        <w:t>Žemiau</w:t>
      </w:r>
      <w:r w:rsidR="00265C06" w:rsidRPr="002C4825">
        <w:rPr>
          <w:lang w:val="lt-LT"/>
        </w:rPr>
        <w:t xml:space="preserve"> išvardytos nepageidaujamos reakcijos suklasifikuotos pagal organų sistemų klases</w:t>
      </w:r>
      <w:r w:rsidR="00265C06" w:rsidRPr="002C4825">
        <w:rPr>
          <w:lang w:val="lt-LT" w:eastAsia="lt-LT"/>
        </w:rPr>
        <w:t xml:space="preserve"> </w:t>
      </w:r>
      <w:r w:rsidR="00265C06" w:rsidRPr="002C4825">
        <w:rPr>
          <w:lang w:val="lt-LT"/>
        </w:rPr>
        <w:t>ir dažnį</w:t>
      </w:r>
      <w:r w:rsidR="00265C06" w:rsidRPr="002C4825">
        <w:rPr>
          <w:lang w:val="lt-LT" w:eastAsia="lt-LT"/>
        </w:rPr>
        <w:t>. Nepageidaujamų reakcijų dažnis apibūdinamas taip: labai dažnas (≥ 1/10), dažnas (nuo ≥ 1/100 iki &lt; 1/10), nedažnas (nuo ≥ 1/1</w:t>
      </w:r>
      <w:r w:rsidR="00F72AE9">
        <w:rPr>
          <w:lang w:val="lt-LT" w:eastAsia="lt-LT"/>
        </w:rPr>
        <w:t> </w:t>
      </w:r>
      <w:r w:rsidR="00265C06" w:rsidRPr="002C4825">
        <w:rPr>
          <w:lang w:val="lt-LT" w:eastAsia="lt-LT"/>
        </w:rPr>
        <w:t>000 iki &lt; 1/100), retas (nuo ≥ 1/10 000 iki &lt; 1/1</w:t>
      </w:r>
      <w:r w:rsidR="00F72AE9">
        <w:rPr>
          <w:lang w:val="lt-LT" w:eastAsia="lt-LT"/>
        </w:rPr>
        <w:t> </w:t>
      </w:r>
      <w:r w:rsidR="00265C06" w:rsidRPr="002C4825">
        <w:rPr>
          <w:lang w:val="lt-LT" w:eastAsia="lt-LT"/>
        </w:rPr>
        <w:t>000), labai retas (&lt; 1/10</w:t>
      </w:r>
      <w:r w:rsidR="00F72AE9">
        <w:rPr>
          <w:lang w:val="lt-LT" w:eastAsia="lt-LT"/>
        </w:rPr>
        <w:t> </w:t>
      </w:r>
      <w:r w:rsidR="00265C06" w:rsidRPr="002C4825">
        <w:rPr>
          <w:lang w:val="lt-LT" w:eastAsia="lt-LT"/>
        </w:rPr>
        <w:t>000) ir nežinomas (negali būti apskaičiuotas pagal turimus duomenis</w:t>
      </w:r>
      <w:r w:rsidR="00265C06" w:rsidRPr="002C4825">
        <w:rPr>
          <w:lang w:val="lt-LT"/>
        </w:rPr>
        <w:t>). Kiekvienoje dažnio grupėje nepageidaujamos reakcijos pateikiamos mažėjančio sunkumo tvarka.</w:t>
      </w:r>
    </w:p>
    <w:p w14:paraId="322EBC5B" w14:textId="300397C6" w:rsidR="00265C06" w:rsidRPr="002C4825" w:rsidRDefault="00265C06" w:rsidP="00726B08">
      <w:pPr>
        <w:rPr>
          <w:lang w:val="lt-LT"/>
        </w:rPr>
      </w:pPr>
    </w:p>
    <w:tbl>
      <w:tblPr>
        <w:tblStyle w:val="Lentelstinklelis"/>
        <w:tblW w:w="9464" w:type="dxa"/>
        <w:tblLook w:val="04A0" w:firstRow="1" w:lastRow="0" w:firstColumn="1" w:lastColumn="0" w:noHBand="0" w:noVBand="1"/>
      </w:tblPr>
      <w:tblGrid>
        <w:gridCol w:w="2400"/>
        <w:gridCol w:w="1671"/>
        <w:gridCol w:w="1664"/>
        <w:gridCol w:w="1663"/>
        <w:gridCol w:w="2066"/>
      </w:tblGrid>
      <w:tr w:rsidR="000D0A9A" w:rsidRPr="002C4825" w14:paraId="59D8F6CD" w14:textId="77777777" w:rsidTr="00183C93">
        <w:trPr>
          <w:trHeight w:val="340"/>
        </w:trPr>
        <w:tc>
          <w:tcPr>
            <w:tcW w:w="2400" w:type="dxa"/>
            <w:vMerge w:val="restart"/>
          </w:tcPr>
          <w:p w14:paraId="043F1C63" w14:textId="1FFC20BF" w:rsidR="00265C06" w:rsidRPr="002C4825" w:rsidRDefault="00265C06" w:rsidP="00265C06">
            <w:pPr>
              <w:keepNext/>
              <w:adjustRightInd w:val="0"/>
              <w:spacing w:line="260" w:lineRule="exact"/>
              <w:jc w:val="both"/>
              <w:rPr>
                <w:b/>
                <w:color w:val="000000"/>
                <w:lang w:val="lt-LT"/>
              </w:rPr>
            </w:pPr>
            <w:r w:rsidRPr="002C4825">
              <w:rPr>
                <w:b/>
                <w:bCs/>
                <w:lang w:val="lt-LT"/>
              </w:rPr>
              <w:t>Organų sistemų klasė</w:t>
            </w:r>
          </w:p>
        </w:tc>
        <w:tc>
          <w:tcPr>
            <w:tcW w:w="7064" w:type="dxa"/>
            <w:gridSpan w:val="4"/>
            <w:vAlign w:val="center"/>
          </w:tcPr>
          <w:p w14:paraId="0430A93B" w14:textId="2A4C7BCC" w:rsidR="00265C06" w:rsidRPr="002C4825" w:rsidRDefault="00265C06" w:rsidP="00265C06">
            <w:pPr>
              <w:keepNext/>
              <w:adjustRightInd w:val="0"/>
              <w:spacing w:line="260" w:lineRule="exact"/>
              <w:jc w:val="center"/>
              <w:rPr>
                <w:b/>
                <w:color w:val="000000"/>
                <w:lang w:val="lt-LT"/>
              </w:rPr>
            </w:pPr>
            <w:r w:rsidRPr="002C4825">
              <w:rPr>
                <w:b/>
                <w:color w:val="000000"/>
                <w:lang w:val="lt-LT" w:bidi="en-US"/>
              </w:rPr>
              <w:t>Nepageidaujamos reakcijos</w:t>
            </w:r>
          </w:p>
        </w:tc>
      </w:tr>
      <w:tr w:rsidR="000D0A9A" w:rsidRPr="004A7D5E" w14:paraId="5B5106CF" w14:textId="77777777" w:rsidTr="00183C93">
        <w:trPr>
          <w:trHeight w:val="775"/>
        </w:trPr>
        <w:tc>
          <w:tcPr>
            <w:tcW w:w="2400" w:type="dxa"/>
            <w:vMerge/>
            <w:vAlign w:val="center"/>
          </w:tcPr>
          <w:p w14:paraId="7381036A" w14:textId="77777777" w:rsidR="00265C06" w:rsidRPr="002C4825" w:rsidRDefault="00265C06" w:rsidP="00265C06">
            <w:pPr>
              <w:keepNext/>
              <w:adjustRightInd w:val="0"/>
              <w:spacing w:line="260" w:lineRule="exact"/>
              <w:jc w:val="both"/>
              <w:rPr>
                <w:b/>
                <w:color w:val="000000"/>
                <w:lang w:val="lt-LT"/>
              </w:rPr>
            </w:pPr>
          </w:p>
        </w:tc>
        <w:tc>
          <w:tcPr>
            <w:tcW w:w="1671" w:type="dxa"/>
            <w:vAlign w:val="center"/>
          </w:tcPr>
          <w:p w14:paraId="376CFDC2" w14:textId="149EABF1" w:rsidR="00265C06" w:rsidRPr="002C4825" w:rsidRDefault="000D0A9A" w:rsidP="00265C06">
            <w:pPr>
              <w:keepNext/>
              <w:adjustRightInd w:val="0"/>
              <w:spacing w:line="260" w:lineRule="exact"/>
              <w:jc w:val="center"/>
              <w:rPr>
                <w:b/>
                <w:color w:val="000000"/>
                <w:lang w:val="lt-LT"/>
              </w:rPr>
            </w:pPr>
            <w:r w:rsidRPr="002C4825">
              <w:rPr>
                <w:b/>
                <w:color w:val="000000"/>
                <w:lang w:val="lt-LT" w:bidi="en-US"/>
              </w:rPr>
              <w:t>Nedažnas</w:t>
            </w:r>
          </w:p>
          <w:p w14:paraId="6E6730BC" w14:textId="2521D8B6" w:rsidR="00265C06" w:rsidRPr="002C4825" w:rsidRDefault="00265C06" w:rsidP="000D0A9A">
            <w:pPr>
              <w:keepNext/>
              <w:adjustRightInd w:val="0"/>
              <w:spacing w:line="260" w:lineRule="exact"/>
              <w:jc w:val="center"/>
              <w:rPr>
                <w:b/>
                <w:color w:val="000000"/>
                <w:lang w:val="lt-LT"/>
              </w:rPr>
            </w:pPr>
            <w:r w:rsidRPr="002C4825">
              <w:rPr>
                <w:b/>
                <w:color w:val="000000"/>
                <w:lang w:val="lt-LT" w:bidi="en-US"/>
              </w:rPr>
              <w:t>(</w:t>
            </w:r>
            <w:r w:rsidR="000D0A9A" w:rsidRPr="002C4825">
              <w:rPr>
                <w:b/>
                <w:color w:val="000000"/>
                <w:lang w:val="lt-LT" w:bidi="en-US"/>
              </w:rPr>
              <w:t xml:space="preserve">nuo </w:t>
            </w:r>
            <w:r w:rsidRPr="002C4825">
              <w:rPr>
                <w:b/>
                <w:color w:val="000000"/>
                <w:lang w:val="lt-LT" w:bidi="en-US"/>
              </w:rPr>
              <w:t>≥1/1</w:t>
            </w:r>
            <w:r w:rsidR="00F72AE9">
              <w:rPr>
                <w:b/>
                <w:color w:val="000000"/>
                <w:lang w:val="lt-LT" w:bidi="en-US"/>
              </w:rPr>
              <w:t> </w:t>
            </w:r>
            <w:r w:rsidRPr="002C4825">
              <w:rPr>
                <w:b/>
                <w:color w:val="000000"/>
                <w:lang w:val="lt-LT" w:bidi="en-US"/>
              </w:rPr>
              <w:t>000</w:t>
            </w:r>
            <w:r w:rsidR="000D0A9A" w:rsidRPr="002C4825">
              <w:rPr>
                <w:b/>
                <w:color w:val="000000"/>
                <w:lang w:val="lt-LT" w:bidi="en-US"/>
              </w:rPr>
              <w:t xml:space="preserve"> iki </w:t>
            </w:r>
            <w:r w:rsidRPr="002C4825">
              <w:rPr>
                <w:b/>
                <w:color w:val="000000"/>
                <w:lang w:val="lt-LT" w:bidi="en-US"/>
              </w:rPr>
              <w:sym w:font="Symbol" w:char="F03C"/>
            </w:r>
            <w:r w:rsidRPr="002C4825">
              <w:rPr>
                <w:b/>
                <w:color w:val="000000"/>
                <w:lang w:val="lt-LT" w:bidi="en-US"/>
              </w:rPr>
              <w:t>1/100)</w:t>
            </w:r>
          </w:p>
        </w:tc>
        <w:tc>
          <w:tcPr>
            <w:tcW w:w="1664" w:type="dxa"/>
            <w:vAlign w:val="center"/>
          </w:tcPr>
          <w:p w14:paraId="07C5A100" w14:textId="1398E95F" w:rsidR="00265C06" w:rsidRPr="002C4825" w:rsidRDefault="000D0A9A" w:rsidP="00265C06">
            <w:pPr>
              <w:keepNext/>
              <w:adjustRightInd w:val="0"/>
              <w:spacing w:line="260" w:lineRule="exact"/>
              <w:jc w:val="center"/>
              <w:rPr>
                <w:b/>
                <w:color w:val="000000"/>
                <w:lang w:val="lt-LT"/>
              </w:rPr>
            </w:pPr>
            <w:r w:rsidRPr="002C4825">
              <w:rPr>
                <w:b/>
                <w:color w:val="000000"/>
                <w:lang w:val="lt-LT" w:bidi="en-US"/>
              </w:rPr>
              <w:t>Retas</w:t>
            </w:r>
          </w:p>
          <w:p w14:paraId="708A9EAF" w14:textId="35924FE8" w:rsidR="00265C06" w:rsidRPr="002C4825" w:rsidRDefault="00265C06" w:rsidP="000D0A9A">
            <w:pPr>
              <w:keepNext/>
              <w:adjustRightInd w:val="0"/>
              <w:spacing w:line="260" w:lineRule="exact"/>
              <w:jc w:val="center"/>
              <w:rPr>
                <w:b/>
                <w:color w:val="000000"/>
                <w:lang w:val="lt-LT"/>
              </w:rPr>
            </w:pPr>
            <w:r w:rsidRPr="002C4825">
              <w:rPr>
                <w:b/>
                <w:color w:val="000000"/>
                <w:lang w:val="lt-LT" w:bidi="en-US"/>
              </w:rPr>
              <w:t>(</w:t>
            </w:r>
            <w:r w:rsidR="000D0A9A" w:rsidRPr="002C4825">
              <w:rPr>
                <w:b/>
                <w:color w:val="000000"/>
                <w:lang w:val="lt-LT" w:bidi="en-US"/>
              </w:rPr>
              <w:t xml:space="preserve">nuo </w:t>
            </w:r>
            <w:r w:rsidRPr="002C4825">
              <w:rPr>
                <w:b/>
                <w:color w:val="000000"/>
                <w:lang w:val="lt-LT" w:bidi="en-US"/>
              </w:rPr>
              <w:t>≥1/10</w:t>
            </w:r>
            <w:r w:rsidR="00F72AE9">
              <w:rPr>
                <w:b/>
                <w:color w:val="000000"/>
                <w:lang w:val="lt-LT" w:bidi="en-US"/>
              </w:rPr>
              <w:t> </w:t>
            </w:r>
            <w:r w:rsidRPr="002C4825">
              <w:rPr>
                <w:b/>
                <w:color w:val="000000"/>
                <w:lang w:val="lt-LT" w:bidi="en-US"/>
              </w:rPr>
              <w:t>000</w:t>
            </w:r>
            <w:r w:rsidR="000D0A9A" w:rsidRPr="002C4825">
              <w:rPr>
                <w:b/>
                <w:color w:val="000000"/>
                <w:lang w:val="lt-LT" w:bidi="en-US"/>
              </w:rPr>
              <w:t xml:space="preserve"> iki </w:t>
            </w:r>
            <w:r w:rsidRPr="002C4825">
              <w:rPr>
                <w:b/>
                <w:color w:val="000000"/>
                <w:lang w:val="lt-LT" w:bidi="en-US"/>
              </w:rPr>
              <w:sym w:font="Symbol" w:char="F03C"/>
            </w:r>
            <w:r w:rsidRPr="002C4825">
              <w:rPr>
                <w:b/>
                <w:color w:val="000000"/>
                <w:lang w:val="lt-LT" w:bidi="en-US"/>
              </w:rPr>
              <w:t>1/1</w:t>
            </w:r>
            <w:r w:rsidR="00F72AE9">
              <w:rPr>
                <w:b/>
                <w:color w:val="000000"/>
                <w:lang w:val="lt-LT" w:bidi="en-US"/>
              </w:rPr>
              <w:t> </w:t>
            </w:r>
            <w:r w:rsidRPr="002C4825">
              <w:rPr>
                <w:b/>
                <w:color w:val="000000"/>
                <w:lang w:val="lt-LT" w:bidi="en-US"/>
              </w:rPr>
              <w:t>000)</w:t>
            </w:r>
          </w:p>
        </w:tc>
        <w:tc>
          <w:tcPr>
            <w:tcW w:w="1663" w:type="dxa"/>
            <w:vAlign w:val="center"/>
          </w:tcPr>
          <w:p w14:paraId="10F68029" w14:textId="0BEE25E0" w:rsidR="00265C06" w:rsidRPr="002C4825" w:rsidRDefault="000D0A9A" w:rsidP="00265C06">
            <w:pPr>
              <w:keepNext/>
              <w:adjustRightInd w:val="0"/>
              <w:spacing w:line="260" w:lineRule="exact"/>
              <w:jc w:val="center"/>
              <w:rPr>
                <w:b/>
                <w:color w:val="000000"/>
                <w:lang w:val="lt-LT"/>
              </w:rPr>
            </w:pPr>
            <w:r w:rsidRPr="002C4825">
              <w:rPr>
                <w:b/>
                <w:color w:val="000000"/>
                <w:lang w:val="lt-LT" w:bidi="en-US"/>
              </w:rPr>
              <w:t>Labai retas</w:t>
            </w:r>
          </w:p>
          <w:p w14:paraId="5B9F5D9D" w14:textId="491046A1" w:rsidR="00265C06" w:rsidRPr="002C4825" w:rsidRDefault="00265C06" w:rsidP="00265C06">
            <w:pPr>
              <w:keepNext/>
              <w:adjustRightInd w:val="0"/>
              <w:spacing w:line="260" w:lineRule="exact"/>
              <w:jc w:val="center"/>
              <w:rPr>
                <w:b/>
                <w:color w:val="000000"/>
                <w:lang w:val="lt-LT"/>
              </w:rPr>
            </w:pPr>
            <w:r w:rsidRPr="002C4825">
              <w:rPr>
                <w:b/>
                <w:color w:val="000000"/>
                <w:lang w:val="lt-LT" w:bidi="en-US"/>
              </w:rPr>
              <w:t>(</w:t>
            </w:r>
            <w:r w:rsidRPr="002C4825">
              <w:rPr>
                <w:b/>
                <w:color w:val="000000"/>
                <w:lang w:val="lt-LT" w:bidi="en-US"/>
              </w:rPr>
              <w:sym w:font="Symbol" w:char="F03C"/>
            </w:r>
            <w:r w:rsidRPr="002C4825">
              <w:rPr>
                <w:b/>
                <w:color w:val="000000"/>
                <w:lang w:val="lt-LT" w:bidi="en-US"/>
              </w:rPr>
              <w:t>1/10</w:t>
            </w:r>
            <w:r w:rsidR="00F72AE9">
              <w:rPr>
                <w:b/>
                <w:color w:val="000000"/>
                <w:lang w:val="lt-LT" w:bidi="en-US"/>
              </w:rPr>
              <w:t> </w:t>
            </w:r>
            <w:r w:rsidRPr="002C4825">
              <w:rPr>
                <w:b/>
                <w:color w:val="000000"/>
                <w:lang w:val="lt-LT" w:bidi="en-US"/>
              </w:rPr>
              <w:t>000)</w:t>
            </w:r>
          </w:p>
        </w:tc>
        <w:tc>
          <w:tcPr>
            <w:tcW w:w="2066" w:type="dxa"/>
            <w:vAlign w:val="center"/>
          </w:tcPr>
          <w:p w14:paraId="24991D72" w14:textId="77777777" w:rsidR="00265C06" w:rsidRDefault="000D0A9A" w:rsidP="00265C06">
            <w:pPr>
              <w:keepNext/>
              <w:adjustRightInd w:val="0"/>
              <w:spacing w:line="260" w:lineRule="exact"/>
              <w:jc w:val="center"/>
              <w:rPr>
                <w:b/>
                <w:color w:val="000000"/>
                <w:lang w:val="lt-LT"/>
              </w:rPr>
            </w:pPr>
            <w:r w:rsidRPr="002C4825">
              <w:rPr>
                <w:b/>
                <w:color w:val="000000"/>
                <w:lang w:val="lt-LT"/>
              </w:rPr>
              <w:t>Nežinomas</w:t>
            </w:r>
          </w:p>
          <w:p w14:paraId="0BD73D22" w14:textId="210B6E4A" w:rsidR="002A57E7" w:rsidRPr="002C4825" w:rsidRDefault="002A57E7" w:rsidP="00265C06">
            <w:pPr>
              <w:keepNext/>
              <w:adjustRightInd w:val="0"/>
              <w:spacing w:line="260" w:lineRule="exact"/>
              <w:jc w:val="center"/>
              <w:rPr>
                <w:b/>
                <w:color w:val="000000"/>
                <w:lang w:val="lt-LT"/>
              </w:rPr>
            </w:pPr>
            <w:r w:rsidRPr="002C4825">
              <w:rPr>
                <w:lang w:val="lt-LT" w:eastAsia="lt-LT"/>
              </w:rPr>
              <w:t>(negali būti apskaičiuotas pagal turimus duomenis</w:t>
            </w:r>
            <w:r w:rsidRPr="002C4825">
              <w:rPr>
                <w:lang w:val="lt-LT"/>
              </w:rPr>
              <w:t>)</w:t>
            </w:r>
          </w:p>
        </w:tc>
      </w:tr>
      <w:tr w:rsidR="000D0A9A" w:rsidRPr="004A7D5E" w14:paraId="0FD3CC6B" w14:textId="77777777" w:rsidTr="00183C93">
        <w:trPr>
          <w:trHeight w:val="340"/>
        </w:trPr>
        <w:tc>
          <w:tcPr>
            <w:tcW w:w="2400" w:type="dxa"/>
            <w:vAlign w:val="center"/>
          </w:tcPr>
          <w:p w14:paraId="4E7F1BA6" w14:textId="02A2E3F9" w:rsidR="00265C06" w:rsidRPr="002C4825" w:rsidRDefault="000D0A9A" w:rsidP="000D0A9A">
            <w:pPr>
              <w:spacing w:line="276" w:lineRule="auto"/>
              <w:rPr>
                <w:lang w:val="lt-LT"/>
              </w:rPr>
            </w:pPr>
            <w:r w:rsidRPr="002C4825">
              <w:rPr>
                <w:lang w:val="lt-LT"/>
              </w:rPr>
              <w:t xml:space="preserve">Imuninės sistemos sutrikimai </w:t>
            </w:r>
          </w:p>
        </w:tc>
        <w:tc>
          <w:tcPr>
            <w:tcW w:w="1671" w:type="dxa"/>
            <w:vAlign w:val="center"/>
          </w:tcPr>
          <w:p w14:paraId="7D549115" w14:textId="5FC8AC03" w:rsidR="00265C06" w:rsidRPr="002C4825" w:rsidRDefault="000D0A9A" w:rsidP="00265C06">
            <w:pPr>
              <w:keepNext/>
              <w:adjustRightInd w:val="0"/>
              <w:spacing w:line="260" w:lineRule="exact"/>
              <w:jc w:val="center"/>
              <w:rPr>
                <w:color w:val="000000"/>
                <w:lang w:val="lt-LT"/>
              </w:rPr>
            </w:pPr>
            <w:r w:rsidRPr="002C4825">
              <w:rPr>
                <w:lang w:val="lt-LT"/>
              </w:rPr>
              <w:t>Padidėjusio jautrumo reakcijos</w:t>
            </w:r>
          </w:p>
        </w:tc>
        <w:tc>
          <w:tcPr>
            <w:tcW w:w="1664" w:type="dxa"/>
            <w:vAlign w:val="center"/>
          </w:tcPr>
          <w:p w14:paraId="304ED468" w14:textId="77777777" w:rsidR="00265C06" w:rsidRPr="002C4825" w:rsidRDefault="00265C06" w:rsidP="00265C06">
            <w:pPr>
              <w:keepNext/>
              <w:adjustRightInd w:val="0"/>
              <w:spacing w:line="260" w:lineRule="exact"/>
              <w:jc w:val="center"/>
              <w:rPr>
                <w:color w:val="000000"/>
                <w:lang w:val="lt-LT"/>
              </w:rPr>
            </w:pPr>
          </w:p>
        </w:tc>
        <w:tc>
          <w:tcPr>
            <w:tcW w:w="1663" w:type="dxa"/>
            <w:vAlign w:val="center"/>
          </w:tcPr>
          <w:p w14:paraId="771106D0" w14:textId="599A6CE2" w:rsidR="00265C06" w:rsidRPr="002C4825" w:rsidRDefault="000D0A9A" w:rsidP="00265C06">
            <w:pPr>
              <w:keepNext/>
              <w:adjustRightInd w:val="0"/>
              <w:spacing w:line="260" w:lineRule="exact"/>
              <w:jc w:val="center"/>
              <w:rPr>
                <w:color w:val="000000"/>
                <w:lang w:val="lt-LT"/>
              </w:rPr>
            </w:pPr>
            <w:r w:rsidRPr="002C4825">
              <w:rPr>
                <w:lang w:val="lt-LT"/>
              </w:rPr>
              <w:t>Anafilaksinis šokas, anafilaksinės/ anafilaktoidinės reakcijos</w:t>
            </w:r>
          </w:p>
        </w:tc>
        <w:tc>
          <w:tcPr>
            <w:tcW w:w="2066" w:type="dxa"/>
            <w:vAlign w:val="center"/>
          </w:tcPr>
          <w:p w14:paraId="633F5604" w14:textId="77777777" w:rsidR="00265C06" w:rsidRPr="002C4825" w:rsidRDefault="00265C06" w:rsidP="00265C06">
            <w:pPr>
              <w:keepNext/>
              <w:adjustRightInd w:val="0"/>
              <w:spacing w:line="260" w:lineRule="exact"/>
              <w:jc w:val="center"/>
              <w:rPr>
                <w:color w:val="000000"/>
                <w:lang w:val="lt-LT"/>
              </w:rPr>
            </w:pPr>
          </w:p>
        </w:tc>
      </w:tr>
      <w:tr w:rsidR="000D0A9A" w:rsidRPr="002C4825" w14:paraId="22DB007C" w14:textId="77777777" w:rsidTr="00183C93">
        <w:trPr>
          <w:trHeight w:val="340"/>
        </w:trPr>
        <w:tc>
          <w:tcPr>
            <w:tcW w:w="2400" w:type="dxa"/>
            <w:vAlign w:val="center"/>
          </w:tcPr>
          <w:p w14:paraId="4B55ED1A" w14:textId="73DACAE3" w:rsidR="00265C06" w:rsidRPr="002C4825" w:rsidRDefault="000D0A9A" w:rsidP="000D0A9A">
            <w:pPr>
              <w:spacing w:line="276" w:lineRule="auto"/>
              <w:rPr>
                <w:lang w:val="lt-LT"/>
              </w:rPr>
            </w:pPr>
            <w:r w:rsidRPr="002C4825">
              <w:rPr>
                <w:lang w:val="lt-LT"/>
              </w:rPr>
              <w:t>Nervų sistemos sutrikimai</w:t>
            </w:r>
          </w:p>
        </w:tc>
        <w:tc>
          <w:tcPr>
            <w:tcW w:w="1671" w:type="dxa"/>
            <w:vAlign w:val="center"/>
          </w:tcPr>
          <w:p w14:paraId="3A75DC2E" w14:textId="56287B88" w:rsidR="00265C06" w:rsidRPr="002C4825" w:rsidRDefault="000D0A9A" w:rsidP="00265C06">
            <w:pPr>
              <w:adjustRightInd w:val="0"/>
              <w:spacing w:line="260" w:lineRule="exact"/>
              <w:jc w:val="center"/>
              <w:rPr>
                <w:color w:val="000000"/>
                <w:lang w:val="lt-LT"/>
              </w:rPr>
            </w:pPr>
            <w:r w:rsidRPr="002C4825">
              <w:rPr>
                <w:lang w:val="lt-LT"/>
              </w:rPr>
              <w:t>Galvos skausmas</w:t>
            </w:r>
          </w:p>
        </w:tc>
        <w:tc>
          <w:tcPr>
            <w:tcW w:w="1664" w:type="dxa"/>
            <w:vAlign w:val="center"/>
          </w:tcPr>
          <w:p w14:paraId="568CB377" w14:textId="77777777" w:rsidR="00265C06" w:rsidRPr="002C4825" w:rsidRDefault="00265C06" w:rsidP="00265C06">
            <w:pPr>
              <w:adjustRightInd w:val="0"/>
              <w:spacing w:line="260" w:lineRule="exact"/>
              <w:jc w:val="center"/>
              <w:rPr>
                <w:color w:val="000000"/>
                <w:lang w:val="lt-LT"/>
              </w:rPr>
            </w:pPr>
          </w:p>
        </w:tc>
        <w:tc>
          <w:tcPr>
            <w:tcW w:w="1663" w:type="dxa"/>
            <w:vAlign w:val="center"/>
          </w:tcPr>
          <w:p w14:paraId="6ECDC581" w14:textId="77777777" w:rsidR="00265C06" w:rsidRPr="002C4825" w:rsidRDefault="00265C06" w:rsidP="00265C06">
            <w:pPr>
              <w:adjustRightInd w:val="0"/>
              <w:spacing w:line="260" w:lineRule="exact"/>
              <w:jc w:val="center"/>
              <w:rPr>
                <w:color w:val="000000"/>
                <w:lang w:val="lt-LT"/>
              </w:rPr>
            </w:pPr>
          </w:p>
        </w:tc>
        <w:tc>
          <w:tcPr>
            <w:tcW w:w="2066" w:type="dxa"/>
            <w:vAlign w:val="center"/>
          </w:tcPr>
          <w:p w14:paraId="671EC791" w14:textId="77777777" w:rsidR="00265C06" w:rsidRPr="002C4825" w:rsidRDefault="00265C06" w:rsidP="00265C06">
            <w:pPr>
              <w:adjustRightInd w:val="0"/>
              <w:spacing w:line="260" w:lineRule="exact"/>
              <w:jc w:val="center"/>
              <w:rPr>
                <w:color w:val="000000"/>
                <w:lang w:val="lt-LT"/>
              </w:rPr>
            </w:pPr>
          </w:p>
        </w:tc>
      </w:tr>
      <w:tr w:rsidR="000D0A9A" w:rsidRPr="002C4825" w14:paraId="440C6019" w14:textId="77777777" w:rsidTr="00183C93">
        <w:trPr>
          <w:trHeight w:val="340"/>
        </w:trPr>
        <w:tc>
          <w:tcPr>
            <w:tcW w:w="2400" w:type="dxa"/>
            <w:vAlign w:val="center"/>
          </w:tcPr>
          <w:p w14:paraId="46AE63B9" w14:textId="4E670B06" w:rsidR="00265C06" w:rsidRPr="002C4825" w:rsidRDefault="000D0A9A" w:rsidP="000D0A9A">
            <w:pPr>
              <w:spacing w:line="276" w:lineRule="auto"/>
              <w:rPr>
                <w:lang w:val="lt-LT"/>
              </w:rPr>
            </w:pPr>
            <w:r w:rsidRPr="002C4825">
              <w:rPr>
                <w:lang w:val="lt-LT"/>
              </w:rPr>
              <w:t>Ausų ir labirintų sutrikimai</w:t>
            </w:r>
          </w:p>
        </w:tc>
        <w:tc>
          <w:tcPr>
            <w:tcW w:w="1671" w:type="dxa"/>
            <w:vAlign w:val="center"/>
          </w:tcPr>
          <w:p w14:paraId="2B347F68" w14:textId="3D5053E9" w:rsidR="00265C06" w:rsidRPr="002C4825" w:rsidRDefault="000D0A9A" w:rsidP="000D0A9A">
            <w:pPr>
              <w:spacing w:line="276" w:lineRule="auto"/>
              <w:jc w:val="center"/>
              <w:rPr>
                <w:lang w:val="lt-LT"/>
              </w:rPr>
            </w:pPr>
            <w:r w:rsidRPr="002C4825">
              <w:rPr>
                <w:lang w:val="lt-LT"/>
              </w:rPr>
              <w:t>Ūžesys</w:t>
            </w:r>
          </w:p>
        </w:tc>
        <w:tc>
          <w:tcPr>
            <w:tcW w:w="1664" w:type="dxa"/>
            <w:vAlign w:val="center"/>
          </w:tcPr>
          <w:p w14:paraId="18089266" w14:textId="77777777" w:rsidR="00265C06" w:rsidRPr="002C4825" w:rsidRDefault="00265C06" w:rsidP="00265C06">
            <w:pPr>
              <w:adjustRightInd w:val="0"/>
              <w:spacing w:line="260" w:lineRule="exact"/>
              <w:jc w:val="center"/>
              <w:rPr>
                <w:color w:val="000000"/>
                <w:lang w:val="lt-LT"/>
              </w:rPr>
            </w:pPr>
          </w:p>
        </w:tc>
        <w:tc>
          <w:tcPr>
            <w:tcW w:w="1663" w:type="dxa"/>
            <w:vAlign w:val="center"/>
          </w:tcPr>
          <w:p w14:paraId="1BE50FD3" w14:textId="77777777" w:rsidR="00265C06" w:rsidRPr="002C4825" w:rsidRDefault="00265C06" w:rsidP="00265C06">
            <w:pPr>
              <w:adjustRightInd w:val="0"/>
              <w:spacing w:line="260" w:lineRule="exact"/>
              <w:jc w:val="center"/>
              <w:rPr>
                <w:color w:val="000000"/>
                <w:lang w:val="lt-LT"/>
              </w:rPr>
            </w:pPr>
          </w:p>
        </w:tc>
        <w:tc>
          <w:tcPr>
            <w:tcW w:w="2066" w:type="dxa"/>
            <w:vAlign w:val="center"/>
          </w:tcPr>
          <w:p w14:paraId="3D9CD10B" w14:textId="77777777" w:rsidR="00265C06" w:rsidRPr="002C4825" w:rsidRDefault="00265C06" w:rsidP="00265C06">
            <w:pPr>
              <w:adjustRightInd w:val="0"/>
              <w:spacing w:line="260" w:lineRule="exact"/>
              <w:jc w:val="center"/>
              <w:rPr>
                <w:color w:val="000000"/>
                <w:lang w:val="lt-LT"/>
              </w:rPr>
            </w:pPr>
          </w:p>
        </w:tc>
      </w:tr>
      <w:tr w:rsidR="000D0A9A" w:rsidRPr="002C4825" w14:paraId="40E0CEC2" w14:textId="77777777" w:rsidTr="00183C93">
        <w:trPr>
          <w:trHeight w:val="340"/>
        </w:trPr>
        <w:tc>
          <w:tcPr>
            <w:tcW w:w="2400" w:type="dxa"/>
            <w:vAlign w:val="center"/>
          </w:tcPr>
          <w:p w14:paraId="29CF7567" w14:textId="7673D727" w:rsidR="00265C06" w:rsidRPr="002C4825" w:rsidRDefault="000D0A9A" w:rsidP="000D0A9A">
            <w:pPr>
              <w:spacing w:line="276" w:lineRule="auto"/>
              <w:rPr>
                <w:lang w:val="lt-LT"/>
              </w:rPr>
            </w:pPr>
            <w:r w:rsidRPr="002C4825">
              <w:rPr>
                <w:lang w:val="lt-LT"/>
              </w:rPr>
              <w:t xml:space="preserve">Širdies sutrikimai </w:t>
            </w:r>
          </w:p>
        </w:tc>
        <w:tc>
          <w:tcPr>
            <w:tcW w:w="1671" w:type="dxa"/>
            <w:vAlign w:val="center"/>
          </w:tcPr>
          <w:p w14:paraId="16D7AD7D" w14:textId="15C5DC29" w:rsidR="00265C06" w:rsidRPr="002C4825" w:rsidRDefault="00265C06" w:rsidP="00265C06">
            <w:pPr>
              <w:adjustRightInd w:val="0"/>
              <w:spacing w:line="260" w:lineRule="exact"/>
              <w:jc w:val="center"/>
              <w:rPr>
                <w:color w:val="000000"/>
                <w:lang w:val="lt-LT"/>
              </w:rPr>
            </w:pPr>
            <w:r w:rsidRPr="002C4825">
              <w:rPr>
                <w:color w:val="000000"/>
                <w:lang w:val="lt-LT" w:bidi="en-US"/>
              </w:rPr>
              <w:t>Tach</w:t>
            </w:r>
            <w:r w:rsidR="000D0A9A" w:rsidRPr="002C4825">
              <w:rPr>
                <w:color w:val="000000"/>
                <w:lang w:val="lt-LT" w:bidi="en-US"/>
              </w:rPr>
              <w:t>ik</w:t>
            </w:r>
            <w:r w:rsidRPr="002C4825">
              <w:rPr>
                <w:color w:val="000000"/>
                <w:lang w:val="lt-LT" w:bidi="en-US"/>
              </w:rPr>
              <w:t>ardi</w:t>
            </w:r>
            <w:r w:rsidR="000D0A9A" w:rsidRPr="002C4825">
              <w:rPr>
                <w:color w:val="000000"/>
                <w:lang w:val="lt-LT" w:bidi="en-US"/>
              </w:rPr>
              <w:t>j</w:t>
            </w:r>
            <w:r w:rsidRPr="002C4825">
              <w:rPr>
                <w:color w:val="000000"/>
                <w:lang w:val="lt-LT" w:bidi="en-US"/>
              </w:rPr>
              <w:t>a</w:t>
            </w:r>
          </w:p>
        </w:tc>
        <w:tc>
          <w:tcPr>
            <w:tcW w:w="1664" w:type="dxa"/>
            <w:vAlign w:val="center"/>
          </w:tcPr>
          <w:p w14:paraId="6B27494F" w14:textId="77777777" w:rsidR="00265C06" w:rsidRPr="002C4825" w:rsidRDefault="00265C06" w:rsidP="00265C06">
            <w:pPr>
              <w:adjustRightInd w:val="0"/>
              <w:spacing w:line="260" w:lineRule="exact"/>
              <w:jc w:val="center"/>
              <w:rPr>
                <w:color w:val="000000"/>
                <w:lang w:val="lt-LT"/>
              </w:rPr>
            </w:pPr>
          </w:p>
        </w:tc>
        <w:tc>
          <w:tcPr>
            <w:tcW w:w="1663" w:type="dxa"/>
            <w:vAlign w:val="center"/>
          </w:tcPr>
          <w:p w14:paraId="5D343EAE" w14:textId="77777777" w:rsidR="00265C06" w:rsidRPr="002C4825" w:rsidRDefault="00265C06" w:rsidP="00265C06">
            <w:pPr>
              <w:adjustRightInd w:val="0"/>
              <w:spacing w:line="260" w:lineRule="exact"/>
              <w:jc w:val="center"/>
              <w:rPr>
                <w:color w:val="000000"/>
                <w:lang w:val="lt-LT"/>
              </w:rPr>
            </w:pPr>
          </w:p>
        </w:tc>
        <w:tc>
          <w:tcPr>
            <w:tcW w:w="2066" w:type="dxa"/>
            <w:vAlign w:val="center"/>
          </w:tcPr>
          <w:p w14:paraId="3855711A" w14:textId="77777777" w:rsidR="00265C06" w:rsidRPr="002C4825" w:rsidRDefault="00265C06" w:rsidP="00265C06">
            <w:pPr>
              <w:adjustRightInd w:val="0"/>
              <w:spacing w:line="260" w:lineRule="exact"/>
              <w:jc w:val="center"/>
              <w:rPr>
                <w:color w:val="000000"/>
                <w:lang w:val="lt-LT"/>
              </w:rPr>
            </w:pPr>
          </w:p>
        </w:tc>
      </w:tr>
      <w:tr w:rsidR="000D0A9A" w:rsidRPr="002C4825" w14:paraId="535C1078" w14:textId="77777777" w:rsidTr="00183C93">
        <w:trPr>
          <w:trHeight w:val="340"/>
        </w:trPr>
        <w:tc>
          <w:tcPr>
            <w:tcW w:w="2400" w:type="dxa"/>
            <w:vAlign w:val="center"/>
          </w:tcPr>
          <w:p w14:paraId="0B68B9ED" w14:textId="4D68D834" w:rsidR="00265C06" w:rsidRPr="002C4825" w:rsidRDefault="000D0A9A" w:rsidP="000D0A9A">
            <w:pPr>
              <w:rPr>
                <w:lang w:val="lt-LT"/>
              </w:rPr>
            </w:pPr>
            <w:r w:rsidRPr="002C4825">
              <w:rPr>
                <w:lang w:val="lt-LT"/>
              </w:rPr>
              <w:t xml:space="preserve">Kraujagyslių sutrikimai </w:t>
            </w:r>
          </w:p>
        </w:tc>
        <w:tc>
          <w:tcPr>
            <w:tcW w:w="1671" w:type="dxa"/>
            <w:vAlign w:val="center"/>
          </w:tcPr>
          <w:p w14:paraId="4BB17D95" w14:textId="77777777" w:rsidR="00265C06" w:rsidRPr="002C4825" w:rsidRDefault="00265C06" w:rsidP="00265C06">
            <w:pPr>
              <w:adjustRightInd w:val="0"/>
              <w:spacing w:line="260" w:lineRule="exact"/>
              <w:jc w:val="center"/>
              <w:rPr>
                <w:color w:val="000000"/>
                <w:lang w:val="lt-LT"/>
              </w:rPr>
            </w:pPr>
          </w:p>
        </w:tc>
        <w:tc>
          <w:tcPr>
            <w:tcW w:w="1664" w:type="dxa"/>
            <w:vAlign w:val="center"/>
          </w:tcPr>
          <w:p w14:paraId="732B97B7" w14:textId="77777777" w:rsidR="00265C06" w:rsidRPr="002C4825" w:rsidRDefault="00265C06" w:rsidP="00265C06">
            <w:pPr>
              <w:adjustRightInd w:val="0"/>
              <w:spacing w:line="260" w:lineRule="exact"/>
              <w:jc w:val="center"/>
              <w:rPr>
                <w:color w:val="000000"/>
                <w:lang w:val="lt-LT"/>
              </w:rPr>
            </w:pPr>
          </w:p>
        </w:tc>
        <w:tc>
          <w:tcPr>
            <w:tcW w:w="1663" w:type="dxa"/>
            <w:vAlign w:val="center"/>
          </w:tcPr>
          <w:p w14:paraId="6A683878" w14:textId="724FF1F6" w:rsidR="00265C06" w:rsidRPr="002C4825" w:rsidRDefault="000D0A9A" w:rsidP="00265C06">
            <w:pPr>
              <w:adjustRightInd w:val="0"/>
              <w:spacing w:line="260" w:lineRule="exact"/>
              <w:jc w:val="center"/>
              <w:rPr>
                <w:color w:val="000000"/>
                <w:lang w:val="lt-LT"/>
              </w:rPr>
            </w:pPr>
            <w:r w:rsidRPr="002C4825">
              <w:rPr>
                <w:lang w:val="lt-LT"/>
              </w:rPr>
              <w:t>Kraujavimas</w:t>
            </w:r>
          </w:p>
        </w:tc>
        <w:tc>
          <w:tcPr>
            <w:tcW w:w="2066" w:type="dxa"/>
            <w:vAlign w:val="center"/>
          </w:tcPr>
          <w:p w14:paraId="3B4B5080" w14:textId="77777777" w:rsidR="00265C06" w:rsidRPr="002C4825" w:rsidRDefault="00265C06" w:rsidP="00265C06">
            <w:pPr>
              <w:adjustRightInd w:val="0"/>
              <w:spacing w:line="260" w:lineRule="exact"/>
              <w:jc w:val="center"/>
              <w:rPr>
                <w:color w:val="000000"/>
                <w:lang w:val="lt-LT"/>
              </w:rPr>
            </w:pPr>
          </w:p>
        </w:tc>
      </w:tr>
      <w:tr w:rsidR="000D0A9A" w:rsidRPr="002C4825" w14:paraId="21484887" w14:textId="77777777" w:rsidTr="00183C93">
        <w:trPr>
          <w:trHeight w:val="340"/>
        </w:trPr>
        <w:tc>
          <w:tcPr>
            <w:tcW w:w="2400" w:type="dxa"/>
            <w:vAlign w:val="center"/>
          </w:tcPr>
          <w:p w14:paraId="0DF0C0DC" w14:textId="6E96199D" w:rsidR="00265C06" w:rsidRPr="002C4825" w:rsidRDefault="000D0A9A" w:rsidP="00265C06">
            <w:pPr>
              <w:adjustRightInd w:val="0"/>
              <w:spacing w:line="260" w:lineRule="exact"/>
              <w:rPr>
                <w:color w:val="000000"/>
                <w:lang w:val="lt-LT"/>
              </w:rPr>
            </w:pPr>
            <w:r w:rsidRPr="002C4825">
              <w:rPr>
                <w:lang w:val="lt-LT"/>
              </w:rPr>
              <w:t>Kvėpavimo sistemos, krūtinės ląstos ir tarpuplaučio sutrikimai</w:t>
            </w:r>
          </w:p>
        </w:tc>
        <w:tc>
          <w:tcPr>
            <w:tcW w:w="1671" w:type="dxa"/>
            <w:vAlign w:val="center"/>
          </w:tcPr>
          <w:p w14:paraId="682375A9" w14:textId="77777777" w:rsidR="00265C06" w:rsidRPr="002C4825" w:rsidRDefault="00265C06" w:rsidP="00265C06">
            <w:pPr>
              <w:adjustRightInd w:val="0"/>
              <w:spacing w:line="260" w:lineRule="exact"/>
              <w:jc w:val="center"/>
              <w:rPr>
                <w:color w:val="000000"/>
                <w:lang w:val="lt-LT"/>
              </w:rPr>
            </w:pPr>
          </w:p>
        </w:tc>
        <w:tc>
          <w:tcPr>
            <w:tcW w:w="1664" w:type="dxa"/>
            <w:vAlign w:val="center"/>
          </w:tcPr>
          <w:p w14:paraId="3365C803" w14:textId="1586A398" w:rsidR="00265C06" w:rsidRPr="002C4825" w:rsidRDefault="000D0A9A" w:rsidP="00265C06">
            <w:pPr>
              <w:adjustRightInd w:val="0"/>
              <w:spacing w:line="260" w:lineRule="exact"/>
              <w:jc w:val="center"/>
              <w:rPr>
                <w:color w:val="000000"/>
                <w:lang w:val="lt-LT"/>
              </w:rPr>
            </w:pPr>
            <w:r w:rsidRPr="002C4825">
              <w:rPr>
                <w:lang w:val="lt-LT"/>
              </w:rPr>
              <w:t>Bronchų spazmas, dusulys</w:t>
            </w:r>
          </w:p>
        </w:tc>
        <w:tc>
          <w:tcPr>
            <w:tcW w:w="1663" w:type="dxa"/>
            <w:vAlign w:val="center"/>
          </w:tcPr>
          <w:p w14:paraId="62B6D8FB" w14:textId="77777777" w:rsidR="00265C06" w:rsidRPr="002C4825" w:rsidRDefault="00265C06" w:rsidP="00265C06">
            <w:pPr>
              <w:adjustRightInd w:val="0"/>
              <w:spacing w:line="260" w:lineRule="exact"/>
              <w:jc w:val="center"/>
              <w:rPr>
                <w:color w:val="000000"/>
                <w:lang w:val="lt-LT"/>
              </w:rPr>
            </w:pPr>
          </w:p>
        </w:tc>
        <w:tc>
          <w:tcPr>
            <w:tcW w:w="2066" w:type="dxa"/>
            <w:vAlign w:val="center"/>
          </w:tcPr>
          <w:p w14:paraId="1BAEF060" w14:textId="69371389" w:rsidR="00265C06" w:rsidRPr="002C4825" w:rsidRDefault="000D0A9A" w:rsidP="00265C06">
            <w:pPr>
              <w:adjustRightInd w:val="0"/>
              <w:spacing w:line="260" w:lineRule="exact"/>
              <w:jc w:val="center"/>
              <w:rPr>
                <w:color w:val="000000"/>
                <w:lang w:val="lt-LT"/>
              </w:rPr>
            </w:pPr>
            <w:r w:rsidRPr="002C4825">
              <w:rPr>
                <w:color w:val="000000"/>
                <w:lang w:val="lt-LT" w:bidi="en-US"/>
              </w:rPr>
              <w:t>Kvėpavimo takų obstrukcija</w:t>
            </w:r>
          </w:p>
        </w:tc>
      </w:tr>
      <w:tr w:rsidR="000D0A9A" w:rsidRPr="002C4825" w14:paraId="079BFE4D" w14:textId="77777777" w:rsidTr="00183C93">
        <w:trPr>
          <w:trHeight w:val="340"/>
        </w:trPr>
        <w:tc>
          <w:tcPr>
            <w:tcW w:w="2400" w:type="dxa"/>
            <w:vAlign w:val="center"/>
          </w:tcPr>
          <w:p w14:paraId="6D13189D" w14:textId="232666B9" w:rsidR="00265C06" w:rsidRPr="002C4825" w:rsidRDefault="000D0A9A" w:rsidP="00265C06">
            <w:pPr>
              <w:adjustRightInd w:val="0"/>
              <w:spacing w:line="260" w:lineRule="exact"/>
              <w:rPr>
                <w:color w:val="000000"/>
                <w:lang w:val="lt-LT"/>
              </w:rPr>
            </w:pPr>
            <w:r w:rsidRPr="002C4825">
              <w:rPr>
                <w:color w:val="000000"/>
                <w:lang w:val="lt-LT" w:bidi="en-US"/>
              </w:rPr>
              <w:t xml:space="preserve">Virškinimo trakto sutrikimai  </w:t>
            </w:r>
          </w:p>
        </w:tc>
        <w:tc>
          <w:tcPr>
            <w:tcW w:w="1671" w:type="dxa"/>
            <w:vAlign w:val="center"/>
          </w:tcPr>
          <w:p w14:paraId="07600164" w14:textId="76134AFC" w:rsidR="00265C06" w:rsidRPr="002C4825" w:rsidRDefault="000D0A9A" w:rsidP="000D0A9A">
            <w:pPr>
              <w:adjustRightInd w:val="0"/>
              <w:spacing w:line="260" w:lineRule="exact"/>
              <w:jc w:val="center"/>
              <w:rPr>
                <w:color w:val="000000"/>
                <w:lang w:val="lt-LT"/>
              </w:rPr>
            </w:pPr>
            <w:r w:rsidRPr="002C4825">
              <w:rPr>
                <w:color w:val="000000"/>
                <w:lang w:val="lt-LT" w:bidi="en-US"/>
              </w:rPr>
              <w:t>Vėmimas, viduriavimas, stomatitas, pilvo skausmas, pykinimas</w:t>
            </w:r>
          </w:p>
        </w:tc>
        <w:tc>
          <w:tcPr>
            <w:tcW w:w="1664" w:type="dxa"/>
            <w:vAlign w:val="center"/>
          </w:tcPr>
          <w:p w14:paraId="0922199F" w14:textId="3527F530" w:rsidR="00265C06" w:rsidRPr="002C4825" w:rsidRDefault="000D0A9A" w:rsidP="00265C06">
            <w:pPr>
              <w:adjustRightInd w:val="0"/>
              <w:spacing w:line="260" w:lineRule="exact"/>
              <w:jc w:val="center"/>
              <w:rPr>
                <w:color w:val="000000"/>
                <w:lang w:val="lt-LT"/>
              </w:rPr>
            </w:pPr>
            <w:r w:rsidRPr="002C4825">
              <w:rPr>
                <w:color w:val="000000"/>
                <w:lang w:val="lt-LT" w:bidi="en-US"/>
              </w:rPr>
              <w:t>Dispepsija</w:t>
            </w:r>
          </w:p>
        </w:tc>
        <w:tc>
          <w:tcPr>
            <w:tcW w:w="1663" w:type="dxa"/>
            <w:vAlign w:val="center"/>
          </w:tcPr>
          <w:p w14:paraId="7C3D9664" w14:textId="77777777" w:rsidR="00265C06" w:rsidRPr="002C4825" w:rsidRDefault="00265C06" w:rsidP="00265C06">
            <w:pPr>
              <w:adjustRightInd w:val="0"/>
              <w:spacing w:line="260" w:lineRule="exact"/>
              <w:jc w:val="center"/>
              <w:rPr>
                <w:color w:val="000000"/>
                <w:lang w:val="lt-LT"/>
              </w:rPr>
            </w:pPr>
          </w:p>
        </w:tc>
        <w:tc>
          <w:tcPr>
            <w:tcW w:w="2066" w:type="dxa"/>
            <w:vAlign w:val="center"/>
          </w:tcPr>
          <w:p w14:paraId="61BF6BEB" w14:textId="77777777" w:rsidR="00265C06" w:rsidRPr="002C4825" w:rsidRDefault="00265C06" w:rsidP="00265C06">
            <w:pPr>
              <w:adjustRightInd w:val="0"/>
              <w:spacing w:line="260" w:lineRule="exact"/>
              <w:jc w:val="center"/>
              <w:rPr>
                <w:color w:val="000000"/>
                <w:lang w:val="lt-LT"/>
              </w:rPr>
            </w:pPr>
          </w:p>
        </w:tc>
      </w:tr>
      <w:tr w:rsidR="000D0A9A" w:rsidRPr="004A7D5E" w14:paraId="54847A8E" w14:textId="77777777" w:rsidTr="00183C93">
        <w:trPr>
          <w:trHeight w:val="340"/>
        </w:trPr>
        <w:tc>
          <w:tcPr>
            <w:tcW w:w="2400" w:type="dxa"/>
            <w:vAlign w:val="center"/>
          </w:tcPr>
          <w:p w14:paraId="067780FB" w14:textId="3CB6120F" w:rsidR="00265C06" w:rsidRPr="002C4825" w:rsidRDefault="000D0A9A" w:rsidP="00265C06">
            <w:pPr>
              <w:adjustRightInd w:val="0"/>
              <w:spacing w:line="260" w:lineRule="exact"/>
              <w:rPr>
                <w:color w:val="000000"/>
                <w:lang w:val="lt-LT"/>
              </w:rPr>
            </w:pPr>
            <w:r w:rsidRPr="002C4825">
              <w:rPr>
                <w:lang w:val="lt-LT"/>
              </w:rPr>
              <w:t>Odos ir poodinio audinio sutrikimai</w:t>
            </w:r>
          </w:p>
        </w:tc>
        <w:tc>
          <w:tcPr>
            <w:tcW w:w="1671" w:type="dxa"/>
            <w:vAlign w:val="center"/>
          </w:tcPr>
          <w:p w14:paraId="319BC8B8" w14:textId="6F41ACEA" w:rsidR="00265C06" w:rsidRPr="002C4825" w:rsidRDefault="000D0A9A" w:rsidP="00265C06">
            <w:pPr>
              <w:adjustRightInd w:val="0"/>
              <w:spacing w:line="260" w:lineRule="exact"/>
              <w:jc w:val="center"/>
              <w:rPr>
                <w:color w:val="000000"/>
                <w:lang w:val="lt-LT"/>
              </w:rPr>
            </w:pPr>
            <w:r w:rsidRPr="002C4825">
              <w:rPr>
                <w:lang w:val="lt-LT"/>
              </w:rPr>
              <w:t>Dilgėlinė, išbėrimas, angioneurozinė edema, niež</w:t>
            </w:r>
            <w:r w:rsidR="00DA614A">
              <w:rPr>
                <w:lang w:val="lt-LT"/>
              </w:rPr>
              <w:t>ėjimas</w:t>
            </w:r>
          </w:p>
        </w:tc>
        <w:tc>
          <w:tcPr>
            <w:tcW w:w="1664" w:type="dxa"/>
            <w:vAlign w:val="center"/>
          </w:tcPr>
          <w:p w14:paraId="407002C6" w14:textId="77777777" w:rsidR="00265C06" w:rsidRPr="002C4825" w:rsidRDefault="00265C06" w:rsidP="00265C06">
            <w:pPr>
              <w:adjustRightInd w:val="0"/>
              <w:spacing w:line="260" w:lineRule="exact"/>
              <w:jc w:val="center"/>
              <w:rPr>
                <w:color w:val="000000"/>
                <w:lang w:val="lt-LT"/>
              </w:rPr>
            </w:pPr>
          </w:p>
        </w:tc>
        <w:tc>
          <w:tcPr>
            <w:tcW w:w="1663" w:type="dxa"/>
            <w:vAlign w:val="center"/>
          </w:tcPr>
          <w:p w14:paraId="24274E28" w14:textId="77777777" w:rsidR="00265C06" w:rsidRPr="002C4825" w:rsidRDefault="00265C06" w:rsidP="00265C06">
            <w:pPr>
              <w:adjustRightInd w:val="0"/>
              <w:spacing w:line="260" w:lineRule="exact"/>
              <w:jc w:val="center"/>
              <w:rPr>
                <w:color w:val="000000"/>
                <w:lang w:val="lt-LT"/>
              </w:rPr>
            </w:pPr>
          </w:p>
        </w:tc>
        <w:tc>
          <w:tcPr>
            <w:tcW w:w="2066" w:type="dxa"/>
            <w:vAlign w:val="center"/>
          </w:tcPr>
          <w:p w14:paraId="12EE2169" w14:textId="77777777" w:rsidR="00265C06" w:rsidRPr="002C4825" w:rsidRDefault="00265C06" w:rsidP="00265C06">
            <w:pPr>
              <w:adjustRightInd w:val="0"/>
              <w:spacing w:line="260" w:lineRule="exact"/>
              <w:jc w:val="center"/>
              <w:rPr>
                <w:color w:val="000000"/>
                <w:lang w:val="lt-LT"/>
              </w:rPr>
            </w:pPr>
          </w:p>
        </w:tc>
      </w:tr>
      <w:tr w:rsidR="000D0A9A" w:rsidRPr="002C4825" w14:paraId="17FDC0B5" w14:textId="77777777" w:rsidTr="00183C93">
        <w:trPr>
          <w:trHeight w:val="340"/>
        </w:trPr>
        <w:tc>
          <w:tcPr>
            <w:tcW w:w="2400" w:type="dxa"/>
            <w:vAlign w:val="center"/>
          </w:tcPr>
          <w:p w14:paraId="795E8960" w14:textId="131EA610" w:rsidR="00265C06" w:rsidRPr="002C4825" w:rsidRDefault="000D0A9A" w:rsidP="00265C06">
            <w:pPr>
              <w:adjustRightInd w:val="0"/>
              <w:spacing w:line="260" w:lineRule="exact"/>
              <w:rPr>
                <w:color w:val="000000"/>
                <w:lang w:val="lt-LT"/>
              </w:rPr>
            </w:pPr>
            <w:r w:rsidRPr="002C4825">
              <w:rPr>
                <w:lang w:val="lt-LT"/>
              </w:rPr>
              <w:lastRenderedPageBreak/>
              <w:t>Bendrieji sutrikimai ir vartojimo vietos pažeidimai</w:t>
            </w:r>
          </w:p>
        </w:tc>
        <w:tc>
          <w:tcPr>
            <w:tcW w:w="1671" w:type="dxa"/>
            <w:vAlign w:val="center"/>
          </w:tcPr>
          <w:p w14:paraId="3AC92861" w14:textId="4F8D6893" w:rsidR="00265C06" w:rsidRPr="002C4825" w:rsidRDefault="000D0A9A" w:rsidP="000D0A9A">
            <w:pPr>
              <w:jc w:val="center"/>
              <w:rPr>
                <w:lang w:val="lt-LT"/>
              </w:rPr>
            </w:pPr>
            <w:r w:rsidRPr="002C4825">
              <w:rPr>
                <w:lang w:val="lt-LT"/>
              </w:rPr>
              <w:t>Karščiavimas</w:t>
            </w:r>
          </w:p>
        </w:tc>
        <w:tc>
          <w:tcPr>
            <w:tcW w:w="1664" w:type="dxa"/>
            <w:vAlign w:val="center"/>
          </w:tcPr>
          <w:p w14:paraId="521ED87F" w14:textId="77777777" w:rsidR="00265C06" w:rsidRPr="002C4825" w:rsidRDefault="00265C06" w:rsidP="00265C06">
            <w:pPr>
              <w:adjustRightInd w:val="0"/>
              <w:spacing w:line="260" w:lineRule="exact"/>
              <w:jc w:val="center"/>
              <w:rPr>
                <w:color w:val="000000"/>
                <w:lang w:val="lt-LT"/>
              </w:rPr>
            </w:pPr>
          </w:p>
        </w:tc>
        <w:tc>
          <w:tcPr>
            <w:tcW w:w="1663" w:type="dxa"/>
            <w:vAlign w:val="center"/>
          </w:tcPr>
          <w:p w14:paraId="04645004" w14:textId="77777777" w:rsidR="00265C06" w:rsidRPr="002C4825" w:rsidRDefault="00265C06" w:rsidP="00265C06">
            <w:pPr>
              <w:adjustRightInd w:val="0"/>
              <w:spacing w:line="260" w:lineRule="exact"/>
              <w:jc w:val="center"/>
              <w:rPr>
                <w:color w:val="000000"/>
                <w:lang w:val="lt-LT"/>
              </w:rPr>
            </w:pPr>
          </w:p>
        </w:tc>
        <w:tc>
          <w:tcPr>
            <w:tcW w:w="2066" w:type="dxa"/>
            <w:vAlign w:val="center"/>
          </w:tcPr>
          <w:p w14:paraId="175E4EB2" w14:textId="025DE243" w:rsidR="00265C06" w:rsidRPr="002C4825" w:rsidRDefault="000D0A9A" w:rsidP="00265C06">
            <w:pPr>
              <w:adjustRightInd w:val="0"/>
              <w:spacing w:line="260" w:lineRule="exact"/>
              <w:jc w:val="center"/>
              <w:rPr>
                <w:color w:val="000000"/>
                <w:lang w:val="lt-LT"/>
              </w:rPr>
            </w:pPr>
            <w:r w:rsidRPr="002C4825">
              <w:rPr>
                <w:color w:val="000000"/>
                <w:lang w:val="lt-LT" w:bidi="en-US"/>
              </w:rPr>
              <w:t>Veido edema</w:t>
            </w:r>
          </w:p>
        </w:tc>
      </w:tr>
      <w:tr w:rsidR="000D0A9A" w:rsidRPr="002C4825" w14:paraId="495187F2" w14:textId="77777777" w:rsidTr="00183C93">
        <w:trPr>
          <w:trHeight w:val="340"/>
        </w:trPr>
        <w:tc>
          <w:tcPr>
            <w:tcW w:w="2400" w:type="dxa"/>
            <w:vAlign w:val="center"/>
          </w:tcPr>
          <w:p w14:paraId="7CD6A283" w14:textId="28248D72" w:rsidR="00265C06" w:rsidRPr="002C4825" w:rsidRDefault="000D0A9A" w:rsidP="00265C06">
            <w:pPr>
              <w:adjustRightInd w:val="0"/>
              <w:spacing w:line="260" w:lineRule="exact"/>
              <w:rPr>
                <w:color w:val="000000"/>
                <w:lang w:val="lt-LT"/>
              </w:rPr>
            </w:pPr>
            <w:r w:rsidRPr="002C4825">
              <w:rPr>
                <w:color w:val="000000"/>
                <w:lang w:val="lt-LT" w:bidi="en-US"/>
              </w:rPr>
              <w:t>Tyrimai</w:t>
            </w:r>
          </w:p>
        </w:tc>
        <w:tc>
          <w:tcPr>
            <w:tcW w:w="1671" w:type="dxa"/>
            <w:vAlign w:val="center"/>
          </w:tcPr>
          <w:p w14:paraId="512575B9" w14:textId="6354F9D2" w:rsidR="00265C06" w:rsidRPr="002C4825" w:rsidRDefault="000D0A9A" w:rsidP="00265C06">
            <w:pPr>
              <w:adjustRightInd w:val="0"/>
              <w:spacing w:line="260" w:lineRule="exact"/>
              <w:jc w:val="center"/>
              <w:rPr>
                <w:color w:val="000000"/>
                <w:lang w:val="lt-LT"/>
              </w:rPr>
            </w:pPr>
            <w:r w:rsidRPr="002C4825">
              <w:rPr>
                <w:color w:val="000000"/>
                <w:lang w:val="lt-LT" w:bidi="en-US"/>
              </w:rPr>
              <w:t>Žemas kraujo spaudimas</w:t>
            </w:r>
          </w:p>
        </w:tc>
        <w:tc>
          <w:tcPr>
            <w:tcW w:w="1664" w:type="dxa"/>
            <w:vAlign w:val="center"/>
          </w:tcPr>
          <w:p w14:paraId="2522170C" w14:textId="77777777" w:rsidR="00265C06" w:rsidRPr="002C4825" w:rsidRDefault="00265C06" w:rsidP="00265C06">
            <w:pPr>
              <w:adjustRightInd w:val="0"/>
              <w:spacing w:line="260" w:lineRule="exact"/>
              <w:jc w:val="center"/>
              <w:rPr>
                <w:color w:val="000000"/>
                <w:lang w:val="lt-LT"/>
              </w:rPr>
            </w:pPr>
          </w:p>
        </w:tc>
        <w:tc>
          <w:tcPr>
            <w:tcW w:w="1663" w:type="dxa"/>
            <w:vAlign w:val="center"/>
          </w:tcPr>
          <w:p w14:paraId="27DADCDC" w14:textId="77777777" w:rsidR="00265C06" w:rsidRPr="002C4825" w:rsidRDefault="00265C06" w:rsidP="00265C06">
            <w:pPr>
              <w:adjustRightInd w:val="0"/>
              <w:spacing w:line="260" w:lineRule="exact"/>
              <w:jc w:val="center"/>
              <w:rPr>
                <w:color w:val="000000"/>
                <w:lang w:val="lt-LT"/>
              </w:rPr>
            </w:pPr>
          </w:p>
        </w:tc>
        <w:tc>
          <w:tcPr>
            <w:tcW w:w="2066" w:type="dxa"/>
            <w:vAlign w:val="center"/>
          </w:tcPr>
          <w:p w14:paraId="1257B1ED" w14:textId="77777777" w:rsidR="00265C06" w:rsidRPr="002C4825" w:rsidRDefault="00265C06" w:rsidP="00265C06">
            <w:pPr>
              <w:adjustRightInd w:val="0"/>
              <w:spacing w:line="260" w:lineRule="exact"/>
              <w:jc w:val="center"/>
              <w:rPr>
                <w:color w:val="000000"/>
                <w:lang w:val="lt-LT"/>
              </w:rPr>
            </w:pPr>
          </w:p>
        </w:tc>
      </w:tr>
    </w:tbl>
    <w:p w14:paraId="2E0FD938" w14:textId="77777777" w:rsidR="008F667A" w:rsidRPr="002C4825" w:rsidRDefault="008F667A" w:rsidP="008F667A">
      <w:pPr>
        <w:adjustRightInd w:val="0"/>
        <w:jc w:val="both"/>
        <w:rPr>
          <w:u w:val="single"/>
          <w:lang w:val="lt-LT"/>
        </w:rPr>
      </w:pPr>
    </w:p>
    <w:p w14:paraId="1DF8AA56" w14:textId="14196843" w:rsidR="008F667A" w:rsidRPr="002C4825" w:rsidRDefault="008F667A" w:rsidP="002C4825">
      <w:pPr>
        <w:keepNext/>
        <w:suppressAutoHyphens/>
        <w:rPr>
          <w:rFonts w:eastAsia="SimSun"/>
          <w:u w:val="single"/>
          <w:lang w:val="lt-LT" w:eastAsia="ar-SA"/>
        </w:rPr>
      </w:pPr>
      <w:r w:rsidRPr="002C4825">
        <w:rPr>
          <w:rFonts w:eastAsia="SimSun"/>
          <w:u w:val="single"/>
          <w:lang w:val="lt-LT" w:eastAsia="ar-SA"/>
        </w:rPr>
        <w:t>Atrinktų nepageidaujamų reakcijų apibūdinimas</w:t>
      </w:r>
    </w:p>
    <w:p w14:paraId="3DF432C4" w14:textId="4593747C" w:rsidR="008F667A" w:rsidRPr="002C4825" w:rsidRDefault="008F667A" w:rsidP="002C4825">
      <w:pPr>
        <w:keepNext/>
        <w:rPr>
          <w:noProof/>
          <w:lang w:val="lt-LT"/>
        </w:rPr>
      </w:pPr>
      <w:r w:rsidRPr="002C4825">
        <w:rPr>
          <w:lang w:val="lt-LT"/>
        </w:rPr>
        <w:t xml:space="preserve">Labai retai gauta pranešimų apie </w:t>
      </w:r>
      <w:r w:rsidR="00865F34" w:rsidRPr="002C4825">
        <w:rPr>
          <w:lang w:val="lt-LT"/>
        </w:rPr>
        <w:t xml:space="preserve">sunkių odos reakcijų, tokių, kaip </w:t>
      </w:r>
      <w:r w:rsidRPr="002C4825">
        <w:rPr>
          <w:noProof/>
          <w:lang w:val="lt-LT"/>
        </w:rPr>
        <w:t>Stivenso-Džonsono (</w:t>
      </w:r>
      <w:r w:rsidRPr="002C4825">
        <w:rPr>
          <w:i/>
          <w:noProof/>
          <w:lang w:val="lt-LT"/>
        </w:rPr>
        <w:t>Stevens-Johnson</w:t>
      </w:r>
      <w:r w:rsidRPr="002C4825">
        <w:rPr>
          <w:noProof/>
          <w:lang w:val="lt-LT"/>
        </w:rPr>
        <w:t>) sindrom</w:t>
      </w:r>
      <w:r w:rsidR="00865F34" w:rsidRPr="002C4825">
        <w:rPr>
          <w:noProof/>
          <w:lang w:val="lt-LT"/>
        </w:rPr>
        <w:t>as</w:t>
      </w:r>
      <w:r w:rsidRPr="002C4825">
        <w:rPr>
          <w:noProof/>
          <w:lang w:val="lt-LT"/>
        </w:rPr>
        <w:t xml:space="preserve"> ir </w:t>
      </w:r>
      <w:r w:rsidR="00865F34" w:rsidRPr="002C4825">
        <w:rPr>
          <w:noProof/>
          <w:lang w:val="lt-LT"/>
        </w:rPr>
        <w:t xml:space="preserve">toksinė epidermio nekrolizė </w:t>
      </w:r>
      <w:r w:rsidRPr="002C4825">
        <w:rPr>
          <w:noProof/>
          <w:lang w:val="lt-LT"/>
        </w:rPr>
        <w:t>[Lajelio (</w:t>
      </w:r>
      <w:r w:rsidRPr="002C4825">
        <w:rPr>
          <w:i/>
          <w:noProof/>
          <w:lang w:val="lt-LT"/>
        </w:rPr>
        <w:t>Lyell</w:t>
      </w:r>
      <w:r w:rsidRPr="002C4825">
        <w:rPr>
          <w:noProof/>
          <w:lang w:val="lt-LT"/>
        </w:rPr>
        <w:t>) sindrom</w:t>
      </w:r>
      <w:r w:rsidR="00865F34" w:rsidRPr="002C4825">
        <w:rPr>
          <w:noProof/>
          <w:lang w:val="lt-LT"/>
        </w:rPr>
        <w:t>as</w:t>
      </w:r>
      <w:r w:rsidRPr="002C4825">
        <w:rPr>
          <w:noProof/>
          <w:lang w:val="lt-LT"/>
        </w:rPr>
        <w:t>]</w:t>
      </w:r>
      <w:r w:rsidR="00865F34" w:rsidRPr="002C4825">
        <w:rPr>
          <w:lang w:val="lt-LT"/>
        </w:rPr>
        <w:t xml:space="preserve"> pasireiškimą, laiko atžvilgiu susijusį su acetilcisteino vartojimu.</w:t>
      </w:r>
    </w:p>
    <w:p w14:paraId="08A2293D" w14:textId="77777777" w:rsidR="00865F34" w:rsidRPr="002C4825" w:rsidRDefault="00865F34" w:rsidP="008F667A">
      <w:pPr>
        <w:rPr>
          <w:noProof/>
          <w:lang w:val="lt-LT"/>
        </w:rPr>
      </w:pPr>
    </w:p>
    <w:p w14:paraId="169EF8AD" w14:textId="1CF87E6A" w:rsidR="008F667A" w:rsidRPr="002C4825" w:rsidRDefault="00865F34" w:rsidP="008F667A">
      <w:pPr>
        <w:rPr>
          <w:lang w:val="lt-LT"/>
        </w:rPr>
      </w:pPr>
      <w:r w:rsidRPr="002C4825">
        <w:rPr>
          <w:lang w:val="lt-LT"/>
        </w:rPr>
        <w:t xml:space="preserve">Daugumoje šių praneštų atvejų tuo pačiu laiku buvo vartojamas mažiausiai dar bent vienas vaistinis preparatas, kuris galėjo sustiprinti minėtą poveikį gleivinei ir odai. </w:t>
      </w:r>
      <w:r w:rsidR="008F667A" w:rsidRPr="002C4825">
        <w:rPr>
          <w:lang w:val="lt-LT"/>
        </w:rPr>
        <w:t>Jei atsiranda odos ir gleivinės pokyčių, reikia nedelsiant pasitarti su gydytoju ir iškart nutraukti acetilcisteino vartojimą.</w:t>
      </w:r>
    </w:p>
    <w:p w14:paraId="5E4535C3" w14:textId="77777777" w:rsidR="008F667A" w:rsidRPr="002C4825" w:rsidRDefault="008F667A" w:rsidP="008F667A">
      <w:pPr>
        <w:rPr>
          <w:lang w:val="lt-LT"/>
        </w:rPr>
      </w:pPr>
    </w:p>
    <w:p w14:paraId="69BC3CAE" w14:textId="62DF2B08" w:rsidR="008F667A" w:rsidRPr="002C4825" w:rsidRDefault="008F667A" w:rsidP="00865F34">
      <w:pPr>
        <w:suppressAutoHyphens/>
        <w:rPr>
          <w:lang w:val="lt-LT"/>
        </w:rPr>
      </w:pPr>
      <w:r w:rsidRPr="002C4825">
        <w:rPr>
          <w:lang w:val="lt-LT"/>
        </w:rPr>
        <w:t>Skirtingų tyrimų metu vartojant acetilcisteino buvo stebimas trombocitų agregacijos sumažėjimas</w:t>
      </w:r>
      <w:r w:rsidR="00865F34" w:rsidRPr="002C4825">
        <w:rPr>
          <w:lang w:val="lt-LT"/>
        </w:rPr>
        <w:t>. Tokio poveikio klinikinė reikšmė iki šiol dar neišaiškinta.</w:t>
      </w:r>
    </w:p>
    <w:p w14:paraId="2682B5DD" w14:textId="77777777" w:rsidR="00865F34" w:rsidRPr="002C4825" w:rsidRDefault="00865F34" w:rsidP="00865F34">
      <w:pPr>
        <w:suppressAutoHyphens/>
        <w:rPr>
          <w:u w:val="single"/>
          <w:lang w:val="lt-LT"/>
        </w:rPr>
      </w:pPr>
    </w:p>
    <w:p w14:paraId="49608579" w14:textId="6FA6B6B5" w:rsidR="008F667A" w:rsidRPr="002C4825" w:rsidRDefault="008F667A" w:rsidP="008F667A">
      <w:pPr>
        <w:adjustRightInd w:val="0"/>
        <w:jc w:val="both"/>
        <w:rPr>
          <w:u w:val="single"/>
          <w:lang w:val="lt-LT"/>
        </w:rPr>
      </w:pPr>
      <w:r w:rsidRPr="002C4825">
        <w:rPr>
          <w:u w:val="single"/>
          <w:lang w:val="lt-LT"/>
        </w:rPr>
        <w:t>Pranešimas apie įtariamas nepageidaujamas reakcijas</w:t>
      </w:r>
    </w:p>
    <w:p w14:paraId="16ED47DB" w14:textId="3F025526" w:rsidR="008F667A" w:rsidRPr="002C4825" w:rsidRDefault="00FE1075" w:rsidP="008F667A">
      <w:pPr>
        <w:adjustRightInd w:val="0"/>
        <w:rPr>
          <w:lang w:val="lt-LT"/>
        </w:rPr>
      </w:pPr>
      <w:r w:rsidRPr="00FE1075">
        <w:rPr>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NepageidaujamaR@vvkt.lt).</w:t>
      </w:r>
    </w:p>
    <w:p w14:paraId="27EA4852" w14:textId="77777777" w:rsidR="008F667A" w:rsidRPr="002C4825" w:rsidRDefault="008F667A" w:rsidP="008F667A">
      <w:pPr>
        <w:rPr>
          <w:lang w:val="lt-LT"/>
        </w:rPr>
      </w:pPr>
    </w:p>
    <w:p w14:paraId="61E52843" w14:textId="77777777" w:rsidR="008F667A" w:rsidRPr="002C4825" w:rsidRDefault="008F667A" w:rsidP="008F667A">
      <w:pPr>
        <w:ind w:left="567" w:hanging="567"/>
        <w:jc w:val="both"/>
        <w:outlineLvl w:val="3"/>
        <w:rPr>
          <w:b/>
          <w:bCs/>
          <w:lang w:val="lt-LT" w:eastAsia="lt-LT"/>
        </w:rPr>
      </w:pPr>
      <w:r w:rsidRPr="002C4825">
        <w:rPr>
          <w:b/>
          <w:bCs/>
          <w:lang w:val="lt-LT" w:eastAsia="lt-LT"/>
        </w:rPr>
        <w:t>4.9</w:t>
      </w:r>
      <w:r w:rsidRPr="002C4825">
        <w:rPr>
          <w:b/>
          <w:bCs/>
          <w:lang w:val="lt-LT" w:eastAsia="lt-LT"/>
        </w:rPr>
        <w:tab/>
        <w:t>Perdozavimas</w:t>
      </w:r>
    </w:p>
    <w:p w14:paraId="2F466E34" w14:textId="77777777" w:rsidR="008F667A" w:rsidRPr="002C4825" w:rsidRDefault="008F667A" w:rsidP="008F667A">
      <w:pPr>
        <w:jc w:val="both"/>
        <w:outlineLvl w:val="3"/>
        <w:rPr>
          <w:lang w:val="lt-LT" w:eastAsia="lt-LT"/>
        </w:rPr>
      </w:pPr>
    </w:p>
    <w:p w14:paraId="7FEF6377" w14:textId="77777777" w:rsidR="00865F34" w:rsidRPr="002C4825" w:rsidRDefault="00865F34" w:rsidP="00865F34">
      <w:pPr>
        <w:tabs>
          <w:tab w:val="left" w:pos="425"/>
        </w:tabs>
        <w:rPr>
          <w:lang w:val="lt-LT"/>
        </w:rPr>
      </w:pPr>
      <w:r w:rsidRPr="002C4825">
        <w:rPr>
          <w:lang w:val="lt-LT"/>
        </w:rPr>
        <w:t xml:space="preserve">Vartojant geriamąsias acetilcisteino formas, ligi šiol nė vieno perdozavimo sukelto toksinio poveikio atvejo nenustatyta. </w:t>
      </w:r>
    </w:p>
    <w:p w14:paraId="0A9ED290" w14:textId="05D8D783" w:rsidR="00865F34" w:rsidRPr="002C4825" w:rsidRDefault="00865F34" w:rsidP="00C102AC">
      <w:pPr>
        <w:tabs>
          <w:tab w:val="left" w:pos="425"/>
        </w:tabs>
        <w:rPr>
          <w:lang w:val="lt-LT"/>
        </w:rPr>
      </w:pPr>
      <w:r w:rsidRPr="002C4825">
        <w:rPr>
          <w:lang w:val="lt-LT"/>
        </w:rPr>
        <w:t xml:space="preserve">Ilgiau kaip 3 mėnesius </w:t>
      </w:r>
      <w:r w:rsidR="00C102AC" w:rsidRPr="002C4825">
        <w:rPr>
          <w:lang w:val="lt-LT"/>
        </w:rPr>
        <w:t xml:space="preserve">sveikiems </w:t>
      </w:r>
      <w:r w:rsidRPr="002C4825">
        <w:rPr>
          <w:lang w:val="lt-LT"/>
        </w:rPr>
        <w:t>savanoriams vartojant kasdien po 11,6</w:t>
      </w:r>
      <w:r w:rsidR="00C102AC" w:rsidRPr="002C4825">
        <w:rPr>
          <w:lang w:val="lt-LT"/>
        </w:rPr>
        <w:t> </w:t>
      </w:r>
      <w:r w:rsidRPr="002C4825">
        <w:rPr>
          <w:lang w:val="lt-LT"/>
        </w:rPr>
        <w:t>g acetilcisteino, sunk</w:t>
      </w:r>
      <w:r w:rsidR="00C102AC" w:rsidRPr="002C4825">
        <w:rPr>
          <w:lang w:val="lt-LT"/>
        </w:rPr>
        <w:t>ių</w:t>
      </w:r>
      <w:r w:rsidRPr="002C4825">
        <w:rPr>
          <w:lang w:val="lt-LT"/>
        </w:rPr>
        <w:t xml:space="preserve"> nepageidaujam</w:t>
      </w:r>
      <w:r w:rsidR="00C102AC" w:rsidRPr="002C4825">
        <w:rPr>
          <w:lang w:val="lt-LT"/>
        </w:rPr>
        <w:t>ų</w:t>
      </w:r>
      <w:r w:rsidRPr="002C4825">
        <w:rPr>
          <w:lang w:val="lt-LT"/>
        </w:rPr>
        <w:t xml:space="preserve"> </w:t>
      </w:r>
      <w:r w:rsidR="00C102AC" w:rsidRPr="002C4825">
        <w:rPr>
          <w:lang w:val="lt-LT"/>
        </w:rPr>
        <w:t>reakcijų</w:t>
      </w:r>
      <w:r w:rsidRPr="002C4825">
        <w:rPr>
          <w:lang w:val="lt-LT"/>
        </w:rPr>
        <w:t xml:space="preserve"> nepastebėta. Net 500</w:t>
      </w:r>
      <w:r w:rsidR="00C102AC" w:rsidRPr="002C4825">
        <w:rPr>
          <w:lang w:val="lt-LT"/>
        </w:rPr>
        <w:t> </w:t>
      </w:r>
      <w:r w:rsidRPr="002C4825">
        <w:rPr>
          <w:lang w:val="lt-LT"/>
        </w:rPr>
        <w:t>mg/kg kūno svorio acetilcisteino dozė</w:t>
      </w:r>
      <w:r w:rsidR="00C102AC" w:rsidRPr="002C4825">
        <w:rPr>
          <w:lang w:val="lt-LT"/>
        </w:rPr>
        <w:t>s</w:t>
      </w:r>
      <w:r w:rsidRPr="002C4825">
        <w:rPr>
          <w:lang w:val="lt-LT"/>
        </w:rPr>
        <w:t xml:space="preserve"> </w:t>
      </w:r>
      <w:r w:rsidR="00C102AC" w:rsidRPr="002C4825">
        <w:rPr>
          <w:lang w:val="lt-LT"/>
        </w:rPr>
        <w:t>buvo gerai toleruojamos be jokių apsinuodijimo simptomų.</w:t>
      </w:r>
    </w:p>
    <w:p w14:paraId="6AD06CD7" w14:textId="77777777" w:rsidR="00C102AC" w:rsidRPr="002C4825" w:rsidRDefault="00C102AC" w:rsidP="00C102AC">
      <w:pPr>
        <w:tabs>
          <w:tab w:val="left" w:pos="425"/>
        </w:tabs>
        <w:rPr>
          <w:i/>
          <w:iCs/>
          <w:lang w:val="lt-LT"/>
        </w:rPr>
      </w:pPr>
    </w:p>
    <w:p w14:paraId="0A00A160" w14:textId="4895381A" w:rsidR="00865F34" w:rsidRPr="002C4825" w:rsidRDefault="00C102AC" w:rsidP="00865F34">
      <w:pPr>
        <w:tabs>
          <w:tab w:val="left" w:pos="425"/>
        </w:tabs>
        <w:outlineLvl w:val="1"/>
        <w:rPr>
          <w:iCs/>
          <w:u w:val="single"/>
          <w:lang w:val="lt-LT"/>
        </w:rPr>
      </w:pPr>
      <w:r w:rsidRPr="002C4825">
        <w:rPr>
          <w:iCs/>
          <w:u w:val="single"/>
          <w:lang w:val="lt-LT"/>
        </w:rPr>
        <w:t>Perdozavimo</w:t>
      </w:r>
      <w:r w:rsidR="00865F34" w:rsidRPr="002C4825">
        <w:rPr>
          <w:iCs/>
          <w:u w:val="single"/>
          <w:lang w:val="lt-LT"/>
        </w:rPr>
        <w:t xml:space="preserve"> simptomai</w:t>
      </w:r>
    </w:p>
    <w:p w14:paraId="553BA927" w14:textId="77777777" w:rsidR="00865F34" w:rsidRPr="002C4825" w:rsidRDefault="00865F34" w:rsidP="00865F34">
      <w:pPr>
        <w:tabs>
          <w:tab w:val="left" w:pos="425"/>
        </w:tabs>
        <w:rPr>
          <w:lang w:val="lt-LT"/>
        </w:rPr>
      </w:pPr>
      <w:r w:rsidRPr="002C4825">
        <w:rPr>
          <w:lang w:val="lt-LT"/>
        </w:rPr>
        <w:t xml:space="preserve">Dėl per didelės dozės gali sutrikti virškinimo trakto veikla: gali pasireikšti pykinimas, vėmimas bei viduriavimas. </w:t>
      </w:r>
    </w:p>
    <w:p w14:paraId="14E24ABE" w14:textId="60A12FB8" w:rsidR="00265C06" w:rsidRPr="002C4825" w:rsidRDefault="00265C06" w:rsidP="00726B08">
      <w:pPr>
        <w:rPr>
          <w:lang w:val="lt-LT"/>
        </w:rPr>
      </w:pPr>
    </w:p>
    <w:p w14:paraId="1821574C" w14:textId="77777777" w:rsidR="00C102AC" w:rsidRPr="002C4825" w:rsidRDefault="00C102AC" w:rsidP="00C102AC">
      <w:pPr>
        <w:rPr>
          <w:u w:val="single"/>
          <w:lang w:val="lt-LT"/>
        </w:rPr>
      </w:pPr>
      <w:r w:rsidRPr="002C4825">
        <w:rPr>
          <w:u w:val="single"/>
          <w:lang w:val="lt-LT"/>
        </w:rPr>
        <w:t>Perdozavimo gydymas</w:t>
      </w:r>
    </w:p>
    <w:p w14:paraId="521EC617" w14:textId="77777777" w:rsidR="00C102AC" w:rsidRPr="002C4825" w:rsidRDefault="00C102AC" w:rsidP="00C102AC">
      <w:pPr>
        <w:rPr>
          <w:lang w:val="lt-LT"/>
        </w:rPr>
      </w:pPr>
      <w:r w:rsidRPr="002C4825">
        <w:rPr>
          <w:lang w:val="lt-LT"/>
        </w:rPr>
        <w:t>Specifinio priešnuodžio acetilcisteinui nėra. Jei reikia, turi būti taikomas simptominis gydymas.</w:t>
      </w:r>
    </w:p>
    <w:p w14:paraId="01A24523" w14:textId="77777777" w:rsidR="00C102AC" w:rsidRPr="002C4825" w:rsidRDefault="00C102AC" w:rsidP="00C102AC">
      <w:pPr>
        <w:rPr>
          <w:lang w:val="lt-LT"/>
        </w:rPr>
      </w:pPr>
    </w:p>
    <w:p w14:paraId="49430EF4" w14:textId="77777777" w:rsidR="00C102AC" w:rsidRPr="002C4825" w:rsidRDefault="00C102AC" w:rsidP="00C102AC">
      <w:pPr>
        <w:rPr>
          <w:lang w:val="lt-LT"/>
        </w:rPr>
      </w:pPr>
    </w:p>
    <w:p w14:paraId="2CA18C2C" w14:textId="77777777" w:rsidR="00C102AC" w:rsidRPr="002C4825" w:rsidRDefault="00C102AC" w:rsidP="00C102AC">
      <w:pPr>
        <w:rPr>
          <w:b/>
          <w:bCs/>
          <w:lang w:val="lt-LT"/>
        </w:rPr>
      </w:pPr>
      <w:r w:rsidRPr="002C4825">
        <w:rPr>
          <w:b/>
          <w:bCs/>
          <w:lang w:val="lt-LT"/>
        </w:rPr>
        <w:t>5.</w:t>
      </w:r>
      <w:r w:rsidRPr="002C4825">
        <w:rPr>
          <w:b/>
          <w:bCs/>
          <w:lang w:val="lt-LT"/>
        </w:rPr>
        <w:tab/>
        <w:t>FARMAKOLOGINĖS SAVYBĖS</w:t>
      </w:r>
    </w:p>
    <w:p w14:paraId="4C8B37A5" w14:textId="77777777" w:rsidR="00C102AC" w:rsidRPr="002C4825" w:rsidRDefault="00C102AC" w:rsidP="00C102AC">
      <w:pPr>
        <w:rPr>
          <w:b/>
          <w:bCs/>
          <w:lang w:val="lt-LT"/>
        </w:rPr>
      </w:pPr>
    </w:p>
    <w:p w14:paraId="13E28F9C" w14:textId="77777777" w:rsidR="00C102AC" w:rsidRPr="002C4825" w:rsidRDefault="00C102AC" w:rsidP="00C102AC">
      <w:pPr>
        <w:rPr>
          <w:b/>
          <w:bCs/>
          <w:lang w:val="lt-LT"/>
        </w:rPr>
      </w:pPr>
      <w:r w:rsidRPr="002C4825">
        <w:rPr>
          <w:b/>
          <w:bCs/>
          <w:lang w:val="lt-LT"/>
        </w:rPr>
        <w:t xml:space="preserve">5.1 </w:t>
      </w:r>
      <w:r w:rsidRPr="002C4825">
        <w:rPr>
          <w:b/>
          <w:bCs/>
          <w:lang w:val="lt-LT"/>
        </w:rPr>
        <w:tab/>
        <w:t>Farmakodinaminės savybės</w:t>
      </w:r>
    </w:p>
    <w:p w14:paraId="75ABFEE7" w14:textId="77777777" w:rsidR="00C102AC" w:rsidRPr="002C4825" w:rsidRDefault="00C102AC" w:rsidP="00C102AC">
      <w:pPr>
        <w:rPr>
          <w:lang w:val="lt-LT"/>
        </w:rPr>
      </w:pPr>
    </w:p>
    <w:p w14:paraId="22B096FD" w14:textId="3BE3DDF5" w:rsidR="00C102AC" w:rsidRPr="002C4825" w:rsidRDefault="00C102AC" w:rsidP="00C102AC">
      <w:pPr>
        <w:rPr>
          <w:lang w:val="lt-LT"/>
        </w:rPr>
      </w:pPr>
      <w:r w:rsidRPr="002C4825">
        <w:rPr>
          <w:lang w:val="lt-LT"/>
        </w:rPr>
        <w:t>Farmakoterapinė grupė – gleives skystinantys vaistiniai preparatai, ATC kodas – R05CB01</w:t>
      </w:r>
    </w:p>
    <w:p w14:paraId="49A6990A" w14:textId="1749E449" w:rsidR="00C102AC" w:rsidRPr="002C4825" w:rsidRDefault="00C102AC" w:rsidP="00C102AC">
      <w:pPr>
        <w:rPr>
          <w:lang w:val="lt-LT"/>
        </w:rPr>
      </w:pPr>
    </w:p>
    <w:p w14:paraId="3DA2B63D" w14:textId="26B27C8B" w:rsidR="000B41BD" w:rsidRPr="002C4825" w:rsidRDefault="00E35EE1" w:rsidP="000B41BD">
      <w:pPr>
        <w:tabs>
          <w:tab w:val="left" w:pos="425"/>
        </w:tabs>
        <w:rPr>
          <w:lang w:val="lt-LT"/>
        </w:rPr>
      </w:pPr>
      <w:r w:rsidRPr="002C4825">
        <w:rPr>
          <w:lang w:val="lt-LT"/>
        </w:rPr>
        <w:t>Acetilcisteinas, veiklioji Wintrozen medžiaga, intensyviai skystina gleives ir pūling</w:t>
      </w:r>
      <w:r w:rsidR="00CC0432" w:rsidRPr="002C4825">
        <w:rPr>
          <w:lang w:val="lt-LT"/>
        </w:rPr>
        <w:t>as</w:t>
      </w:r>
      <w:r w:rsidRPr="002C4825">
        <w:rPr>
          <w:lang w:val="lt-LT"/>
        </w:rPr>
        <w:t xml:space="preserve"> </w:t>
      </w:r>
      <w:r w:rsidR="00CC0432" w:rsidRPr="002C4825">
        <w:rPr>
          <w:lang w:val="lt-LT"/>
        </w:rPr>
        <w:t>išskyras</w:t>
      </w:r>
      <w:r w:rsidRPr="002C4825">
        <w:rPr>
          <w:lang w:val="lt-LT"/>
        </w:rPr>
        <w:t xml:space="preserve"> depolimerizuodamas mukoprotein</w:t>
      </w:r>
      <w:r w:rsidR="000B41BD" w:rsidRPr="002C4825">
        <w:rPr>
          <w:lang w:val="lt-LT"/>
        </w:rPr>
        <w:t>ų</w:t>
      </w:r>
      <w:r w:rsidRPr="002C4825">
        <w:rPr>
          <w:lang w:val="lt-LT"/>
        </w:rPr>
        <w:t xml:space="preserve"> kompleksus ir nukleorūgštis, kuri</w:t>
      </w:r>
      <w:r w:rsidR="000B41BD" w:rsidRPr="002C4825">
        <w:rPr>
          <w:lang w:val="lt-LT"/>
        </w:rPr>
        <w:t>e</w:t>
      </w:r>
      <w:r w:rsidRPr="002C4825">
        <w:rPr>
          <w:lang w:val="lt-LT"/>
        </w:rPr>
        <w:t xml:space="preserve"> suteikia klampumo pūlingiems </w:t>
      </w:r>
      <w:r w:rsidR="000B41BD" w:rsidRPr="002C4825">
        <w:rPr>
          <w:lang w:val="lt-LT"/>
        </w:rPr>
        <w:t>skreplių</w:t>
      </w:r>
      <w:r w:rsidRPr="002C4825">
        <w:rPr>
          <w:lang w:val="lt-LT"/>
        </w:rPr>
        <w:t xml:space="preserve"> komponentams</w:t>
      </w:r>
      <w:r w:rsidR="000B41BD" w:rsidRPr="002C4825">
        <w:rPr>
          <w:lang w:val="lt-LT"/>
        </w:rPr>
        <w:t xml:space="preserve">, stiklakūnių bei kitoms išskyroms. </w:t>
      </w:r>
    </w:p>
    <w:p w14:paraId="7E953A34" w14:textId="77777777" w:rsidR="000B41BD" w:rsidRPr="002C4825" w:rsidRDefault="000B41BD" w:rsidP="000B41BD">
      <w:pPr>
        <w:rPr>
          <w:lang w:val="lt-LT" w:eastAsia="bg-BG"/>
        </w:rPr>
      </w:pPr>
    </w:p>
    <w:p w14:paraId="21498D62" w14:textId="77777777" w:rsidR="00CC0432" w:rsidRPr="002C4825" w:rsidRDefault="000B41BD" w:rsidP="00451A9F">
      <w:pPr>
        <w:rPr>
          <w:lang w:val="lt-LT"/>
        </w:rPr>
      </w:pPr>
      <w:r w:rsidRPr="002C4825">
        <w:rPr>
          <w:lang w:val="lt-LT" w:eastAsia="bg-BG"/>
        </w:rPr>
        <w:t>Taip pat dėl sudėtyje esančio laisvojo tiolo (-SH) nukleofilinės grupės, kuri gali tiesiogiai reaguoti su laisvųjų oksidacinių radikalų elektrofiline grupe,</w:t>
      </w:r>
      <w:r w:rsidRPr="002C4825">
        <w:rPr>
          <w:noProof/>
          <w:lang w:val="lt-LT"/>
        </w:rPr>
        <w:t xml:space="preserve"> </w:t>
      </w:r>
      <w:r w:rsidRPr="002C4825">
        <w:rPr>
          <w:lang w:val="lt-LT" w:eastAsia="bg-BG"/>
        </w:rPr>
        <w:t xml:space="preserve">acetilcisteinas sukelia tiesioginį antioksidacinį </w:t>
      </w:r>
      <w:r w:rsidRPr="002C4825">
        <w:rPr>
          <w:lang w:val="lt-LT" w:eastAsia="bg-BG"/>
        </w:rPr>
        <w:lastRenderedPageBreak/>
        <w:t>poveikį.</w:t>
      </w:r>
      <w:r w:rsidR="00451A9F" w:rsidRPr="002C4825">
        <w:rPr>
          <w:lang w:val="lt-LT" w:eastAsia="bg-BG"/>
        </w:rPr>
        <w:t xml:space="preserve"> </w:t>
      </w:r>
      <w:r w:rsidR="00451A9F" w:rsidRPr="002C4825">
        <w:rPr>
          <w:lang w:val="lt-LT"/>
        </w:rPr>
        <w:t xml:space="preserve">Ypač įdomi yra naujausia išvada, kad acetilcisteinas apsaugo </w:t>
      </w:r>
      <w:r w:rsidR="00451A9F" w:rsidRPr="002C4825">
        <w:rPr>
          <w:lang w:val="lt-LT" w:bidi="en-US"/>
        </w:rPr>
        <w:sym w:font="Symbol" w:char="F061"/>
      </w:r>
      <w:r w:rsidR="00451A9F" w:rsidRPr="002C4825">
        <w:rPr>
          <w:lang w:val="lt-LT"/>
        </w:rPr>
        <w:t xml:space="preserve">1-antitripsino fermentą, slopinantį elastazę, nuo inaktyvacijos hipochloro rūgštimi (HOCl), stipriu oksidatoriumi, kurį gamina aktyvuotų fagocitų mieloperoksidazės fermentas. Dėl savo molekulinės struktūros jis gali lengvai praeiti ląstelių membranas. Ląstelės viduje acetilcisteinas deacetilinamas iki L-cisteino, amino rūgšties, būtinos glutationo </w:t>
      </w:r>
      <w:r w:rsidR="00CC0432" w:rsidRPr="002C4825">
        <w:rPr>
          <w:lang w:val="lt-LT"/>
        </w:rPr>
        <w:t xml:space="preserve">(GSH) </w:t>
      </w:r>
      <w:r w:rsidR="00451A9F" w:rsidRPr="002C4825">
        <w:rPr>
          <w:lang w:val="lt-LT"/>
        </w:rPr>
        <w:t>sintezei.</w:t>
      </w:r>
    </w:p>
    <w:p w14:paraId="08C77B39" w14:textId="2860B697" w:rsidR="00C102AC" w:rsidRPr="002C4825" w:rsidRDefault="00451A9F" w:rsidP="00451A9F">
      <w:pPr>
        <w:rPr>
          <w:lang w:val="lt-LT"/>
        </w:rPr>
      </w:pPr>
      <w:r w:rsidRPr="002C4825">
        <w:rPr>
          <w:lang w:val="lt-LT"/>
        </w:rPr>
        <w:t xml:space="preserve"> </w:t>
      </w:r>
    </w:p>
    <w:p w14:paraId="24214921" w14:textId="1DC1A9DE" w:rsidR="00451A9F" w:rsidRPr="002C4825" w:rsidRDefault="00451A9F" w:rsidP="00451A9F">
      <w:pPr>
        <w:rPr>
          <w:lang w:val="lt-LT"/>
        </w:rPr>
      </w:pPr>
      <w:r w:rsidRPr="002C4825">
        <w:rPr>
          <w:lang w:val="lt-LT"/>
        </w:rPr>
        <w:t>GSH yra labai reaktyvus tripeptidas, pasklidęs įvairiuose gyvūnų organizmų audiniuose, būtinas funkciniam pajėgumui ir ląstelių morfologiniam vientisumui palaikyti. Tai yra svarbiausias apsauginis tarpląstelinis mechanizmas nuo oksiduojančių radikalų, tiek egzogeninių, tiek endogeninių, taip pat nuo daugelio citotoksinių medžiagų.</w:t>
      </w:r>
    </w:p>
    <w:p w14:paraId="299E6525" w14:textId="77777777" w:rsidR="00CC0432" w:rsidRPr="002C4825" w:rsidRDefault="00CC0432" w:rsidP="00451A9F">
      <w:pPr>
        <w:rPr>
          <w:lang w:val="lt-LT"/>
        </w:rPr>
      </w:pPr>
    </w:p>
    <w:p w14:paraId="33DE0FD1" w14:textId="3C9AF876" w:rsidR="00CC0432" w:rsidRPr="002C4825" w:rsidRDefault="00CC0432" w:rsidP="00451A9F">
      <w:pPr>
        <w:rPr>
          <w:lang w:val="lt-LT"/>
        </w:rPr>
      </w:pPr>
      <w:r w:rsidRPr="002C4825">
        <w:rPr>
          <w:lang w:val="lt-LT"/>
        </w:rPr>
        <w:t>Dėl šios veiklos Wintrozen ypač tinka ūminėms ir lėtinėms kvėpavimo sistemos ligoms gydyti, kurioms būdingos tirštos, klampios gleivės ir pūlingos išskyros.</w:t>
      </w:r>
    </w:p>
    <w:p w14:paraId="203A8D4D" w14:textId="014B92ED" w:rsidR="00CC0432" w:rsidRPr="002C4825" w:rsidRDefault="00CC0432" w:rsidP="00451A9F">
      <w:pPr>
        <w:rPr>
          <w:lang w:val="lt-LT"/>
        </w:rPr>
      </w:pPr>
    </w:p>
    <w:p w14:paraId="4B503A4E" w14:textId="421BE2CD" w:rsidR="00CC0432" w:rsidRPr="002C4825" w:rsidRDefault="00CC0432" w:rsidP="00451A9F">
      <w:pPr>
        <w:rPr>
          <w:b/>
          <w:lang w:val="lt-LT"/>
        </w:rPr>
      </w:pPr>
      <w:r w:rsidRPr="002C4825">
        <w:rPr>
          <w:b/>
          <w:lang w:val="lt-LT"/>
        </w:rPr>
        <w:t>5.2</w:t>
      </w:r>
      <w:r w:rsidRPr="002C4825">
        <w:rPr>
          <w:b/>
          <w:lang w:val="lt-LT"/>
        </w:rPr>
        <w:tab/>
        <w:t>Farmakokinetinės savybės</w:t>
      </w:r>
    </w:p>
    <w:p w14:paraId="42D89CE0" w14:textId="0B072561" w:rsidR="00CC0432" w:rsidRPr="002C4825" w:rsidRDefault="00CC0432" w:rsidP="00451A9F">
      <w:pPr>
        <w:rPr>
          <w:b/>
          <w:lang w:val="lt-LT"/>
        </w:rPr>
      </w:pPr>
    </w:p>
    <w:p w14:paraId="62AFF504" w14:textId="7F51CE2A" w:rsidR="008C4889" w:rsidRPr="002C4825" w:rsidRDefault="00CC0432" w:rsidP="008C4889">
      <w:pPr>
        <w:tabs>
          <w:tab w:val="left" w:pos="425"/>
        </w:tabs>
        <w:rPr>
          <w:lang w:val="lt-LT"/>
        </w:rPr>
      </w:pPr>
      <w:r w:rsidRPr="002C4825">
        <w:rPr>
          <w:bCs/>
          <w:lang w:val="lt-LT"/>
        </w:rPr>
        <w:t>Organizmas sparčiai ir beveik visiškai rezorbuoja išgertą acetilcisteiną. Kepenyse jis metabolizuojamas į aktyvų farmakologinį metabolitą, diacetilcistiną, cistiną ir kitus mišrius disulfidus.</w:t>
      </w:r>
      <w:r w:rsidR="008C4889" w:rsidRPr="002C4825">
        <w:rPr>
          <w:bCs/>
          <w:lang w:val="lt-LT"/>
        </w:rPr>
        <w:t xml:space="preserve"> </w:t>
      </w:r>
      <w:r w:rsidR="008C4889" w:rsidRPr="002C4825">
        <w:rPr>
          <w:lang w:val="lt-LT"/>
        </w:rPr>
        <w:t>Dėl labai intensyvaus skilimo pirmojo prasiskverbimo per kepenis metu organizmas pasisavina tik maždaug 10 % išgerto acetilcisteino. Didžiausia koncentracija žmogaus plazmoje būna po 1</w:t>
      </w:r>
      <w:r w:rsidR="008C4889" w:rsidRPr="002C4825">
        <w:rPr>
          <w:lang w:val="lt-LT"/>
        </w:rPr>
        <w:noBreakHyphen/>
        <w:t xml:space="preserve">3 val. Metabolito cisteino didžiausia koncentracija plazmoje būna maždaug 2 µmol/l. Prie baltymų prisijungia maždaug 50 % acetilcisteino. </w:t>
      </w:r>
    </w:p>
    <w:p w14:paraId="2C31B236" w14:textId="005F24FC" w:rsidR="00CC0432" w:rsidRPr="002C4825" w:rsidRDefault="00CC0432" w:rsidP="00451A9F">
      <w:pPr>
        <w:rPr>
          <w:bCs/>
          <w:lang w:val="lt-LT"/>
        </w:rPr>
      </w:pPr>
    </w:p>
    <w:p w14:paraId="42ED2016" w14:textId="275CDCF8" w:rsidR="008C4889" w:rsidRPr="002C4825" w:rsidRDefault="008C4889" w:rsidP="008C4889">
      <w:pPr>
        <w:tabs>
          <w:tab w:val="left" w:pos="425"/>
        </w:tabs>
        <w:rPr>
          <w:lang w:val="lt-LT"/>
        </w:rPr>
      </w:pPr>
      <w:r w:rsidRPr="002C4825">
        <w:rPr>
          <w:bCs/>
          <w:lang w:val="lt-LT"/>
        </w:rPr>
        <w:t xml:space="preserve">Organizme būna 3 formų acetilcisteino bei jo metabolitų: dalis būna laisva, dalis labiliomis disulfidinėmis jungtimis prisijungia prie baltymų ir dalis aminorūgščių intarpų pavidalu. </w:t>
      </w:r>
      <w:r w:rsidRPr="002C4825">
        <w:rPr>
          <w:lang w:val="lt-LT"/>
        </w:rPr>
        <w:t>Beveik visas acetilcisteinas šalinamas pro inkstus neveiklių metabolitų (neorganinių sulfatų, diacetilcistino) pavidalu. Pusinis acetilcisteino šalinimo iš plazmos periodas trunka maždaug 1 val. Jis daugiausiai priklauso nuo vaistinio preparato greito metabolizmo kepenyse. Jei kepenų veikla nepakankama, pusinis vaistinio preparato šalinimo iš plazmos periodas pailgėja ir gali trukti net 8 val.</w:t>
      </w:r>
    </w:p>
    <w:p w14:paraId="186061D5" w14:textId="1DF4C190" w:rsidR="008C4889" w:rsidRPr="002C4825" w:rsidRDefault="008C4889" w:rsidP="008C4889">
      <w:pPr>
        <w:tabs>
          <w:tab w:val="left" w:pos="425"/>
        </w:tabs>
        <w:rPr>
          <w:lang w:val="lt-LT"/>
        </w:rPr>
      </w:pPr>
    </w:p>
    <w:p w14:paraId="3BA66898" w14:textId="018DB003" w:rsidR="008C4889" w:rsidRPr="002C4825" w:rsidRDefault="008C4889" w:rsidP="008C4889">
      <w:pPr>
        <w:tabs>
          <w:tab w:val="left" w:pos="425"/>
        </w:tabs>
        <w:rPr>
          <w:lang w:val="lt-LT"/>
        </w:rPr>
      </w:pPr>
      <w:r w:rsidRPr="002C4825">
        <w:rPr>
          <w:lang w:val="lt-LT"/>
        </w:rPr>
        <w:t>Farmakokinetikos tyrimų metu acetilcisteino suleidus į veną nustatyta, kad vaistinio preparato tariamasis pasiskirstymo tūris yra 0,47 l/kg (bendras) arba 0,59 l/kg (redukuotas), plazmos klirensas 0,11 l/val./kg (bendras) arba 0,84 l/val./kg (redukuotas). Suleisto į veną vaistinio preparato pusinės eliminacijos iš plazmos periodas trunka 30</w:t>
      </w:r>
      <w:r w:rsidRPr="002C4825">
        <w:rPr>
          <w:lang w:val="lt-LT"/>
        </w:rPr>
        <w:noBreakHyphen/>
        <w:t xml:space="preserve">40 min., jo kinetika yra trijų fazių (alfa, beta ir galutinė gama fazė). </w:t>
      </w:r>
    </w:p>
    <w:p w14:paraId="5D1A979C" w14:textId="3215CC9E" w:rsidR="008C4889" w:rsidRPr="002C4825" w:rsidRDefault="008C4889" w:rsidP="00451A9F">
      <w:pPr>
        <w:rPr>
          <w:bCs/>
          <w:lang w:val="lt-LT"/>
        </w:rPr>
      </w:pPr>
    </w:p>
    <w:p w14:paraId="09578C17" w14:textId="6ADC0138" w:rsidR="008533F2" w:rsidRPr="002C4825" w:rsidRDefault="008533F2" w:rsidP="00451A9F">
      <w:pPr>
        <w:rPr>
          <w:bCs/>
          <w:lang w:val="lt-LT"/>
        </w:rPr>
      </w:pPr>
      <w:r w:rsidRPr="002C4825">
        <w:rPr>
          <w:bCs/>
          <w:lang w:val="lt-LT"/>
        </w:rPr>
        <w:t>Acetilcisteinas prasiskverbia per placentą ir yra aptinkamas virkštelės kraujyje. Duomenų apie vaistinio preparato prasiskverbimą į motinos pieną nėra.</w:t>
      </w:r>
    </w:p>
    <w:p w14:paraId="1527BC74" w14:textId="30757267" w:rsidR="008533F2" w:rsidRPr="002C4825" w:rsidRDefault="008533F2" w:rsidP="00451A9F">
      <w:pPr>
        <w:rPr>
          <w:bCs/>
          <w:lang w:val="lt-LT"/>
        </w:rPr>
      </w:pPr>
    </w:p>
    <w:p w14:paraId="24B29F1A" w14:textId="503884A3" w:rsidR="008533F2" w:rsidRPr="002C4825" w:rsidRDefault="008533F2" w:rsidP="00451A9F">
      <w:pPr>
        <w:rPr>
          <w:bCs/>
          <w:lang w:val="lt-LT"/>
        </w:rPr>
      </w:pPr>
      <w:r w:rsidRPr="002C4825">
        <w:rPr>
          <w:bCs/>
          <w:lang w:val="lt-LT"/>
        </w:rPr>
        <w:t>Duomenų apie acetilcisteino prasiskverbimą iš žmogaus kraujo į smegenis nėra.</w:t>
      </w:r>
    </w:p>
    <w:p w14:paraId="23453E34" w14:textId="32701454" w:rsidR="008533F2" w:rsidRPr="002C4825" w:rsidRDefault="008533F2" w:rsidP="00451A9F">
      <w:pPr>
        <w:rPr>
          <w:bCs/>
          <w:lang w:val="lt-LT"/>
        </w:rPr>
      </w:pPr>
    </w:p>
    <w:p w14:paraId="5CC6DDD9" w14:textId="77777777" w:rsidR="008533F2" w:rsidRPr="002C4825" w:rsidRDefault="008533F2" w:rsidP="008533F2">
      <w:pPr>
        <w:rPr>
          <w:b/>
          <w:lang w:val="lt-LT"/>
        </w:rPr>
      </w:pPr>
      <w:r w:rsidRPr="002C4825">
        <w:rPr>
          <w:b/>
          <w:lang w:val="lt-LT"/>
        </w:rPr>
        <w:t>5.3</w:t>
      </w:r>
      <w:r w:rsidRPr="002C4825">
        <w:rPr>
          <w:b/>
          <w:lang w:val="lt-LT"/>
        </w:rPr>
        <w:tab/>
        <w:t>Ikiklinikinių saugumo tyrimų duomenys</w:t>
      </w:r>
    </w:p>
    <w:p w14:paraId="10C8A047" w14:textId="267E2471" w:rsidR="008533F2" w:rsidRPr="002C4825" w:rsidRDefault="008533F2" w:rsidP="00451A9F">
      <w:pPr>
        <w:rPr>
          <w:bCs/>
          <w:lang w:val="lt-LT"/>
        </w:rPr>
      </w:pPr>
    </w:p>
    <w:p w14:paraId="5048BA46" w14:textId="7CC57E57" w:rsidR="008533F2" w:rsidRPr="002C4825" w:rsidRDefault="008533F2" w:rsidP="00451A9F">
      <w:pPr>
        <w:rPr>
          <w:bCs/>
          <w:lang w:val="lt-LT"/>
        </w:rPr>
      </w:pPr>
      <w:r w:rsidRPr="002C4825">
        <w:rPr>
          <w:bCs/>
          <w:lang w:val="lt-LT"/>
        </w:rPr>
        <w:t>Tyrimuose su gyvūnais ūminis toksinis poveikis buvo žemas.</w:t>
      </w:r>
    </w:p>
    <w:p w14:paraId="3F8CDD98" w14:textId="1A1DF227" w:rsidR="008533F2" w:rsidRPr="002C4825" w:rsidRDefault="008533F2" w:rsidP="00451A9F">
      <w:pPr>
        <w:rPr>
          <w:bCs/>
          <w:lang w:val="lt-LT"/>
        </w:rPr>
      </w:pPr>
    </w:p>
    <w:p w14:paraId="09DF8528" w14:textId="56C1EAFA" w:rsidR="008533F2" w:rsidRPr="002C4825" w:rsidRDefault="005B3E41" w:rsidP="00451A9F">
      <w:pPr>
        <w:rPr>
          <w:bCs/>
          <w:lang w:val="lt-LT"/>
        </w:rPr>
      </w:pPr>
      <w:r w:rsidRPr="002C4825">
        <w:rPr>
          <w:bCs/>
          <w:lang w:val="lt-LT"/>
        </w:rPr>
        <w:t>Vienerius metus ar trumpiau trukusių lėtinio toksinio poveikio tyrimų su žiurkėmis ir šunimis metu patologinių pokyčių nepastebėta.</w:t>
      </w:r>
    </w:p>
    <w:p w14:paraId="68606CE2" w14:textId="563E01CD" w:rsidR="005B3E41" w:rsidRPr="002C4825" w:rsidRDefault="005B3E41" w:rsidP="00451A9F">
      <w:pPr>
        <w:rPr>
          <w:bCs/>
          <w:lang w:val="lt-LT"/>
        </w:rPr>
      </w:pPr>
    </w:p>
    <w:p w14:paraId="23D7FE4D" w14:textId="2BC966F5" w:rsidR="005B3E41" w:rsidRPr="002C4825" w:rsidRDefault="005B3E41" w:rsidP="00451A9F">
      <w:pPr>
        <w:rPr>
          <w:bCs/>
          <w:lang w:val="lt-LT"/>
        </w:rPr>
      </w:pPr>
      <w:r w:rsidRPr="002C4825">
        <w:rPr>
          <w:bCs/>
          <w:lang w:val="lt-LT"/>
        </w:rPr>
        <w:t xml:space="preserve">Remiantis genotoksiškumo tyrimų </w:t>
      </w:r>
      <w:r w:rsidRPr="00FF6A87">
        <w:rPr>
          <w:bCs/>
          <w:i/>
          <w:lang w:val="lt-LT"/>
        </w:rPr>
        <w:t>in vivo</w:t>
      </w:r>
      <w:r w:rsidRPr="002C4825">
        <w:rPr>
          <w:bCs/>
          <w:lang w:val="lt-LT"/>
        </w:rPr>
        <w:t xml:space="preserve"> ir </w:t>
      </w:r>
      <w:r w:rsidRPr="00FF6A87">
        <w:rPr>
          <w:bCs/>
          <w:i/>
          <w:lang w:val="lt-LT"/>
        </w:rPr>
        <w:t>in vitro</w:t>
      </w:r>
      <w:r w:rsidRPr="002C4825">
        <w:rPr>
          <w:bCs/>
          <w:lang w:val="lt-LT"/>
        </w:rPr>
        <w:t xml:space="preserve"> rezultatais, acetilcisteinas gali būti laikomas negenotoksišku.</w:t>
      </w:r>
    </w:p>
    <w:p w14:paraId="687F9F71" w14:textId="0314951C" w:rsidR="005B3E41" w:rsidRPr="002C4825" w:rsidRDefault="005B3E41" w:rsidP="00451A9F">
      <w:pPr>
        <w:rPr>
          <w:bCs/>
          <w:lang w:val="lt-LT"/>
        </w:rPr>
      </w:pPr>
    </w:p>
    <w:p w14:paraId="687FB0F8" w14:textId="22B92D59" w:rsidR="005B3E41" w:rsidRPr="002C4825" w:rsidRDefault="005B3E41" w:rsidP="005B3E41">
      <w:pPr>
        <w:tabs>
          <w:tab w:val="left" w:pos="425"/>
        </w:tabs>
        <w:rPr>
          <w:lang w:val="lt-LT"/>
        </w:rPr>
      </w:pPr>
      <w:r w:rsidRPr="002C4825">
        <w:rPr>
          <w:bCs/>
          <w:lang w:val="lt-LT"/>
        </w:rPr>
        <w:t>Tyrimų, a</w:t>
      </w:r>
      <w:r w:rsidRPr="002C4825">
        <w:rPr>
          <w:lang w:val="lt-LT"/>
        </w:rPr>
        <w:t xml:space="preserve">r acetilcisteinas gali skatinti navikų atsiradimą, neatlikta. </w:t>
      </w:r>
    </w:p>
    <w:p w14:paraId="350D79BD" w14:textId="6104094C" w:rsidR="005B3E41" w:rsidRPr="002C4825" w:rsidRDefault="005B3E41" w:rsidP="005B3E41">
      <w:pPr>
        <w:tabs>
          <w:tab w:val="left" w:pos="425"/>
        </w:tabs>
        <w:rPr>
          <w:lang w:val="lt-LT"/>
        </w:rPr>
      </w:pPr>
    </w:p>
    <w:p w14:paraId="72E586F1" w14:textId="261191B6" w:rsidR="005B3E41" w:rsidRPr="002C4825" w:rsidRDefault="005B3E41" w:rsidP="005B3E41">
      <w:pPr>
        <w:tabs>
          <w:tab w:val="left" w:pos="425"/>
        </w:tabs>
        <w:rPr>
          <w:lang w:val="lt-LT"/>
        </w:rPr>
      </w:pPr>
      <w:r w:rsidRPr="002C4825">
        <w:rPr>
          <w:lang w:val="lt-LT"/>
        </w:rPr>
        <w:t>Tiriant netoksines dozes motinoms toksinio poveikio reprodukcijai tyrimai su žiurkėmis ir triušiais neparodė</w:t>
      </w:r>
      <w:r w:rsidR="00D33279" w:rsidRPr="002C4825">
        <w:rPr>
          <w:lang w:val="lt-LT"/>
        </w:rPr>
        <w:t xml:space="preserve"> pablogėjusio</w:t>
      </w:r>
      <w:r w:rsidRPr="002C4825">
        <w:rPr>
          <w:lang w:val="lt-LT"/>
        </w:rPr>
        <w:t xml:space="preserve"> patinų ir patelių vaisingumo, embriono/vaisiaus toksiškumo ar teratogeninio poveikio. Perinatalinio ir postnatalinio toksiškumo tyrimai buvo neigiami.</w:t>
      </w:r>
    </w:p>
    <w:p w14:paraId="0B0FB069" w14:textId="73EF75F2" w:rsidR="00D33279" w:rsidRPr="002C4825" w:rsidRDefault="00D33279" w:rsidP="005B3E41">
      <w:pPr>
        <w:tabs>
          <w:tab w:val="left" w:pos="425"/>
        </w:tabs>
        <w:rPr>
          <w:lang w:val="lt-LT"/>
        </w:rPr>
      </w:pPr>
    </w:p>
    <w:p w14:paraId="448CC1E5" w14:textId="6890453E" w:rsidR="00D33279" w:rsidRPr="002C4825" w:rsidRDefault="00D33279" w:rsidP="005B3E41">
      <w:pPr>
        <w:tabs>
          <w:tab w:val="left" w:pos="425"/>
        </w:tabs>
        <w:rPr>
          <w:lang w:val="lt-LT"/>
        </w:rPr>
      </w:pPr>
      <w:r w:rsidRPr="002C4825">
        <w:rPr>
          <w:lang w:val="lt-LT"/>
        </w:rPr>
        <w:lastRenderedPageBreak/>
        <w:t>Acetilcisteinas prasiskverbia per žiurkių placentą, jo būna vaisiaus vandenyse. Metabolito L-cisteino koncentracija placentoje ir vaisiuje viršija koncentraciją patelės plazmoje praėjus iki 8 valandų po sugirdymo.</w:t>
      </w:r>
    </w:p>
    <w:p w14:paraId="01BD4600" w14:textId="553325BF" w:rsidR="00D33279" w:rsidRPr="002C4825" w:rsidRDefault="00D33279" w:rsidP="005B3E41">
      <w:pPr>
        <w:tabs>
          <w:tab w:val="left" w:pos="425"/>
        </w:tabs>
        <w:rPr>
          <w:lang w:val="lt-LT"/>
        </w:rPr>
      </w:pPr>
    </w:p>
    <w:p w14:paraId="263BEFA0" w14:textId="6464926F" w:rsidR="00D33279" w:rsidRPr="002C4825" w:rsidRDefault="00D33279" w:rsidP="005B3E41">
      <w:pPr>
        <w:tabs>
          <w:tab w:val="left" w:pos="425"/>
        </w:tabs>
        <w:rPr>
          <w:lang w:val="lt-LT"/>
        </w:rPr>
      </w:pPr>
    </w:p>
    <w:p w14:paraId="5AB5608E" w14:textId="77777777" w:rsidR="00D33279" w:rsidRPr="002C4825" w:rsidRDefault="00D33279" w:rsidP="002C4825">
      <w:pPr>
        <w:keepNext/>
        <w:tabs>
          <w:tab w:val="left" w:pos="567"/>
        </w:tabs>
        <w:rPr>
          <w:b/>
          <w:iCs/>
          <w:lang w:val="lt-LT"/>
        </w:rPr>
      </w:pPr>
      <w:r w:rsidRPr="002C4825">
        <w:rPr>
          <w:b/>
          <w:iCs/>
          <w:lang w:val="lt-LT"/>
        </w:rPr>
        <w:t>6.</w:t>
      </w:r>
      <w:r w:rsidRPr="002C4825">
        <w:rPr>
          <w:b/>
          <w:iCs/>
          <w:lang w:val="lt-LT"/>
        </w:rPr>
        <w:tab/>
        <w:t xml:space="preserve">FARMACINĖ INFORMACIJA </w:t>
      </w:r>
    </w:p>
    <w:p w14:paraId="7B4614D4" w14:textId="77777777" w:rsidR="00D33279" w:rsidRPr="002C4825" w:rsidRDefault="00D33279" w:rsidP="002C4825">
      <w:pPr>
        <w:keepNext/>
        <w:rPr>
          <w:b/>
          <w:iCs/>
          <w:lang w:val="lt-LT"/>
        </w:rPr>
      </w:pPr>
    </w:p>
    <w:p w14:paraId="4A9A02C6" w14:textId="77777777" w:rsidR="00D33279" w:rsidRPr="002C4825" w:rsidRDefault="00D33279" w:rsidP="002C4825">
      <w:pPr>
        <w:keepNext/>
        <w:rPr>
          <w:b/>
          <w:lang w:val="lt-LT"/>
        </w:rPr>
      </w:pPr>
      <w:r w:rsidRPr="002C4825">
        <w:rPr>
          <w:b/>
          <w:lang w:val="lt-LT"/>
        </w:rPr>
        <w:t>6.1</w:t>
      </w:r>
      <w:r w:rsidRPr="002C4825">
        <w:rPr>
          <w:b/>
          <w:lang w:val="lt-LT"/>
        </w:rPr>
        <w:tab/>
        <w:t xml:space="preserve">Pagalbinių medžiagų sąrašas </w:t>
      </w:r>
    </w:p>
    <w:p w14:paraId="015286D7" w14:textId="2E2EA226" w:rsidR="00D33279" w:rsidRPr="002C4825" w:rsidRDefault="00D33279" w:rsidP="002C4825">
      <w:pPr>
        <w:keepNext/>
        <w:tabs>
          <w:tab w:val="left" w:pos="425"/>
        </w:tabs>
        <w:rPr>
          <w:lang w:val="lt-LT"/>
        </w:rPr>
      </w:pPr>
    </w:p>
    <w:p w14:paraId="5EB8F16E" w14:textId="283808FD" w:rsidR="002A57E7" w:rsidRDefault="00D33279" w:rsidP="002C4825">
      <w:pPr>
        <w:keepNext/>
        <w:tabs>
          <w:tab w:val="left" w:pos="425"/>
        </w:tabs>
        <w:rPr>
          <w:lang w:val="lt-LT"/>
        </w:rPr>
      </w:pPr>
      <w:r w:rsidRPr="002C4825">
        <w:rPr>
          <w:lang w:val="lt-LT"/>
        </w:rPr>
        <w:t>Citrinų rūgštis</w:t>
      </w:r>
    </w:p>
    <w:p w14:paraId="55A22116" w14:textId="444E1939" w:rsidR="002A57E7" w:rsidRDefault="002A57E7" w:rsidP="002C4825">
      <w:pPr>
        <w:keepNext/>
        <w:tabs>
          <w:tab w:val="left" w:pos="425"/>
        </w:tabs>
        <w:rPr>
          <w:lang w:val="lt-LT"/>
        </w:rPr>
      </w:pPr>
      <w:r>
        <w:rPr>
          <w:lang w:val="lt-LT"/>
        </w:rPr>
        <w:t>M</w:t>
      </w:r>
      <w:r w:rsidR="00D33279" w:rsidRPr="002C4825">
        <w:rPr>
          <w:lang w:val="lt-LT"/>
        </w:rPr>
        <w:t>altodekstrinas</w:t>
      </w:r>
    </w:p>
    <w:p w14:paraId="45274F44" w14:textId="6269CE83" w:rsidR="002A57E7" w:rsidRDefault="002A57E7" w:rsidP="002C4825">
      <w:pPr>
        <w:keepNext/>
        <w:tabs>
          <w:tab w:val="left" w:pos="425"/>
        </w:tabs>
        <w:rPr>
          <w:lang w:val="lt-LT"/>
        </w:rPr>
      </w:pPr>
      <w:r>
        <w:rPr>
          <w:lang w:val="lt-LT"/>
        </w:rPr>
        <w:t>N</w:t>
      </w:r>
      <w:r w:rsidR="00D33279" w:rsidRPr="002C4825">
        <w:rPr>
          <w:lang w:val="lt-LT"/>
        </w:rPr>
        <w:t>atrio</w:t>
      </w:r>
      <w:r w:rsidR="00343E21">
        <w:rPr>
          <w:lang w:val="lt-LT"/>
        </w:rPr>
        <w:t>-</w:t>
      </w:r>
      <w:r>
        <w:rPr>
          <w:lang w:val="lt-LT"/>
        </w:rPr>
        <w:t xml:space="preserve">vandenilio </w:t>
      </w:r>
      <w:r w:rsidR="00D33279" w:rsidRPr="002C4825">
        <w:rPr>
          <w:lang w:val="lt-LT"/>
        </w:rPr>
        <w:t>karbonatas</w:t>
      </w:r>
    </w:p>
    <w:p w14:paraId="0BA421EA" w14:textId="08BDAAC7" w:rsidR="002A57E7" w:rsidRDefault="002A57E7" w:rsidP="008521E7">
      <w:pPr>
        <w:keepNext/>
        <w:tabs>
          <w:tab w:val="left" w:pos="425"/>
        </w:tabs>
        <w:ind w:right="-428"/>
        <w:rPr>
          <w:lang w:val="lt-LT"/>
        </w:rPr>
      </w:pPr>
      <w:r>
        <w:rPr>
          <w:lang w:val="lt-LT"/>
        </w:rPr>
        <w:t>A</w:t>
      </w:r>
      <w:r w:rsidR="00D33279" w:rsidRPr="002C4825">
        <w:rPr>
          <w:lang w:val="lt-LT"/>
        </w:rPr>
        <w:t>pelsinų skonio medžiaga</w:t>
      </w:r>
      <w:r>
        <w:rPr>
          <w:lang w:val="lt-LT"/>
        </w:rPr>
        <w:t xml:space="preserve"> (maltodekstrinas, </w:t>
      </w:r>
      <w:r w:rsidR="00343E21">
        <w:rPr>
          <w:lang w:val="lt-LT"/>
        </w:rPr>
        <w:t>gumiarabikas</w:t>
      </w:r>
      <w:r>
        <w:rPr>
          <w:lang w:val="lt-LT"/>
        </w:rPr>
        <w:t xml:space="preserve">, askorbo rūgštis, </w:t>
      </w:r>
      <w:r w:rsidR="00343E21">
        <w:rPr>
          <w:lang w:val="lt-LT"/>
        </w:rPr>
        <w:t>b</w:t>
      </w:r>
      <w:r>
        <w:rPr>
          <w:lang w:val="lt-LT"/>
        </w:rPr>
        <w:t>utilhidroksianizolas (BHA)</w:t>
      </w:r>
    </w:p>
    <w:p w14:paraId="0110A712" w14:textId="0A094609" w:rsidR="002A57E7" w:rsidRDefault="002A57E7" w:rsidP="002C4825">
      <w:pPr>
        <w:keepNext/>
        <w:tabs>
          <w:tab w:val="left" w:pos="425"/>
        </w:tabs>
        <w:rPr>
          <w:lang w:val="lt-LT"/>
        </w:rPr>
      </w:pPr>
      <w:r>
        <w:rPr>
          <w:lang w:val="lt-LT"/>
        </w:rPr>
        <w:t>L</w:t>
      </w:r>
      <w:r w:rsidR="00D33279" w:rsidRPr="002C4825">
        <w:rPr>
          <w:lang w:val="lt-LT"/>
        </w:rPr>
        <w:t>eucinas</w:t>
      </w:r>
    </w:p>
    <w:p w14:paraId="4E0F53E3" w14:textId="20D06DB6" w:rsidR="00D33279" w:rsidRPr="002C4825" w:rsidRDefault="002A57E7" w:rsidP="002C4825">
      <w:pPr>
        <w:keepNext/>
        <w:tabs>
          <w:tab w:val="left" w:pos="425"/>
        </w:tabs>
        <w:rPr>
          <w:lang w:val="lt-LT"/>
        </w:rPr>
      </w:pPr>
      <w:r>
        <w:rPr>
          <w:lang w:val="lt-LT"/>
        </w:rPr>
        <w:t>S</w:t>
      </w:r>
      <w:r w:rsidR="00D33279" w:rsidRPr="002C4825">
        <w:rPr>
          <w:lang w:val="lt-LT"/>
        </w:rPr>
        <w:t>acharino natrio druska.</w:t>
      </w:r>
    </w:p>
    <w:p w14:paraId="206F0F45" w14:textId="77777777" w:rsidR="00D33279" w:rsidRPr="002C4825" w:rsidRDefault="00D33279" w:rsidP="00D33279">
      <w:pPr>
        <w:rPr>
          <w:iCs/>
          <w:u w:val="single"/>
          <w:lang w:val="lt-LT"/>
        </w:rPr>
      </w:pPr>
    </w:p>
    <w:p w14:paraId="5FA97EAA" w14:textId="77777777" w:rsidR="00D33279" w:rsidRPr="002C4825" w:rsidRDefault="00D33279" w:rsidP="00D33279">
      <w:pPr>
        <w:rPr>
          <w:lang w:val="lt-LT"/>
        </w:rPr>
      </w:pPr>
      <w:r w:rsidRPr="002C4825">
        <w:rPr>
          <w:b/>
          <w:lang w:val="lt-LT"/>
        </w:rPr>
        <w:t>6.2</w:t>
      </w:r>
      <w:r w:rsidRPr="002C4825">
        <w:rPr>
          <w:b/>
          <w:lang w:val="lt-LT"/>
        </w:rPr>
        <w:tab/>
        <w:t>Nesuderinamumas</w:t>
      </w:r>
    </w:p>
    <w:p w14:paraId="329BE9A8" w14:textId="4D9AFA5B" w:rsidR="00D33279" w:rsidRPr="002C4825" w:rsidRDefault="00D33279" w:rsidP="005B3E41">
      <w:pPr>
        <w:tabs>
          <w:tab w:val="left" w:pos="425"/>
        </w:tabs>
        <w:rPr>
          <w:lang w:val="lt-LT"/>
        </w:rPr>
      </w:pPr>
    </w:p>
    <w:p w14:paraId="4D8358CA" w14:textId="397B9DCC" w:rsidR="00D33279" w:rsidRPr="002C4825" w:rsidRDefault="00D33279" w:rsidP="005B3E41">
      <w:pPr>
        <w:tabs>
          <w:tab w:val="left" w:pos="425"/>
        </w:tabs>
        <w:rPr>
          <w:lang w:val="lt-LT"/>
        </w:rPr>
      </w:pPr>
      <w:r w:rsidRPr="002C4825">
        <w:rPr>
          <w:lang w:val="lt-LT"/>
        </w:rPr>
        <w:t>Šio vaistinio preparato negalima maišyti su kitais vaistiniais preparatais.</w:t>
      </w:r>
    </w:p>
    <w:p w14:paraId="0574B700" w14:textId="0BD570E0" w:rsidR="005B3E41" w:rsidRPr="002C4825" w:rsidRDefault="005B3E41" w:rsidP="00451A9F">
      <w:pPr>
        <w:rPr>
          <w:bCs/>
          <w:lang w:val="lt-LT"/>
        </w:rPr>
      </w:pPr>
    </w:p>
    <w:p w14:paraId="7A07E047" w14:textId="77777777" w:rsidR="0099178A" w:rsidRPr="002C4825" w:rsidRDefault="0099178A" w:rsidP="0099178A">
      <w:pPr>
        <w:rPr>
          <w:b/>
          <w:lang w:val="lt-LT"/>
        </w:rPr>
      </w:pPr>
      <w:r w:rsidRPr="002C4825">
        <w:rPr>
          <w:b/>
          <w:lang w:val="lt-LT"/>
        </w:rPr>
        <w:t>6.3</w:t>
      </w:r>
      <w:r w:rsidRPr="002C4825">
        <w:rPr>
          <w:b/>
          <w:lang w:val="lt-LT"/>
        </w:rPr>
        <w:tab/>
        <w:t>Tinkamumo laikas</w:t>
      </w:r>
    </w:p>
    <w:p w14:paraId="1B3404F9" w14:textId="77777777" w:rsidR="0099178A" w:rsidRPr="002C4825" w:rsidRDefault="0099178A" w:rsidP="0099178A">
      <w:pPr>
        <w:outlineLvl w:val="1"/>
        <w:rPr>
          <w:bCs/>
          <w:lang w:val="lt-LT"/>
        </w:rPr>
      </w:pPr>
    </w:p>
    <w:p w14:paraId="1657FCA5" w14:textId="62F651DC" w:rsidR="0099178A" w:rsidRPr="002C4825" w:rsidRDefault="0099178A" w:rsidP="0099178A">
      <w:pPr>
        <w:rPr>
          <w:iCs/>
          <w:lang w:val="lt-LT"/>
        </w:rPr>
      </w:pPr>
      <w:r w:rsidRPr="002C4825">
        <w:rPr>
          <w:iCs/>
          <w:lang w:val="lt-LT"/>
        </w:rPr>
        <w:t>3 metai.</w:t>
      </w:r>
    </w:p>
    <w:p w14:paraId="1EAF5E29" w14:textId="48BC05CA" w:rsidR="0099178A" w:rsidRPr="002C4825" w:rsidRDefault="0099178A" w:rsidP="0099178A">
      <w:pPr>
        <w:rPr>
          <w:iCs/>
          <w:lang w:val="lt-LT"/>
        </w:rPr>
      </w:pPr>
    </w:p>
    <w:p w14:paraId="26D9C43B" w14:textId="77777777" w:rsidR="0099178A" w:rsidRPr="002C4825" w:rsidRDefault="0099178A" w:rsidP="0099178A">
      <w:pPr>
        <w:rPr>
          <w:lang w:val="lt-LT"/>
        </w:rPr>
      </w:pPr>
      <w:r w:rsidRPr="002C4825">
        <w:rPr>
          <w:b/>
          <w:lang w:val="lt-LT"/>
        </w:rPr>
        <w:t>6.4</w:t>
      </w:r>
      <w:r w:rsidRPr="002C4825">
        <w:rPr>
          <w:b/>
          <w:lang w:val="lt-LT"/>
        </w:rPr>
        <w:tab/>
        <w:t>Specialios laikymo sąlygos</w:t>
      </w:r>
    </w:p>
    <w:p w14:paraId="7036E761" w14:textId="5BAB36B1" w:rsidR="0099178A" w:rsidRPr="002C4825" w:rsidRDefault="0099178A" w:rsidP="0099178A">
      <w:pPr>
        <w:rPr>
          <w:bCs/>
          <w:lang w:val="lt-LT"/>
        </w:rPr>
      </w:pPr>
    </w:p>
    <w:p w14:paraId="525E1285" w14:textId="15361426" w:rsidR="0099178A" w:rsidRPr="002C4825" w:rsidRDefault="0099178A" w:rsidP="0099178A">
      <w:pPr>
        <w:rPr>
          <w:lang w:val="lt-LT"/>
        </w:rPr>
      </w:pPr>
      <w:r w:rsidRPr="002C4825">
        <w:rPr>
          <w:bCs/>
          <w:lang w:val="lt-LT"/>
        </w:rPr>
        <w:t xml:space="preserve">Tūbelę laikyti sandariai uždarytą, kad </w:t>
      </w:r>
      <w:r w:rsidRPr="002C4825">
        <w:rPr>
          <w:lang w:val="lt-LT"/>
        </w:rPr>
        <w:t>vaistinis preparatas būtų apsaugotas nuo šviesos ir drėgmės.</w:t>
      </w:r>
    </w:p>
    <w:p w14:paraId="5EF8AFD0" w14:textId="016FAB8F" w:rsidR="00DA614A" w:rsidRPr="002C4825" w:rsidRDefault="003B3301" w:rsidP="0099178A">
      <w:pPr>
        <w:rPr>
          <w:lang w:val="lt-LT"/>
        </w:rPr>
      </w:pPr>
      <w:r w:rsidRPr="00153901">
        <w:rPr>
          <w:lang w:val="lt-LT"/>
        </w:rPr>
        <w:t>Šio vaistinio preparato laikymui specialių temperatūros sąlygų nereikalaujama</w:t>
      </w:r>
      <w:r w:rsidR="00DA614A">
        <w:rPr>
          <w:lang w:val="lt-LT"/>
        </w:rPr>
        <w:t>.</w:t>
      </w:r>
    </w:p>
    <w:p w14:paraId="56AFC5C1" w14:textId="3278AA36" w:rsidR="0099178A" w:rsidRPr="002C4825" w:rsidRDefault="0099178A" w:rsidP="0099178A">
      <w:pPr>
        <w:rPr>
          <w:lang w:val="lt-LT"/>
        </w:rPr>
      </w:pPr>
    </w:p>
    <w:p w14:paraId="49F54759" w14:textId="77777777" w:rsidR="0099178A" w:rsidRPr="002C4825" w:rsidRDefault="0099178A" w:rsidP="0099178A">
      <w:pPr>
        <w:rPr>
          <w:b/>
          <w:lang w:val="lt-LT"/>
        </w:rPr>
      </w:pPr>
      <w:r w:rsidRPr="002C4825">
        <w:rPr>
          <w:b/>
          <w:lang w:val="lt-LT"/>
        </w:rPr>
        <w:t>6.5</w:t>
      </w:r>
      <w:r w:rsidRPr="002C4825">
        <w:rPr>
          <w:b/>
          <w:lang w:val="lt-LT"/>
        </w:rPr>
        <w:tab/>
        <w:t>Talpyklės pobūdis ir jos turinys</w:t>
      </w:r>
    </w:p>
    <w:p w14:paraId="5A26A824" w14:textId="61B2D104" w:rsidR="0099178A" w:rsidRPr="002C4825" w:rsidRDefault="0099178A" w:rsidP="0099178A">
      <w:pPr>
        <w:rPr>
          <w:lang w:val="lt-LT"/>
        </w:rPr>
      </w:pPr>
    </w:p>
    <w:p w14:paraId="240974F9" w14:textId="64B22C4A" w:rsidR="0099178A" w:rsidRPr="002C4825" w:rsidRDefault="0099178A" w:rsidP="0099178A">
      <w:pPr>
        <w:rPr>
          <w:lang w:val="lt-LT"/>
        </w:rPr>
      </w:pPr>
      <w:r w:rsidRPr="002C4825">
        <w:rPr>
          <w:lang w:val="lt-LT"/>
        </w:rPr>
        <w:t xml:space="preserve">Polipropileno tūbelė su polietileno uždoriu, kuriame yra sausiklis (silikagelis). </w:t>
      </w:r>
    </w:p>
    <w:p w14:paraId="7AF7CCDB" w14:textId="10DF5719" w:rsidR="0099178A" w:rsidRPr="002C4825" w:rsidRDefault="0099178A" w:rsidP="0099178A">
      <w:pPr>
        <w:rPr>
          <w:bCs/>
          <w:lang w:val="lt-LT"/>
        </w:rPr>
      </w:pPr>
      <w:r w:rsidRPr="002C4825">
        <w:rPr>
          <w:bCs/>
          <w:lang w:val="lt-LT"/>
        </w:rPr>
        <w:t>Pakuotėje yra 10 arba 20 tablečių.</w:t>
      </w:r>
    </w:p>
    <w:p w14:paraId="261514F8" w14:textId="77777777" w:rsidR="0099178A" w:rsidRPr="002C4825" w:rsidRDefault="0099178A" w:rsidP="0099178A">
      <w:pPr>
        <w:rPr>
          <w:lang w:val="lt-LT"/>
        </w:rPr>
      </w:pPr>
      <w:r w:rsidRPr="002C4825">
        <w:rPr>
          <w:noProof/>
          <w:snapToGrid w:val="0"/>
          <w:lang w:val="lt-LT"/>
        </w:rPr>
        <w:t>Gali būti tiekiamos ne visų dydžių pakuotės.</w:t>
      </w:r>
      <w:r w:rsidRPr="002C4825">
        <w:rPr>
          <w:lang w:val="lt-LT"/>
        </w:rPr>
        <w:t xml:space="preserve"> </w:t>
      </w:r>
    </w:p>
    <w:p w14:paraId="631D0936" w14:textId="0533167E" w:rsidR="0099178A" w:rsidRPr="002C4825" w:rsidRDefault="0099178A" w:rsidP="0099178A">
      <w:pPr>
        <w:rPr>
          <w:bCs/>
          <w:lang w:val="lt-LT"/>
        </w:rPr>
      </w:pPr>
    </w:p>
    <w:p w14:paraId="13F29DAB" w14:textId="6F164128" w:rsidR="0099178A" w:rsidRPr="002C4825" w:rsidRDefault="0099178A" w:rsidP="0099178A">
      <w:pPr>
        <w:rPr>
          <w:b/>
          <w:lang w:val="lt-LT"/>
        </w:rPr>
      </w:pPr>
      <w:r w:rsidRPr="002C4825">
        <w:rPr>
          <w:b/>
          <w:lang w:val="lt-LT"/>
        </w:rPr>
        <w:t>6.6</w:t>
      </w:r>
      <w:r w:rsidRPr="002C4825">
        <w:rPr>
          <w:b/>
          <w:lang w:val="lt-LT"/>
        </w:rPr>
        <w:tab/>
        <w:t>Specialūs reikalavimai atliekoms tvarkyti</w:t>
      </w:r>
    </w:p>
    <w:p w14:paraId="43CE83AF" w14:textId="3AEFF219" w:rsidR="0099178A" w:rsidRPr="002C4825" w:rsidRDefault="0099178A" w:rsidP="0099178A">
      <w:pPr>
        <w:rPr>
          <w:bCs/>
          <w:lang w:val="lt-LT"/>
        </w:rPr>
      </w:pPr>
    </w:p>
    <w:p w14:paraId="22276AB9" w14:textId="7ED36941" w:rsidR="0099178A" w:rsidRPr="002C4825" w:rsidRDefault="0099178A" w:rsidP="0099178A">
      <w:pPr>
        <w:rPr>
          <w:noProof/>
          <w:szCs w:val="24"/>
          <w:lang w:val="lt-LT"/>
        </w:rPr>
      </w:pPr>
      <w:r w:rsidRPr="002C4825">
        <w:rPr>
          <w:noProof/>
          <w:szCs w:val="24"/>
          <w:lang w:val="lt-LT"/>
        </w:rPr>
        <w:t>Nesuvartotą vaistinį preparatą ar atliekas reikia tvarkyti laikantis vietinių reikalavimų.</w:t>
      </w:r>
    </w:p>
    <w:p w14:paraId="0F79EE95" w14:textId="0BBDBC97" w:rsidR="0099178A" w:rsidRPr="002C4825" w:rsidRDefault="0099178A" w:rsidP="0099178A">
      <w:pPr>
        <w:rPr>
          <w:noProof/>
          <w:szCs w:val="24"/>
          <w:lang w:val="lt-LT"/>
        </w:rPr>
      </w:pPr>
    </w:p>
    <w:p w14:paraId="08F89159" w14:textId="77777777" w:rsidR="00073CD8" w:rsidRPr="002C4825" w:rsidRDefault="00073CD8" w:rsidP="0099178A">
      <w:pPr>
        <w:rPr>
          <w:noProof/>
          <w:szCs w:val="24"/>
          <w:lang w:val="lt-LT"/>
        </w:rPr>
      </w:pPr>
    </w:p>
    <w:p w14:paraId="69CD98A1" w14:textId="50197098" w:rsidR="0099178A" w:rsidRPr="002C4825" w:rsidRDefault="0099178A" w:rsidP="0099178A">
      <w:pPr>
        <w:tabs>
          <w:tab w:val="left" w:pos="709"/>
        </w:tabs>
        <w:rPr>
          <w:b/>
          <w:lang w:val="lt-LT"/>
        </w:rPr>
      </w:pPr>
      <w:r w:rsidRPr="002C4825">
        <w:rPr>
          <w:b/>
          <w:lang w:val="lt-LT"/>
        </w:rPr>
        <w:t>7.</w:t>
      </w:r>
      <w:r w:rsidRPr="002C4825">
        <w:rPr>
          <w:b/>
          <w:lang w:val="lt-LT"/>
        </w:rPr>
        <w:tab/>
        <w:t>REGISTRUOTOJAS</w:t>
      </w:r>
    </w:p>
    <w:p w14:paraId="0F653B06" w14:textId="77777777" w:rsidR="0099178A" w:rsidRPr="002C4825" w:rsidRDefault="0099178A" w:rsidP="0099178A">
      <w:pPr>
        <w:rPr>
          <w:lang w:val="lt-LT"/>
        </w:rPr>
      </w:pPr>
    </w:p>
    <w:p w14:paraId="14CD7506" w14:textId="77777777" w:rsidR="00073CD8" w:rsidRPr="002C4825" w:rsidRDefault="00073CD8" w:rsidP="00073CD8">
      <w:pPr>
        <w:rPr>
          <w:lang w:val="lt-LT"/>
        </w:rPr>
      </w:pPr>
      <w:bookmarkStart w:id="1" w:name="_Hlk58931515"/>
      <w:r w:rsidRPr="002C4825">
        <w:rPr>
          <w:lang w:val="lt-LT"/>
        </w:rPr>
        <w:t>Zentiva, k.s.</w:t>
      </w:r>
    </w:p>
    <w:p w14:paraId="290F28F8" w14:textId="685D49BC" w:rsidR="00073CD8" w:rsidRPr="002C4825" w:rsidRDefault="00073CD8" w:rsidP="00073CD8">
      <w:pPr>
        <w:rPr>
          <w:lang w:val="lt-LT"/>
        </w:rPr>
      </w:pPr>
      <w:r w:rsidRPr="002C4825">
        <w:rPr>
          <w:lang w:val="lt-LT"/>
        </w:rPr>
        <w:t xml:space="preserve">U </w:t>
      </w:r>
      <w:r w:rsidR="00B30C3D">
        <w:rPr>
          <w:lang w:val="lt-LT"/>
        </w:rPr>
        <w:t>k</w:t>
      </w:r>
      <w:r w:rsidRPr="002C4825">
        <w:rPr>
          <w:lang w:val="lt-LT"/>
        </w:rPr>
        <w:t>abelovny 130</w:t>
      </w:r>
    </w:p>
    <w:p w14:paraId="25520E0D" w14:textId="77777777" w:rsidR="00B30C3D" w:rsidRPr="00183C93" w:rsidRDefault="00B30C3D" w:rsidP="00B30C3D">
      <w:pPr>
        <w:rPr>
          <w:lang w:val="lt-LT"/>
        </w:rPr>
      </w:pPr>
      <w:r w:rsidRPr="00183C93">
        <w:rPr>
          <w:lang w:val="lt-LT"/>
        </w:rPr>
        <w:t>Dolní Měcholupy</w:t>
      </w:r>
    </w:p>
    <w:p w14:paraId="2B3F83E6" w14:textId="5964D3D7" w:rsidR="00073CD8" w:rsidRPr="002C4825" w:rsidRDefault="00073CD8" w:rsidP="00073CD8">
      <w:pPr>
        <w:rPr>
          <w:lang w:val="lt-LT"/>
        </w:rPr>
      </w:pPr>
      <w:r w:rsidRPr="002C4825">
        <w:rPr>
          <w:lang w:val="lt-LT"/>
        </w:rPr>
        <w:t>102 37 Pra</w:t>
      </w:r>
      <w:r w:rsidR="00B30C3D">
        <w:rPr>
          <w:lang w:val="lt-LT"/>
        </w:rPr>
        <w:t>ha</w:t>
      </w:r>
      <w:r w:rsidRPr="002C4825">
        <w:rPr>
          <w:lang w:val="lt-LT"/>
        </w:rPr>
        <w:t xml:space="preserve"> 10</w:t>
      </w:r>
    </w:p>
    <w:p w14:paraId="3EB3D79C" w14:textId="77777777" w:rsidR="00073CD8" w:rsidRPr="002C4825" w:rsidRDefault="00073CD8" w:rsidP="00073CD8">
      <w:pPr>
        <w:rPr>
          <w:lang w:val="lt-LT"/>
        </w:rPr>
      </w:pPr>
      <w:r w:rsidRPr="002C4825">
        <w:rPr>
          <w:lang w:val="lt-LT"/>
        </w:rPr>
        <w:t>Čekija</w:t>
      </w:r>
    </w:p>
    <w:bookmarkEnd w:id="1"/>
    <w:p w14:paraId="466F8DEB" w14:textId="77777777" w:rsidR="0099178A" w:rsidRPr="002C4825" w:rsidRDefault="0099178A" w:rsidP="0099178A">
      <w:pPr>
        <w:rPr>
          <w:bCs/>
          <w:iCs/>
          <w:lang w:val="lt-LT"/>
        </w:rPr>
      </w:pPr>
    </w:p>
    <w:p w14:paraId="40A4445E" w14:textId="77777777" w:rsidR="0099178A" w:rsidRPr="002C4825" w:rsidRDefault="0099178A" w:rsidP="0099178A">
      <w:pPr>
        <w:rPr>
          <w:b/>
          <w:i/>
          <w:lang w:val="lt-LT"/>
        </w:rPr>
      </w:pPr>
    </w:p>
    <w:p w14:paraId="78DF9560" w14:textId="77777777" w:rsidR="0099178A" w:rsidRPr="002C4825" w:rsidRDefault="0099178A" w:rsidP="0099178A">
      <w:pPr>
        <w:rPr>
          <w:b/>
          <w:lang w:val="lt-LT"/>
        </w:rPr>
      </w:pPr>
      <w:r w:rsidRPr="002C4825">
        <w:rPr>
          <w:b/>
          <w:lang w:val="lt-LT"/>
        </w:rPr>
        <w:t>8.</w:t>
      </w:r>
      <w:r w:rsidRPr="002C4825">
        <w:rPr>
          <w:b/>
          <w:lang w:val="lt-LT"/>
        </w:rPr>
        <w:tab/>
        <w:t>REGISTRACIJOS PAŽYMĖJIMO NUMERIS (-IAI)</w:t>
      </w:r>
    </w:p>
    <w:p w14:paraId="34726BCD" w14:textId="77777777" w:rsidR="0099178A" w:rsidRPr="002C4825" w:rsidRDefault="0099178A" w:rsidP="0099178A">
      <w:pPr>
        <w:rPr>
          <w:b/>
          <w:i/>
          <w:lang w:val="lt-LT"/>
        </w:rPr>
      </w:pPr>
    </w:p>
    <w:p w14:paraId="100497D1" w14:textId="77777777" w:rsidR="00AA456B" w:rsidRPr="00AA456B" w:rsidRDefault="00AA456B" w:rsidP="00AA456B">
      <w:pPr>
        <w:rPr>
          <w:iCs/>
          <w:lang w:val="lt-LT"/>
        </w:rPr>
      </w:pPr>
      <w:r w:rsidRPr="00AA456B">
        <w:rPr>
          <w:iCs/>
          <w:lang w:val="lt-LT"/>
        </w:rPr>
        <w:t>LT/1/21/4853/001 – N10</w:t>
      </w:r>
    </w:p>
    <w:p w14:paraId="18C1B932" w14:textId="1B40E92C" w:rsidR="00A94EB6" w:rsidRDefault="00AA456B" w:rsidP="00AA456B">
      <w:pPr>
        <w:rPr>
          <w:iCs/>
          <w:lang w:val="lt-LT"/>
        </w:rPr>
      </w:pPr>
      <w:r w:rsidRPr="00AA456B">
        <w:rPr>
          <w:iCs/>
          <w:lang w:val="lt-LT"/>
        </w:rPr>
        <w:t>LT/1/21/4853/002 – N20</w:t>
      </w:r>
    </w:p>
    <w:p w14:paraId="243DF1F6" w14:textId="77777777" w:rsidR="00AA456B" w:rsidRPr="002C4825" w:rsidRDefault="00AA456B" w:rsidP="00AA456B">
      <w:pPr>
        <w:rPr>
          <w:b/>
          <w:iCs/>
          <w:lang w:val="lt-LT"/>
        </w:rPr>
      </w:pPr>
    </w:p>
    <w:p w14:paraId="5C9262CC" w14:textId="77777777" w:rsidR="0099178A" w:rsidRPr="002C4825" w:rsidRDefault="0099178A" w:rsidP="0099178A">
      <w:pPr>
        <w:rPr>
          <w:b/>
          <w:iCs/>
          <w:lang w:val="lt-LT"/>
        </w:rPr>
      </w:pPr>
    </w:p>
    <w:p w14:paraId="76E5111C" w14:textId="77777777" w:rsidR="0099178A" w:rsidRPr="002C4825" w:rsidRDefault="0099178A" w:rsidP="0099178A">
      <w:pPr>
        <w:rPr>
          <w:b/>
          <w:iCs/>
          <w:lang w:val="lt-LT"/>
        </w:rPr>
      </w:pPr>
      <w:r w:rsidRPr="002C4825">
        <w:rPr>
          <w:b/>
          <w:iCs/>
          <w:lang w:val="lt-LT"/>
        </w:rPr>
        <w:t>9.</w:t>
      </w:r>
      <w:r w:rsidRPr="002C4825">
        <w:rPr>
          <w:b/>
          <w:iCs/>
          <w:lang w:val="lt-LT"/>
        </w:rPr>
        <w:tab/>
      </w:r>
      <w:r w:rsidRPr="002C4825">
        <w:rPr>
          <w:b/>
          <w:lang w:val="lt-LT"/>
        </w:rPr>
        <w:t>REGISTRAVIMO/PERREGISTRAVIMO DATA</w:t>
      </w:r>
    </w:p>
    <w:p w14:paraId="6919E0CE" w14:textId="2076B2F5" w:rsidR="0099178A" w:rsidRPr="002C4825" w:rsidRDefault="0099178A" w:rsidP="0099178A">
      <w:pPr>
        <w:rPr>
          <w:bCs/>
          <w:lang w:val="lt-LT"/>
        </w:rPr>
      </w:pPr>
    </w:p>
    <w:p w14:paraId="6A3DF408" w14:textId="77777777" w:rsidR="00AA456B" w:rsidRPr="002C4825" w:rsidRDefault="0099178A" w:rsidP="00AA456B">
      <w:pPr>
        <w:widowControl/>
        <w:autoSpaceDE/>
        <w:autoSpaceDN/>
        <w:rPr>
          <w:noProof/>
          <w:snapToGrid w:val="0"/>
          <w:szCs w:val="24"/>
          <w:lang w:val="lt-LT"/>
        </w:rPr>
      </w:pPr>
      <w:r w:rsidRPr="002C4825">
        <w:rPr>
          <w:noProof/>
          <w:szCs w:val="24"/>
          <w:lang w:val="lt-LT"/>
        </w:rPr>
        <w:lastRenderedPageBreak/>
        <w:t xml:space="preserve">Registravimo data </w:t>
      </w:r>
      <w:r w:rsidR="00AA456B">
        <w:rPr>
          <w:noProof/>
          <w:snapToGrid w:val="0"/>
          <w:szCs w:val="24"/>
          <w:lang w:val="lt-LT"/>
        </w:rPr>
        <w:t>2021 m. lapkričio 18 d.</w:t>
      </w:r>
    </w:p>
    <w:p w14:paraId="04BC2C3C" w14:textId="7513B661" w:rsidR="0099178A" w:rsidRPr="002C4825" w:rsidRDefault="0099178A" w:rsidP="0099178A">
      <w:pPr>
        <w:rPr>
          <w:noProof/>
          <w:szCs w:val="24"/>
          <w:lang w:val="lt-LT"/>
        </w:rPr>
      </w:pPr>
    </w:p>
    <w:p w14:paraId="20CA2BB4" w14:textId="06FB6831" w:rsidR="0099178A" w:rsidRPr="002C4825" w:rsidRDefault="0099178A" w:rsidP="0099178A">
      <w:pPr>
        <w:rPr>
          <w:noProof/>
          <w:szCs w:val="24"/>
          <w:lang w:val="lt-LT"/>
        </w:rPr>
      </w:pPr>
    </w:p>
    <w:p w14:paraId="02249D70" w14:textId="77777777" w:rsidR="0099178A" w:rsidRPr="002C4825" w:rsidRDefault="0099178A" w:rsidP="0099178A">
      <w:pPr>
        <w:keepNext/>
        <w:keepLines/>
        <w:widowControl/>
        <w:tabs>
          <w:tab w:val="left" w:pos="567"/>
        </w:tabs>
        <w:autoSpaceDE/>
        <w:autoSpaceDN/>
        <w:outlineLvl w:val="2"/>
        <w:rPr>
          <w:b/>
          <w:bCs/>
          <w:snapToGrid w:val="0"/>
          <w:szCs w:val="26"/>
          <w:lang w:val="lt-LT" w:eastAsia="x-none"/>
        </w:rPr>
      </w:pPr>
      <w:r w:rsidRPr="002C4825">
        <w:rPr>
          <w:b/>
          <w:bCs/>
          <w:snapToGrid w:val="0"/>
          <w:szCs w:val="26"/>
          <w:lang w:val="lt-LT" w:eastAsia="x-none"/>
        </w:rPr>
        <w:t>10.</w:t>
      </w:r>
      <w:r w:rsidRPr="002C4825">
        <w:rPr>
          <w:b/>
          <w:bCs/>
          <w:snapToGrid w:val="0"/>
          <w:szCs w:val="26"/>
          <w:lang w:val="lt-LT" w:eastAsia="x-none"/>
        </w:rPr>
        <w:tab/>
        <w:t>TEKSTO PERŽIŪROS DATA</w:t>
      </w:r>
    </w:p>
    <w:p w14:paraId="51B87F8B" w14:textId="77777777" w:rsidR="0099178A" w:rsidRPr="002C4825" w:rsidRDefault="0099178A" w:rsidP="0099178A">
      <w:pPr>
        <w:widowControl/>
        <w:autoSpaceDE/>
        <w:autoSpaceDN/>
        <w:rPr>
          <w:snapToGrid w:val="0"/>
          <w:szCs w:val="24"/>
          <w:lang w:val="lt-LT"/>
        </w:rPr>
      </w:pPr>
    </w:p>
    <w:p w14:paraId="2E01D7A2" w14:textId="151CD6A7" w:rsidR="0099178A" w:rsidRPr="002C4825" w:rsidRDefault="00AA456B" w:rsidP="0099178A">
      <w:pPr>
        <w:widowControl/>
        <w:autoSpaceDE/>
        <w:autoSpaceDN/>
        <w:rPr>
          <w:noProof/>
          <w:snapToGrid w:val="0"/>
          <w:szCs w:val="24"/>
          <w:lang w:val="lt-LT"/>
        </w:rPr>
      </w:pPr>
      <w:r>
        <w:rPr>
          <w:noProof/>
          <w:snapToGrid w:val="0"/>
          <w:szCs w:val="24"/>
          <w:lang w:val="lt-LT"/>
        </w:rPr>
        <w:t>202</w:t>
      </w:r>
      <w:r w:rsidR="008521E7">
        <w:rPr>
          <w:noProof/>
          <w:snapToGrid w:val="0"/>
          <w:szCs w:val="24"/>
          <w:lang w:val="lt-LT"/>
        </w:rPr>
        <w:t>2</w:t>
      </w:r>
      <w:r>
        <w:rPr>
          <w:noProof/>
          <w:snapToGrid w:val="0"/>
          <w:szCs w:val="24"/>
          <w:lang w:val="lt-LT"/>
        </w:rPr>
        <w:t xml:space="preserve"> m. </w:t>
      </w:r>
      <w:r w:rsidR="008521E7">
        <w:rPr>
          <w:noProof/>
          <w:snapToGrid w:val="0"/>
          <w:szCs w:val="24"/>
          <w:lang w:val="lt-LT"/>
        </w:rPr>
        <w:t>balandžio 15</w:t>
      </w:r>
      <w:r>
        <w:rPr>
          <w:noProof/>
          <w:snapToGrid w:val="0"/>
          <w:szCs w:val="24"/>
          <w:lang w:val="lt-LT"/>
        </w:rPr>
        <w:t xml:space="preserve"> d.</w:t>
      </w:r>
    </w:p>
    <w:p w14:paraId="5BB9F04A" w14:textId="07442BD1" w:rsidR="0099178A" w:rsidRPr="002C4825" w:rsidRDefault="0099178A" w:rsidP="0099178A">
      <w:pPr>
        <w:widowControl/>
        <w:autoSpaceDE/>
        <w:autoSpaceDN/>
        <w:rPr>
          <w:noProof/>
          <w:snapToGrid w:val="0"/>
          <w:szCs w:val="24"/>
          <w:lang w:val="lt-LT"/>
        </w:rPr>
      </w:pPr>
    </w:p>
    <w:p w14:paraId="5D5197BD" w14:textId="1E370AF3" w:rsidR="0099178A" w:rsidRPr="002C4825" w:rsidRDefault="0099178A" w:rsidP="0099178A">
      <w:pPr>
        <w:widowControl/>
        <w:autoSpaceDE/>
        <w:autoSpaceDN/>
        <w:rPr>
          <w:noProof/>
          <w:snapToGrid w:val="0"/>
          <w:szCs w:val="24"/>
          <w:lang w:val="lt-LT"/>
        </w:rPr>
      </w:pPr>
    </w:p>
    <w:p w14:paraId="18B9F759" w14:textId="77777777" w:rsidR="0099178A" w:rsidRPr="002C4825" w:rsidRDefault="0099178A" w:rsidP="0099178A">
      <w:pPr>
        <w:pStyle w:val="Paprastasistekstas"/>
        <w:tabs>
          <w:tab w:val="left" w:pos="5954"/>
          <w:tab w:val="left" w:pos="6237"/>
          <w:tab w:val="left" w:pos="6663"/>
          <w:tab w:val="left" w:pos="6946"/>
        </w:tabs>
        <w:rPr>
          <w:rFonts w:ascii="Times New Roman" w:hAnsi="Times New Roman"/>
          <w:sz w:val="22"/>
          <w:szCs w:val="22"/>
          <w:lang w:val="lt-LT"/>
        </w:rPr>
      </w:pPr>
      <w:r w:rsidRPr="002C482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C4825">
        <w:rPr>
          <w:rFonts w:ascii="Times New Roman" w:hAnsi="Times New Roman"/>
          <w:i/>
          <w:noProof/>
          <w:sz w:val="22"/>
          <w:szCs w:val="22"/>
          <w:lang w:val="lt-LT"/>
        </w:rPr>
        <w:t xml:space="preserve"> </w:t>
      </w:r>
      <w:hyperlink r:id="rId7" w:history="1">
        <w:r w:rsidRPr="002C4825">
          <w:rPr>
            <w:rStyle w:val="Hipersaitas"/>
            <w:rFonts w:ascii="Times New Roman" w:hAnsi="Times New Roman"/>
            <w:noProof/>
            <w:sz w:val="22"/>
            <w:szCs w:val="22"/>
            <w:lang w:val="lt-LT"/>
          </w:rPr>
          <w:t>http://www.</w:t>
        </w:r>
        <w:r w:rsidRPr="002C4825">
          <w:rPr>
            <w:rStyle w:val="Hipersaitas"/>
            <w:rFonts w:ascii="Times New Roman" w:hAnsi="Times New Roman"/>
            <w:sz w:val="22"/>
            <w:szCs w:val="22"/>
            <w:lang w:val="lt-LT"/>
          </w:rPr>
          <w:t>vvkt.lt</w:t>
        </w:r>
      </w:hyperlink>
    </w:p>
    <w:p w14:paraId="40ABC539" w14:textId="720E4EE9" w:rsidR="00073CD8" w:rsidRPr="002C4825" w:rsidRDefault="00073CD8">
      <w:pPr>
        <w:widowControl/>
        <w:autoSpaceDE/>
        <w:autoSpaceDN/>
        <w:spacing w:after="160" w:line="259" w:lineRule="auto"/>
        <w:rPr>
          <w:snapToGrid w:val="0"/>
          <w:szCs w:val="24"/>
          <w:lang w:val="lt-LT"/>
        </w:rPr>
      </w:pPr>
      <w:r w:rsidRPr="002C4825">
        <w:rPr>
          <w:snapToGrid w:val="0"/>
          <w:szCs w:val="24"/>
          <w:lang w:val="lt-LT"/>
        </w:rPr>
        <w:br w:type="page"/>
      </w:r>
    </w:p>
    <w:p w14:paraId="5BC411AE" w14:textId="77777777" w:rsidR="00073CD8" w:rsidRPr="002C4825" w:rsidRDefault="00073CD8" w:rsidP="00073CD8">
      <w:pPr>
        <w:tabs>
          <w:tab w:val="left" w:pos="2475"/>
        </w:tabs>
        <w:rPr>
          <w:lang w:val="lt-LT"/>
        </w:rPr>
      </w:pPr>
    </w:p>
    <w:p w14:paraId="0BE72033" w14:textId="77777777" w:rsidR="00073CD8" w:rsidRPr="002C4825" w:rsidRDefault="00073CD8" w:rsidP="00073CD8">
      <w:pPr>
        <w:jc w:val="center"/>
        <w:outlineLvl w:val="0"/>
        <w:rPr>
          <w:b/>
          <w:kern w:val="28"/>
          <w:lang w:val="lt-LT" w:eastAsia="lt-LT"/>
        </w:rPr>
      </w:pPr>
    </w:p>
    <w:p w14:paraId="3CCAEBCA" w14:textId="77777777" w:rsidR="00073CD8" w:rsidRPr="002C4825" w:rsidRDefault="00073CD8" w:rsidP="00073CD8">
      <w:pPr>
        <w:jc w:val="center"/>
        <w:outlineLvl w:val="0"/>
        <w:rPr>
          <w:b/>
          <w:kern w:val="28"/>
          <w:lang w:val="lt-LT" w:eastAsia="lt-LT"/>
        </w:rPr>
      </w:pPr>
    </w:p>
    <w:p w14:paraId="4FC4851D" w14:textId="77777777" w:rsidR="00073CD8" w:rsidRPr="002C4825" w:rsidRDefault="00073CD8" w:rsidP="00073CD8">
      <w:pPr>
        <w:jc w:val="center"/>
        <w:outlineLvl w:val="0"/>
        <w:rPr>
          <w:b/>
          <w:kern w:val="28"/>
          <w:lang w:val="lt-LT" w:eastAsia="lt-LT"/>
        </w:rPr>
      </w:pPr>
    </w:p>
    <w:p w14:paraId="4133967B" w14:textId="77777777" w:rsidR="00073CD8" w:rsidRPr="002C4825" w:rsidRDefault="00073CD8" w:rsidP="00073CD8">
      <w:pPr>
        <w:jc w:val="center"/>
        <w:outlineLvl w:val="0"/>
        <w:rPr>
          <w:b/>
          <w:kern w:val="28"/>
          <w:lang w:val="lt-LT" w:eastAsia="lt-LT"/>
        </w:rPr>
      </w:pPr>
    </w:p>
    <w:p w14:paraId="7320CA91" w14:textId="77777777" w:rsidR="00073CD8" w:rsidRPr="002C4825" w:rsidRDefault="00073CD8" w:rsidP="00073CD8">
      <w:pPr>
        <w:jc w:val="center"/>
        <w:outlineLvl w:val="0"/>
        <w:rPr>
          <w:b/>
          <w:kern w:val="28"/>
          <w:lang w:val="lt-LT" w:eastAsia="lt-LT"/>
        </w:rPr>
      </w:pPr>
    </w:p>
    <w:p w14:paraId="4C080D5E" w14:textId="77777777" w:rsidR="00073CD8" w:rsidRPr="002C4825" w:rsidRDefault="00073CD8" w:rsidP="00073CD8">
      <w:pPr>
        <w:jc w:val="center"/>
        <w:outlineLvl w:val="0"/>
        <w:rPr>
          <w:b/>
          <w:kern w:val="28"/>
          <w:lang w:val="lt-LT" w:eastAsia="lt-LT"/>
        </w:rPr>
      </w:pPr>
    </w:p>
    <w:p w14:paraId="6BF5B02E" w14:textId="77777777" w:rsidR="00073CD8" w:rsidRPr="002C4825" w:rsidRDefault="00073CD8" w:rsidP="00073CD8">
      <w:pPr>
        <w:jc w:val="center"/>
        <w:outlineLvl w:val="0"/>
        <w:rPr>
          <w:b/>
          <w:kern w:val="28"/>
          <w:lang w:val="lt-LT" w:eastAsia="lt-LT"/>
        </w:rPr>
      </w:pPr>
    </w:p>
    <w:p w14:paraId="4B74B72B" w14:textId="77777777" w:rsidR="00073CD8" w:rsidRPr="002C4825" w:rsidRDefault="00073CD8" w:rsidP="00073CD8">
      <w:pPr>
        <w:jc w:val="center"/>
        <w:outlineLvl w:val="0"/>
        <w:rPr>
          <w:b/>
          <w:kern w:val="28"/>
          <w:lang w:val="lt-LT" w:eastAsia="lt-LT"/>
        </w:rPr>
      </w:pPr>
    </w:p>
    <w:p w14:paraId="57A3BA2C" w14:textId="77777777" w:rsidR="00073CD8" w:rsidRPr="002C4825" w:rsidRDefault="00073CD8" w:rsidP="00073CD8">
      <w:pPr>
        <w:jc w:val="center"/>
        <w:outlineLvl w:val="0"/>
        <w:rPr>
          <w:b/>
          <w:kern w:val="28"/>
          <w:lang w:val="lt-LT" w:eastAsia="lt-LT"/>
        </w:rPr>
      </w:pPr>
    </w:p>
    <w:p w14:paraId="3F2A03C0" w14:textId="77777777" w:rsidR="00073CD8" w:rsidRPr="002C4825" w:rsidRDefault="00073CD8" w:rsidP="00073CD8">
      <w:pPr>
        <w:jc w:val="center"/>
        <w:outlineLvl w:val="0"/>
        <w:rPr>
          <w:b/>
          <w:kern w:val="28"/>
          <w:lang w:val="lt-LT" w:eastAsia="lt-LT"/>
        </w:rPr>
      </w:pPr>
    </w:p>
    <w:p w14:paraId="49DEA774" w14:textId="77777777" w:rsidR="00073CD8" w:rsidRPr="002C4825" w:rsidRDefault="00073CD8" w:rsidP="00073CD8">
      <w:pPr>
        <w:jc w:val="center"/>
        <w:outlineLvl w:val="0"/>
        <w:rPr>
          <w:b/>
          <w:kern w:val="28"/>
          <w:lang w:val="lt-LT" w:eastAsia="lt-LT"/>
        </w:rPr>
      </w:pPr>
    </w:p>
    <w:p w14:paraId="7DCAEAA6" w14:textId="77777777" w:rsidR="00073CD8" w:rsidRPr="002C4825" w:rsidRDefault="00073CD8" w:rsidP="00073CD8">
      <w:pPr>
        <w:jc w:val="center"/>
        <w:outlineLvl w:val="0"/>
        <w:rPr>
          <w:b/>
          <w:kern w:val="28"/>
          <w:lang w:val="lt-LT" w:eastAsia="lt-LT"/>
        </w:rPr>
      </w:pPr>
    </w:p>
    <w:p w14:paraId="6C98D684" w14:textId="77777777" w:rsidR="00073CD8" w:rsidRPr="002C4825" w:rsidRDefault="00073CD8" w:rsidP="00073CD8">
      <w:pPr>
        <w:jc w:val="center"/>
        <w:outlineLvl w:val="0"/>
        <w:rPr>
          <w:b/>
          <w:kern w:val="28"/>
          <w:lang w:val="lt-LT" w:eastAsia="lt-LT"/>
        </w:rPr>
      </w:pPr>
    </w:p>
    <w:p w14:paraId="3E6A7BAA" w14:textId="77777777" w:rsidR="00073CD8" w:rsidRPr="002C4825" w:rsidRDefault="00073CD8" w:rsidP="00073CD8">
      <w:pPr>
        <w:jc w:val="center"/>
        <w:outlineLvl w:val="0"/>
        <w:rPr>
          <w:b/>
          <w:kern w:val="28"/>
          <w:lang w:val="lt-LT" w:eastAsia="lt-LT"/>
        </w:rPr>
      </w:pPr>
    </w:p>
    <w:p w14:paraId="16171063" w14:textId="77777777" w:rsidR="00073CD8" w:rsidRPr="002C4825" w:rsidRDefault="00073CD8" w:rsidP="00073CD8">
      <w:pPr>
        <w:jc w:val="center"/>
        <w:outlineLvl w:val="0"/>
        <w:rPr>
          <w:b/>
          <w:kern w:val="28"/>
          <w:lang w:val="lt-LT" w:eastAsia="lt-LT"/>
        </w:rPr>
      </w:pPr>
    </w:p>
    <w:p w14:paraId="0DDC6176" w14:textId="77777777" w:rsidR="00073CD8" w:rsidRPr="002C4825" w:rsidRDefault="00073CD8" w:rsidP="00073CD8">
      <w:pPr>
        <w:jc w:val="center"/>
        <w:outlineLvl w:val="0"/>
        <w:rPr>
          <w:b/>
          <w:kern w:val="28"/>
          <w:lang w:val="lt-LT" w:eastAsia="lt-LT"/>
        </w:rPr>
      </w:pPr>
    </w:p>
    <w:p w14:paraId="5A93A7E2" w14:textId="77777777" w:rsidR="00073CD8" w:rsidRPr="002C4825" w:rsidRDefault="00073CD8" w:rsidP="00073CD8">
      <w:pPr>
        <w:jc w:val="center"/>
        <w:outlineLvl w:val="0"/>
        <w:rPr>
          <w:b/>
          <w:kern w:val="28"/>
          <w:lang w:val="lt-LT" w:eastAsia="lt-LT"/>
        </w:rPr>
      </w:pPr>
    </w:p>
    <w:p w14:paraId="6D9C75E5" w14:textId="77777777" w:rsidR="00073CD8" w:rsidRPr="002C4825" w:rsidRDefault="00073CD8" w:rsidP="00073CD8">
      <w:pPr>
        <w:jc w:val="center"/>
        <w:outlineLvl w:val="0"/>
        <w:rPr>
          <w:b/>
          <w:kern w:val="28"/>
          <w:lang w:val="lt-LT" w:eastAsia="lt-LT"/>
        </w:rPr>
      </w:pPr>
    </w:p>
    <w:p w14:paraId="2663C881" w14:textId="77777777" w:rsidR="00073CD8" w:rsidRPr="002C4825" w:rsidRDefault="00073CD8" w:rsidP="00073CD8">
      <w:pPr>
        <w:jc w:val="center"/>
        <w:outlineLvl w:val="0"/>
        <w:rPr>
          <w:b/>
          <w:kern w:val="28"/>
          <w:lang w:val="lt-LT" w:eastAsia="lt-LT"/>
        </w:rPr>
      </w:pPr>
    </w:p>
    <w:p w14:paraId="5D0FCF82" w14:textId="77777777" w:rsidR="00073CD8" w:rsidRPr="002C4825" w:rsidRDefault="00073CD8" w:rsidP="00073CD8">
      <w:pPr>
        <w:jc w:val="center"/>
        <w:outlineLvl w:val="0"/>
        <w:rPr>
          <w:b/>
          <w:kern w:val="28"/>
          <w:lang w:val="lt-LT" w:eastAsia="lt-LT"/>
        </w:rPr>
      </w:pPr>
    </w:p>
    <w:p w14:paraId="4298957A" w14:textId="77777777" w:rsidR="00073CD8" w:rsidRPr="002C4825" w:rsidRDefault="00073CD8" w:rsidP="00073CD8">
      <w:pPr>
        <w:jc w:val="center"/>
        <w:outlineLvl w:val="0"/>
        <w:rPr>
          <w:b/>
          <w:kern w:val="28"/>
          <w:lang w:val="lt-LT" w:eastAsia="lt-LT"/>
        </w:rPr>
      </w:pPr>
    </w:p>
    <w:p w14:paraId="72AB4EB2" w14:textId="77777777" w:rsidR="00073CD8" w:rsidRPr="002C4825" w:rsidRDefault="00073CD8" w:rsidP="00073CD8">
      <w:pPr>
        <w:jc w:val="center"/>
        <w:outlineLvl w:val="0"/>
        <w:rPr>
          <w:b/>
          <w:kern w:val="28"/>
          <w:lang w:val="lt-LT" w:eastAsia="lt-LT"/>
        </w:rPr>
      </w:pPr>
    </w:p>
    <w:p w14:paraId="30F6F9A7" w14:textId="77777777" w:rsidR="00073CD8" w:rsidRPr="002C4825" w:rsidRDefault="00073CD8" w:rsidP="00073CD8">
      <w:pPr>
        <w:jc w:val="center"/>
        <w:outlineLvl w:val="0"/>
        <w:rPr>
          <w:b/>
          <w:kern w:val="28"/>
          <w:lang w:val="lt-LT" w:eastAsia="lt-LT"/>
        </w:rPr>
      </w:pPr>
      <w:r w:rsidRPr="002C4825">
        <w:rPr>
          <w:b/>
          <w:kern w:val="28"/>
          <w:lang w:val="lt-LT" w:eastAsia="lt-LT"/>
        </w:rPr>
        <w:t>II PRIEDAS</w:t>
      </w:r>
    </w:p>
    <w:p w14:paraId="0DD4403B" w14:textId="77777777" w:rsidR="00073CD8" w:rsidRPr="002C4825" w:rsidRDefault="00073CD8" w:rsidP="00073CD8">
      <w:pPr>
        <w:jc w:val="center"/>
        <w:outlineLvl w:val="0"/>
        <w:rPr>
          <w:b/>
          <w:kern w:val="28"/>
          <w:lang w:val="lt-LT" w:eastAsia="lt-LT"/>
        </w:rPr>
      </w:pPr>
    </w:p>
    <w:p w14:paraId="22B0D2A1" w14:textId="77777777" w:rsidR="00073CD8" w:rsidRPr="002C4825" w:rsidRDefault="00073CD8" w:rsidP="00073CD8">
      <w:pPr>
        <w:jc w:val="center"/>
        <w:rPr>
          <w:b/>
          <w:lang w:val="lt-LT"/>
        </w:rPr>
      </w:pPr>
      <w:r w:rsidRPr="002C4825">
        <w:rPr>
          <w:b/>
          <w:lang w:val="lt-LT"/>
        </w:rPr>
        <w:t>REGISTRACIJOS SĄLYGOS</w:t>
      </w:r>
    </w:p>
    <w:p w14:paraId="748D30FE" w14:textId="77777777" w:rsidR="00073CD8" w:rsidRPr="002C4825" w:rsidRDefault="00073CD8" w:rsidP="00073CD8">
      <w:pPr>
        <w:jc w:val="center"/>
        <w:rPr>
          <w:b/>
          <w:lang w:val="lt-LT"/>
        </w:rPr>
      </w:pPr>
    </w:p>
    <w:p w14:paraId="679D7D8D" w14:textId="4EE9AC14" w:rsidR="00073CD8" w:rsidRPr="002C4825" w:rsidRDefault="00073CD8" w:rsidP="00073CD8">
      <w:pPr>
        <w:ind w:left="1701" w:hanging="567"/>
        <w:outlineLvl w:val="0"/>
        <w:rPr>
          <w:b/>
          <w:lang w:val="lt-LT"/>
        </w:rPr>
      </w:pPr>
      <w:r w:rsidRPr="002C4825">
        <w:rPr>
          <w:b/>
          <w:lang w:val="lt-LT"/>
        </w:rPr>
        <w:t>A. GAMINTOJAS</w:t>
      </w:r>
      <w:r w:rsidR="00A94EB6">
        <w:rPr>
          <w:b/>
          <w:lang w:val="lt-LT"/>
        </w:rPr>
        <w:t xml:space="preserve"> (-AI)</w:t>
      </w:r>
      <w:r w:rsidRPr="002C4825">
        <w:rPr>
          <w:b/>
          <w:lang w:val="lt-LT"/>
        </w:rPr>
        <w:t>, ATSAKINGAS</w:t>
      </w:r>
      <w:r w:rsidR="00A94EB6">
        <w:rPr>
          <w:b/>
          <w:lang w:val="lt-LT"/>
        </w:rPr>
        <w:t xml:space="preserve"> (-I)</w:t>
      </w:r>
      <w:r w:rsidRPr="002C4825">
        <w:rPr>
          <w:b/>
          <w:lang w:val="lt-LT"/>
        </w:rPr>
        <w:t xml:space="preserve"> UŽ SERIJŲ IŠLEIDIMĄ</w:t>
      </w:r>
    </w:p>
    <w:p w14:paraId="1FE67F0A" w14:textId="77777777" w:rsidR="00073CD8" w:rsidRPr="002C4825" w:rsidRDefault="00073CD8" w:rsidP="00073CD8">
      <w:pPr>
        <w:ind w:left="1701" w:hanging="567"/>
        <w:jc w:val="center"/>
        <w:rPr>
          <w:b/>
          <w:lang w:val="lt-LT"/>
        </w:rPr>
      </w:pPr>
    </w:p>
    <w:p w14:paraId="68A45CED" w14:textId="77777777" w:rsidR="00073CD8" w:rsidRPr="002C4825" w:rsidRDefault="00073CD8" w:rsidP="00073CD8">
      <w:pPr>
        <w:ind w:left="1701" w:hanging="567"/>
        <w:outlineLvl w:val="0"/>
        <w:rPr>
          <w:b/>
          <w:lang w:val="lt-LT"/>
        </w:rPr>
      </w:pPr>
      <w:r w:rsidRPr="002C4825">
        <w:rPr>
          <w:b/>
          <w:lang w:val="lt-LT"/>
        </w:rPr>
        <w:t>B. TIEKIMO IR VARTOJIMO SĄLYGOS AR APRIBOJIMAI</w:t>
      </w:r>
    </w:p>
    <w:p w14:paraId="048DD614" w14:textId="77777777" w:rsidR="00073CD8" w:rsidRPr="002C4825" w:rsidRDefault="00073CD8" w:rsidP="00073CD8">
      <w:pPr>
        <w:jc w:val="both"/>
        <w:rPr>
          <w:b/>
          <w:lang w:val="lt-LT"/>
        </w:rPr>
      </w:pPr>
    </w:p>
    <w:p w14:paraId="505A78E8" w14:textId="09F4A50E" w:rsidR="00073CD8" w:rsidRPr="002C4825" w:rsidRDefault="00073CD8" w:rsidP="00073CD8">
      <w:pPr>
        <w:jc w:val="both"/>
        <w:rPr>
          <w:b/>
          <w:lang w:val="lt-LT"/>
        </w:rPr>
      </w:pPr>
      <w:r w:rsidRPr="002C4825">
        <w:rPr>
          <w:lang w:val="lt-LT"/>
        </w:rPr>
        <w:br w:type="page"/>
      </w:r>
      <w:r w:rsidRPr="002C4825">
        <w:rPr>
          <w:b/>
          <w:lang w:val="lt-LT"/>
        </w:rPr>
        <w:lastRenderedPageBreak/>
        <w:t>A.</w:t>
      </w:r>
      <w:r w:rsidRPr="002C4825">
        <w:rPr>
          <w:b/>
          <w:lang w:val="lt-LT"/>
        </w:rPr>
        <w:tab/>
        <w:t>GAMINTOJAS</w:t>
      </w:r>
      <w:r w:rsidR="00A94EB6">
        <w:rPr>
          <w:b/>
          <w:lang w:val="lt-LT"/>
        </w:rPr>
        <w:t xml:space="preserve"> (-AI)</w:t>
      </w:r>
      <w:r w:rsidRPr="002C4825">
        <w:rPr>
          <w:b/>
          <w:lang w:val="lt-LT"/>
        </w:rPr>
        <w:t>, ATSAKINGAS</w:t>
      </w:r>
      <w:r w:rsidR="00A94EB6">
        <w:rPr>
          <w:b/>
          <w:lang w:val="lt-LT"/>
        </w:rPr>
        <w:t xml:space="preserve"> (-I)</w:t>
      </w:r>
      <w:r w:rsidRPr="002C4825">
        <w:rPr>
          <w:b/>
          <w:lang w:val="lt-LT"/>
        </w:rPr>
        <w:t xml:space="preserve"> UŽ SERIJŲ IŠLEIDIMĄ</w:t>
      </w:r>
    </w:p>
    <w:p w14:paraId="39DD4C99" w14:textId="77777777" w:rsidR="00073CD8" w:rsidRPr="002C4825" w:rsidRDefault="00073CD8" w:rsidP="00073CD8">
      <w:pPr>
        <w:jc w:val="both"/>
        <w:rPr>
          <w:i/>
          <w:lang w:val="lt-LT"/>
        </w:rPr>
      </w:pPr>
    </w:p>
    <w:p w14:paraId="79D06E22" w14:textId="1776A040" w:rsidR="00073CD8" w:rsidRPr="002C4825" w:rsidRDefault="00073CD8" w:rsidP="00073CD8">
      <w:pPr>
        <w:jc w:val="both"/>
        <w:rPr>
          <w:u w:val="single"/>
          <w:lang w:val="lt-LT"/>
        </w:rPr>
      </w:pPr>
      <w:r w:rsidRPr="002C4825">
        <w:rPr>
          <w:u w:val="single"/>
          <w:lang w:val="lt-LT"/>
        </w:rPr>
        <w:t>Gamintojo</w:t>
      </w:r>
      <w:r w:rsidR="00A94EB6">
        <w:rPr>
          <w:u w:val="single"/>
          <w:lang w:val="lt-LT"/>
        </w:rPr>
        <w:t xml:space="preserve"> (-ų)</w:t>
      </w:r>
      <w:r w:rsidRPr="002C4825">
        <w:rPr>
          <w:u w:val="single"/>
          <w:lang w:val="lt-LT"/>
        </w:rPr>
        <w:t>, atsakingo</w:t>
      </w:r>
      <w:r w:rsidR="00A94EB6">
        <w:rPr>
          <w:u w:val="single"/>
          <w:lang w:val="lt-LT"/>
        </w:rPr>
        <w:t xml:space="preserve"> (-ų)</w:t>
      </w:r>
      <w:r w:rsidRPr="002C4825">
        <w:rPr>
          <w:u w:val="single"/>
          <w:lang w:val="lt-LT"/>
        </w:rPr>
        <w:t xml:space="preserve"> už serijų išleidimą, pavadinimas</w:t>
      </w:r>
      <w:r w:rsidR="00A94EB6">
        <w:rPr>
          <w:u w:val="single"/>
          <w:lang w:val="lt-LT"/>
        </w:rPr>
        <w:t xml:space="preserve"> (-ai)</w:t>
      </w:r>
      <w:r w:rsidRPr="002C4825">
        <w:rPr>
          <w:u w:val="single"/>
          <w:lang w:val="lt-LT"/>
        </w:rPr>
        <w:t xml:space="preserve"> ir adresas</w:t>
      </w:r>
      <w:r w:rsidR="00A94EB6">
        <w:rPr>
          <w:u w:val="single"/>
          <w:lang w:val="lt-LT"/>
        </w:rPr>
        <w:t xml:space="preserve"> (-ai)</w:t>
      </w:r>
    </w:p>
    <w:p w14:paraId="4C1E056A" w14:textId="77777777" w:rsidR="00073CD8" w:rsidRPr="002C4825" w:rsidRDefault="00073CD8" w:rsidP="00073CD8">
      <w:pPr>
        <w:rPr>
          <w:color w:val="000000"/>
          <w:lang w:val="lt-LT"/>
        </w:rPr>
      </w:pPr>
    </w:p>
    <w:p w14:paraId="3DFD396F" w14:textId="77777777" w:rsidR="00446BBE" w:rsidRPr="002C4825" w:rsidRDefault="00446BBE" w:rsidP="00446BBE">
      <w:pPr>
        <w:numPr>
          <w:ilvl w:val="12"/>
          <w:numId w:val="0"/>
        </w:numPr>
        <w:ind w:right="-2"/>
        <w:rPr>
          <w:lang w:val="lt-LT" w:bidi="en-US"/>
        </w:rPr>
      </w:pPr>
      <w:r w:rsidRPr="002C4825">
        <w:rPr>
          <w:lang w:val="lt-LT" w:bidi="en-US"/>
        </w:rPr>
        <w:t>E-Pharma Trento S.p.A.</w:t>
      </w:r>
    </w:p>
    <w:p w14:paraId="36912314" w14:textId="77777777" w:rsidR="00446BBE" w:rsidRPr="002C4825" w:rsidRDefault="00446BBE" w:rsidP="00446BBE">
      <w:pPr>
        <w:numPr>
          <w:ilvl w:val="12"/>
          <w:numId w:val="0"/>
        </w:numPr>
        <w:ind w:right="-2"/>
        <w:rPr>
          <w:lang w:val="lt-LT" w:bidi="en-US"/>
        </w:rPr>
      </w:pPr>
      <w:r w:rsidRPr="002C4825">
        <w:rPr>
          <w:lang w:val="lt-LT" w:bidi="en-US"/>
        </w:rPr>
        <w:t>via Provina 2</w:t>
      </w:r>
    </w:p>
    <w:p w14:paraId="78FB823D" w14:textId="77777777" w:rsidR="00446BBE" w:rsidRPr="002C4825" w:rsidRDefault="00446BBE" w:rsidP="00446BBE">
      <w:pPr>
        <w:numPr>
          <w:ilvl w:val="12"/>
          <w:numId w:val="0"/>
        </w:numPr>
        <w:ind w:right="-2"/>
        <w:rPr>
          <w:lang w:val="lt-LT" w:bidi="en-US"/>
        </w:rPr>
      </w:pPr>
      <w:r w:rsidRPr="002C4825">
        <w:rPr>
          <w:lang w:val="lt-LT" w:bidi="en-US"/>
        </w:rPr>
        <w:t>38123 Trento (TN)</w:t>
      </w:r>
    </w:p>
    <w:p w14:paraId="5114A587" w14:textId="63C06567" w:rsidR="00073CD8" w:rsidRPr="002C4825" w:rsidRDefault="00446BBE" w:rsidP="00446BBE">
      <w:pPr>
        <w:rPr>
          <w:color w:val="000000"/>
          <w:lang w:val="lt-LT"/>
        </w:rPr>
      </w:pPr>
      <w:r w:rsidRPr="002C4825">
        <w:rPr>
          <w:lang w:val="lt-LT" w:bidi="en-US"/>
        </w:rPr>
        <w:t>Italija</w:t>
      </w:r>
    </w:p>
    <w:p w14:paraId="48BFBB78" w14:textId="77777777" w:rsidR="00073CD8" w:rsidRPr="002C4825" w:rsidRDefault="00073CD8" w:rsidP="00073CD8">
      <w:pPr>
        <w:rPr>
          <w:lang w:val="lt-LT"/>
        </w:rPr>
      </w:pPr>
    </w:p>
    <w:p w14:paraId="201EFFD1" w14:textId="77777777" w:rsidR="00073CD8" w:rsidRPr="002C4825" w:rsidRDefault="00073CD8" w:rsidP="00073CD8">
      <w:pPr>
        <w:jc w:val="both"/>
        <w:rPr>
          <w:i/>
          <w:lang w:val="lt-LT"/>
        </w:rPr>
      </w:pPr>
    </w:p>
    <w:p w14:paraId="5EDE842D" w14:textId="77777777" w:rsidR="00073CD8" w:rsidRPr="002C4825" w:rsidRDefault="00073CD8" w:rsidP="00073CD8">
      <w:pPr>
        <w:tabs>
          <w:tab w:val="left" w:pos="567"/>
        </w:tabs>
        <w:jc w:val="both"/>
        <w:rPr>
          <w:b/>
          <w:lang w:val="lt-LT"/>
        </w:rPr>
      </w:pPr>
      <w:r w:rsidRPr="002C4825">
        <w:rPr>
          <w:b/>
          <w:lang w:val="lt-LT"/>
        </w:rPr>
        <w:t>B.</w:t>
      </w:r>
      <w:r w:rsidRPr="002C4825">
        <w:rPr>
          <w:b/>
          <w:lang w:val="lt-LT"/>
        </w:rPr>
        <w:tab/>
        <w:t>TIEKIMO IR VARTOJIMO SĄLYGOS AR APRIBOJIMAI</w:t>
      </w:r>
    </w:p>
    <w:p w14:paraId="38A49237" w14:textId="77777777" w:rsidR="00073CD8" w:rsidRPr="002C4825" w:rsidRDefault="00073CD8" w:rsidP="00073CD8">
      <w:pPr>
        <w:jc w:val="both"/>
        <w:rPr>
          <w:iCs/>
          <w:lang w:val="lt-LT"/>
        </w:rPr>
      </w:pPr>
    </w:p>
    <w:p w14:paraId="1961E552" w14:textId="7E87BE83" w:rsidR="00073CD8" w:rsidRPr="002C4825" w:rsidRDefault="00073CD8" w:rsidP="00073CD8">
      <w:pPr>
        <w:jc w:val="both"/>
        <w:rPr>
          <w:lang w:val="lt-LT"/>
        </w:rPr>
      </w:pPr>
      <w:r w:rsidRPr="002C4825">
        <w:rPr>
          <w:lang w:val="lt-LT"/>
        </w:rPr>
        <w:t>Nereceptinis vaistinis preparatas.</w:t>
      </w:r>
    </w:p>
    <w:p w14:paraId="5BA733CF" w14:textId="77777777" w:rsidR="00073CD8" w:rsidRPr="002C4825" w:rsidRDefault="00073CD8" w:rsidP="00073CD8">
      <w:pPr>
        <w:ind w:left="360"/>
        <w:jc w:val="both"/>
        <w:rPr>
          <w:lang w:val="lt-LT"/>
        </w:rPr>
      </w:pPr>
      <w:r w:rsidRPr="002C4825">
        <w:rPr>
          <w:lang w:val="lt-LT"/>
        </w:rPr>
        <w:br w:type="page"/>
      </w:r>
    </w:p>
    <w:p w14:paraId="387B6ECE" w14:textId="77777777" w:rsidR="00073CD8" w:rsidRPr="002C4825" w:rsidRDefault="00073CD8" w:rsidP="00073CD8">
      <w:pPr>
        <w:jc w:val="center"/>
        <w:outlineLvl w:val="0"/>
        <w:rPr>
          <w:b/>
          <w:lang w:val="lt-LT" w:eastAsia="lt-LT"/>
        </w:rPr>
      </w:pPr>
    </w:p>
    <w:p w14:paraId="7256B02C" w14:textId="77777777" w:rsidR="00073CD8" w:rsidRPr="002C4825" w:rsidRDefault="00073CD8" w:rsidP="00073CD8">
      <w:pPr>
        <w:jc w:val="center"/>
        <w:outlineLvl w:val="0"/>
        <w:rPr>
          <w:b/>
          <w:lang w:val="lt-LT" w:eastAsia="lt-LT"/>
        </w:rPr>
      </w:pPr>
    </w:p>
    <w:p w14:paraId="02B171F0" w14:textId="77777777" w:rsidR="00073CD8" w:rsidRPr="002C4825" w:rsidRDefault="00073CD8" w:rsidP="00073CD8">
      <w:pPr>
        <w:jc w:val="center"/>
        <w:outlineLvl w:val="0"/>
        <w:rPr>
          <w:b/>
          <w:lang w:val="lt-LT" w:eastAsia="lt-LT"/>
        </w:rPr>
      </w:pPr>
    </w:p>
    <w:p w14:paraId="6C6CB1AB" w14:textId="77777777" w:rsidR="00073CD8" w:rsidRPr="002C4825" w:rsidRDefault="00073CD8" w:rsidP="00073CD8">
      <w:pPr>
        <w:jc w:val="center"/>
        <w:outlineLvl w:val="0"/>
        <w:rPr>
          <w:b/>
          <w:lang w:val="lt-LT" w:eastAsia="lt-LT"/>
        </w:rPr>
      </w:pPr>
    </w:p>
    <w:p w14:paraId="20E8D0C8" w14:textId="77777777" w:rsidR="00073CD8" w:rsidRPr="002C4825" w:rsidRDefault="00073CD8" w:rsidP="00073CD8">
      <w:pPr>
        <w:jc w:val="center"/>
        <w:outlineLvl w:val="0"/>
        <w:rPr>
          <w:b/>
          <w:lang w:val="lt-LT" w:eastAsia="lt-LT"/>
        </w:rPr>
      </w:pPr>
    </w:p>
    <w:p w14:paraId="1E9E432D" w14:textId="77777777" w:rsidR="00073CD8" w:rsidRPr="002C4825" w:rsidRDefault="00073CD8" w:rsidP="00073CD8">
      <w:pPr>
        <w:jc w:val="center"/>
        <w:outlineLvl w:val="0"/>
        <w:rPr>
          <w:b/>
          <w:lang w:val="lt-LT" w:eastAsia="lt-LT"/>
        </w:rPr>
      </w:pPr>
    </w:p>
    <w:p w14:paraId="3883E9DE" w14:textId="77777777" w:rsidR="00073CD8" w:rsidRPr="002C4825" w:rsidRDefault="00073CD8" w:rsidP="00073CD8">
      <w:pPr>
        <w:jc w:val="center"/>
        <w:outlineLvl w:val="0"/>
        <w:rPr>
          <w:b/>
          <w:lang w:val="lt-LT" w:eastAsia="lt-LT"/>
        </w:rPr>
      </w:pPr>
    </w:p>
    <w:p w14:paraId="37AFBF4B" w14:textId="77777777" w:rsidR="00073CD8" w:rsidRPr="002C4825" w:rsidRDefault="00073CD8" w:rsidP="00073CD8">
      <w:pPr>
        <w:jc w:val="center"/>
        <w:outlineLvl w:val="0"/>
        <w:rPr>
          <w:b/>
          <w:lang w:val="lt-LT" w:eastAsia="lt-LT"/>
        </w:rPr>
      </w:pPr>
    </w:p>
    <w:p w14:paraId="6C4A6B52" w14:textId="77777777" w:rsidR="00073CD8" w:rsidRPr="002C4825" w:rsidRDefault="00073CD8" w:rsidP="00073CD8">
      <w:pPr>
        <w:jc w:val="center"/>
        <w:outlineLvl w:val="0"/>
        <w:rPr>
          <w:b/>
          <w:lang w:val="lt-LT" w:eastAsia="lt-LT"/>
        </w:rPr>
      </w:pPr>
    </w:p>
    <w:p w14:paraId="7E042923" w14:textId="77777777" w:rsidR="00073CD8" w:rsidRPr="002C4825" w:rsidRDefault="00073CD8" w:rsidP="00073CD8">
      <w:pPr>
        <w:jc w:val="center"/>
        <w:outlineLvl w:val="0"/>
        <w:rPr>
          <w:b/>
          <w:lang w:val="lt-LT" w:eastAsia="lt-LT"/>
        </w:rPr>
      </w:pPr>
    </w:p>
    <w:p w14:paraId="00AB29C4" w14:textId="77777777" w:rsidR="00073CD8" w:rsidRPr="002C4825" w:rsidRDefault="00073CD8" w:rsidP="00073CD8">
      <w:pPr>
        <w:jc w:val="center"/>
        <w:outlineLvl w:val="0"/>
        <w:rPr>
          <w:b/>
          <w:lang w:val="lt-LT" w:eastAsia="lt-LT"/>
        </w:rPr>
      </w:pPr>
    </w:p>
    <w:p w14:paraId="416DF608" w14:textId="77777777" w:rsidR="00073CD8" w:rsidRPr="002C4825" w:rsidRDefault="00073CD8" w:rsidP="00073CD8">
      <w:pPr>
        <w:jc w:val="center"/>
        <w:outlineLvl w:val="0"/>
        <w:rPr>
          <w:b/>
          <w:lang w:val="lt-LT" w:eastAsia="lt-LT"/>
        </w:rPr>
      </w:pPr>
    </w:p>
    <w:p w14:paraId="328462BB" w14:textId="77777777" w:rsidR="00073CD8" w:rsidRPr="002C4825" w:rsidRDefault="00073CD8" w:rsidP="00073CD8">
      <w:pPr>
        <w:jc w:val="center"/>
        <w:outlineLvl w:val="0"/>
        <w:rPr>
          <w:b/>
          <w:lang w:val="lt-LT" w:eastAsia="lt-LT"/>
        </w:rPr>
      </w:pPr>
    </w:p>
    <w:p w14:paraId="1BCC6C5D" w14:textId="77777777" w:rsidR="00073CD8" w:rsidRPr="002C4825" w:rsidRDefault="00073CD8" w:rsidP="00073CD8">
      <w:pPr>
        <w:jc w:val="center"/>
        <w:outlineLvl w:val="0"/>
        <w:rPr>
          <w:b/>
          <w:lang w:val="lt-LT" w:eastAsia="lt-LT"/>
        </w:rPr>
      </w:pPr>
    </w:p>
    <w:p w14:paraId="0C65E9C1" w14:textId="77777777" w:rsidR="00073CD8" w:rsidRPr="002C4825" w:rsidRDefault="00073CD8" w:rsidP="00073CD8">
      <w:pPr>
        <w:jc w:val="center"/>
        <w:outlineLvl w:val="0"/>
        <w:rPr>
          <w:b/>
          <w:lang w:val="lt-LT" w:eastAsia="lt-LT"/>
        </w:rPr>
      </w:pPr>
    </w:p>
    <w:p w14:paraId="3CC54CE8" w14:textId="77777777" w:rsidR="00073CD8" w:rsidRPr="002C4825" w:rsidRDefault="00073CD8" w:rsidP="00073CD8">
      <w:pPr>
        <w:jc w:val="center"/>
        <w:outlineLvl w:val="0"/>
        <w:rPr>
          <w:b/>
          <w:lang w:val="lt-LT" w:eastAsia="lt-LT"/>
        </w:rPr>
      </w:pPr>
    </w:p>
    <w:p w14:paraId="7824382B" w14:textId="77777777" w:rsidR="00073CD8" w:rsidRPr="002C4825" w:rsidRDefault="00073CD8" w:rsidP="00073CD8">
      <w:pPr>
        <w:jc w:val="center"/>
        <w:outlineLvl w:val="0"/>
        <w:rPr>
          <w:b/>
          <w:lang w:val="lt-LT" w:eastAsia="lt-LT"/>
        </w:rPr>
      </w:pPr>
    </w:p>
    <w:p w14:paraId="208BCC4C" w14:textId="77777777" w:rsidR="00073CD8" w:rsidRPr="002C4825" w:rsidRDefault="00073CD8" w:rsidP="00073CD8">
      <w:pPr>
        <w:jc w:val="center"/>
        <w:outlineLvl w:val="0"/>
        <w:rPr>
          <w:b/>
          <w:lang w:val="lt-LT" w:eastAsia="lt-LT"/>
        </w:rPr>
      </w:pPr>
    </w:p>
    <w:p w14:paraId="2E29510F" w14:textId="77777777" w:rsidR="00073CD8" w:rsidRPr="002C4825" w:rsidRDefault="00073CD8" w:rsidP="00073CD8">
      <w:pPr>
        <w:jc w:val="center"/>
        <w:outlineLvl w:val="0"/>
        <w:rPr>
          <w:b/>
          <w:lang w:val="lt-LT" w:eastAsia="lt-LT"/>
        </w:rPr>
      </w:pPr>
    </w:p>
    <w:p w14:paraId="021770F0" w14:textId="77777777" w:rsidR="00073CD8" w:rsidRPr="002C4825" w:rsidRDefault="00073CD8" w:rsidP="00073CD8">
      <w:pPr>
        <w:jc w:val="center"/>
        <w:outlineLvl w:val="0"/>
        <w:rPr>
          <w:b/>
          <w:lang w:val="lt-LT" w:eastAsia="lt-LT"/>
        </w:rPr>
      </w:pPr>
    </w:p>
    <w:p w14:paraId="58545B69" w14:textId="77777777" w:rsidR="00073CD8" w:rsidRPr="002C4825" w:rsidRDefault="00073CD8" w:rsidP="00073CD8">
      <w:pPr>
        <w:jc w:val="center"/>
        <w:outlineLvl w:val="0"/>
        <w:rPr>
          <w:b/>
          <w:lang w:val="lt-LT" w:eastAsia="lt-LT"/>
        </w:rPr>
      </w:pPr>
    </w:p>
    <w:p w14:paraId="3743BC24" w14:textId="77777777" w:rsidR="00073CD8" w:rsidRPr="002C4825" w:rsidRDefault="00073CD8" w:rsidP="00073CD8">
      <w:pPr>
        <w:jc w:val="center"/>
        <w:outlineLvl w:val="0"/>
        <w:rPr>
          <w:b/>
          <w:lang w:val="lt-LT" w:eastAsia="lt-LT"/>
        </w:rPr>
      </w:pPr>
    </w:p>
    <w:p w14:paraId="3C957843" w14:textId="77777777" w:rsidR="00073CD8" w:rsidRPr="002C4825" w:rsidRDefault="00073CD8" w:rsidP="00073CD8">
      <w:pPr>
        <w:jc w:val="center"/>
        <w:outlineLvl w:val="0"/>
        <w:rPr>
          <w:b/>
          <w:kern w:val="28"/>
          <w:lang w:val="lt-LT" w:eastAsia="lt-LT"/>
        </w:rPr>
      </w:pPr>
    </w:p>
    <w:p w14:paraId="4D336B3F" w14:textId="77777777" w:rsidR="00073CD8" w:rsidRPr="002C4825" w:rsidRDefault="00073CD8" w:rsidP="00073CD8">
      <w:pPr>
        <w:jc w:val="center"/>
        <w:outlineLvl w:val="0"/>
        <w:rPr>
          <w:b/>
          <w:kern w:val="28"/>
          <w:lang w:val="lt-LT" w:eastAsia="lt-LT"/>
        </w:rPr>
      </w:pPr>
      <w:r w:rsidRPr="002C4825">
        <w:rPr>
          <w:b/>
          <w:kern w:val="28"/>
          <w:lang w:val="lt-LT" w:eastAsia="lt-LT"/>
        </w:rPr>
        <w:t>III PRIEDAS</w:t>
      </w:r>
    </w:p>
    <w:p w14:paraId="48A61F9C" w14:textId="77777777" w:rsidR="00073CD8" w:rsidRPr="002C4825" w:rsidRDefault="00073CD8" w:rsidP="00073CD8">
      <w:pPr>
        <w:jc w:val="center"/>
        <w:rPr>
          <w:b/>
          <w:lang w:val="lt-LT"/>
        </w:rPr>
      </w:pPr>
    </w:p>
    <w:p w14:paraId="281787B4" w14:textId="77777777" w:rsidR="00073CD8" w:rsidRPr="002C4825" w:rsidRDefault="00073CD8" w:rsidP="00073CD8">
      <w:pPr>
        <w:jc w:val="center"/>
        <w:rPr>
          <w:b/>
          <w:lang w:val="lt-LT"/>
        </w:rPr>
      </w:pPr>
      <w:r w:rsidRPr="002C4825">
        <w:rPr>
          <w:b/>
          <w:lang w:val="lt-LT"/>
        </w:rPr>
        <w:t>ŽENKLINIMAS IR PAKUOTĖS LAPELIS</w:t>
      </w:r>
    </w:p>
    <w:p w14:paraId="29BDCAAD" w14:textId="77777777" w:rsidR="00073CD8" w:rsidRPr="002C4825" w:rsidRDefault="00073CD8" w:rsidP="00073CD8">
      <w:pPr>
        <w:jc w:val="center"/>
        <w:outlineLvl w:val="0"/>
        <w:rPr>
          <w:b/>
          <w:lang w:val="lt-LT"/>
        </w:rPr>
      </w:pPr>
      <w:r w:rsidRPr="002C4825">
        <w:rPr>
          <w:b/>
          <w:kern w:val="28"/>
          <w:lang w:val="lt-LT" w:eastAsia="lt-LT"/>
        </w:rPr>
        <w:br w:type="page"/>
      </w:r>
    </w:p>
    <w:p w14:paraId="711510DB" w14:textId="77777777" w:rsidR="00073CD8" w:rsidRPr="002C4825" w:rsidRDefault="00073CD8" w:rsidP="00073CD8">
      <w:pPr>
        <w:jc w:val="center"/>
        <w:outlineLvl w:val="0"/>
        <w:rPr>
          <w:b/>
          <w:lang w:val="lt-LT" w:eastAsia="lt-LT"/>
        </w:rPr>
      </w:pPr>
    </w:p>
    <w:p w14:paraId="5034A2BC" w14:textId="77777777" w:rsidR="00073CD8" w:rsidRPr="002C4825" w:rsidRDefault="00073CD8" w:rsidP="00073CD8">
      <w:pPr>
        <w:jc w:val="center"/>
        <w:outlineLvl w:val="0"/>
        <w:rPr>
          <w:b/>
          <w:lang w:val="lt-LT" w:eastAsia="lt-LT"/>
        </w:rPr>
      </w:pPr>
    </w:p>
    <w:p w14:paraId="0E53E5D5" w14:textId="77777777" w:rsidR="00073CD8" w:rsidRPr="002C4825" w:rsidRDefault="00073CD8" w:rsidP="00073CD8">
      <w:pPr>
        <w:jc w:val="center"/>
        <w:outlineLvl w:val="0"/>
        <w:rPr>
          <w:b/>
          <w:lang w:val="lt-LT" w:eastAsia="lt-LT"/>
        </w:rPr>
      </w:pPr>
    </w:p>
    <w:p w14:paraId="43A4E68F" w14:textId="77777777" w:rsidR="00073CD8" w:rsidRPr="002C4825" w:rsidRDefault="00073CD8" w:rsidP="00073CD8">
      <w:pPr>
        <w:jc w:val="center"/>
        <w:outlineLvl w:val="0"/>
        <w:rPr>
          <w:b/>
          <w:lang w:val="lt-LT" w:eastAsia="lt-LT"/>
        </w:rPr>
      </w:pPr>
    </w:p>
    <w:p w14:paraId="282DCF0C" w14:textId="77777777" w:rsidR="00073CD8" w:rsidRPr="002C4825" w:rsidRDefault="00073CD8" w:rsidP="00073CD8">
      <w:pPr>
        <w:jc w:val="center"/>
        <w:outlineLvl w:val="0"/>
        <w:rPr>
          <w:b/>
          <w:lang w:val="lt-LT" w:eastAsia="lt-LT"/>
        </w:rPr>
      </w:pPr>
    </w:p>
    <w:p w14:paraId="006CC3B3" w14:textId="77777777" w:rsidR="00073CD8" w:rsidRPr="002C4825" w:rsidRDefault="00073CD8" w:rsidP="00073CD8">
      <w:pPr>
        <w:jc w:val="center"/>
        <w:outlineLvl w:val="0"/>
        <w:rPr>
          <w:b/>
          <w:lang w:val="lt-LT" w:eastAsia="lt-LT"/>
        </w:rPr>
      </w:pPr>
    </w:p>
    <w:p w14:paraId="679C5050" w14:textId="77777777" w:rsidR="00073CD8" w:rsidRPr="002C4825" w:rsidRDefault="00073CD8" w:rsidP="00073CD8">
      <w:pPr>
        <w:jc w:val="center"/>
        <w:outlineLvl w:val="0"/>
        <w:rPr>
          <w:b/>
          <w:lang w:val="lt-LT" w:eastAsia="lt-LT"/>
        </w:rPr>
      </w:pPr>
    </w:p>
    <w:p w14:paraId="72C2064B" w14:textId="77777777" w:rsidR="00073CD8" w:rsidRPr="002C4825" w:rsidRDefault="00073CD8" w:rsidP="00073CD8">
      <w:pPr>
        <w:jc w:val="center"/>
        <w:outlineLvl w:val="0"/>
        <w:rPr>
          <w:b/>
          <w:lang w:val="lt-LT" w:eastAsia="lt-LT"/>
        </w:rPr>
      </w:pPr>
    </w:p>
    <w:p w14:paraId="187872DE" w14:textId="77777777" w:rsidR="00073CD8" w:rsidRPr="002C4825" w:rsidRDefault="00073CD8" w:rsidP="00073CD8">
      <w:pPr>
        <w:jc w:val="center"/>
        <w:outlineLvl w:val="0"/>
        <w:rPr>
          <w:b/>
          <w:lang w:val="lt-LT" w:eastAsia="lt-LT"/>
        </w:rPr>
      </w:pPr>
    </w:p>
    <w:p w14:paraId="5FDB7FCB" w14:textId="77777777" w:rsidR="00073CD8" w:rsidRPr="002C4825" w:rsidRDefault="00073CD8" w:rsidP="00073CD8">
      <w:pPr>
        <w:jc w:val="center"/>
        <w:outlineLvl w:val="0"/>
        <w:rPr>
          <w:b/>
          <w:lang w:val="lt-LT" w:eastAsia="lt-LT"/>
        </w:rPr>
      </w:pPr>
    </w:p>
    <w:p w14:paraId="02C28416" w14:textId="77777777" w:rsidR="00073CD8" w:rsidRPr="002C4825" w:rsidRDefault="00073CD8" w:rsidP="00073CD8">
      <w:pPr>
        <w:jc w:val="center"/>
        <w:outlineLvl w:val="0"/>
        <w:rPr>
          <w:b/>
          <w:lang w:val="lt-LT" w:eastAsia="lt-LT"/>
        </w:rPr>
      </w:pPr>
    </w:p>
    <w:p w14:paraId="7B5204B3" w14:textId="77777777" w:rsidR="00073CD8" w:rsidRPr="002C4825" w:rsidRDefault="00073CD8" w:rsidP="00073CD8">
      <w:pPr>
        <w:jc w:val="center"/>
        <w:outlineLvl w:val="0"/>
        <w:rPr>
          <w:b/>
          <w:lang w:val="lt-LT" w:eastAsia="lt-LT"/>
        </w:rPr>
      </w:pPr>
    </w:p>
    <w:p w14:paraId="148B3687" w14:textId="77777777" w:rsidR="00073CD8" w:rsidRPr="002C4825" w:rsidRDefault="00073CD8" w:rsidP="00073CD8">
      <w:pPr>
        <w:jc w:val="center"/>
        <w:outlineLvl w:val="0"/>
        <w:rPr>
          <w:b/>
          <w:lang w:val="lt-LT" w:eastAsia="lt-LT"/>
        </w:rPr>
      </w:pPr>
    </w:p>
    <w:p w14:paraId="3BB78806" w14:textId="77777777" w:rsidR="00073CD8" w:rsidRPr="002C4825" w:rsidRDefault="00073CD8" w:rsidP="00073CD8">
      <w:pPr>
        <w:jc w:val="center"/>
        <w:outlineLvl w:val="0"/>
        <w:rPr>
          <w:b/>
          <w:lang w:val="lt-LT" w:eastAsia="lt-LT"/>
        </w:rPr>
      </w:pPr>
    </w:p>
    <w:p w14:paraId="0AEA23C0" w14:textId="77777777" w:rsidR="00073CD8" w:rsidRPr="002C4825" w:rsidRDefault="00073CD8" w:rsidP="00073CD8">
      <w:pPr>
        <w:jc w:val="center"/>
        <w:outlineLvl w:val="0"/>
        <w:rPr>
          <w:b/>
          <w:lang w:val="lt-LT" w:eastAsia="lt-LT"/>
        </w:rPr>
      </w:pPr>
    </w:p>
    <w:p w14:paraId="536A40DC" w14:textId="77777777" w:rsidR="00073CD8" w:rsidRPr="002C4825" w:rsidRDefault="00073CD8" w:rsidP="00073CD8">
      <w:pPr>
        <w:jc w:val="center"/>
        <w:outlineLvl w:val="0"/>
        <w:rPr>
          <w:b/>
          <w:lang w:val="lt-LT" w:eastAsia="lt-LT"/>
        </w:rPr>
      </w:pPr>
    </w:p>
    <w:p w14:paraId="2E471609" w14:textId="77777777" w:rsidR="00073CD8" w:rsidRPr="002C4825" w:rsidRDefault="00073CD8" w:rsidP="00073CD8">
      <w:pPr>
        <w:jc w:val="center"/>
        <w:outlineLvl w:val="0"/>
        <w:rPr>
          <w:b/>
          <w:lang w:val="lt-LT" w:eastAsia="lt-LT"/>
        </w:rPr>
      </w:pPr>
    </w:p>
    <w:p w14:paraId="78251023" w14:textId="77777777" w:rsidR="00073CD8" w:rsidRPr="002C4825" w:rsidRDefault="00073CD8" w:rsidP="00073CD8">
      <w:pPr>
        <w:jc w:val="center"/>
        <w:outlineLvl w:val="0"/>
        <w:rPr>
          <w:b/>
          <w:lang w:val="lt-LT" w:eastAsia="lt-LT"/>
        </w:rPr>
      </w:pPr>
    </w:p>
    <w:p w14:paraId="40E909BF" w14:textId="77777777" w:rsidR="00073CD8" w:rsidRPr="002C4825" w:rsidRDefault="00073CD8" w:rsidP="00073CD8">
      <w:pPr>
        <w:jc w:val="center"/>
        <w:outlineLvl w:val="0"/>
        <w:rPr>
          <w:b/>
          <w:lang w:val="lt-LT" w:eastAsia="lt-LT"/>
        </w:rPr>
      </w:pPr>
    </w:p>
    <w:p w14:paraId="4727C81E" w14:textId="77777777" w:rsidR="00073CD8" w:rsidRPr="002C4825" w:rsidRDefault="00073CD8" w:rsidP="00073CD8">
      <w:pPr>
        <w:jc w:val="center"/>
        <w:outlineLvl w:val="0"/>
        <w:rPr>
          <w:b/>
          <w:lang w:val="lt-LT" w:eastAsia="lt-LT"/>
        </w:rPr>
      </w:pPr>
    </w:p>
    <w:p w14:paraId="5C34F7AB" w14:textId="77777777" w:rsidR="00073CD8" w:rsidRPr="002C4825" w:rsidRDefault="00073CD8" w:rsidP="00073CD8">
      <w:pPr>
        <w:jc w:val="center"/>
        <w:outlineLvl w:val="0"/>
        <w:rPr>
          <w:b/>
          <w:lang w:val="lt-LT" w:eastAsia="lt-LT"/>
        </w:rPr>
      </w:pPr>
    </w:p>
    <w:p w14:paraId="770E53FA" w14:textId="77777777" w:rsidR="00073CD8" w:rsidRPr="002C4825" w:rsidRDefault="00073CD8" w:rsidP="00073CD8">
      <w:pPr>
        <w:jc w:val="center"/>
        <w:outlineLvl w:val="0"/>
        <w:rPr>
          <w:b/>
          <w:lang w:val="lt-LT" w:eastAsia="lt-LT"/>
        </w:rPr>
      </w:pPr>
    </w:p>
    <w:p w14:paraId="7BB89D7F" w14:textId="77777777" w:rsidR="00073CD8" w:rsidRPr="002C4825" w:rsidRDefault="00073CD8" w:rsidP="00073CD8">
      <w:pPr>
        <w:jc w:val="center"/>
        <w:rPr>
          <w:b/>
          <w:lang w:val="lt-LT"/>
        </w:rPr>
      </w:pPr>
    </w:p>
    <w:p w14:paraId="747EFEC1" w14:textId="77777777" w:rsidR="00073CD8" w:rsidRPr="002C4825" w:rsidRDefault="00073CD8" w:rsidP="00073CD8">
      <w:pPr>
        <w:jc w:val="center"/>
        <w:rPr>
          <w:b/>
          <w:lang w:val="lt-LT"/>
        </w:rPr>
      </w:pPr>
      <w:r w:rsidRPr="002C4825">
        <w:rPr>
          <w:b/>
          <w:lang w:val="lt-LT"/>
        </w:rPr>
        <w:t>A. ŽENKLINIMAS</w:t>
      </w:r>
    </w:p>
    <w:p w14:paraId="4700286D" w14:textId="77777777" w:rsidR="00073CD8" w:rsidRPr="002C4825" w:rsidRDefault="00073CD8" w:rsidP="00073CD8">
      <w:pPr>
        <w:pBdr>
          <w:top w:val="single" w:sz="4" w:space="1" w:color="auto"/>
          <w:left w:val="single" w:sz="4" w:space="4" w:color="auto"/>
          <w:bottom w:val="single" w:sz="4" w:space="1" w:color="auto"/>
          <w:right w:val="single" w:sz="4" w:space="4" w:color="auto"/>
        </w:pBdr>
        <w:outlineLvl w:val="1"/>
        <w:rPr>
          <w:b/>
          <w:lang w:val="lt-LT"/>
        </w:rPr>
      </w:pPr>
      <w:r w:rsidRPr="002C4825">
        <w:rPr>
          <w:i/>
          <w:lang w:val="lt-LT"/>
        </w:rPr>
        <w:br w:type="page"/>
      </w:r>
      <w:r w:rsidRPr="002C4825">
        <w:rPr>
          <w:b/>
          <w:lang w:val="lt-LT"/>
        </w:rPr>
        <w:lastRenderedPageBreak/>
        <w:t xml:space="preserve">INFORMACIJA ANT IŠORINĖS PAKUOTĖS </w:t>
      </w:r>
    </w:p>
    <w:p w14:paraId="6C1BB03E" w14:textId="77777777" w:rsidR="00073CD8" w:rsidRPr="002C4825" w:rsidRDefault="00073CD8" w:rsidP="00073CD8">
      <w:pPr>
        <w:pBdr>
          <w:top w:val="single" w:sz="4" w:space="1" w:color="auto"/>
          <w:left w:val="single" w:sz="4" w:space="4" w:color="auto"/>
          <w:bottom w:val="single" w:sz="4" w:space="1" w:color="auto"/>
          <w:right w:val="single" w:sz="4" w:space="4" w:color="auto"/>
        </w:pBdr>
        <w:outlineLvl w:val="1"/>
        <w:rPr>
          <w:b/>
          <w:lang w:val="lt-LT"/>
        </w:rPr>
      </w:pPr>
    </w:p>
    <w:p w14:paraId="7D4521C5" w14:textId="77777777" w:rsidR="00073CD8" w:rsidRPr="002C4825" w:rsidRDefault="00073CD8" w:rsidP="00073CD8">
      <w:pPr>
        <w:pBdr>
          <w:top w:val="single" w:sz="4" w:space="1" w:color="auto"/>
          <w:left w:val="single" w:sz="4" w:space="4" w:color="auto"/>
          <w:bottom w:val="single" w:sz="4" w:space="1" w:color="auto"/>
          <w:right w:val="single" w:sz="4" w:space="4" w:color="auto"/>
        </w:pBdr>
        <w:rPr>
          <w:b/>
          <w:lang w:val="lt-LT"/>
        </w:rPr>
      </w:pPr>
      <w:r w:rsidRPr="002C4825">
        <w:rPr>
          <w:b/>
          <w:lang w:val="lt-LT"/>
        </w:rPr>
        <w:t>KARTONO DĖŽUTĖ</w:t>
      </w:r>
    </w:p>
    <w:p w14:paraId="602D8E75" w14:textId="77777777" w:rsidR="00073CD8" w:rsidRPr="002C4825" w:rsidRDefault="00073CD8" w:rsidP="00073CD8">
      <w:pPr>
        <w:rPr>
          <w:b/>
          <w:i/>
          <w:lang w:val="lt-LT"/>
        </w:rPr>
      </w:pPr>
    </w:p>
    <w:p w14:paraId="4EBEFD23" w14:textId="77777777" w:rsidR="00073CD8" w:rsidRPr="002C4825" w:rsidRDefault="00073CD8" w:rsidP="00073CD8">
      <w:pPr>
        <w:rPr>
          <w:b/>
          <w:i/>
          <w:lang w:val="lt-LT"/>
        </w:rPr>
      </w:pPr>
    </w:p>
    <w:p w14:paraId="1002115E"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1.</w:t>
      </w:r>
      <w:r w:rsidRPr="002C4825">
        <w:rPr>
          <w:b/>
          <w:lang w:val="lt-LT"/>
        </w:rPr>
        <w:tab/>
        <w:t>VAISTINIO PREPARATO PAVADINIMAS</w:t>
      </w:r>
    </w:p>
    <w:p w14:paraId="3A60FAF8" w14:textId="77777777" w:rsidR="00073CD8" w:rsidRPr="002C4825" w:rsidRDefault="00073CD8" w:rsidP="00073CD8">
      <w:pPr>
        <w:rPr>
          <w:b/>
          <w:i/>
          <w:lang w:val="lt-LT"/>
        </w:rPr>
      </w:pPr>
    </w:p>
    <w:p w14:paraId="3588E24C" w14:textId="4E43F179" w:rsidR="00073CD8" w:rsidRPr="002C4825" w:rsidRDefault="00073CD8" w:rsidP="00073CD8">
      <w:pPr>
        <w:outlineLvl w:val="0"/>
        <w:rPr>
          <w:lang w:val="lt-LT"/>
        </w:rPr>
      </w:pPr>
      <w:r w:rsidRPr="002C4825">
        <w:rPr>
          <w:bCs/>
          <w:lang w:val="lt-LT"/>
        </w:rPr>
        <w:t>Wintrozen 600 mg šnypščiosios tabletės</w:t>
      </w:r>
    </w:p>
    <w:p w14:paraId="5F5E4E28" w14:textId="0BFDE471" w:rsidR="00073CD8" w:rsidRPr="002C4825" w:rsidRDefault="00073CD8" w:rsidP="00073CD8">
      <w:pPr>
        <w:rPr>
          <w:lang w:val="lt-LT"/>
        </w:rPr>
      </w:pPr>
      <w:r w:rsidRPr="002C4825">
        <w:rPr>
          <w:lang w:val="lt-LT"/>
        </w:rPr>
        <w:t>acetilcisteinas</w:t>
      </w:r>
    </w:p>
    <w:p w14:paraId="3FE9387C" w14:textId="77777777" w:rsidR="00073CD8" w:rsidRPr="002C4825" w:rsidRDefault="00073CD8" w:rsidP="00073CD8">
      <w:pPr>
        <w:rPr>
          <w:b/>
          <w:i/>
          <w:lang w:val="lt-LT"/>
        </w:rPr>
      </w:pPr>
    </w:p>
    <w:p w14:paraId="7128D2B9" w14:textId="77777777" w:rsidR="00073CD8" w:rsidRPr="002C4825" w:rsidRDefault="00073CD8" w:rsidP="00073CD8">
      <w:pPr>
        <w:rPr>
          <w:b/>
          <w:i/>
          <w:lang w:val="lt-LT"/>
        </w:rPr>
      </w:pPr>
    </w:p>
    <w:p w14:paraId="4628EFB4"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2.</w:t>
      </w:r>
      <w:r w:rsidRPr="002C4825">
        <w:rPr>
          <w:b/>
          <w:lang w:val="lt-LT"/>
        </w:rPr>
        <w:tab/>
        <w:t>VEIKLIOJI (-IOS) MEDŽIAGA (-OS) IR JOS KIEKIS (-IAI)</w:t>
      </w:r>
    </w:p>
    <w:p w14:paraId="2B80A6D5" w14:textId="77777777" w:rsidR="00073CD8" w:rsidRPr="002C4825" w:rsidRDefault="00073CD8" w:rsidP="00073CD8">
      <w:pPr>
        <w:rPr>
          <w:lang w:val="lt-LT"/>
        </w:rPr>
      </w:pPr>
    </w:p>
    <w:p w14:paraId="018CF613" w14:textId="17B564A2" w:rsidR="00073CD8" w:rsidRPr="002C4825" w:rsidRDefault="00073CD8" w:rsidP="00073CD8">
      <w:pPr>
        <w:tabs>
          <w:tab w:val="left" w:pos="425"/>
        </w:tabs>
        <w:jc w:val="both"/>
        <w:rPr>
          <w:lang w:val="lt-LT"/>
        </w:rPr>
      </w:pPr>
      <w:r w:rsidRPr="002C4825">
        <w:rPr>
          <w:lang w:val="lt-LT"/>
        </w:rPr>
        <w:t xml:space="preserve">Kiekvienoje šnypščiojoje tabletėje yra 600 mg acetilcisteino. </w:t>
      </w:r>
    </w:p>
    <w:p w14:paraId="17C8EF53" w14:textId="77777777" w:rsidR="00073CD8" w:rsidRPr="002C4825" w:rsidRDefault="00073CD8" w:rsidP="00073CD8">
      <w:pPr>
        <w:rPr>
          <w:lang w:val="lt-LT"/>
        </w:rPr>
      </w:pPr>
    </w:p>
    <w:p w14:paraId="12921461" w14:textId="77777777" w:rsidR="00073CD8" w:rsidRPr="002C4825" w:rsidRDefault="00073CD8" w:rsidP="00073CD8">
      <w:pPr>
        <w:rPr>
          <w:lang w:val="lt-LT"/>
        </w:rPr>
      </w:pPr>
    </w:p>
    <w:p w14:paraId="09248853"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3.</w:t>
      </w:r>
      <w:r w:rsidRPr="002C4825">
        <w:rPr>
          <w:b/>
          <w:lang w:val="lt-LT"/>
        </w:rPr>
        <w:tab/>
        <w:t>PAGALBINIŲ MEDŽIAGŲ SĄRAŠAS</w:t>
      </w:r>
    </w:p>
    <w:p w14:paraId="598E8106" w14:textId="77777777" w:rsidR="00073CD8" w:rsidRPr="002C4825" w:rsidRDefault="00073CD8" w:rsidP="00073CD8">
      <w:pPr>
        <w:rPr>
          <w:lang w:val="lt-LT"/>
        </w:rPr>
      </w:pPr>
    </w:p>
    <w:p w14:paraId="4AF8B376" w14:textId="78F5EF64" w:rsidR="00073CD8" w:rsidRPr="002C4825" w:rsidRDefault="00073CD8" w:rsidP="00073CD8">
      <w:pPr>
        <w:adjustRightInd w:val="0"/>
        <w:rPr>
          <w:lang w:val="lt-LT"/>
        </w:rPr>
      </w:pPr>
      <w:r w:rsidRPr="002C4825">
        <w:rPr>
          <w:lang w:val="lt-LT"/>
        </w:rPr>
        <w:t>Sudėtyje yra natrio.</w:t>
      </w:r>
    </w:p>
    <w:p w14:paraId="420983CB" w14:textId="04C47018" w:rsidR="00073CD8" w:rsidRPr="002C4825" w:rsidRDefault="00073CD8" w:rsidP="00073CD8">
      <w:pPr>
        <w:adjustRightInd w:val="0"/>
        <w:rPr>
          <w:lang w:val="lt-LT"/>
        </w:rPr>
      </w:pPr>
      <w:r w:rsidRPr="00FF6A87">
        <w:rPr>
          <w:lang w:val="lt-LT"/>
        </w:rPr>
        <w:t>Daugiau informacijos skaitykite pakuotės lapelyje.</w:t>
      </w:r>
    </w:p>
    <w:p w14:paraId="0211D8FE" w14:textId="77777777" w:rsidR="00073CD8" w:rsidRPr="002C4825" w:rsidRDefault="00073CD8" w:rsidP="00073CD8">
      <w:pPr>
        <w:adjustRightInd w:val="0"/>
        <w:rPr>
          <w:lang w:val="lt-LT"/>
        </w:rPr>
      </w:pPr>
    </w:p>
    <w:p w14:paraId="01BE3E60" w14:textId="77777777" w:rsidR="00073CD8" w:rsidRPr="002C4825" w:rsidRDefault="00073CD8" w:rsidP="00073CD8">
      <w:pPr>
        <w:rPr>
          <w:lang w:val="lt-LT"/>
        </w:rPr>
      </w:pPr>
    </w:p>
    <w:p w14:paraId="7A6BA1E5"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4.</w:t>
      </w:r>
      <w:r w:rsidRPr="002C4825">
        <w:rPr>
          <w:b/>
          <w:lang w:val="lt-LT"/>
        </w:rPr>
        <w:tab/>
        <w:t>FARMACINĖ FORMA IR KIEKIS PAKUOTĖJE</w:t>
      </w:r>
    </w:p>
    <w:p w14:paraId="0E2EC7CC" w14:textId="77777777" w:rsidR="00073CD8" w:rsidRPr="002C4825" w:rsidRDefault="00073CD8" w:rsidP="00073CD8">
      <w:pPr>
        <w:rPr>
          <w:lang w:val="lt-LT"/>
        </w:rPr>
      </w:pPr>
    </w:p>
    <w:p w14:paraId="33B3A7D0" w14:textId="32A0FB38" w:rsidR="00073CD8" w:rsidRPr="002C4825" w:rsidRDefault="00073CD8" w:rsidP="00073CD8">
      <w:pPr>
        <w:rPr>
          <w:lang w:val="lt-LT"/>
        </w:rPr>
      </w:pPr>
      <w:r w:rsidRPr="002C4825">
        <w:rPr>
          <w:lang w:val="lt-LT"/>
        </w:rPr>
        <w:t>Šnypščiosios tabletės</w:t>
      </w:r>
    </w:p>
    <w:p w14:paraId="53AF5D63" w14:textId="5CA63866" w:rsidR="00073CD8" w:rsidRPr="002C4825" w:rsidRDefault="00073CD8" w:rsidP="00073CD8">
      <w:pPr>
        <w:rPr>
          <w:lang w:val="lt-LT"/>
        </w:rPr>
      </w:pPr>
      <w:r w:rsidRPr="002C4825">
        <w:rPr>
          <w:lang w:val="lt-LT"/>
        </w:rPr>
        <w:t>10 tablečių</w:t>
      </w:r>
    </w:p>
    <w:p w14:paraId="773D9B0C" w14:textId="6FCE81EF" w:rsidR="00073CD8" w:rsidRPr="002C4825" w:rsidRDefault="00073CD8" w:rsidP="00073CD8">
      <w:pPr>
        <w:rPr>
          <w:lang w:val="lt-LT"/>
        </w:rPr>
      </w:pPr>
      <w:r w:rsidRPr="002C4825">
        <w:rPr>
          <w:highlight w:val="lightGray"/>
          <w:lang w:val="lt-LT"/>
        </w:rPr>
        <w:t>20 tablečių</w:t>
      </w:r>
    </w:p>
    <w:p w14:paraId="099E7F8D" w14:textId="77777777" w:rsidR="00073CD8" w:rsidRPr="002C4825" w:rsidRDefault="00073CD8" w:rsidP="00073CD8">
      <w:pPr>
        <w:tabs>
          <w:tab w:val="left" w:pos="2520"/>
        </w:tabs>
        <w:rPr>
          <w:lang w:val="lt-LT"/>
        </w:rPr>
      </w:pPr>
    </w:p>
    <w:p w14:paraId="208FFCDF" w14:textId="77777777" w:rsidR="00073CD8" w:rsidRPr="002C4825" w:rsidRDefault="00073CD8" w:rsidP="00073CD8">
      <w:pPr>
        <w:rPr>
          <w:lang w:val="lt-LT"/>
        </w:rPr>
      </w:pPr>
    </w:p>
    <w:p w14:paraId="4EE4B6C6"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5.</w:t>
      </w:r>
      <w:r w:rsidRPr="002C4825">
        <w:rPr>
          <w:b/>
          <w:lang w:val="lt-LT"/>
        </w:rPr>
        <w:tab/>
        <w:t>VARTOJIMO METODAS IR BŪDAS (-AI)</w:t>
      </w:r>
    </w:p>
    <w:p w14:paraId="3744B9E0" w14:textId="77777777" w:rsidR="00073CD8" w:rsidRPr="002C4825" w:rsidRDefault="00073CD8" w:rsidP="00073CD8">
      <w:pPr>
        <w:rPr>
          <w:lang w:val="lt-LT"/>
        </w:rPr>
      </w:pPr>
    </w:p>
    <w:p w14:paraId="629B8816" w14:textId="77777777" w:rsidR="00073CD8" w:rsidRPr="002C4825" w:rsidRDefault="00073CD8" w:rsidP="00073CD8">
      <w:pPr>
        <w:rPr>
          <w:lang w:val="lt-LT"/>
        </w:rPr>
      </w:pPr>
      <w:r w:rsidRPr="002C4825">
        <w:rPr>
          <w:lang w:val="lt-LT"/>
        </w:rPr>
        <w:t>Vartoti per burną.</w:t>
      </w:r>
    </w:p>
    <w:p w14:paraId="03C0994D" w14:textId="77777777" w:rsidR="00073CD8" w:rsidRPr="002C4825" w:rsidRDefault="00073CD8" w:rsidP="00073CD8">
      <w:pPr>
        <w:rPr>
          <w:lang w:val="lt-LT"/>
        </w:rPr>
      </w:pPr>
      <w:r w:rsidRPr="002C4825">
        <w:rPr>
          <w:lang w:val="lt-LT"/>
        </w:rPr>
        <w:t>Prieš vartojimą perskaitykite pakuotės lapelį.</w:t>
      </w:r>
    </w:p>
    <w:p w14:paraId="0EC5C244" w14:textId="77777777" w:rsidR="00073CD8" w:rsidRPr="002C4825" w:rsidRDefault="00073CD8" w:rsidP="00073CD8">
      <w:pPr>
        <w:rPr>
          <w:lang w:val="lt-LT"/>
        </w:rPr>
      </w:pPr>
    </w:p>
    <w:p w14:paraId="53BA7362" w14:textId="77777777" w:rsidR="00073CD8" w:rsidRPr="002C4825" w:rsidRDefault="00073CD8" w:rsidP="00073CD8">
      <w:pPr>
        <w:rPr>
          <w:lang w:val="lt-LT"/>
        </w:rPr>
      </w:pPr>
    </w:p>
    <w:p w14:paraId="32E957C9" w14:textId="77777777" w:rsidR="00073CD8" w:rsidRPr="002C4825" w:rsidRDefault="00073CD8" w:rsidP="00073CD8">
      <w:pPr>
        <w:pBdr>
          <w:top w:val="single" w:sz="4" w:space="0" w:color="auto"/>
          <w:left w:val="single" w:sz="4" w:space="4" w:color="auto"/>
          <w:bottom w:val="single" w:sz="4" w:space="1" w:color="auto"/>
          <w:right w:val="single" w:sz="4" w:space="4" w:color="auto"/>
        </w:pBdr>
        <w:ind w:left="540" w:hanging="540"/>
        <w:outlineLvl w:val="0"/>
        <w:rPr>
          <w:lang w:val="lt-LT"/>
        </w:rPr>
      </w:pPr>
      <w:r w:rsidRPr="002C4825">
        <w:rPr>
          <w:b/>
          <w:lang w:val="lt-LT"/>
        </w:rPr>
        <w:t>6.</w:t>
      </w:r>
      <w:r w:rsidRPr="002C4825">
        <w:rPr>
          <w:b/>
          <w:lang w:val="lt-LT"/>
        </w:rPr>
        <w:tab/>
      </w:r>
      <w:r w:rsidRPr="002C4825">
        <w:rPr>
          <w:b/>
          <w:bCs/>
          <w:lang w:val="lt-LT"/>
        </w:rPr>
        <w:t>SPECIALUS ĮSPĖJIMAS, KAD VAISTINĮ PREPARATĄ BŪTINA LAIKYTI VAIKAMS NEPASTEBIMOJE IR NEPASIEKIAMOJE VIETOJE</w:t>
      </w:r>
    </w:p>
    <w:p w14:paraId="3CD9840D" w14:textId="77777777" w:rsidR="00073CD8" w:rsidRPr="002C4825" w:rsidRDefault="00073CD8" w:rsidP="00073CD8">
      <w:pPr>
        <w:rPr>
          <w:lang w:val="lt-LT"/>
        </w:rPr>
      </w:pPr>
    </w:p>
    <w:p w14:paraId="7FABABE1" w14:textId="77777777" w:rsidR="00073CD8" w:rsidRPr="002C4825" w:rsidRDefault="00073CD8" w:rsidP="00073CD8">
      <w:pPr>
        <w:rPr>
          <w:lang w:val="lt-LT"/>
        </w:rPr>
      </w:pPr>
      <w:r w:rsidRPr="002C4825">
        <w:rPr>
          <w:lang w:val="lt-LT"/>
        </w:rPr>
        <w:t>Laikyti vaikams nepastebimoje ir nepasiekiamoje vietoje.</w:t>
      </w:r>
    </w:p>
    <w:p w14:paraId="77EDC9AD" w14:textId="77777777" w:rsidR="00073CD8" w:rsidRPr="002C4825" w:rsidRDefault="00073CD8" w:rsidP="00073CD8">
      <w:pPr>
        <w:rPr>
          <w:lang w:val="lt-LT"/>
        </w:rPr>
      </w:pPr>
    </w:p>
    <w:p w14:paraId="785EE443" w14:textId="77777777" w:rsidR="00073CD8" w:rsidRPr="002C4825" w:rsidRDefault="00073CD8" w:rsidP="00073CD8">
      <w:pPr>
        <w:rPr>
          <w:lang w:val="lt-LT"/>
        </w:rPr>
      </w:pPr>
    </w:p>
    <w:p w14:paraId="6B67C643"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lang w:val="lt-LT"/>
        </w:rPr>
      </w:pPr>
      <w:r w:rsidRPr="002C4825">
        <w:rPr>
          <w:b/>
          <w:lang w:val="lt-LT"/>
        </w:rPr>
        <w:t>7.</w:t>
      </w:r>
      <w:r w:rsidRPr="002C4825">
        <w:rPr>
          <w:b/>
          <w:lang w:val="lt-LT"/>
        </w:rPr>
        <w:tab/>
        <w:t>KITAS (-I) SPECIALUS (-ŪS) ĮSPĖJIMAS (-AI) (JEI REIKIA</w:t>
      </w:r>
      <w:r w:rsidRPr="002C4825">
        <w:rPr>
          <w:lang w:val="lt-LT"/>
        </w:rPr>
        <w:t>)</w:t>
      </w:r>
    </w:p>
    <w:p w14:paraId="072DF626" w14:textId="77777777" w:rsidR="00073CD8" w:rsidRPr="002C4825" w:rsidRDefault="00073CD8" w:rsidP="00073CD8">
      <w:pPr>
        <w:rPr>
          <w:lang w:val="lt-LT"/>
        </w:rPr>
      </w:pPr>
    </w:p>
    <w:p w14:paraId="0948C263" w14:textId="77777777" w:rsidR="00073CD8" w:rsidRPr="002C4825" w:rsidRDefault="00073CD8" w:rsidP="00073CD8">
      <w:pPr>
        <w:rPr>
          <w:lang w:val="lt-LT"/>
        </w:rPr>
      </w:pPr>
    </w:p>
    <w:p w14:paraId="4755F461"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8.</w:t>
      </w:r>
      <w:r w:rsidRPr="002C4825">
        <w:rPr>
          <w:b/>
          <w:lang w:val="lt-LT"/>
        </w:rPr>
        <w:tab/>
        <w:t>TINKAMUMO LAIKAS</w:t>
      </w:r>
    </w:p>
    <w:p w14:paraId="478D11B8" w14:textId="77777777" w:rsidR="00073CD8" w:rsidRPr="002C4825" w:rsidRDefault="00073CD8" w:rsidP="00073CD8">
      <w:pPr>
        <w:rPr>
          <w:lang w:val="lt-LT"/>
        </w:rPr>
      </w:pPr>
    </w:p>
    <w:p w14:paraId="09ED8994" w14:textId="77777777" w:rsidR="00073CD8" w:rsidRPr="002C4825" w:rsidRDefault="00073CD8" w:rsidP="00073CD8">
      <w:pPr>
        <w:rPr>
          <w:lang w:val="lt-LT"/>
        </w:rPr>
      </w:pPr>
      <w:r w:rsidRPr="002C4825">
        <w:rPr>
          <w:lang w:val="lt-LT"/>
        </w:rPr>
        <w:t>EXP {mm/MMMM}</w:t>
      </w:r>
    </w:p>
    <w:p w14:paraId="78C39C0C" w14:textId="77777777" w:rsidR="00073CD8" w:rsidRPr="002C4825" w:rsidRDefault="00073CD8" w:rsidP="00073CD8">
      <w:pPr>
        <w:rPr>
          <w:lang w:val="lt-LT"/>
        </w:rPr>
      </w:pPr>
    </w:p>
    <w:p w14:paraId="03467BCA" w14:textId="77777777" w:rsidR="00073CD8" w:rsidRPr="002C4825" w:rsidRDefault="00073CD8" w:rsidP="00073CD8">
      <w:pPr>
        <w:rPr>
          <w:lang w:val="lt-LT"/>
        </w:rPr>
      </w:pPr>
    </w:p>
    <w:p w14:paraId="42079893"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9.</w:t>
      </w:r>
      <w:r w:rsidRPr="002C4825">
        <w:rPr>
          <w:b/>
          <w:lang w:val="lt-LT"/>
        </w:rPr>
        <w:tab/>
        <w:t>SPECIALIOS LAIKYMO SĄLYGOS</w:t>
      </w:r>
    </w:p>
    <w:p w14:paraId="38750EFB" w14:textId="77777777" w:rsidR="00073CD8" w:rsidRPr="002C4825" w:rsidRDefault="00073CD8" w:rsidP="00073CD8">
      <w:pPr>
        <w:outlineLvl w:val="2"/>
        <w:rPr>
          <w:b/>
          <w:lang w:val="lt-LT"/>
        </w:rPr>
      </w:pPr>
    </w:p>
    <w:p w14:paraId="4C9F0B29" w14:textId="1303EFDD" w:rsidR="00073CD8" w:rsidRPr="002C4825" w:rsidRDefault="00073CD8" w:rsidP="00073CD8">
      <w:pPr>
        <w:rPr>
          <w:lang w:val="lt-LT"/>
        </w:rPr>
      </w:pPr>
      <w:r w:rsidRPr="002C4825">
        <w:rPr>
          <w:bCs/>
          <w:lang w:val="lt-LT"/>
        </w:rPr>
        <w:t xml:space="preserve">Tūbelę laikyti sandariai uždarytą, kad </w:t>
      </w:r>
      <w:r w:rsidRPr="002C4825">
        <w:rPr>
          <w:lang w:val="lt-LT"/>
        </w:rPr>
        <w:t>vaistas būtų apsaugotas nuo šviesos ir drėgmės.</w:t>
      </w:r>
    </w:p>
    <w:p w14:paraId="28E0BD65" w14:textId="77777777" w:rsidR="00073CD8" w:rsidRPr="002C4825" w:rsidRDefault="00073CD8" w:rsidP="00073CD8">
      <w:pPr>
        <w:rPr>
          <w:lang w:val="lt-LT"/>
        </w:rPr>
      </w:pPr>
    </w:p>
    <w:p w14:paraId="50CE969E" w14:textId="77777777" w:rsidR="00073CD8" w:rsidRPr="002C4825" w:rsidRDefault="00073CD8" w:rsidP="00073CD8">
      <w:pPr>
        <w:rPr>
          <w:lang w:val="lt-LT"/>
        </w:rPr>
      </w:pPr>
    </w:p>
    <w:p w14:paraId="20751DD1"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0"/>
        <w:rPr>
          <w:lang w:val="lt-LT"/>
        </w:rPr>
      </w:pPr>
      <w:r w:rsidRPr="002C4825">
        <w:rPr>
          <w:b/>
          <w:lang w:val="lt-LT"/>
        </w:rPr>
        <w:lastRenderedPageBreak/>
        <w:t>10.</w:t>
      </w:r>
      <w:r w:rsidRPr="002C4825">
        <w:rPr>
          <w:b/>
          <w:lang w:val="lt-LT"/>
        </w:rPr>
        <w:tab/>
      </w:r>
      <w:r w:rsidRPr="002C4825">
        <w:rPr>
          <w:b/>
          <w:caps/>
          <w:lang w:val="lt-LT"/>
        </w:rPr>
        <w:t>specialios atsargumo priemonės</w:t>
      </w:r>
      <w:r w:rsidRPr="002C4825">
        <w:rPr>
          <w:b/>
          <w:bCs/>
          <w:lang w:val="lt-LT"/>
        </w:rPr>
        <w:t xml:space="preserve"> DĖL NESUVARTOTO </w:t>
      </w:r>
      <w:r w:rsidRPr="002C4825">
        <w:rPr>
          <w:b/>
          <w:bCs/>
          <w:caps/>
          <w:lang w:val="lt-LT"/>
        </w:rPr>
        <w:t>VAISTINIO PREPARATO AR JO ATLIEKŲ TVARKYMO</w:t>
      </w:r>
      <w:r w:rsidRPr="002C4825">
        <w:rPr>
          <w:caps/>
          <w:lang w:val="lt-LT"/>
        </w:rPr>
        <w:t xml:space="preserve"> </w:t>
      </w:r>
      <w:r w:rsidRPr="002C4825">
        <w:rPr>
          <w:b/>
          <w:caps/>
          <w:lang w:val="lt-LT"/>
        </w:rPr>
        <w:t>(jei reikia)</w:t>
      </w:r>
    </w:p>
    <w:p w14:paraId="48059C6A" w14:textId="1915A4C3" w:rsidR="00073CD8" w:rsidRPr="002C4825" w:rsidRDefault="00073CD8" w:rsidP="00073CD8">
      <w:pPr>
        <w:rPr>
          <w:lang w:val="lt-LT"/>
        </w:rPr>
      </w:pPr>
    </w:p>
    <w:p w14:paraId="1A4E5EE9" w14:textId="77777777" w:rsidR="00073CD8" w:rsidRPr="002C4825" w:rsidRDefault="00073CD8" w:rsidP="00073CD8">
      <w:pPr>
        <w:rPr>
          <w:lang w:val="lt-LT"/>
        </w:rPr>
      </w:pPr>
    </w:p>
    <w:p w14:paraId="4B9BC04C"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11.</w:t>
      </w:r>
      <w:r w:rsidRPr="002C4825">
        <w:rPr>
          <w:b/>
          <w:lang w:val="lt-LT"/>
        </w:rPr>
        <w:tab/>
        <w:t>REGISTRUOTOJO PAVADINIMAS IR ADRESAS</w:t>
      </w:r>
    </w:p>
    <w:p w14:paraId="312D1188" w14:textId="77777777" w:rsidR="00073CD8" w:rsidRPr="002C4825" w:rsidRDefault="00073CD8" w:rsidP="00073CD8">
      <w:pPr>
        <w:jc w:val="both"/>
        <w:rPr>
          <w:lang w:val="lt-LT"/>
        </w:rPr>
      </w:pPr>
    </w:p>
    <w:p w14:paraId="39AFB5C6" w14:textId="77777777" w:rsidR="00073CD8" w:rsidRPr="002C4825" w:rsidRDefault="00073CD8" w:rsidP="00073CD8">
      <w:pPr>
        <w:rPr>
          <w:lang w:val="lt-LT"/>
        </w:rPr>
      </w:pPr>
      <w:r w:rsidRPr="002C4825">
        <w:rPr>
          <w:lang w:val="lt-LT"/>
        </w:rPr>
        <w:t>Zentiva, k.s.</w:t>
      </w:r>
    </w:p>
    <w:p w14:paraId="24DD2DF8" w14:textId="2BCF3665" w:rsidR="00073CD8" w:rsidRPr="002C4825" w:rsidRDefault="00073CD8" w:rsidP="00073CD8">
      <w:pPr>
        <w:rPr>
          <w:lang w:val="lt-LT"/>
        </w:rPr>
      </w:pPr>
      <w:r w:rsidRPr="002C4825">
        <w:rPr>
          <w:lang w:val="lt-LT"/>
        </w:rPr>
        <w:t xml:space="preserve">U </w:t>
      </w:r>
      <w:r w:rsidR="00B30C3D">
        <w:rPr>
          <w:lang w:val="lt-LT"/>
        </w:rPr>
        <w:t>k</w:t>
      </w:r>
      <w:r w:rsidRPr="002C4825">
        <w:rPr>
          <w:lang w:val="lt-LT"/>
        </w:rPr>
        <w:t>abelovny 130</w:t>
      </w:r>
    </w:p>
    <w:p w14:paraId="1318A59E" w14:textId="77777777" w:rsidR="00B30C3D" w:rsidRPr="0074523E" w:rsidRDefault="00B30C3D" w:rsidP="00B30C3D">
      <w:pPr>
        <w:rPr>
          <w:lang w:val="pl-PL"/>
        </w:rPr>
      </w:pPr>
      <w:r w:rsidRPr="0074523E">
        <w:rPr>
          <w:lang w:val="pl-PL"/>
        </w:rPr>
        <w:t>Dolní Měcholupy</w:t>
      </w:r>
    </w:p>
    <w:p w14:paraId="35C0A4BE" w14:textId="41C558CF" w:rsidR="00073CD8" w:rsidRPr="002C4825" w:rsidRDefault="00073CD8" w:rsidP="00073CD8">
      <w:pPr>
        <w:rPr>
          <w:lang w:val="lt-LT"/>
        </w:rPr>
      </w:pPr>
      <w:r w:rsidRPr="002C4825">
        <w:rPr>
          <w:lang w:val="lt-LT"/>
        </w:rPr>
        <w:t>102 37 Pra</w:t>
      </w:r>
      <w:r w:rsidR="00B30C3D">
        <w:rPr>
          <w:lang w:val="lt-LT"/>
        </w:rPr>
        <w:t>ha</w:t>
      </w:r>
      <w:r w:rsidRPr="002C4825">
        <w:rPr>
          <w:lang w:val="lt-LT"/>
        </w:rPr>
        <w:t xml:space="preserve"> 10</w:t>
      </w:r>
    </w:p>
    <w:p w14:paraId="305B1766" w14:textId="619DE164" w:rsidR="00073CD8" w:rsidRPr="002C4825" w:rsidRDefault="00073CD8" w:rsidP="00073CD8">
      <w:pPr>
        <w:rPr>
          <w:lang w:val="lt-LT"/>
        </w:rPr>
      </w:pPr>
      <w:r w:rsidRPr="002C4825">
        <w:rPr>
          <w:lang w:val="lt-LT"/>
        </w:rPr>
        <w:t>Čekija</w:t>
      </w:r>
    </w:p>
    <w:p w14:paraId="00DCA35B" w14:textId="77777777" w:rsidR="00073CD8" w:rsidRPr="002C4825" w:rsidRDefault="00073CD8" w:rsidP="00073CD8">
      <w:pPr>
        <w:rPr>
          <w:lang w:val="lt-LT"/>
        </w:rPr>
      </w:pPr>
    </w:p>
    <w:p w14:paraId="319D61E0" w14:textId="77777777" w:rsidR="00073CD8" w:rsidRPr="002C4825" w:rsidRDefault="00073CD8" w:rsidP="00073CD8">
      <w:pPr>
        <w:rPr>
          <w:lang w:val="lt-LT"/>
        </w:rPr>
      </w:pPr>
    </w:p>
    <w:p w14:paraId="7DC08A9D"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12.</w:t>
      </w:r>
      <w:r w:rsidRPr="002C4825">
        <w:rPr>
          <w:b/>
          <w:lang w:val="lt-LT"/>
        </w:rPr>
        <w:tab/>
        <w:t>REGISTRACIJOS PAŽYMĖJIMO NUMERIS (-IAI)</w:t>
      </w:r>
    </w:p>
    <w:p w14:paraId="5E92AABC" w14:textId="77777777" w:rsidR="00073CD8" w:rsidRPr="002C4825" w:rsidRDefault="00073CD8" w:rsidP="00073CD8">
      <w:pPr>
        <w:rPr>
          <w:lang w:val="lt-LT"/>
        </w:rPr>
      </w:pPr>
    </w:p>
    <w:p w14:paraId="032BF2DC" w14:textId="77777777" w:rsidR="00AA456B" w:rsidRPr="00AA456B" w:rsidRDefault="00AA456B" w:rsidP="00AA456B">
      <w:pPr>
        <w:rPr>
          <w:shd w:val="clear" w:color="auto" w:fill="D9D9D9" w:themeFill="background1" w:themeFillShade="D9"/>
          <w:lang w:val="lt-LT"/>
        </w:rPr>
      </w:pPr>
      <w:r w:rsidRPr="00AA456B">
        <w:rPr>
          <w:lang w:val="lt-LT"/>
        </w:rPr>
        <w:t xml:space="preserve">LT/1/21/4853/001 </w:t>
      </w:r>
      <w:r w:rsidRPr="00AA456B">
        <w:rPr>
          <w:shd w:val="clear" w:color="auto" w:fill="D9D9D9" w:themeFill="background1" w:themeFillShade="D9"/>
          <w:lang w:val="lt-LT"/>
        </w:rPr>
        <w:t>– N10</w:t>
      </w:r>
    </w:p>
    <w:p w14:paraId="62A002BB" w14:textId="48108D61" w:rsidR="00823333" w:rsidRDefault="00AA456B" w:rsidP="00AA456B">
      <w:pPr>
        <w:rPr>
          <w:lang w:val="lt-LT"/>
        </w:rPr>
      </w:pPr>
      <w:r w:rsidRPr="00AA456B">
        <w:rPr>
          <w:shd w:val="clear" w:color="auto" w:fill="D9D9D9" w:themeFill="background1" w:themeFillShade="D9"/>
          <w:lang w:val="lt-LT"/>
        </w:rPr>
        <w:t>LT/1/21/4853/002 – N20</w:t>
      </w:r>
    </w:p>
    <w:p w14:paraId="3E0CA991" w14:textId="77777777" w:rsidR="00AA456B" w:rsidRPr="002C4825" w:rsidRDefault="00AA456B" w:rsidP="00AA456B">
      <w:pPr>
        <w:rPr>
          <w:lang w:val="lt-LT"/>
        </w:rPr>
      </w:pPr>
    </w:p>
    <w:p w14:paraId="6EA3CF16" w14:textId="77777777" w:rsidR="00073CD8" w:rsidRPr="002C4825" w:rsidRDefault="00073CD8" w:rsidP="00073CD8">
      <w:pPr>
        <w:rPr>
          <w:lang w:val="lt-LT"/>
        </w:rPr>
      </w:pPr>
    </w:p>
    <w:p w14:paraId="1D4C753B"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13.</w:t>
      </w:r>
      <w:r w:rsidRPr="002C4825">
        <w:rPr>
          <w:b/>
          <w:lang w:val="lt-LT"/>
        </w:rPr>
        <w:tab/>
        <w:t>SERIJOS NUMERIS</w:t>
      </w:r>
    </w:p>
    <w:p w14:paraId="193A2430" w14:textId="77777777" w:rsidR="00073CD8" w:rsidRPr="002C4825" w:rsidRDefault="00073CD8" w:rsidP="00073CD8">
      <w:pPr>
        <w:rPr>
          <w:lang w:val="lt-LT"/>
        </w:rPr>
      </w:pPr>
    </w:p>
    <w:p w14:paraId="668B116A" w14:textId="77777777" w:rsidR="00073CD8" w:rsidRPr="002C4825" w:rsidRDefault="00073CD8" w:rsidP="00073CD8">
      <w:pPr>
        <w:rPr>
          <w:lang w:val="lt-LT"/>
        </w:rPr>
      </w:pPr>
      <w:r w:rsidRPr="002C4825">
        <w:rPr>
          <w:lang w:val="lt-LT"/>
        </w:rPr>
        <w:t>Lot {numeris}</w:t>
      </w:r>
    </w:p>
    <w:p w14:paraId="0027F065" w14:textId="77777777" w:rsidR="00073CD8" w:rsidRPr="002C4825" w:rsidRDefault="00073CD8" w:rsidP="00073CD8">
      <w:pPr>
        <w:rPr>
          <w:lang w:val="lt-LT"/>
        </w:rPr>
      </w:pPr>
    </w:p>
    <w:p w14:paraId="173E00DA" w14:textId="77777777" w:rsidR="00073CD8" w:rsidRPr="002C4825" w:rsidRDefault="00073CD8" w:rsidP="00073CD8">
      <w:pPr>
        <w:rPr>
          <w:lang w:val="lt-LT"/>
        </w:rPr>
      </w:pPr>
    </w:p>
    <w:p w14:paraId="40B35A7A"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14.</w:t>
      </w:r>
      <w:r w:rsidRPr="002C4825">
        <w:rPr>
          <w:b/>
          <w:lang w:val="lt-LT"/>
        </w:rPr>
        <w:tab/>
        <w:t>PARDAVIMO (IŠDAVIMO) TVARKA</w:t>
      </w:r>
    </w:p>
    <w:p w14:paraId="3BA2D3C4" w14:textId="77777777" w:rsidR="00073CD8" w:rsidRPr="002C4825" w:rsidRDefault="00073CD8" w:rsidP="00073CD8">
      <w:pPr>
        <w:rPr>
          <w:lang w:val="lt-LT"/>
        </w:rPr>
      </w:pPr>
    </w:p>
    <w:p w14:paraId="70A2E343" w14:textId="77777777" w:rsidR="00073CD8" w:rsidRPr="002C4825" w:rsidRDefault="00073CD8" w:rsidP="00073CD8">
      <w:pPr>
        <w:rPr>
          <w:lang w:val="lt-LT"/>
        </w:rPr>
      </w:pPr>
      <w:r w:rsidRPr="002C4825">
        <w:rPr>
          <w:lang w:val="lt-LT"/>
        </w:rPr>
        <w:t>Nereceptinis vaistas.</w:t>
      </w:r>
    </w:p>
    <w:p w14:paraId="33F5721C" w14:textId="77777777" w:rsidR="00073CD8" w:rsidRPr="002C4825" w:rsidRDefault="00073CD8" w:rsidP="00073CD8">
      <w:pPr>
        <w:rPr>
          <w:lang w:val="lt-LT"/>
        </w:rPr>
      </w:pPr>
    </w:p>
    <w:p w14:paraId="6A275DE2" w14:textId="77777777" w:rsidR="00073CD8" w:rsidRPr="002C4825" w:rsidRDefault="00073CD8" w:rsidP="00073CD8">
      <w:pPr>
        <w:rPr>
          <w:lang w:val="lt-LT"/>
        </w:rPr>
      </w:pPr>
    </w:p>
    <w:p w14:paraId="03498C69"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15.</w:t>
      </w:r>
      <w:r w:rsidRPr="002C4825">
        <w:rPr>
          <w:b/>
          <w:lang w:val="lt-LT"/>
        </w:rPr>
        <w:tab/>
        <w:t>VARTOJIMO INSTRUKCIJA</w:t>
      </w:r>
    </w:p>
    <w:p w14:paraId="379C3B70" w14:textId="77777777" w:rsidR="00073CD8" w:rsidRPr="002C4825" w:rsidRDefault="00073CD8" w:rsidP="00073CD8">
      <w:pPr>
        <w:rPr>
          <w:lang w:val="lt-LT"/>
        </w:rPr>
      </w:pPr>
    </w:p>
    <w:p w14:paraId="464A6ABD" w14:textId="77777777" w:rsidR="00073CD8" w:rsidRPr="002C4825" w:rsidRDefault="00073CD8" w:rsidP="00073CD8">
      <w:pPr>
        <w:rPr>
          <w:lang w:val="lt-LT"/>
        </w:rPr>
      </w:pPr>
      <w:r w:rsidRPr="002C4825">
        <w:rPr>
          <w:lang w:val="lt-LT"/>
        </w:rPr>
        <w:t>Wintrozen skirtas gleivių skystinimui ir atsikosėjimo lengvinimui sergant peršalimo sukeltu bronchitu, suaugusiems ir 14 metų bei vyresniems paaugliams.</w:t>
      </w:r>
    </w:p>
    <w:p w14:paraId="43E475A9" w14:textId="0E2D5165" w:rsidR="00073CD8" w:rsidRPr="002C4825" w:rsidRDefault="00073CD8" w:rsidP="00073CD8">
      <w:pPr>
        <w:outlineLvl w:val="1"/>
        <w:rPr>
          <w:lang w:val="lt-LT"/>
        </w:rPr>
      </w:pPr>
    </w:p>
    <w:p w14:paraId="1AE57F57" w14:textId="77777777" w:rsidR="005567DD" w:rsidRPr="002C4825" w:rsidRDefault="005567DD" w:rsidP="005567DD">
      <w:pPr>
        <w:rPr>
          <w:lang w:val="lt-LT"/>
        </w:rPr>
      </w:pPr>
      <w:r w:rsidRPr="00FF6A87">
        <w:rPr>
          <w:lang w:val="lt-LT"/>
        </w:rPr>
        <w:t>Prieš vartojimą perskaitykite pakuotės lapelį.</w:t>
      </w:r>
    </w:p>
    <w:p w14:paraId="7B98403E" w14:textId="77777777" w:rsidR="005567DD" w:rsidRPr="002C4825" w:rsidRDefault="005567DD" w:rsidP="00073CD8">
      <w:pPr>
        <w:outlineLvl w:val="1"/>
        <w:rPr>
          <w:lang w:val="lt-LT"/>
        </w:rPr>
      </w:pPr>
    </w:p>
    <w:p w14:paraId="2E82BFB1" w14:textId="77777777" w:rsidR="00073CD8" w:rsidRPr="002C4825" w:rsidRDefault="00073CD8" w:rsidP="00073CD8">
      <w:pPr>
        <w:outlineLvl w:val="1"/>
        <w:rPr>
          <w:b/>
          <w:lang w:val="lt-LT"/>
        </w:rPr>
      </w:pPr>
    </w:p>
    <w:p w14:paraId="6900C755"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1"/>
        <w:rPr>
          <w:b/>
          <w:lang w:val="lt-LT"/>
        </w:rPr>
      </w:pPr>
      <w:r w:rsidRPr="002C4825">
        <w:rPr>
          <w:b/>
          <w:lang w:val="lt-LT"/>
        </w:rPr>
        <w:t xml:space="preserve">16. </w:t>
      </w:r>
      <w:r w:rsidRPr="002C4825">
        <w:rPr>
          <w:b/>
          <w:lang w:val="lt-LT"/>
        </w:rPr>
        <w:tab/>
        <w:t>INFORMACIJA BRAILIO RAŠTU</w:t>
      </w:r>
    </w:p>
    <w:p w14:paraId="5DEC0682" w14:textId="77777777" w:rsidR="00073CD8" w:rsidRPr="002C4825" w:rsidRDefault="00073CD8" w:rsidP="00073CD8">
      <w:pPr>
        <w:outlineLvl w:val="1"/>
        <w:rPr>
          <w:b/>
          <w:lang w:val="lt-LT"/>
        </w:rPr>
      </w:pPr>
    </w:p>
    <w:p w14:paraId="42C28204" w14:textId="6B7843F5" w:rsidR="00073CD8" w:rsidRPr="002C4825" w:rsidRDefault="005567DD" w:rsidP="00073CD8">
      <w:pPr>
        <w:outlineLvl w:val="0"/>
        <w:rPr>
          <w:bCs/>
          <w:lang w:val="lt-LT"/>
        </w:rPr>
      </w:pPr>
      <w:r w:rsidRPr="002C4825">
        <w:rPr>
          <w:bCs/>
          <w:highlight w:val="lightGray"/>
          <w:lang w:val="lt-LT"/>
        </w:rPr>
        <w:t>Wintrozen</w:t>
      </w:r>
      <w:r w:rsidR="00073CD8" w:rsidRPr="002C4825">
        <w:rPr>
          <w:bCs/>
          <w:highlight w:val="lightGray"/>
          <w:lang w:val="lt-LT"/>
        </w:rPr>
        <w:t xml:space="preserve"> 600</w:t>
      </w:r>
      <w:r w:rsidRPr="002C4825">
        <w:rPr>
          <w:bCs/>
          <w:highlight w:val="lightGray"/>
          <w:lang w:val="lt-LT"/>
        </w:rPr>
        <w:t> </w:t>
      </w:r>
      <w:r w:rsidR="00073CD8" w:rsidRPr="002C4825">
        <w:rPr>
          <w:bCs/>
          <w:highlight w:val="lightGray"/>
          <w:lang w:val="lt-LT"/>
        </w:rPr>
        <w:t>mg</w:t>
      </w:r>
      <w:r w:rsidR="00073CD8" w:rsidRPr="002C4825">
        <w:rPr>
          <w:bCs/>
          <w:lang w:val="lt-LT"/>
        </w:rPr>
        <w:t xml:space="preserve"> </w:t>
      </w:r>
    </w:p>
    <w:p w14:paraId="3B02B6A9" w14:textId="77777777" w:rsidR="00073CD8" w:rsidRPr="002C4825" w:rsidRDefault="00073CD8" w:rsidP="00073CD8">
      <w:pPr>
        <w:rPr>
          <w:lang w:val="lt-LT"/>
        </w:rPr>
      </w:pPr>
    </w:p>
    <w:p w14:paraId="722637C0" w14:textId="77777777" w:rsidR="00073CD8" w:rsidRPr="002C4825" w:rsidRDefault="00073CD8" w:rsidP="00073CD8">
      <w:pPr>
        <w:rPr>
          <w:lang w:val="lt-LT"/>
        </w:rPr>
      </w:pPr>
    </w:p>
    <w:p w14:paraId="3F35B018" w14:textId="77777777" w:rsidR="00073CD8" w:rsidRPr="002C4825" w:rsidRDefault="00073CD8" w:rsidP="00073CD8">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C4825">
        <w:rPr>
          <w:b/>
          <w:noProof/>
          <w:lang w:val="lt-LT"/>
        </w:rPr>
        <w:t>17.</w:t>
      </w:r>
      <w:r w:rsidRPr="002C4825">
        <w:rPr>
          <w:b/>
          <w:noProof/>
          <w:lang w:val="lt-LT"/>
        </w:rPr>
        <w:tab/>
        <w:t>UNIKALUS IDENTIFIKATORIUS – 2D BRŪKŠNINIS KODAS</w:t>
      </w:r>
    </w:p>
    <w:p w14:paraId="09B15F90" w14:textId="77777777" w:rsidR="00073CD8" w:rsidRPr="002C4825" w:rsidRDefault="00073CD8" w:rsidP="00073CD8">
      <w:pPr>
        <w:rPr>
          <w:noProof/>
          <w:lang w:val="lt-LT"/>
        </w:rPr>
      </w:pPr>
    </w:p>
    <w:p w14:paraId="74ABDECB" w14:textId="77777777" w:rsidR="00073CD8" w:rsidRPr="002C4825" w:rsidRDefault="00073CD8" w:rsidP="00073CD8">
      <w:pPr>
        <w:rPr>
          <w:noProof/>
          <w:highlight w:val="lightGray"/>
          <w:lang w:val="lt-LT"/>
        </w:rPr>
      </w:pPr>
      <w:r w:rsidRPr="002C4825">
        <w:rPr>
          <w:noProof/>
          <w:highlight w:val="lightGray"/>
          <w:lang w:val="lt-LT"/>
        </w:rPr>
        <w:t xml:space="preserve">Duomenys nebūtini. </w:t>
      </w:r>
    </w:p>
    <w:p w14:paraId="008EF687" w14:textId="77777777" w:rsidR="00073CD8" w:rsidRPr="002C4825" w:rsidRDefault="00073CD8" w:rsidP="00073CD8">
      <w:pPr>
        <w:rPr>
          <w:noProof/>
          <w:lang w:val="lt-LT"/>
        </w:rPr>
      </w:pPr>
    </w:p>
    <w:p w14:paraId="0794585C" w14:textId="77777777" w:rsidR="00073CD8" w:rsidRPr="002C4825" w:rsidRDefault="00073CD8" w:rsidP="00073CD8">
      <w:pPr>
        <w:rPr>
          <w:noProof/>
          <w:lang w:val="lt-LT"/>
        </w:rPr>
      </w:pPr>
    </w:p>
    <w:p w14:paraId="610E878E" w14:textId="77777777" w:rsidR="00073CD8" w:rsidRPr="002C4825" w:rsidRDefault="00073CD8" w:rsidP="00073CD8">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C4825">
        <w:rPr>
          <w:b/>
          <w:noProof/>
          <w:lang w:val="lt-LT"/>
        </w:rPr>
        <w:t>18.</w:t>
      </w:r>
      <w:r w:rsidRPr="002C4825">
        <w:rPr>
          <w:b/>
          <w:noProof/>
          <w:lang w:val="lt-LT"/>
        </w:rPr>
        <w:tab/>
        <w:t>UNIKALUS IDENTIFIKATORIUS – ŽMONĖMS SUPRANTAMI DUOMENYS</w:t>
      </w:r>
    </w:p>
    <w:p w14:paraId="05733888" w14:textId="77777777" w:rsidR="00073CD8" w:rsidRPr="002C4825" w:rsidRDefault="00073CD8" w:rsidP="00073CD8">
      <w:pPr>
        <w:rPr>
          <w:noProof/>
          <w:lang w:val="lt-LT"/>
        </w:rPr>
      </w:pPr>
    </w:p>
    <w:p w14:paraId="304C5E6C" w14:textId="77777777" w:rsidR="00073CD8" w:rsidRPr="002C4825" w:rsidRDefault="00073CD8" w:rsidP="00073CD8">
      <w:pPr>
        <w:rPr>
          <w:noProof/>
          <w:vanish/>
          <w:lang w:val="lt-LT"/>
        </w:rPr>
      </w:pPr>
    </w:p>
    <w:p w14:paraId="7CCF24BB" w14:textId="77777777" w:rsidR="00073CD8" w:rsidRPr="002C4825" w:rsidRDefault="00073CD8" w:rsidP="00073CD8">
      <w:pPr>
        <w:rPr>
          <w:rFonts w:ascii="TimesLT" w:hAnsi="TimesLT"/>
          <w:noProof/>
          <w:vanish/>
          <w:sz w:val="24"/>
          <w:lang w:val="lt-LT"/>
        </w:rPr>
      </w:pPr>
      <w:r w:rsidRPr="002C4825">
        <w:rPr>
          <w:noProof/>
          <w:highlight w:val="lightGray"/>
          <w:shd w:val="clear" w:color="auto" w:fill="CCCCCC"/>
          <w:lang w:val="lt-LT"/>
        </w:rPr>
        <w:t>Duomenys nebūtini.</w:t>
      </w:r>
    </w:p>
    <w:p w14:paraId="31C10F6C" w14:textId="77777777" w:rsidR="00073CD8" w:rsidRPr="002C4825" w:rsidRDefault="00073CD8" w:rsidP="00073CD8">
      <w:pPr>
        <w:rPr>
          <w:noProof/>
          <w:vanish/>
          <w:lang w:val="lt-LT"/>
        </w:rPr>
      </w:pPr>
    </w:p>
    <w:p w14:paraId="567974E1" w14:textId="77777777" w:rsidR="00073CD8" w:rsidRPr="002C4825" w:rsidRDefault="00073CD8" w:rsidP="00073CD8">
      <w:pPr>
        <w:rPr>
          <w:szCs w:val="24"/>
          <w:lang w:val="lt-LT"/>
        </w:rPr>
      </w:pPr>
    </w:p>
    <w:p w14:paraId="0C85C2FE" w14:textId="77777777" w:rsidR="00073CD8" w:rsidRPr="002C4825" w:rsidRDefault="00073CD8" w:rsidP="00073CD8">
      <w:pPr>
        <w:rPr>
          <w:lang w:val="lt-LT"/>
        </w:rPr>
      </w:pPr>
    </w:p>
    <w:p w14:paraId="0296494B" w14:textId="77777777" w:rsidR="00073CD8" w:rsidRPr="002C4825" w:rsidRDefault="00073CD8" w:rsidP="00073CD8">
      <w:pPr>
        <w:pBdr>
          <w:top w:val="single" w:sz="4" w:space="3" w:color="auto"/>
          <w:left w:val="single" w:sz="4" w:space="4" w:color="auto"/>
          <w:bottom w:val="single" w:sz="4" w:space="1" w:color="auto"/>
          <w:right w:val="single" w:sz="4" w:space="4" w:color="auto"/>
        </w:pBdr>
        <w:outlineLvl w:val="1"/>
        <w:rPr>
          <w:b/>
          <w:lang w:val="lt-LT"/>
        </w:rPr>
      </w:pPr>
      <w:r w:rsidRPr="002C4825">
        <w:rPr>
          <w:lang w:val="lt-LT"/>
        </w:rPr>
        <w:br w:type="page"/>
      </w:r>
      <w:r w:rsidRPr="002C4825">
        <w:rPr>
          <w:b/>
          <w:lang w:val="lt-LT"/>
        </w:rPr>
        <w:lastRenderedPageBreak/>
        <w:t>MINIMALI INFORMACIJA ANT MAŽŲ VIDINIŲ PAKUOČIŲ</w:t>
      </w:r>
    </w:p>
    <w:p w14:paraId="5A866C81" w14:textId="77777777" w:rsidR="00073CD8" w:rsidRPr="002C4825" w:rsidRDefault="00073CD8" w:rsidP="00073CD8">
      <w:pPr>
        <w:pBdr>
          <w:top w:val="single" w:sz="4" w:space="3" w:color="auto"/>
          <w:left w:val="single" w:sz="4" w:space="4" w:color="auto"/>
          <w:bottom w:val="single" w:sz="4" w:space="1" w:color="auto"/>
          <w:right w:val="single" w:sz="4" w:space="4" w:color="auto"/>
        </w:pBdr>
        <w:rPr>
          <w:b/>
          <w:lang w:val="lt-LT"/>
        </w:rPr>
      </w:pPr>
    </w:p>
    <w:p w14:paraId="71FD7BC9" w14:textId="77777777" w:rsidR="00073CD8" w:rsidRPr="002C4825" w:rsidRDefault="00073CD8" w:rsidP="00073CD8">
      <w:pPr>
        <w:pBdr>
          <w:top w:val="single" w:sz="4" w:space="3" w:color="auto"/>
          <w:left w:val="single" w:sz="4" w:space="4" w:color="auto"/>
          <w:bottom w:val="single" w:sz="4" w:space="1" w:color="auto"/>
          <w:right w:val="single" w:sz="4" w:space="4" w:color="auto"/>
        </w:pBdr>
        <w:rPr>
          <w:b/>
          <w:lang w:val="lt-LT"/>
        </w:rPr>
      </w:pPr>
      <w:r w:rsidRPr="002C4825">
        <w:rPr>
          <w:b/>
          <w:lang w:val="lt-LT"/>
        </w:rPr>
        <w:t>TŪBELĖ</w:t>
      </w:r>
    </w:p>
    <w:p w14:paraId="2482C695" w14:textId="77777777" w:rsidR="00073CD8" w:rsidRPr="002C4825" w:rsidRDefault="00073CD8" w:rsidP="00073CD8">
      <w:pPr>
        <w:rPr>
          <w:lang w:val="lt-LT"/>
        </w:rPr>
      </w:pPr>
    </w:p>
    <w:p w14:paraId="4808FFA5" w14:textId="77777777" w:rsidR="00073CD8" w:rsidRPr="002C4825" w:rsidRDefault="00073CD8" w:rsidP="00073CD8">
      <w:pPr>
        <w:rPr>
          <w:lang w:val="lt-LT"/>
        </w:rPr>
      </w:pPr>
    </w:p>
    <w:p w14:paraId="1C443BA7" w14:textId="00A7F29A"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1.</w:t>
      </w:r>
      <w:r w:rsidRPr="002C4825">
        <w:rPr>
          <w:b/>
          <w:lang w:val="lt-LT"/>
        </w:rPr>
        <w:tab/>
        <w:t>VAISTINIO PREPARATO PAVADINIMAS</w:t>
      </w:r>
      <w:r w:rsidR="00823333">
        <w:rPr>
          <w:b/>
          <w:lang w:val="lt-LT"/>
        </w:rPr>
        <w:t xml:space="preserve"> IR VARTOJIMO BŪDAS (-AI)</w:t>
      </w:r>
    </w:p>
    <w:p w14:paraId="00B13FED" w14:textId="77777777" w:rsidR="00073CD8" w:rsidRPr="002C4825" w:rsidRDefault="00073CD8" w:rsidP="00073CD8">
      <w:pPr>
        <w:jc w:val="both"/>
        <w:rPr>
          <w:lang w:val="lt-LT"/>
        </w:rPr>
      </w:pPr>
    </w:p>
    <w:p w14:paraId="1A050C52" w14:textId="77777777" w:rsidR="005567DD" w:rsidRPr="002C4825" w:rsidRDefault="005567DD" w:rsidP="005567DD">
      <w:pPr>
        <w:outlineLvl w:val="0"/>
        <w:rPr>
          <w:lang w:val="lt-LT"/>
        </w:rPr>
      </w:pPr>
      <w:r w:rsidRPr="002C4825">
        <w:rPr>
          <w:bCs/>
          <w:lang w:val="lt-LT"/>
        </w:rPr>
        <w:t xml:space="preserve">Wintrozen 600 mg </w:t>
      </w:r>
      <w:r w:rsidRPr="00183C93">
        <w:rPr>
          <w:highlight w:val="darkGray"/>
          <w:lang w:val="lt-LT"/>
        </w:rPr>
        <w:t>šnypščiosios</w:t>
      </w:r>
      <w:r w:rsidRPr="002C4825">
        <w:rPr>
          <w:bCs/>
          <w:lang w:val="lt-LT"/>
        </w:rPr>
        <w:t xml:space="preserve"> tabletės</w:t>
      </w:r>
    </w:p>
    <w:p w14:paraId="4EB6652E" w14:textId="465479D1" w:rsidR="005567DD" w:rsidRPr="002C4825" w:rsidRDefault="005567DD" w:rsidP="005567DD">
      <w:pPr>
        <w:rPr>
          <w:lang w:val="lt-LT"/>
        </w:rPr>
      </w:pPr>
      <w:r w:rsidRPr="00183C93">
        <w:rPr>
          <w:highlight w:val="darkGray"/>
          <w:lang w:val="lt-LT"/>
        </w:rPr>
        <w:t>acetilcisteinas</w:t>
      </w:r>
    </w:p>
    <w:p w14:paraId="31D2142E" w14:textId="77777777" w:rsidR="005567DD" w:rsidRPr="002C4825" w:rsidRDefault="005567DD" w:rsidP="005567DD">
      <w:pPr>
        <w:rPr>
          <w:lang w:val="lt-LT"/>
        </w:rPr>
      </w:pPr>
    </w:p>
    <w:p w14:paraId="51E63A77" w14:textId="77777777" w:rsidR="00073CD8" w:rsidRPr="002C4825" w:rsidRDefault="00073CD8" w:rsidP="00073CD8">
      <w:pPr>
        <w:rPr>
          <w:lang w:val="lt-LT"/>
        </w:rPr>
      </w:pPr>
      <w:r w:rsidRPr="002C4825">
        <w:rPr>
          <w:lang w:val="lt-LT"/>
        </w:rPr>
        <w:t>Vartoti per burną.</w:t>
      </w:r>
    </w:p>
    <w:p w14:paraId="085DC53B" w14:textId="77777777" w:rsidR="00073CD8" w:rsidRPr="002C4825" w:rsidRDefault="00073CD8" w:rsidP="00073CD8">
      <w:pPr>
        <w:rPr>
          <w:lang w:val="lt-LT"/>
        </w:rPr>
      </w:pPr>
    </w:p>
    <w:p w14:paraId="10642A13" w14:textId="77777777" w:rsidR="00073CD8" w:rsidRPr="002C4825" w:rsidRDefault="00073CD8" w:rsidP="00073CD8">
      <w:pPr>
        <w:rPr>
          <w:lang w:val="lt-LT"/>
        </w:rPr>
      </w:pPr>
    </w:p>
    <w:p w14:paraId="6DAED2DF"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2.</w:t>
      </w:r>
      <w:r w:rsidRPr="002C4825">
        <w:rPr>
          <w:b/>
          <w:lang w:val="lt-LT"/>
        </w:rPr>
        <w:tab/>
        <w:t xml:space="preserve">VARTOJIMO METODAS </w:t>
      </w:r>
    </w:p>
    <w:p w14:paraId="66DCA926" w14:textId="77777777" w:rsidR="00073CD8" w:rsidRPr="002C4825" w:rsidRDefault="00073CD8" w:rsidP="00073CD8">
      <w:pPr>
        <w:rPr>
          <w:lang w:val="lt-LT"/>
        </w:rPr>
      </w:pPr>
    </w:p>
    <w:p w14:paraId="3A5205A0" w14:textId="77777777" w:rsidR="00073CD8" w:rsidRPr="002C4825" w:rsidRDefault="00073CD8" w:rsidP="00073CD8">
      <w:pPr>
        <w:rPr>
          <w:lang w:val="lt-LT"/>
        </w:rPr>
      </w:pPr>
      <w:r w:rsidRPr="002C4825">
        <w:rPr>
          <w:lang w:val="lt-LT"/>
        </w:rPr>
        <w:t>Prieš vartojimą perskaitykite pakuotės lapelį.</w:t>
      </w:r>
    </w:p>
    <w:p w14:paraId="77AE9766" w14:textId="77777777" w:rsidR="00073CD8" w:rsidRPr="002C4825" w:rsidRDefault="00073CD8" w:rsidP="00073CD8">
      <w:pPr>
        <w:rPr>
          <w:lang w:val="lt-LT"/>
        </w:rPr>
      </w:pPr>
    </w:p>
    <w:p w14:paraId="7FF320CF" w14:textId="77777777" w:rsidR="00073CD8" w:rsidRPr="002C4825" w:rsidRDefault="00073CD8" w:rsidP="00073CD8">
      <w:pPr>
        <w:rPr>
          <w:lang w:val="lt-LT"/>
        </w:rPr>
      </w:pPr>
    </w:p>
    <w:p w14:paraId="2D3E8FAC"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3.</w:t>
      </w:r>
      <w:r w:rsidRPr="002C4825">
        <w:rPr>
          <w:b/>
          <w:lang w:val="lt-LT"/>
        </w:rPr>
        <w:tab/>
        <w:t>TINKAMUMO LAIKAS</w:t>
      </w:r>
    </w:p>
    <w:p w14:paraId="541A97AB" w14:textId="77777777" w:rsidR="00073CD8" w:rsidRPr="002C4825" w:rsidRDefault="00073CD8" w:rsidP="00073CD8">
      <w:pPr>
        <w:rPr>
          <w:lang w:val="lt-LT"/>
        </w:rPr>
      </w:pPr>
    </w:p>
    <w:p w14:paraId="1B396153" w14:textId="77777777" w:rsidR="00073CD8" w:rsidRPr="002C4825" w:rsidRDefault="00073CD8" w:rsidP="00073CD8">
      <w:pPr>
        <w:rPr>
          <w:lang w:val="lt-LT"/>
        </w:rPr>
      </w:pPr>
      <w:r w:rsidRPr="002018EA">
        <w:rPr>
          <w:highlight w:val="lightGray"/>
          <w:lang w:val="lt-LT"/>
        </w:rPr>
        <w:t>EXP</w:t>
      </w:r>
      <w:r w:rsidRPr="002C4825">
        <w:rPr>
          <w:lang w:val="lt-LT"/>
        </w:rPr>
        <w:t xml:space="preserve"> {mm/MMMM}</w:t>
      </w:r>
    </w:p>
    <w:p w14:paraId="03577DB4" w14:textId="77777777" w:rsidR="00073CD8" w:rsidRPr="002C4825" w:rsidRDefault="00073CD8" w:rsidP="00073CD8">
      <w:pPr>
        <w:rPr>
          <w:lang w:val="lt-LT"/>
        </w:rPr>
      </w:pPr>
    </w:p>
    <w:p w14:paraId="4E7E1FFB" w14:textId="77777777" w:rsidR="00073CD8" w:rsidRPr="002C4825" w:rsidRDefault="00073CD8" w:rsidP="00073CD8">
      <w:pPr>
        <w:rPr>
          <w:lang w:val="lt-LT"/>
        </w:rPr>
      </w:pPr>
    </w:p>
    <w:p w14:paraId="579DC5DC"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outlineLvl w:val="2"/>
        <w:rPr>
          <w:b/>
          <w:lang w:val="lt-LT"/>
        </w:rPr>
      </w:pPr>
      <w:r w:rsidRPr="002C4825">
        <w:rPr>
          <w:b/>
          <w:lang w:val="lt-LT"/>
        </w:rPr>
        <w:t>4.</w:t>
      </w:r>
      <w:r w:rsidRPr="002C4825">
        <w:rPr>
          <w:b/>
          <w:lang w:val="lt-LT"/>
        </w:rPr>
        <w:tab/>
        <w:t xml:space="preserve">SERIJOS NUMERIS </w:t>
      </w:r>
    </w:p>
    <w:p w14:paraId="5ABC756B" w14:textId="77777777" w:rsidR="00073CD8" w:rsidRPr="002C4825" w:rsidRDefault="00073CD8" w:rsidP="00073CD8">
      <w:pPr>
        <w:rPr>
          <w:lang w:val="lt-LT"/>
        </w:rPr>
      </w:pPr>
    </w:p>
    <w:p w14:paraId="0AF16450" w14:textId="77777777" w:rsidR="00073CD8" w:rsidRPr="002C4825" w:rsidRDefault="00073CD8" w:rsidP="00073CD8">
      <w:pPr>
        <w:rPr>
          <w:lang w:val="lt-LT"/>
        </w:rPr>
      </w:pPr>
      <w:r w:rsidRPr="002018EA">
        <w:rPr>
          <w:highlight w:val="lightGray"/>
          <w:lang w:val="lt-LT"/>
        </w:rPr>
        <w:t>Lot</w:t>
      </w:r>
      <w:r w:rsidRPr="002C4825">
        <w:rPr>
          <w:lang w:val="lt-LT"/>
        </w:rPr>
        <w:t xml:space="preserve"> {numeris}</w:t>
      </w:r>
    </w:p>
    <w:p w14:paraId="69A20DC1" w14:textId="77777777" w:rsidR="00073CD8" w:rsidRPr="002C4825" w:rsidRDefault="00073CD8" w:rsidP="00073CD8">
      <w:pPr>
        <w:rPr>
          <w:lang w:val="lt-LT"/>
        </w:rPr>
      </w:pPr>
    </w:p>
    <w:p w14:paraId="08F683E7" w14:textId="77777777" w:rsidR="00073CD8" w:rsidRPr="002C4825" w:rsidRDefault="00073CD8" w:rsidP="00073CD8">
      <w:pPr>
        <w:rPr>
          <w:lang w:val="lt-LT"/>
        </w:rPr>
      </w:pPr>
    </w:p>
    <w:p w14:paraId="742EDFC6" w14:textId="37BB909F"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rPr>
          <w:b/>
          <w:lang w:val="lt-LT"/>
        </w:rPr>
      </w:pPr>
      <w:r w:rsidRPr="002C4825">
        <w:rPr>
          <w:b/>
          <w:lang w:val="lt-LT"/>
        </w:rPr>
        <w:t>5.</w:t>
      </w:r>
      <w:r w:rsidR="001E67C2">
        <w:rPr>
          <w:b/>
          <w:lang w:val="lt-LT"/>
        </w:rPr>
        <w:tab/>
      </w:r>
      <w:r w:rsidRPr="002C4825">
        <w:rPr>
          <w:b/>
          <w:lang w:val="lt-LT"/>
        </w:rPr>
        <w:t>KIEKIS</w:t>
      </w:r>
      <w:r w:rsidR="001E67C2">
        <w:rPr>
          <w:b/>
          <w:lang w:val="lt-LT"/>
        </w:rPr>
        <w:t xml:space="preserve"> (MASĖ, TŪRIS ARBA VIENETAI)</w:t>
      </w:r>
    </w:p>
    <w:p w14:paraId="454BAB3C" w14:textId="77777777" w:rsidR="00073CD8" w:rsidRPr="002C4825" w:rsidRDefault="00073CD8" w:rsidP="00073CD8">
      <w:pPr>
        <w:rPr>
          <w:lang w:val="lt-LT"/>
        </w:rPr>
      </w:pPr>
    </w:p>
    <w:p w14:paraId="590294B9" w14:textId="77777777" w:rsidR="005567DD" w:rsidRPr="002C4825" w:rsidRDefault="005567DD" w:rsidP="005567DD">
      <w:pPr>
        <w:rPr>
          <w:lang w:val="lt-LT"/>
        </w:rPr>
      </w:pPr>
      <w:r w:rsidRPr="002C4825">
        <w:rPr>
          <w:lang w:val="lt-LT"/>
        </w:rPr>
        <w:t>10 tablečių</w:t>
      </w:r>
    </w:p>
    <w:p w14:paraId="0CA08621" w14:textId="5310522D" w:rsidR="00073CD8" w:rsidRPr="002C4825" w:rsidRDefault="005567DD" w:rsidP="005567DD">
      <w:pPr>
        <w:rPr>
          <w:lang w:val="lt-LT"/>
        </w:rPr>
      </w:pPr>
      <w:r w:rsidRPr="002C4825">
        <w:rPr>
          <w:highlight w:val="lightGray"/>
          <w:lang w:val="lt-LT"/>
        </w:rPr>
        <w:t>20 tablečių</w:t>
      </w:r>
    </w:p>
    <w:p w14:paraId="0546569E" w14:textId="77777777" w:rsidR="00073CD8" w:rsidRPr="002C4825" w:rsidRDefault="00073CD8" w:rsidP="00073CD8">
      <w:pPr>
        <w:rPr>
          <w:lang w:val="lt-LT"/>
        </w:rPr>
      </w:pPr>
    </w:p>
    <w:p w14:paraId="76759F76" w14:textId="77777777" w:rsidR="00073CD8" w:rsidRPr="002C4825" w:rsidRDefault="00073CD8" w:rsidP="00073CD8">
      <w:pPr>
        <w:rPr>
          <w:lang w:val="lt-LT"/>
        </w:rPr>
      </w:pPr>
    </w:p>
    <w:p w14:paraId="19736C08" w14:textId="77777777" w:rsidR="00073CD8" w:rsidRPr="002C4825" w:rsidRDefault="00073CD8" w:rsidP="00073CD8">
      <w:pPr>
        <w:pBdr>
          <w:top w:val="single" w:sz="4" w:space="1" w:color="auto"/>
          <w:left w:val="single" w:sz="4" w:space="4" w:color="auto"/>
          <w:bottom w:val="single" w:sz="4" w:space="1" w:color="auto"/>
          <w:right w:val="single" w:sz="4" w:space="4" w:color="auto"/>
        </w:pBdr>
        <w:ind w:left="540" w:hanging="540"/>
        <w:rPr>
          <w:b/>
          <w:lang w:val="lt-LT"/>
        </w:rPr>
      </w:pPr>
      <w:r w:rsidRPr="002C4825">
        <w:rPr>
          <w:b/>
          <w:lang w:val="lt-LT"/>
        </w:rPr>
        <w:t xml:space="preserve">6. </w:t>
      </w:r>
      <w:r w:rsidRPr="002C4825">
        <w:rPr>
          <w:b/>
          <w:lang w:val="lt-LT"/>
        </w:rPr>
        <w:tab/>
        <w:t>KITA</w:t>
      </w:r>
    </w:p>
    <w:p w14:paraId="7C042CB8" w14:textId="77777777" w:rsidR="00073CD8" w:rsidRPr="002C4825" w:rsidRDefault="00073CD8" w:rsidP="00073CD8">
      <w:pPr>
        <w:rPr>
          <w:lang w:val="lt-LT"/>
        </w:rPr>
      </w:pPr>
    </w:p>
    <w:p w14:paraId="66D35CA9" w14:textId="77777777" w:rsidR="005567DD" w:rsidRPr="00183C93" w:rsidRDefault="005567DD" w:rsidP="005567DD">
      <w:pPr>
        <w:rPr>
          <w:highlight w:val="darkGray"/>
          <w:lang w:val="lt-LT"/>
        </w:rPr>
      </w:pPr>
      <w:r w:rsidRPr="00183C93">
        <w:rPr>
          <w:highlight w:val="darkGray"/>
          <w:lang w:val="lt-LT"/>
        </w:rPr>
        <w:t>Wintrozen skirtas gleivių skystinimui ir atsikosėjimo lengvinimui sergant peršalimo sukeltu bronchitu, suaugusiems ir 14 metų bei vyresniems paaugliams.</w:t>
      </w:r>
    </w:p>
    <w:p w14:paraId="4588FABB" w14:textId="5596AB71" w:rsidR="00073CD8" w:rsidRPr="00183C93" w:rsidRDefault="00073CD8" w:rsidP="00073CD8">
      <w:pPr>
        <w:rPr>
          <w:highlight w:val="darkGray"/>
          <w:lang w:val="lt-LT"/>
        </w:rPr>
      </w:pPr>
    </w:p>
    <w:p w14:paraId="4E2963D1" w14:textId="77777777" w:rsidR="005567DD" w:rsidRPr="00183C93" w:rsidRDefault="005567DD" w:rsidP="005567DD">
      <w:pPr>
        <w:tabs>
          <w:tab w:val="left" w:pos="425"/>
        </w:tabs>
        <w:jc w:val="both"/>
        <w:rPr>
          <w:highlight w:val="darkGray"/>
          <w:lang w:val="lt-LT"/>
        </w:rPr>
      </w:pPr>
      <w:r w:rsidRPr="00183C93">
        <w:rPr>
          <w:highlight w:val="darkGray"/>
          <w:lang w:val="lt-LT"/>
        </w:rPr>
        <w:t xml:space="preserve">Kiekvienoje šnypščiojoje tabletėje yra 600 mg acetilcisteino. </w:t>
      </w:r>
    </w:p>
    <w:p w14:paraId="7D15E407" w14:textId="77777777" w:rsidR="005567DD" w:rsidRPr="00183C93" w:rsidRDefault="005567DD" w:rsidP="005567DD">
      <w:pPr>
        <w:adjustRightInd w:val="0"/>
        <w:rPr>
          <w:highlight w:val="darkGray"/>
          <w:lang w:val="lt-LT"/>
        </w:rPr>
      </w:pPr>
      <w:r w:rsidRPr="00183C93">
        <w:rPr>
          <w:highlight w:val="darkGray"/>
          <w:lang w:val="lt-LT"/>
        </w:rPr>
        <w:t>Sudėtyje yra natrio.</w:t>
      </w:r>
    </w:p>
    <w:p w14:paraId="3C167CFD" w14:textId="77777777" w:rsidR="005567DD" w:rsidRPr="00183C93" w:rsidRDefault="005567DD" w:rsidP="005567DD">
      <w:pPr>
        <w:adjustRightInd w:val="0"/>
        <w:rPr>
          <w:highlight w:val="darkGray"/>
          <w:lang w:val="lt-LT"/>
        </w:rPr>
      </w:pPr>
    </w:p>
    <w:p w14:paraId="4BD9DE7F" w14:textId="00399504" w:rsidR="005567DD" w:rsidRPr="00183C93" w:rsidRDefault="005567DD" w:rsidP="005567DD">
      <w:pPr>
        <w:adjustRightInd w:val="0"/>
        <w:rPr>
          <w:highlight w:val="darkGray"/>
          <w:lang w:val="lt-LT"/>
        </w:rPr>
      </w:pPr>
      <w:r w:rsidRPr="00183C93">
        <w:rPr>
          <w:highlight w:val="darkGray"/>
          <w:lang w:val="lt-LT"/>
        </w:rPr>
        <w:t>Daugiau informacijos skaitykite pakuotės lapelyje.</w:t>
      </w:r>
    </w:p>
    <w:p w14:paraId="67B93B0B" w14:textId="77777777" w:rsidR="005567DD" w:rsidRPr="00183C93" w:rsidRDefault="005567DD" w:rsidP="00073CD8">
      <w:pPr>
        <w:rPr>
          <w:highlight w:val="darkGray"/>
          <w:lang w:val="lt-LT"/>
        </w:rPr>
      </w:pPr>
    </w:p>
    <w:p w14:paraId="5274C526" w14:textId="77777777" w:rsidR="005567DD" w:rsidRPr="00183C93" w:rsidRDefault="005567DD" w:rsidP="005567DD">
      <w:pPr>
        <w:rPr>
          <w:highlight w:val="darkGray"/>
          <w:lang w:val="lt-LT"/>
        </w:rPr>
      </w:pPr>
      <w:r w:rsidRPr="00183C93">
        <w:rPr>
          <w:highlight w:val="darkGray"/>
          <w:lang w:val="lt-LT"/>
        </w:rPr>
        <w:t>Laikyti vaikams nepastebimoje ir nepasiekiamoje vietoje.</w:t>
      </w:r>
    </w:p>
    <w:p w14:paraId="3307B37F" w14:textId="77777777" w:rsidR="00073CD8" w:rsidRPr="00183C93" w:rsidRDefault="00073CD8" w:rsidP="00073CD8">
      <w:pPr>
        <w:rPr>
          <w:highlight w:val="darkGray"/>
          <w:lang w:val="lt-LT"/>
        </w:rPr>
      </w:pPr>
    </w:p>
    <w:p w14:paraId="22B7542E" w14:textId="77777777" w:rsidR="005567DD" w:rsidRPr="00183C93" w:rsidRDefault="005567DD" w:rsidP="005567DD">
      <w:pPr>
        <w:rPr>
          <w:highlight w:val="darkGray"/>
          <w:lang w:val="lt-LT"/>
        </w:rPr>
      </w:pPr>
      <w:r w:rsidRPr="00183C93">
        <w:rPr>
          <w:highlight w:val="darkGray"/>
          <w:lang w:val="lt-LT"/>
        </w:rPr>
        <w:t>Tūbelę laikyti sandariai uždarytą, kad vaistas būtų apsaugotas nuo šviesos ir drėgmės.</w:t>
      </w:r>
    </w:p>
    <w:p w14:paraId="497DE7A0" w14:textId="77777777" w:rsidR="00073CD8" w:rsidRPr="00183C93" w:rsidRDefault="00073CD8" w:rsidP="00073CD8">
      <w:pPr>
        <w:rPr>
          <w:highlight w:val="darkGray"/>
          <w:lang w:val="lt-LT"/>
        </w:rPr>
      </w:pPr>
    </w:p>
    <w:p w14:paraId="47152747" w14:textId="77777777" w:rsidR="005567DD" w:rsidRPr="00183C93" w:rsidRDefault="005567DD" w:rsidP="005567DD">
      <w:pPr>
        <w:rPr>
          <w:highlight w:val="darkGray"/>
          <w:lang w:val="lt-LT"/>
        </w:rPr>
      </w:pPr>
      <w:r w:rsidRPr="00183C93">
        <w:rPr>
          <w:highlight w:val="darkGray"/>
          <w:lang w:val="lt-LT"/>
        </w:rPr>
        <w:t>Zentiva, k.s.</w:t>
      </w:r>
    </w:p>
    <w:p w14:paraId="1190A38A" w14:textId="5FDEEACA" w:rsidR="005567DD" w:rsidRPr="00183C93" w:rsidRDefault="005567DD" w:rsidP="005567DD">
      <w:pPr>
        <w:rPr>
          <w:highlight w:val="darkGray"/>
          <w:lang w:val="lt-LT"/>
        </w:rPr>
      </w:pPr>
      <w:r w:rsidRPr="00183C93">
        <w:rPr>
          <w:highlight w:val="darkGray"/>
          <w:lang w:val="lt-LT"/>
        </w:rPr>
        <w:t xml:space="preserve">U </w:t>
      </w:r>
      <w:r w:rsidR="00B30C3D" w:rsidRPr="00183C93">
        <w:rPr>
          <w:highlight w:val="darkGray"/>
          <w:lang w:val="lt-LT"/>
        </w:rPr>
        <w:t>k</w:t>
      </w:r>
      <w:r w:rsidRPr="00183C93">
        <w:rPr>
          <w:highlight w:val="darkGray"/>
          <w:lang w:val="lt-LT"/>
        </w:rPr>
        <w:t>abelovny 130</w:t>
      </w:r>
    </w:p>
    <w:p w14:paraId="1244F988" w14:textId="77777777" w:rsidR="00B30C3D" w:rsidRPr="00183C93" w:rsidRDefault="00B30C3D" w:rsidP="00B30C3D">
      <w:pPr>
        <w:rPr>
          <w:highlight w:val="darkGray"/>
          <w:lang w:val="lt-LT"/>
        </w:rPr>
      </w:pPr>
      <w:r w:rsidRPr="00183C93">
        <w:rPr>
          <w:highlight w:val="darkGray"/>
          <w:lang w:val="lt-LT"/>
        </w:rPr>
        <w:t>Dolní Měcholupy</w:t>
      </w:r>
    </w:p>
    <w:p w14:paraId="1D126D82" w14:textId="524BF4E8" w:rsidR="005567DD" w:rsidRPr="00183C93" w:rsidRDefault="005567DD" w:rsidP="005567DD">
      <w:pPr>
        <w:rPr>
          <w:highlight w:val="darkGray"/>
          <w:lang w:val="lt-LT"/>
        </w:rPr>
      </w:pPr>
      <w:r w:rsidRPr="00183C93">
        <w:rPr>
          <w:highlight w:val="darkGray"/>
          <w:lang w:val="lt-LT"/>
        </w:rPr>
        <w:t>102 37 Pra</w:t>
      </w:r>
      <w:r w:rsidR="00B30C3D" w:rsidRPr="00183C93">
        <w:rPr>
          <w:highlight w:val="darkGray"/>
          <w:lang w:val="lt-LT"/>
        </w:rPr>
        <w:t>ha</w:t>
      </w:r>
      <w:r w:rsidRPr="00183C93">
        <w:rPr>
          <w:highlight w:val="darkGray"/>
          <w:lang w:val="lt-LT"/>
        </w:rPr>
        <w:t xml:space="preserve"> 10</w:t>
      </w:r>
    </w:p>
    <w:p w14:paraId="66FFC90D" w14:textId="77777777" w:rsidR="005567DD" w:rsidRPr="00183C93" w:rsidRDefault="005567DD" w:rsidP="005567DD">
      <w:pPr>
        <w:rPr>
          <w:highlight w:val="darkGray"/>
          <w:lang w:val="lt-LT"/>
        </w:rPr>
      </w:pPr>
      <w:r w:rsidRPr="00183C93">
        <w:rPr>
          <w:highlight w:val="darkGray"/>
          <w:lang w:val="lt-LT"/>
        </w:rPr>
        <w:t>Čekija</w:t>
      </w:r>
    </w:p>
    <w:p w14:paraId="7E2BD2D1" w14:textId="7DD0D3BB" w:rsidR="00073CD8" w:rsidRPr="00183C93" w:rsidRDefault="00073CD8" w:rsidP="00073CD8">
      <w:pPr>
        <w:rPr>
          <w:b/>
          <w:highlight w:val="darkGray"/>
          <w:lang w:val="lt-LT"/>
        </w:rPr>
      </w:pPr>
    </w:p>
    <w:p w14:paraId="4F57AF3C" w14:textId="411B5AD5" w:rsidR="005567DD" w:rsidRDefault="005567DD" w:rsidP="00073CD8">
      <w:pPr>
        <w:rPr>
          <w:lang w:val="lt-LT"/>
        </w:rPr>
      </w:pPr>
      <w:r w:rsidRPr="00183C93">
        <w:rPr>
          <w:b/>
          <w:highlight w:val="darkGray"/>
          <w:lang w:val="lt-LT"/>
        </w:rPr>
        <w:t>&lt;</w:t>
      </w:r>
      <w:r w:rsidRPr="00183C93">
        <w:rPr>
          <w:highlight w:val="darkGray"/>
          <w:lang w:val="lt-LT"/>
        </w:rPr>
        <w:t xml:space="preserve"> Registracijos pažymėjimo numeris (-iai)&gt;{numeris}</w:t>
      </w:r>
    </w:p>
    <w:p w14:paraId="1C17F7AF" w14:textId="77777777" w:rsidR="00AA456B" w:rsidRPr="00183C93" w:rsidRDefault="00AA456B" w:rsidP="00AA456B">
      <w:pPr>
        <w:rPr>
          <w:highlight w:val="darkGray"/>
          <w:shd w:val="clear" w:color="auto" w:fill="D9D9D9" w:themeFill="background1" w:themeFillShade="D9"/>
          <w:lang w:val="lt-LT"/>
        </w:rPr>
      </w:pPr>
      <w:r w:rsidRPr="00183C93">
        <w:rPr>
          <w:highlight w:val="darkGray"/>
          <w:shd w:val="clear" w:color="auto" w:fill="D9D9D9" w:themeFill="background1" w:themeFillShade="D9"/>
          <w:lang w:val="lt-LT"/>
        </w:rPr>
        <w:lastRenderedPageBreak/>
        <w:t>LT/1/21/4853/001 – N10</w:t>
      </w:r>
    </w:p>
    <w:p w14:paraId="45F73BE3" w14:textId="5E85C26C" w:rsidR="00AA456B" w:rsidRPr="00AA456B" w:rsidRDefault="00AA456B" w:rsidP="00AA456B">
      <w:pPr>
        <w:rPr>
          <w:iCs/>
          <w:shd w:val="clear" w:color="auto" w:fill="D9D9D9" w:themeFill="background1" w:themeFillShade="D9"/>
          <w:lang w:val="lt-LT"/>
        </w:rPr>
      </w:pPr>
      <w:r w:rsidRPr="00183C93">
        <w:rPr>
          <w:highlight w:val="darkGray"/>
          <w:shd w:val="clear" w:color="auto" w:fill="D9D9D9" w:themeFill="background1" w:themeFillShade="D9"/>
          <w:lang w:val="lt-LT"/>
        </w:rPr>
        <w:t>LT/1/21/4853/002 – N20</w:t>
      </w:r>
    </w:p>
    <w:p w14:paraId="397E5306" w14:textId="432BDABB" w:rsidR="00073CD8" w:rsidRPr="002C4825" w:rsidRDefault="00073CD8" w:rsidP="005567DD">
      <w:pPr>
        <w:spacing w:after="200" w:line="276" w:lineRule="auto"/>
        <w:rPr>
          <w:b/>
          <w:kern w:val="28"/>
          <w:lang w:val="lt-LT" w:eastAsia="lt-LT"/>
        </w:rPr>
      </w:pPr>
    </w:p>
    <w:p w14:paraId="3E43E84B" w14:textId="77777777" w:rsidR="00073CD8" w:rsidRPr="002C4825" w:rsidRDefault="00073CD8" w:rsidP="00073CD8">
      <w:pPr>
        <w:widowControl/>
        <w:autoSpaceDE/>
        <w:autoSpaceDN/>
        <w:jc w:val="center"/>
        <w:outlineLvl w:val="0"/>
        <w:rPr>
          <w:b/>
          <w:kern w:val="28"/>
          <w:lang w:val="lt-LT" w:eastAsia="lt-LT"/>
        </w:rPr>
      </w:pPr>
    </w:p>
    <w:p w14:paraId="4E335A4A" w14:textId="77777777" w:rsidR="00073CD8" w:rsidRPr="002C4825" w:rsidRDefault="00073CD8" w:rsidP="00073CD8">
      <w:pPr>
        <w:widowControl/>
        <w:autoSpaceDE/>
        <w:autoSpaceDN/>
        <w:jc w:val="center"/>
        <w:outlineLvl w:val="0"/>
        <w:rPr>
          <w:b/>
          <w:kern w:val="28"/>
          <w:lang w:val="lt-LT" w:eastAsia="lt-LT"/>
        </w:rPr>
      </w:pPr>
    </w:p>
    <w:p w14:paraId="231BA8F1" w14:textId="77777777" w:rsidR="00073CD8" w:rsidRPr="002C4825" w:rsidRDefault="00073CD8" w:rsidP="00073CD8">
      <w:pPr>
        <w:widowControl/>
        <w:autoSpaceDE/>
        <w:autoSpaceDN/>
        <w:jc w:val="center"/>
        <w:outlineLvl w:val="0"/>
        <w:rPr>
          <w:b/>
          <w:kern w:val="28"/>
          <w:lang w:val="lt-LT" w:eastAsia="lt-LT"/>
        </w:rPr>
      </w:pPr>
    </w:p>
    <w:p w14:paraId="772CFA24" w14:textId="77777777" w:rsidR="00073CD8" w:rsidRPr="002C4825" w:rsidRDefault="00073CD8" w:rsidP="00073CD8">
      <w:pPr>
        <w:widowControl/>
        <w:autoSpaceDE/>
        <w:autoSpaceDN/>
        <w:jc w:val="center"/>
        <w:outlineLvl w:val="0"/>
        <w:rPr>
          <w:b/>
          <w:kern w:val="28"/>
          <w:lang w:val="lt-LT" w:eastAsia="lt-LT"/>
        </w:rPr>
      </w:pPr>
    </w:p>
    <w:p w14:paraId="13853A0E" w14:textId="77777777" w:rsidR="00073CD8" w:rsidRPr="002C4825" w:rsidRDefault="00073CD8" w:rsidP="00073CD8">
      <w:pPr>
        <w:widowControl/>
        <w:autoSpaceDE/>
        <w:autoSpaceDN/>
        <w:jc w:val="center"/>
        <w:outlineLvl w:val="0"/>
        <w:rPr>
          <w:b/>
          <w:kern w:val="28"/>
          <w:lang w:val="lt-LT" w:eastAsia="lt-LT"/>
        </w:rPr>
      </w:pPr>
    </w:p>
    <w:p w14:paraId="7910F20A" w14:textId="77777777" w:rsidR="00073CD8" w:rsidRPr="002C4825" w:rsidRDefault="00073CD8" w:rsidP="00073CD8">
      <w:pPr>
        <w:widowControl/>
        <w:autoSpaceDE/>
        <w:autoSpaceDN/>
        <w:jc w:val="center"/>
        <w:outlineLvl w:val="0"/>
        <w:rPr>
          <w:b/>
          <w:kern w:val="28"/>
          <w:lang w:val="lt-LT" w:eastAsia="lt-LT"/>
        </w:rPr>
      </w:pPr>
    </w:p>
    <w:p w14:paraId="1A226A5D" w14:textId="77777777" w:rsidR="00073CD8" w:rsidRPr="002C4825" w:rsidRDefault="00073CD8" w:rsidP="00073CD8">
      <w:pPr>
        <w:widowControl/>
        <w:autoSpaceDE/>
        <w:autoSpaceDN/>
        <w:jc w:val="center"/>
        <w:outlineLvl w:val="0"/>
        <w:rPr>
          <w:b/>
          <w:kern w:val="28"/>
          <w:lang w:val="lt-LT" w:eastAsia="lt-LT"/>
        </w:rPr>
      </w:pPr>
    </w:p>
    <w:p w14:paraId="355727A9" w14:textId="77777777" w:rsidR="00073CD8" w:rsidRPr="002C4825" w:rsidRDefault="00073CD8" w:rsidP="00073CD8">
      <w:pPr>
        <w:widowControl/>
        <w:autoSpaceDE/>
        <w:autoSpaceDN/>
        <w:jc w:val="center"/>
        <w:outlineLvl w:val="0"/>
        <w:rPr>
          <w:b/>
          <w:kern w:val="28"/>
          <w:lang w:val="lt-LT" w:eastAsia="lt-LT"/>
        </w:rPr>
      </w:pPr>
    </w:p>
    <w:p w14:paraId="6B9948DF" w14:textId="77777777" w:rsidR="00073CD8" w:rsidRPr="002C4825" w:rsidRDefault="00073CD8" w:rsidP="00073CD8">
      <w:pPr>
        <w:widowControl/>
        <w:autoSpaceDE/>
        <w:autoSpaceDN/>
        <w:jc w:val="center"/>
        <w:outlineLvl w:val="0"/>
        <w:rPr>
          <w:b/>
          <w:kern w:val="28"/>
          <w:lang w:val="lt-LT" w:eastAsia="lt-LT"/>
        </w:rPr>
      </w:pPr>
    </w:p>
    <w:p w14:paraId="728D81FA" w14:textId="77777777" w:rsidR="00073CD8" w:rsidRPr="002C4825" w:rsidRDefault="00073CD8" w:rsidP="00073CD8">
      <w:pPr>
        <w:widowControl/>
        <w:autoSpaceDE/>
        <w:autoSpaceDN/>
        <w:jc w:val="center"/>
        <w:outlineLvl w:val="0"/>
        <w:rPr>
          <w:b/>
          <w:kern w:val="28"/>
          <w:lang w:val="lt-LT" w:eastAsia="lt-LT"/>
        </w:rPr>
      </w:pPr>
    </w:p>
    <w:p w14:paraId="39C05479" w14:textId="77777777" w:rsidR="00073CD8" w:rsidRPr="002C4825" w:rsidRDefault="00073CD8" w:rsidP="00073CD8">
      <w:pPr>
        <w:widowControl/>
        <w:autoSpaceDE/>
        <w:autoSpaceDN/>
        <w:jc w:val="center"/>
        <w:outlineLvl w:val="0"/>
        <w:rPr>
          <w:b/>
          <w:kern w:val="28"/>
          <w:lang w:val="lt-LT" w:eastAsia="lt-LT"/>
        </w:rPr>
      </w:pPr>
    </w:p>
    <w:p w14:paraId="22757B27" w14:textId="77777777" w:rsidR="00073CD8" w:rsidRPr="002C4825" w:rsidRDefault="00073CD8" w:rsidP="00073CD8">
      <w:pPr>
        <w:widowControl/>
        <w:autoSpaceDE/>
        <w:autoSpaceDN/>
        <w:jc w:val="center"/>
        <w:outlineLvl w:val="0"/>
        <w:rPr>
          <w:b/>
          <w:kern w:val="28"/>
          <w:lang w:val="lt-LT" w:eastAsia="lt-LT"/>
        </w:rPr>
      </w:pPr>
    </w:p>
    <w:p w14:paraId="10024ECD" w14:textId="77777777" w:rsidR="00073CD8" w:rsidRPr="002C4825" w:rsidRDefault="00073CD8" w:rsidP="00073CD8">
      <w:pPr>
        <w:widowControl/>
        <w:autoSpaceDE/>
        <w:autoSpaceDN/>
        <w:jc w:val="center"/>
        <w:outlineLvl w:val="0"/>
        <w:rPr>
          <w:b/>
          <w:kern w:val="28"/>
          <w:lang w:val="lt-LT" w:eastAsia="lt-LT"/>
        </w:rPr>
      </w:pPr>
    </w:p>
    <w:p w14:paraId="4395DAD3" w14:textId="77777777" w:rsidR="00073CD8" w:rsidRPr="002C4825" w:rsidRDefault="00073CD8" w:rsidP="00073CD8">
      <w:pPr>
        <w:widowControl/>
        <w:autoSpaceDE/>
        <w:autoSpaceDN/>
        <w:jc w:val="center"/>
        <w:outlineLvl w:val="0"/>
        <w:rPr>
          <w:b/>
          <w:kern w:val="28"/>
          <w:lang w:val="lt-LT" w:eastAsia="lt-LT"/>
        </w:rPr>
      </w:pPr>
    </w:p>
    <w:p w14:paraId="66F8AE03" w14:textId="77777777" w:rsidR="00073CD8" w:rsidRPr="002C4825" w:rsidRDefault="00073CD8" w:rsidP="00073CD8">
      <w:pPr>
        <w:widowControl/>
        <w:autoSpaceDE/>
        <w:autoSpaceDN/>
        <w:jc w:val="center"/>
        <w:outlineLvl w:val="0"/>
        <w:rPr>
          <w:b/>
          <w:kern w:val="28"/>
          <w:lang w:val="lt-LT" w:eastAsia="lt-LT"/>
        </w:rPr>
      </w:pPr>
    </w:p>
    <w:p w14:paraId="0242B0BA" w14:textId="77777777" w:rsidR="00AA456B" w:rsidRDefault="00AA456B">
      <w:pPr>
        <w:widowControl/>
        <w:autoSpaceDE/>
        <w:autoSpaceDN/>
        <w:spacing w:after="160" w:line="259" w:lineRule="auto"/>
        <w:rPr>
          <w:b/>
          <w:kern w:val="28"/>
          <w:lang w:val="lt-LT" w:eastAsia="lt-LT"/>
        </w:rPr>
      </w:pPr>
      <w:r>
        <w:rPr>
          <w:b/>
          <w:kern w:val="28"/>
          <w:lang w:val="lt-LT" w:eastAsia="lt-LT"/>
        </w:rPr>
        <w:br w:type="page"/>
      </w:r>
    </w:p>
    <w:p w14:paraId="53828F69" w14:textId="77777777" w:rsidR="00AA456B" w:rsidRDefault="00AA456B" w:rsidP="00073CD8">
      <w:pPr>
        <w:widowControl/>
        <w:autoSpaceDE/>
        <w:autoSpaceDN/>
        <w:jc w:val="center"/>
        <w:outlineLvl w:val="0"/>
        <w:rPr>
          <w:b/>
          <w:kern w:val="28"/>
          <w:lang w:val="lt-LT" w:eastAsia="lt-LT"/>
        </w:rPr>
      </w:pPr>
    </w:p>
    <w:p w14:paraId="52C47FB2" w14:textId="77777777" w:rsidR="00AA456B" w:rsidRDefault="00AA456B" w:rsidP="00073CD8">
      <w:pPr>
        <w:widowControl/>
        <w:autoSpaceDE/>
        <w:autoSpaceDN/>
        <w:jc w:val="center"/>
        <w:outlineLvl w:val="0"/>
        <w:rPr>
          <w:b/>
          <w:kern w:val="28"/>
          <w:lang w:val="lt-LT" w:eastAsia="lt-LT"/>
        </w:rPr>
      </w:pPr>
    </w:p>
    <w:p w14:paraId="5763A442" w14:textId="77777777" w:rsidR="00AA456B" w:rsidRDefault="00AA456B" w:rsidP="00073CD8">
      <w:pPr>
        <w:widowControl/>
        <w:autoSpaceDE/>
        <w:autoSpaceDN/>
        <w:jc w:val="center"/>
        <w:outlineLvl w:val="0"/>
        <w:rPr>
          <w:b/>
          <w:kern w:val="28"/>
          <w:lang w:val="lt-LT" w:eastAsia="lt-LT"/>
        </w:rPr>
      </w:pPr>
    </w:p>
    <w:p w14:paraId="24A15497" w14:textId="77777777" w:rsidR="00AA456B" w:rsidRDefault="00AA456B" w:rsidP="00073CD8">
      <w:pPr>
        <w:widowControl/>
        <w:autoSpaceDE/>
        <w:autoSpaceDN/>
        <w:jc w:val="center"/>
        <w:outlineLvl w:val="0"/>
        <w:rPr>
          <w:b/>
          <w:kern w:val="28"/>
          <w:lang w:val="lt-LT" w:eastAsia="lt-LT"/>
        </w:rPr>
      </w:pPr>
    </w:p>
    <w:p w14:paraId="5C36EBD0" w14:textId="77777777" w:rsidR="00AA456B" w:rsidRDefault="00AA456B" w:rsidP="00073CD8">
      <w:pPr>
        <w:widowControl/>
        <w:autoSpaceDE/>
        <w:autoSpaceDN/>
        <w:jc w:val="center"/>
        <w:outlineLvl w:val="0"/>
        <w:rPr>
          <w:b/>
          <w:kern w:val="28"/>
          <w:lang w:val="lt-LT" w:eastAsia="lt-LT"/>
        </w:rPr>
      </w:pPr>
    </w:p>
    <w:p w14:paraId="420164ED" w14:textId="77777777" w:rsidR="00AA456B" w:rsidRDefault="00AA456B" w:rsidP="00073CD8">
      <w:pPr>
        <w:widowControl/>
        <w:autoSpaceDE/>
        <w:autoSpaceDN/>
        <w:jc w:val="center"/>
        <w:outlineLvl w:val="0"/>
        <w:rPr>
          <w:b/>
          <w:kern w:val="28"/>
          <w:lang w:val="lt-LT" w:eastAsia="lt-LT"/>
        </w:rPr>
      </w:pPr>
    </w:p>
    <w:p w14:paraId="4A89B42F" w14:textId="77777777" w:rsidR="00AA456B" w:rsidRDefault="00AA456B" w:rsidP="00073CD8">
      <w:pPr>
        <w:widowControl/>
        <w:autoSpaceDE/>
        <w:autoSpaceDN/>
        <w:jc w:val="center"/>
        <w:outlineLvl w:val="0"/>
        <w:rPr>
          <w:b/>
          <w:kern w:val="28"/>
          <w:lang w:val="lt-LT" w:eastAsia="lt-LT"/>
        </w:rPr>
      </w:pPr>
    </w:p>
    <w:p w14:paraId="1FD251FB" w14:textId="77777777" w:rsidR="00AA456B" w:rsidRDefault="00AA456B" w:rsidP="00073CD8">
      <w:pPr>
        <w:widowControl/>
        <w:autoSpaceDE/>
        <w:autoSpaceDN/>
        <w:jc w:val="center"/>
        <w:outlineLvl w:val="0"/>
        <w:rPr>
          <w:b/>
          <w:kern w:val="28"/>
          <w:lang w:val="lt-LT" w:eastAsia="lt-LT"/>
        </w:rPr>
      </w:pPr>
    </w:p>
    <w:p w14:paraId="629FDB08" w14:textId="77777777" w:rsidR="00AA456B" w:rsidRDefault="00AA456B" w:rsidP="00073CD8">
      <w:pPr>
        <w:widowControl/>
        <w:autoSpaceDE/>
        <w:autoSpaceDN/>
        <w:jc w:val="center"/>
        <w:outlineLvl w:val="0"/>
        <w:rPr>
          <w:b/>
          <w:kern w:val="28"/>
          <w:lang w:val="lt-LT" w:eastAsia="lt-LT"/>
        </w:rPr>
      </w:pPr>
    </w:p>
    <w:p w14:paraId="29A29B5F" w14:textId="77777777" w:rsidR="00AA456B" w:rsidRDefault="00AA456B" w:rsidP="00073CD8">
      <w:pPr>
        <w:widowControl/>
        <w:autoSpaceDE/>
        <w:autoSpaceDN/>
        <w:jc w:val="center"/>
        <w:outlineLvl w:val="0"/>
        <w:rPr>
          <w:b/>
          <w:kern w:val="28"/>
          <w:lang w:val="lt-LT" w:eastAsia="lt-LT"/>
        </w:rPr>
      </w:pPr>
    </w:p>
    <w:p w14:paraId="5E2F60B4" w14:textId="77777777" w:rsidR="00AA456B" w:rsidRDefault="00AA456B" w:rsidP="00073CD8">
      <w:pPr>
        <w:widowControl/>
        <w:autoSpaceDE/>
        <w:autoSpaceDN/>
        <w:jc w:val="center"/>
        <w:outlineLvl w:val="0"/>
        <w:rPr>
          <w:b/>
          <w:kern w:val="28"/>
          <w:lang w:val="lt-LT" w:eastAsia="lt-LT"/>
        </w:rPr>
      </w:pPr>
    </w:p>
    <w:p w14:paraId="5A9DC762" w14:textId="77777777" w:rsidR="00AA456B" w:rsidRDefault="00AA456B" w:rsidP="00073CD8">
      <w:pPr>
        <w:widowControl/>
        <w:autoSpaceDE/>
        <w:autoSpaceDN/>
        <w:jc w:val="center"/>
        <w:outlineLvl w:val="0"/>
        <w:rPr>
          <w:b/>
          <w:kern w:val="28"/>
          <w:lang w:val="lt-LT" w:eastAsia="lt-LT"/>
        </w:rPr>
      </w:pPr>
    </w:p>
    <w:p w14:paraId="71F6ED50" w14:textId="77777777" w:rsidR="00AA456B" w:rsidRDefault="00AA456B" w:rsidP="00073CD8">
      <w:pPr>
        <w:widowControl/>
        <w:autoSpaceDE/>
        <w:autoSpaceDN/>
        <w:jc w:val="center"/>
        <w:outlineLvl w:val="0"/>
        <w:rPr>
          <w:b/>
          <w:kern w:val="28"/>
          <w:lang w:val="lt-LT" w:eastAsia="lt-LT"/>
        </w:rPr>
      </w:pPr>
    </w:p>
    <w:p w14:paraId="28FB19CA" w14:textId="77777777" w:rsidR="00AA456B" w:rsidRDefault="00AA456B" w:rsidP="00073CD8">
      <w:pPr>
        <w:widowControl/>
        <w:autoSpaceDE/>
        <w:autoSpaceDN/>
        <w:jc w:val="center"/>
        <w:outlineLvl w:val="0"/>
        <w:rPr>
          <w:b/>
          <w:kern w:val="28"/>
          <w:lang w:val="lt-LT" w:eastAsia="lt-LT"/>
        </w:rPr>
      </w:pPr>
    </w:p>
    <w:p w14:paraId="44191A72" w14:textId="77777777" w:rsidR="00AA456B" w:rsidRDefault="00AA456B" w:rsidP="00073CD8">
      <w:pPr>
        <w:widowControl/>
        <w:autoSpaceDE/>
        <w:autoSpaceDN/>
        <w:jc w:val="center"/>
        <w:outlineLvl w:val="0"/>
        <w:rPr>
          <w:b/>
          <w:kern w:val="28"/>
          <w:lang w:val="lt-LT" w:eastAsia="lt-LT"/>
        </w:rPr>
      </w:pPr>
    </w:p>
    <w:p w14:paraId="12186CDF" w14:textId="77777777" w:rsidR="00AA456B" w:rsidRDefault="00AA456B" w:rsidP="00073CD8">
      <w:pPr>
        <w:widowControl/>
        <w:autoSpaceDE/>
        <w:autoSpaceDN/>
        <w:jc w:val="center"/>
        <w:outlineLvl w:val="0"/>
        <w:rPr>
          <w:b/>
          <w:kern w:val="28"/>
          <w:lang w:val="lt-LT" w:eastAsia="lt-LT"/>
        </w:rPr>
      </w:pPr>
    </w:p>
    <w:p w14:paraId="4E15583D" w14:textId="77777777" w:rsidR="00AA456B" w:rsidRDefault="00AA456B" w:rsidP="00073CD8">
      <w:pPr>
        <w:widowControl/>
        <w:autoSpaceDE/>
        <w:autoSpaceDN/>
        <w:jc w:val="center"/>
        <w:outlineLvl w:val="0"/>
        <w:rPr>
          <w:b/>
          <w:kern w:val="28"/>
          <w:lang w:val="lt-LT" w:eastAsia="lt-LT"/>
        </w:rPr>
      </w:pPr>
    </w:p>
    <w:p w14:paraId="23E702F7" w14:textId="77777777" w:rsidR="00AA456B" w:rsidRDefault="00AA456B" w:rsidP="00073CD8">
      <w:pPr>
        <w:widowControl/>
        <w:autoSpaceDE/>
        <w:autoSpaceDN/>
        <w:jc w:val="center"/>
        <w:outlineLvl w:val="0"/>
        <w:rPr>
          <w:b/>
          <w:kern w:val="28"/>
          <w:lang w:val="lt-LT" w:eastAsia="lt-LT"/>
        </w:rPr>
      </w:pPr>
    </w:p>
    <w:p w14:paraId="7069794C" w14:textId="77777777" w:rsidR="00AA456B" w:rsidRDefault="00AA456B" w:rsidP="00073CD8">
      <w:pPr>
        <w:widowControl/>
        <w:autoSpaceDE/>
        <w:autoSpaceDN/>
        <w:jc w:val="center"/>
        <w:outlineLvl w:val="0"/>
        <w:rPr>
          <w:b/>
          <w:kern w:val="28"/>
          <w:lang w:val="lt-LT" w:eastAsia="lt-LT"/>
        </w:rPr>
      </w:pPr>
    </w:p>
    <w:p w14:paraId="195F41F6" w14:textId="77777777" w:rsidR="00AA456B" w:rsidRDefault="00AA456B" w:rsidP="00073CD8">
      <w:pPr>
        <w:widowControl/>
        <w:autoSpaceDE/>
        <w:autoSpaceDN/>
        <w:jc w:val="center"/>
        <w:outlineLvl w:val="0"/>
        <w:rPr>
          <w:b/>
          <w:kern w:val="28"/>
          <w:lang w:val="lt-LT" w:eastAsia="lt-LT"/>
        </w:rPr>
      </w:pPr>
    </w:p>
    <w:p w14:paraId="6D388F5D" w14:textId="068DA013" w:rsidR="00073CD8" w:rsidRPr="002C4825" w:rsidRDefault="00073CD8" w:rsidP="00073CD8">
      <w:pPr>
        <w:widowControl/>
        <w:autoSpaceDE/>
        <w:autoSpaceDN/>
        <w:jc w:val="center"/>
        <w:outlineLvl w:val="0"/>
        <w:rPr>
          <w:b/>
          <w:kern w:val="28"/>
          <w:lang w:val="lt-LT" w:eastAsia="lt-LT"/>
        </w:rPr>
      </w:pPr>
      <w:r w:rsidRPr="002C4825">
        <w:rPr>
          <w:b/>
          <w:kern w:val="28"/>
          <w:lang w:val="lt-LT" w:eastAsia="lt-LT"/>
        </w:rPr>
        <w:t>B. PAKUOTĖS LAPELIS</w:t>
      </w:r>
    </w:p>
    <w:p w14:paraId="2DE0E0AB" w14:textId="77777777" w:rsidR="00073CD8" w:rsidRPr="002C4825" w:rsidRDefault="00073CD8" w:rsidP="00073CD8">
      <w:pPr>
        <w:widowControl/>
        <w:autoSpaceDE/>
        <w:autoSpaceDN/>
        <w:outlineLvl w:val="0"/>
        <w:rPr>
          <w:b/>
          <w:lang w:val="lt-LT"/>
        </w:rPr>
      </w:pPr>
    </w:p>
    <w:p w14:paraId="2717B998" w14:textId="77777777" w:rsidR="00073CD8" w:rsidRPr="002C4825" w:rsidRDefault="00073CD8" w:rsidP="00073CD8">
      <w:pPr>
        <w:widowControl/>
        <w:autoSpaceDE/>
        <w:autoSpaceDN/>
        <w:rPr>
          <w:lang w:val="lt-LT"/>
        </w:rPr>
      </w:pPr>
    </w:p>
    <w:p w14:paraId="5437BBE8" w14:textId="77777777" w:rsidR="00073CD8" w:rsidRPr="002C4825" w:rsidRDefault="00073CD8" w:rsidP="00073CD8">
      <w:pPr>
        <w:widowControl/>
        <w:autoSpaceDE/>
        <w:autoSpaceDN/>
        <w:rPr>
          <w:lang w:val="lt-LT"/>
        </w:rPr>
      </w:pPr>
    </w:p>
    <w:p w14:paraId="79309C41" w14:textId="77777777" w:rsidR="00073CD8" w:rsidRPr="002C4825" w:rsidRDefault="00073CD8" w:rsidP="00073CD8">
      <w:pPr>
        <w:widowControl/>
        <w:autoSpaceDE/>
        <w:autoSpaceDN/>
        <w:rPr>
          <w:lang w:val="lt-LT"/>
        </w:rPr>
      </w:pPr>
    </w:p>
    <w:p w14:paraId="58E755CF" w14:textId="77777777" w:rsidR="00073CD8" w:rsidRPr="002C4825" w:rsidRDefault="00073CD8" w:rsidP="00073CD8">
      <w:pPr>
        <w:widowControl/>
        <w:autoSpaceDE/>
        <w:autoSpaceDN/>
        <w:spacing w:after="200" w:line="276" w:lineRule="auto"/>
        <w:rPr>
          <w:lang w:val="lt-LT"/>
        </w:rPr>
      </w:pPr>
      <w:r w:rsidRPr="002C4825">
        <w:rPr>
          <w:lang w:val="lt-LT"/>
        </w:rPr>
        <w:br w:type="page"/>
      </w:r>
    </w:p>
    <w:p w14:paraId="3DD3CB21" w14:textId="77777777" w:rsidR="00073CD8" w:rsidRPr="002C4825" w:rsidRDefault="00073CD8" w:rsidP="00073CD8">
      <w:pPr>
        <w:widowControl/>
        <w:autoSpaceDE/>
        <w:autoSpaceDN/>
        <w:jc w:val="center"/>
        <w:outlineLvl w:val="0"/>
        <w:rPr>
          <w:b/>
          <w:kern w:val="28"/>
          <w:lang w:val="lt-LT" w:eastAsia="lt-LT"/>
        </w:rPr>
      </w:pPr>
      <w:r w:rsidRPr="002C4825">
        <w:rPr>
          <w:b/>
          <w:kern w:val="28"/>
          <w:lang w:val="lt-LT" w:eastAsia="lt-LT"/>
        </w:rPr>
        <w:lastRenderedPageBreak/>
        <w:t>Pakuotės lapelis: informacija vartotojui</w:t>
      </w:r>
    </w:p>
    <w:p w14:paraId="01247E2B" w14:textId="77777777" w:rsidR="00073CD8" w:rsidRPr="002C4825" w:rsidRDefault="00073CD8" w:rsidP="00073CD8">
      <w:pPr>
        <w:autoSpaceDE/>
        <w:autoSpaceDN/>
        <w:jc w:val="center"/>
        <w:rPr>
          <w:b/>
          <w:lang w:val="lt-LT"/>
        </w:rPr>
      </w:pPr>
    </w:p>
    <w:p w14:paraId="7008EE8A" w14:textId="5C14AD9E" w:rsidR="00073CD8" w:rsidRPr="002C4825" w:rsidRDefault="005567DD" w:rsidP="00073CD8">
      <w:pPr>
        <w:widowControl/>
        <w:autoSpaceDE/>
        <w:autoSpaceDN/>
        <w:jc w:val="center"/>
        <w:outlineLvl w:val="0"/>
        <w:rPr>
          <w:i/>
          <w:lang w:val="lt-LT"/>
        </w:rPr>
      </w:pPr>
      <w:r w:rsidRPr="002C4825">
        <w:rPr>
          <w:b/>
          <w:bCs/>
          <w:lang w:val="lt-LT"/>
        </w:rPr>
        <w:t>Wintrozen </w:t>
      </w:r>
      <w:r w:rsidR="00073CD8" w:rsidRPr="002C4825">
        <w:rPr>
          <w:b/>
          <w:bCs/>
          <w:lang w:val="lt-LT"/>
        </w:rPr>
        <w:t>600</w:t>
      </w:r>
      <w:r w:rsidRPr="002C4825">
        <w:rPr>
          <w:b/>
          <w:bCs/>
          <w:lang w:val="lt-LT"/>
        </w:rPr>
        <w:t> </w:t>
      </w:r>
      <w:r w:rsidR="00073CD8" w:rsidRPr="002C4825">
        <w:rPr>
          <w:b/>
          <w:bCs/>
          <w:lang w:val="lt-LT"/>
        </w:rPr>
        <w:t>mg šnypščiosios tabletės</w:t>
      </w:r>
    </w:p>
    <w:p w14:paraId="21B429CF" w14:textId="5EE1F13A" w:rsidR="00073CD8" w:rsidRPr="002C4825" w:rsidRDefault="00B30C3D" w:rsidP="00073CD8">
      <w:pPr>
        <w:widowControl/>
        <w:autoSpaceDE/>
        <w:autoSpaceDN/>
        <w:jc w:val="center"/>
        <w:rPr>
          <w:bCs/>
          <w:lang w:val="lt-LT"/>
        </w:rPr>
      </w:pPr>
      <w:r>
        <w:rPr>
          <w:bCs/>
          <w:lang w:val="lt-LT"/>
        </w:rPr>
        <w:t>a</w:t>
      </w:r>
      <w:r w:rsidR="00073CD8" w:rsidRPr="002C4825">
        <w:rPr>
          <w:bCs/>
          <w:lang w:val="lt-LT"/>
        </w:rPr>
        <w:t>cetilcisteinas</w:t>
      </w:r>
    </w:p>
    <w:p w14:paraId="17B4AB04" w14:textId="77777777" w:rsidR="00073CD8" w:rsidRPr="002C4825" w:rsidRDefault="00073CD8" w:rsidP="00073CD8">
      <w:pPr>
        <w:widowControl/>
        <w:autoSpaceDE/>
        <w:autoSpaceDN/>
        <w:jc w:val="center"/>
        <w:rPr>
          <w:lang w:val="lt-LT"/>
        </w:rPr>
      </w:pPr>
    </w:p>
    <w:p w14:paraId="09117081" w14:textId="77777777" w:rsidR="00073CD8" w:rsidRPr="002C4825" w:rsidRDefault="00073CD8" w:rsidP="00073CD8">
      <w:pPr>
        <w:widowControl/>
        <w:autoSpaceDE/>
        <w:autoSpaceDN/>
        <w:rPr>
          <w:b/>
          <w:lang w:val="lt-LT"/>
        </w:rPr>
      </w:pPr>
      <w:r w:rsidRPr="002C4825">
        <w:rPr>
          <w:b/>
          <w:lang w:val="lt-LT"/>
        </w:rPr>
        <w:t xml:space="preserve">Atidžiai perskaitykite visą šį lapelį, prieš pradėdami vartoti šį vaistą, nes jame pateikiama Jums svarbi informacija. </w:t>
      </w:r>
    </w:p>
    <w:p w14:paraId="7D15B33E" w14:textId="77777777" w:rsidR="00073CD8" w:rsidRPr="002C4825" w:rsidRDefault="00073CD8" w:rsidP="00073CD8">
      <w:pPr>
        <w:widowControl/>
        <w:autoSpaceDE/>
        <w:autoSpaceDN/>
        <w:rPr>
          <w:b/>
          <w:lang w:val="lt-LT"/>
        </w:rPr>
      </w:pPr>
      <w:r w:rsidRPr="002C4825">
        <w:rPr>
          <w:noProof/>
          <w:snapToGrid w:val="0"/>
          <w:lang w:val="lt-LT"/>
        </w:rPr>
        <w:t>Visada vartokite šį vaistą</w:t>
      </w:r>
      <w:r w:rsidRPr="002C4825">
        <w:rPr>
          <w:lang w:val="lt-LT"/>
        </w:rPr>
        <w:t xml:space="preserve"> tiksliai kaip </w:t>
      </w:r>
      <w:r w:rsidRPr="002C4825">
        <w:rPr>
          <w:noProof/>
          <w:snapToGrid w:val="0"/>
          <w:lang w:val="lt-LT"/>
        </w:rPr>
        <w:t>aprašyta šiame lapelyje arba kaip nurodė gydytojas arba vaistininkas</w:t>
      </w:r>
      <w:r w:rsidRPr="002C4825">
        <w:rPr>
          <w:lang w:val="lt-LT"/>
        </w:rPr>
        <w:t>.</w:t>
      </w:r>
    </w:p>
    <w:p w14:paraId="448A3C12" w14:textId="77777777" w:rsidR="00073CD8" w:rsidRPr="002C4825" w:rsidRDefault="00073CD8" w:rsidP="00073CD8">
      <w:pPr>
        <w:widowControl/>
        <w:autoSpaceDE/>
        <w:autoSpaceDN/>
        <w:ind w:left="540" w:hanging="540"/>
        <w:rPr>
          <w:lang w:val="lt-LT"/>
        </w:rPr>
      </w:pPr>
      <w:r w:rsidRPr="002C4825">
        <w:rPr>
          <w:lang w:val="lt-LT"/>
        </w:rPr>
        <w:t>-</w:t>
      </w:r>
      <w:r w:rsidRPr="002C4825">
        <w:rPr>
          <w:lang w:val="lt-LT"/>
        </w:rPr>
        <w:tab/>
        <w:t>Neišmeskite šio lapelio, nes vėl gali prireikti jį perskaityti.</w:t>
      </w:r>
    </w:p>
    <w:p w14:paraId="062F63C5" w14:textId="77777777" w:rsidR="00073CD8" w:rsidRPr="002C4825" w:rsidRDefault="00073CD8" w:rsidP="00073CD8">
      <w:pPr>
        <w:widowControl/>
        <w:autoSpaceDE/>
        <w:autoSpaceDN/>
        <w:ind w:left="540" w:hanging="540"/>
        <w:rPr>
          <w:lang w:val="lt-LT"/>
        </w:rPr>
      </w:pPr>
      <w:r w:rsidRPr="002C4825">
        <w:rPr>
          <w:lang w:val="lt-LT"/>
        </w:rPr>
        <w:t>-</w:t>
      </w:r>
      <w:r w:rsidRPr="002C4825">
        <w:rPr>
          <w:lang w:val="lt-LT"/>
        </w:rPr>
        <w:tab/>
        <w:t>Jeigu norite sužinoti daugiau arba pasitarti, kreipkitės į vaistininką.</w:t>
      </w:r>
    </w:p>
    <w:p w14:paraId="63133F40" w14:textId="77777777" w:rsidR="00073CD8" w:rsidRPr="002C4825" w:rsidRDefault="00073CD8" w:rsidP="00073CD8">
      <w:pPr>
        <w:widowControl/>
        <w:autoSpaceDE/>
        <w:autoSpaceDN/>
        <w:ind w:left="540" w:hanging="540"/>
        <w:rPr>
          <w:lang w:val="lt-LT"/>
        </w:rPr>
      </w:pPr>
      <w:r w:rsidRPr="002C4825">
        <w:rPr>
          <w:lang w:val="lt-LT"/>
        </w:rPr>
        <w:t>-</w:t>
      </w:r>
      <w:r w:rsidRPr="002C4825">
        <w:rPr>
          <w:lang w:val="lt-LT"/>
        </w:rPr>
        <w:tab/>
        <w:t>Jeigu pasireiškė šalutinis poveikis (net jeigu jis šiame lapelyje nenurodytas), kreipkitės į gydytoją arba vaistininką. Žr. 4 skyrių.</w:t>
      </w:r>
    </w:p>
    <w:p w14:paraId="746E6D69" w14:textId="1BE540C2" w:rsidR="00073CD8" w:rsidRPr="002C4825" w:rsidRDefault="00073CD8" w:rsidP="00073CD8">
      <w:pPr>
        <w:widowControl/>
        <w:autoSpaceDE/>
        <w:autoSpaceDN/>
        <w:ind w:left="540" w:hanging="540"/>
        <w:rPr>
          <w:lang w:val="lt-LT"/>
        </w:rPr>
      </w:pPr>
      <w:r w:rsidRPr="002C4825">
        <w:rPr>
          <w:lang w:val="lt-LT"/>
        </w:rPr>
        <w:t>-</w:t>
      </w:r>
      <w:r w:rsidRPr="002C4825">
        <w:rPr>
          <w:lang w:val="lt-LT"/>
        </w:rPr>
        <w:tab/>
        <w:t>Jeigu per 5 dienas Jūsų savijauta nepagerėjo arba net pablogėjo, kreipkitės į gydytoją.</w:t>
      </w:r>
    </w:p>
    <w:p w14:paraId="75D8E46F" w14:textId="44F20E45" w:rsidR="0099178A" w:rsidRPr="002C4825" w:rsidRDefault="0099178A" w:rsidP="0099178A">
      <w:pPr>
        <w:rPr>
          <w:bCs/>
          <w:lang w:val="lt-LT"/>
        </w:rPr>
      </w:pPr>
    </w:p>
    <w:p w14:paraId="3C6532E7" w14:textId="77777777" w:rsidR="005567DD" w:rsidRPr="002C4825" w:rsidRDefault="005567DD" w:rsidP="005567DD">
      <w:pPr>
        <w:rPr>
          <w:b/>
          <w:lang w:val="lt-LT"/>
        </w:rPr>
      </w:pPr>
      <w:r w:rsidRPr="002C4825">
        <w:rPr>
          <w:b/>
          <w:lang w:val="lt-LT"/>
        </w:rPr>
        <w:t>Apie ką rašoma šiame lapelyje?</w:t>
      </w:r>
    </w:p>
    <w:p w14:paraId="115E965F" w14:textId="77777777" w:rsidR="005567DD" w:rsidRPr="002C4825" w:rsidRDefault="005567DD" w:rsidP="005567DD">
      <w:pPr>
        <w:rPr>
          <w:b/>
          <w:u w:val="single"/>
          <w:lang w:val="lt-LT"/>
        </w:rPr>
      </w:pPr>
    </w:p>
    <w:p w14:paraId="74BB74CE" w14:textId="15F9310E" w:rsidR="005567DD" w:rsidRPr="002C4825" w:rsidRDefault="005567DD" w:rsidP="005567DD">
      <w:pPr>
        <w:ind w:left="540" w:hanging="540"/>
        <w:rPr>
          <w:lang w:val="lt-LT"/>
        </w:rPr>
      </w:pPr>
      <w:r w:rsidRPr="002C4825">
        <w:rPr>
          <w:lang w:val="lt-LT"/>
        </w:rPr>
        <w:t>1.</w:t>
      </w:r>
      <w:r w:rsidRPr="002C4825">
        <w:rPr>
          <w:lang w:val="lt-LT"/>
        </w:rPr>
        <w:tab/>
        <w:t>Kas yra Wintrozen ir kam jis vartojamas</w:t>
      </w:r>
    </w:p>
    <w:p w14:paraId="567CE8D0" w14:textId="1F2A2DC1" w:rsidR="005567DD" w:rsidRPr="002C4825" w:rsidRDefault="005567DD" w:rsidP="005567DD">
      <w:pPr>
        <w:ind w:left="540" w:hanging="540"/>
        <w:rPr>
          <w:lang w:val="lt-LT"/>
        </w:rPr>
      </w:pPr>
      <w:r w:rsidRPr="002C4825">
        <w:rPr>
          <w:lang w:val="lt-LT"/>
        </w:rPr>
        <w:t>2.</w:t>
      </w:r>
      <w:r w:rsidRPr="002C4825">
        <w:rPr>
          <w:lang w:val="lt-LT"/>
        </w:rPr>
        <w:tab/>
        <w:t>Kas žinotina prieš vartojant Wintrozen</w:t>
      </w:r>
    </w:p>
    <w:p w14:paraId="10FC55A6" w14:textId="582F2820" w:rsidR="005567DD" w:rsidRPr="002C4825" w:rsidRDefault="005567DD" w:rsidP="005567DD">
      <w:pPr>
        <w:ind w:left="540" w:hanging="540"/>
        <w:rPr>
          <w:lang w:val="lt-LT"/>
        </w:rPr>
      </w:pPr>
      <w:r w:rsidRPr="002C4825">
        <w:rPr>
          <w:lang w:val="lt-LT"/>
        </w:rPr>
        <w:t>3.</w:t>
      </w:r>
      <w:r w:rsidRPr="002C4825">
        <w:rPr>
          <w:lang w:val="lt-LT"/>
        </w:rPr>
        <w:tab/>
        <w:t>Kaip vartoti Wintrozen</w:t>
      </w:r>
    </w:p>
    <w:p w14:paraId="3B6E6BDD" w14:textId="77777777" w:rsidR="005567DD" w:rsidRPr="002C4825" w:rsidRDefault="005567DD" w:rsidP="005567DD">
      <w:pPr>
        <w:ind w:left="540" w:hanging="540"/>
        <w:rPr>
          <w:lang w:val="lt-LT"/>
        </w:rPr>
      </w:pPr>
      <w:r w:rsidRPr="002C4825">
        <w:rPr>
          <w:lang w:val="lt-LT"/>
        </w:rPr>
        <w:t>4.</w:t>
      </w:r>
      <w:r w:rsidRPr="002C4825">
        <w:rPr>
          <w:lang w:val="lt-LT"/>
        </w:rPr>
        <w:tab/>
        <w:t>Galimas šalutinis poveikis</w:t>
      </w:r>
    </w:p>
    <w:p w14:paraId="162CDDB9" w14:textId="76F5647B" w:rsidR="005567DD" w:rsidRPr="002C4825" w:rsidRDefault="005567DD" w:rsidP="005567DD">
      <w:pPr>
        <w:ind w:left="540" w:hanging="540"/>
        <w:rPr>
          <w:lang w:val="lt-LT"/>
        </w:rPr>
      </w:pPr>
      <w:r w:rsidRPr="002C4825">
        <w:rPr>
          <w:lang w:val="lt-LT"/>
        </w:rPr>
        <w:t>5.</w:t>
      </w:r>
      <w:r w:rsidRPr="002C4825">
        <w:rPr>
          <w:lang w:val="lt-LT"/>
        </w:rPr>
        <w:tab/>
        <w:t>Kaip laikyti Wintrozen</w:t>
      </w:r>
    </w:p>
    <w:p w14:paraId="5242ACEA" w14:textId="77777777" w:rsidR="005567DD" w:rsidRPr="002C4825" w:rsidRDefault="005567DD" w:rsidP="005567DD">
      <w:pPr>
        <w:ind w:left="540" w:hanging="540"/>
        <w:rPr>
          <w:lang w:val="lt-LT"/>
        </w:rPr>
      </w:pPr>
      <w:r w:rsidRPr="002C4825">
        <w:rPr>
          <w:lang w:val="lt-LT"/>
        </w:rPr>
        <w:t>6.</w:t>
      </w:r>
      <w:r w:rsidRPr="002C4825">
        <w:rPr>
          <w:lang w:val="lt-LT"/>
        </w:rPr>
        <w:tab/>
        <w:t>Pakuotės turinys ir kita informacija</w:t>
      </w:r>
    </w:p>
    <w:p w14:paraId="62F07B60" w14:textId="77777777" w:rsidR="005567DD" w:rsidRPr="002C4825" w:rsidRDefault="005567DD" w:rsidP="005567DD">
      <w:pPr>
        <w:rPr>
          <w:lang w:val="lt-LT"/>
        </w:rPr>
      </w:pPr>
    </w:p>
    <w:p w14:paraId="3EBA0112" w14:textId="77777777" w:rsidR="005567DD" w:rsidRPr="002C4825" w:rsidRDefault="005567DD" w:rsidP="005567DD">
      <w:pPr>
        <w:rPr>
          <w:lang w:val="lt-LT"/>
        </w:rPr>
      </w:pPr>
    </w:p>
    <w:p w14:paraId="00C7D84C" w14:textId="5834531E" w:rsidR="005567DD" w:rsidRPr="002C4825" w:rsidRDefault="005567DD" w:rsidP="005567DD">
      <w:pPr>
        <w:numPr>
          <w:ilvl w:val="12"/>
          <w:numId w:val="0"/>
        </w:numPr>
        <w:ind w:left="540" w:hanging="540"/>
        <w:outlineLvl w:val="0"/>
        <w:rPr>
          <w:b/>
          <w:caps/>
          <w:lang w:val="lt-LT"/>
        </w:rPr>
      </w:pPr>
      <w:r w:rsidRPr="002C4825">
        <w:rPr>
          <w:b/>
          <w:lang w:val="lt-LT"/>
        </w:rPr>
        <w:t>1.</w:t>
      </w:r>
      <w:r w:rsidRPr="002C4825">
        <w:rPr>
          <w:b/>
          <w:lang w:val="lt-LT"/>
        </w:rPr>
        <w:tab/>
        <w:t>Kas yra Wintrozen ir kam jis vartojamas</w:t>
      </w:r>
    </w:p>
    <w:p w14:paraId="151A44F6" w14:textId="5B8FA52F" w:rsidR="005567DD" w:rsidRPr="002C4825" w:rsidRDefault="005567DD" w:rsidP="0099178A">
      <w:pPr>
        <w:rPr>
          <w:bCs/>
          <w:lang w:val="lt-LT"/>
        </w:rPr>
      </w:pPr>
    </w:p>
    <w:p w14:paraId="30C0D850" w14:textId="5C6098AE" w:rsidR="005869F7" w:rsidRPr="002C4825" w:rsidRDefault="005869F7" w:rsidP="0099178A">
      <w:pPr>
        <w:rPr>
          <w:lang w:val="lt-LT"/>
        </w:rPr>
      </w:pPr>
      <w:r w:rsidRPr="002C4825">
        <w:rPr>
          <w:lang w:val="lt-LT"/>
        </w:rPr>
        <w:t xml:space="preserve">Wintrozen sudėtyje yra veikliosios medžiagos acetilcisteino, </w:t>
      </w:r>
      <w:r w:rsidR="00522B8E" w:rsidRPr="002C4825">
        <w:rPr>
          <w:lang w:val="lt-LT"/>
        </w:rPr>
        <w:t>kuris priklauso</w:t>
      </w:r>
      <w:r w:rsidR="002C4825">
        <w:rPr>
          <w:lang w:val="lt-LT"/>
        </w:rPr>
        <w:t xml:space="preserve"> gleives skystinančių</w:t>
      </w:r>
      <w:r w:rsidR="00522B8E" w:rsidRPr="002C4825">
        <w:rPr>
          <w:lang w:val="lt-LT"/>
        </w:rPr>
        <w:t xml:space="preserve"> vaistų grupei, naudojamų palengvinti gleivių pašalinimą iš kvėpavimo takų.</w:t>
      </w:r>
    </w:p>
    <w:p w14:paraId="63B5D72E" w14:textId="77777777" w:rsidR="005869F7" w:rsidRPr="002C4825" w:rsidRDefault="005869F7" w:rsidP="0099178A">
      <w:pPr>
        <w:rPr>
          <w:bCs/>
          <w:lang w:val="lt-LT"/>
        </w:rPr>
      </w:pPr>
    </w:p>
    <w:p w14:paraId="22783FBC" w14:textId="1CF01E95" w:rsidR="005869F7" w:rsidRPr="002C4825" w:rsidRDefault="005869F7" w:rsidP="005869F7">
      <w:pPr>
        <w:rPr>
          <w:lang w:val="lt-LT"/>
        </w:rPr>
      </w:pPr>
      <w:r w:rsidRPr="002C4825">
        <w:rPr>
          <w:lang w:val="lt-LT"/>
        </w:rPr>
        <w:t xml:space="preserve">Wintrozen skirtas gleivių skystinimui ir atsikosėjimo lengvinimui sergant peršalimo sukeltu bronchitu, suaugusiems ir </w:t>
      </w:r>
      <w:r w:rsidR="00FD690A" w:rsidRPr="002C4825">
        <w:rPr>
          <w:lang w:val="lt-LT"/>
        </w:rPr>
        <w:t xml:space="preserve">vyresniems </w:t>
      </w:r>
      <w:r w:rsidR="00FD690A">
        <w:rPr>
          <w:lang w:val="lt-LT"/>
        </w:rPr>
        <w:t xml:space="preserve">kaip </w:t>
      </w:r>
      <w:r w:rsidRPr="002C4825">
        <w:rPr>
          <w:lang w:val="lt-LT"/>
        </w:rPr>
        <w:t>14 metų paaugliams.</w:t>
      </w:r>
    </w:p>
    <w:p w14:paraId="6F8D8019" w14:textId="00CE208F" w:rsidR="005869F7" w:rsidRDefault="005869F7" w:rsidP="0099178A">
      <w:pPr>
        <w:rPr>
          <w:bCs/>
          <w:lang w:val="lt-LT"/>
        </w:rPr>
      </w:pPr>
    </w:p>
    <w:p w14:paraId="7EC3BD27" w14:textId="77777777" w:rsidR="002C4825" w:rsidRPr="002C4825" w:rsidRDefault="002C4825" w:rsidP="0099178A">
      <w:pPr>
        <w:rPr>
          <w:bCs/>
          <w:lang w:val="lt-LT"/>
        </w:rPr>
      </w:pPr>
    </w:p>
    <w:p w14:paraId="0F2BEC15" w14:textId="49CBD38E" w:rsidR="00522B8E" w:rsidRPr="002C4825" w:rsidRDefault="00522B8E" w:rsidP="00522B8E">
      <w:pPr>
        <w:ind w:left="540" w:hanging="540"/>
        <w:rPr>
          <w:b/>
          <w:lang w:val="lt-LT"/>
        </w:rPr>
      </w:pPr>
      <w:r w:rsidRPr="002C4825">
        <w:rPr>
          <w:b/>
          <w:lang w:val="lt-LT"/>
        </w:rPr>
        <w:t xml:space="preserve">2. </w:t>
      </w:r>
      <w:r w:rsidRPr="002C4825">
        <w:rPr>
          <w:b/>
          <w:lang w:val="lt-LT"/>
        </w:rPr>
        <w:tab/>
        <w:t>Kas žinotina prieš vartojant Wintrozen</w:t>
      </w:r>
    </w:p>
    <w:p w14:paraId="230C96E8" w14:textId="77777777" w:rsidR="00522B8E" w:rsidRPr="002C4825" w:rsidRDefault="00522B8E" w:rsidP="00522B8E">
      <w:pPr>
        <w:tabs>
          <w:tab w:val="left" w:pos="5954"/>
        </w:tabs>
        <w:rPr>
          <w:b/>
          <w:lang w:val="lt-LT"/>
        </w:rPr>
      </w:pPr>
    </w:p>
    <w:p w14:paraId="3505FB61" w14:textId="2B5D1FD3" w:rsidR="00522B8E" w:rsidRPr="002C4825" w:rsidRDefault="00522B8E" w:rsidP="00522B8E">
      <w:pPr>
        <w:tabs>
          <w:tab w:val="left" w:pos="5954"/>
        </w:tabs>
        <w:rPr>
          <w:b/>
          <w:lang w:val="lt-LT"/>
        </w:rPr>
      </w:pPr>
      <w:r w:rsidRPr="002C4825">
        <w:rPr>
          <w:b/>
          <w:lang w:val="lt-LT"/>
        </w:rPr>
        <w:t xml:space="preserve">Wintrozen vartoti </w:t>
      </w:r>
      <w:r w:rsidR="00FE1075">
        <w:rPr>
          <w:b/>
          <w:lang w:val="lt-LT"/>
        </w:rPr>
        <w:t>draudžiama</w:t>
      </w:r>
      <w:r w:rsidRPr="002C4825">
        <w:rPr>
          <w:b/>
          <w:lang w:val="lt-LT"/>
        </w:rPr>
        <w:t>:</w:t>
      </w:r>
    </w:p>
    <w:p w14:paraId="41897B73" w14:textId="127DC80A" w:rsidR="00522B8E" w:rsidRPr="002C4825" w:rsidRDefault="00522B8E" w:rsidP="00522B8E">
      <w:pPr>
        <w:widowControl/>
        <w:numPr>
          <w:ilvl w:val="0"/>
          <w:numId w:val="2"/>
        </w:numPr>
        <w:tabs>
          <w:tab w:val="clear" w:pos="360"/>
          <w:tab w:val="num" w:pos="567"/>
          <w:tab w:val="left" w:pos="5954"/>
        </w:tabs>
        <w:autoSpaceDE/>
        <w:autoSpaceDN/>
        <w:ind w:left="567" w:hanging="567"/>
        <w:rPr>
          <w:lang w:val="lt-LT"/>
        </w:rPr>
      </w:pPr>
      <w:r w:rsidRPr="002C4825">
        <w:rPr>
          <w:lang w:val="lt-LT"/>
        </w:rPr>
        <w:t>jeigu yra alergija acetilcisteinui arba bet kuriai pagalbinei šio vaisto medžiagai (jos išvardytos 6 skyriuje).</w:t>
      </w:r>
    </w:p>
    <w:p w14:paraId="3F24AFD9" w14:textId="269137B0" w:rsidR="00522B8E" w:rsidRPr="002C4825" w:rsidRDefault="00522B8E" w:rsidP="00522B8E">
      <w:pPr>
        <w:rPr>
          <w:lang w:val="lt-LT"/>
        </w:rPr>
      </w:pPr>
      <w:r w:rsidRPr="002C4825">
        <w:rPr>
          <w:lang w:val="lt-LT"/>
        </w:rPr>
        <w:t>Dėl didelio veikliosios medžiagos kiekio Wintrozen negalima vartoti vaikams ir jaunesniems kaip 14 metų paaugliams.</w:t>
      </w:r>
    </w:p>
    <w:p w14:paraId="3E88C05D" w14:textId="77777777" w:rsidR="00522B8E" w:rsidRPr="002C4825" w:rsidRDefault="00522B8E" w:rsidP="00522B8E">
      <w:pPr>
        <w:widowControl/>
        <w:tabs>
          <w:tab w:val="left" w:pos="5954"/>
        </w:tabs>
        <w:autoSpaceDE/>
        <w:autoSpaceDN/>
        <w:rPr>
          <w:lang w:val="lt-LT"/>
        </w:rPr>
      </w:pPr>
    </w:p>
    <w:p w14:paraId="60369272" w14:textId="77777777" w:rsidR="00522B8E" w:rsidRPr="002C4825" w:rsidRDefault="00522B8E" w:rsidP="009056FC">
      <w:pPr>
        <w:pStyle w:val="Pagrindinistekstas"/>
        <w:keepNext/>
        <w:rPr>
          <w:b/>
          <w:lang w:val="lt-LT"/>
        </w:rPr>
      </w:pPr>
      <w:r w:rsidRPr="002C4825">
        <w:rPr>
          <w:b/>
          <w:lang w:val="lt-LT"/>
        </w:rPr>
        <w:t>Įspėjimai ir atsargumo priemonės</w:t>
      </w:r>
    </w:p>
    <w:p w14:paraId="289D1714" w14:textId="5CBF304D" w:rsidR="00522B8E" w:rsidRPr="002C4825" w:rsidRDefault="00522B8E" w:rsidP="009056FC">
      <w:pPr>
        <w:keepNext/>
        <w:numPr>
          <w:ilvl w:val="12"/>
          <w:numId w:val="0"/>
        </w:numPr>
        <w:ind w:right="-2"/>
        <w:rPr>
          <w:lang w:val="lt-LT"/>
        </w:rPr>
      </w:pPr>
      <w:r w:rsidRPr="002C4825">
        <w:rPr>
          <w:noProof/>
          <w:snapToGrid w:val="0"/>
          <w:lang w:val="lt-LT"/>
        </w:rPr>
        <w:t xml:space="preserve">Pasitarkite su gydytoju arba vaistininku, prieš pradėdami vartoti </w:t>
      </w:r>
      <w:r w:rsidRPr="002C4825">
        <w:rPr>
          <w:lang w:val="lt-LT"/>
        </w:rPr>
        <w:t>Wintrozen, jeigu:</w:t>
      </w:r>
    </w:p>
    <w:p w14:paraId="682CD435" w14:textId="37EB8589" w:rsidR="00522B8E" w:rsidRPr="002C4825" w:rsidRDefault="00522B8E" w:rsidP="00522B8E">
      <w:pPr>
        <w:pStyle w:val="Sraopastraipa"/>
        <w:numPr>
          <w:ilvl w:val="0"/>
          <w:numId w:val="2"/>
        </w:numPr>
        <w:tabs>
          <w:tab w:val="clear" w:pos="360"/>
          <w:tab w:val="num" w:pos="709"/>
        </w:tabs>
        <w:ind w:left="567" w:right="-2" w:hanging="567"/>
        <w:rPr>
          <w:noProof/>
          <w:snapToGrid w:val="0"/>
          <w:lang w:val="lt-LT"/>
        </w:rPr>
      </w:pPr>
      <w:r w:rsidRPr="002C4825">
        <w:rPr>
          <w:noProof/>
          <w:snapToGrid w:val="0"/>
          <w:lang w:val="lt-LT"/>
        </w:rPr>
        <w:t xml:space="preserve">atsiranda naujų odos ir gleivinės pokyčių. </w:t>
      </w:r>
      <w:r w:rsidRPr="002C4825">
        <w:rPr>
          <w:lang w:val="lt-LT"/>
        </w:rPr>
        <w:t>Labai retai gauta pranešimų apie sunkių odos reakcijų, įskaitant Stivenso-Džonsono (</w:t>
      </w:r>
      <w:r w:rsidRPr="002C4825">
        <w:rPr>
          <w:i/>
          <w:lang w:val="lt-LT"/>
        </w:rPr>
        <w:t>Stevens-Johnson</w:t>
      </w:r>
      <w:r w:rsidRPr="002C4825">
        <w:rPr>
          <w:lang w:val="lt-LT"/>
        </w:rPr>
        <w:t>) sindromo ir Lajelio (</w:t>
      </w:r>
      <w:r w:rsidRPr="002C4825">
        <w:rPr>
          <w:i/>
          <w:lang w:val="lt-LT"/>
        </w:rPr>
        <w:t>Lyell</w:t>
      </w:r>
      <w:r w:rsidRPr="002C4825">
        <w:rPr>
          <w:lang w:val="lt-LT"/>
        </w:rPr>
        <w:t>) sindromo, pasireiškimą, susijusį su acetilcisteino vartojimu. Jeigu atsiranda naujų odos ir gleivinės pokyčių, būtina nedelsiant kreiptis į gydytoją ir nutraukti acetilcisteino vartojimą;</w:t>
      </w:r>
    </w:p>
    <w:p w14:paraId="616EAA11" w14:textId="1ACD14DC" w:rsidR="003248F2" w:rsidRPr="002C4825" w:rsidRDefault="003248F2" w:rsidP="00522B8E">
      <w:pPr>
        <w:pStyle w:val="Sraopastraipa"/>
        <w:numPr>
          <w:ilvl w:val="0"/>
          <w:numId w:val="2"/>
        </w:numPr>
        <w:tabs>
          <w:tab w:val="clear" w:pos="360"/>
          <w:tab w:val="num" w:pos="709"/>
        </w:tabs>
        <w:ind w:left="567" w:right="-2" w:hanging="567"/>
        <w:rPr>
          <w:noProof/>
          <w:snapToGrid w:val="0"/>
          <w:lang w:val="lt-LT"/>
        </w:rPr>
      </w:pPr>
      <w:r w:rsidRPr="002C4825">
        <w:rPr>
          <w:lang w:val="lt-LT"/>
        </w:rPr>
        <w:t xml:space="preserve">sergate uždegimine bronchų liga, vadinama bronchine astma. Pasireiškus </w:t>
      </w:r>
      <w:r w:rsidR="005F4E33" w:rsidRPr="002C4825">
        <w:rPr>
          <w:lang w:val="lt-LT"/>
        </w:rPr>
        <w:t>kvėpavimo</w:t>
      </w:r>
      <w:r w:rsidRPr="002C4825">
        <w:rPr>
          <w:lang w:val="lt-LT"/>
        </w:rPr>
        <w:t xml:space="preserve"> raumenų susitraukimui (bronchų spazmui) gydymą acetilcisteinu reikia nedelsiant nutraukti. Pasitarkite su gydytoju, jei šių sutrikimų yra buvę praeityje;</w:t>
      </w:r>
    </w:p>
    <w:p w14:paraId="38153A8C" w14:textId="0A502816" w:rsidR="003248F2" w:rsidRPr="002C4825" w:rsidRDefault="00287EF6" w:rsidP="00522B8E">
      <w:pPr>
        <w:pStyle w:val="Sraopastraipa"/>
        <w:numPr>
          <w:ilvl w:val="0"/>
          <w:numId w:val="2"/>
        </w:numPr>
        <w:tabs>
          <w:tab w:val="clear" w:pos="360"/>
          <w:tab w:val="num" w:pos="709"/>
        </w:tabs>
        <w:ind w:left="567" w:right="-2" w:hanging="567"/>
        <w:rPr>
          <w:noProof/>
          <w:snapToGrid w:val="0"/>
          <w:lang w:val="lt-LT"/>
        </w:rPr>
      </w:pPr>
      <w:r w:rsidRPr="002C4825">
        <w:rPr>
          <w:lang w:val="lt-LT"/>
        </w:rPr>
        <w:t>netoleruojate</w:t>
      </w:r>
      <w:r w:rsidR="003248F2" w:rsidRPr="002C4825">
        <w:rPr>
          <w:lang w:val="lt-LT"/>
        </w:rPr>
        <w:t xml:space="preserve"> histamino. Reikia vengti ilgesnio gydymo, kadangi Wintrozen daro įtaką </w:t>
      </w:r>
      <w:r w:rsidR="003248F2" w:rsidRPr="002C4825">
        <w:rPr>
          <w:color w:val="000000"/>
          <w:lang w:val="lt-LT"/>
        </w:rPr>
        <w:t>histamino apykaitai ir gali sukelti netoleravimo požymius (pvz., galvos skausmą, nosies varvėjimą, niež</w:t>
      </w:r>
      <w:r w:rsidR="008E09B0">
        <w:rPr>
          <w:color w:val="000000"/>
          <w:lang w:val="lt-LT"/>
        </w:rPr>
        <w:t>ėjimą</w:t>
      </w:r>
      <w:r w:rsidR="003248F2" w:rsidRPr="002C4825">
        <w:rPr>
          <w:color w:val="000000"/>
          <w:lang w:val="lt-LT"/>
        </w:rPr>
        <w:t>);</w:t>
      </w:r>
    </w:p>
    <w:p w14:paraId="361F6C88" w14:textId="5076B37F" w:rsidR="00522B8E" w:rsidRPr="002C4825" w:rsidRDefault="00287EF6" w:rsidP="00EE621D">
      <w:pPr>
        <w:pStyle w:val="Sraopastraipa"/>
        <w:numPr>
          <w:ilvl w:val="0"/>
          <w:numId w:val="2"/>
        </w:numPr>
        <w:tabs>
          <w:tab w:val="clear" w:pos="360"/>
          <w:tab w:val="num" w:pos="709"/>
        </w:tabs>
        <w:ind w:left="567" w:right="-2" w:hanging="567"/>
        <w:rPr>
          <w:bCs/>
          <w:lang w:val="lt-LT"/>
        </w:rPr>
      </w:pPr>
      <w:r w:rsidRPr="002C4825">
        <w:rPr>
          <w:lang w:val="lt-LT"/>
        </w:rPr>
        <w:t>yra ar anksčiau buvo skrandžio ar žarnyno problemų, vadinamų skrandžio ar dvylikapirštės žarnos opomis, ypač kai kartu su Wintrozen vartojami kiti skrandžio gleivinę dirginantys vaistai.</w:t>
      </w:r>
    </w:p>
    <w:p w14:paraId="74D0E228" w14:textId="4704699D" w:rsidR="00287EF6" w:rsidRPr="002C4825" w:rsidRDefault="00287EF6" w:rsidP="00287EF6">
      <w:pPr>
        <w:ind w:right="-2"/>
        <w:rPr>
          <w:bCs/>
          <w:lang w:val="lt-LT"/>
        </w:rPr>
      </w:pPr>
    </w:p>
    <w:p w14:paraId="38E8E64D" w14:textId="242CB3DD" w:rsidR="00287EF6" w:rsidRPr="002C4825" w:rsidRDefault="00287EF6" w:rsidP="00287EF6">
      <w:pPr>
        <w:rPr>
          <w:lang w:val="lt-LT"/>
        </w:rPr>
      </w:pPr>
      <w:r w:rsidRPr="002C4825">
        <w:rPr>
          <w:lang w:val="lt-LT"/>
        </w:rPr>
        <w:t xml:space="preserve">Acetilcisteino vartojimas, ypač gydymo pradžioje, gali padidinti bronchų sekreto kiekį (bronchų sekreciją). Jeigu taip atsitinka ir pacientas negali pašalinti bronchų sekreto </w:t>
      </w:r>
      <w:r w:rsidR="00987269" w:rsidRPr="002C4825">
        <w:rPr>
          <w:lang w:val="lt-LT"/>
        </w:rPr>
        <w:t>kosėdamas</w:t>
      </w:r>
      <w:r w:rsidRPr="002C4825">
        <w:rPr>
          <w:lang w:val="lt-LT"/>
        </w:rPr>
        <w:t xml:space="preserve">, </w:t>
      </w:r>
      <w:r w:rsidR="00987269" w:rsidRPr="002C4825">
        <w:rPr>
          <w:lang w:val="lt-LT"/>
        </w:rPr>
        <w:t>būtina kreiptis į gydytoją, kuris parinks tinkamą būdą gleivių šalinimui (</w:t>
      </w:r>
      <w:r w:rsidRPr="002C4825">
        <w:rPr>
          <w:lang w:val="lt-LT"/>
        </w:rPr>
        <w:t xml:space="preserve">su kūno padėtimi susijęs drenažas </w:t>
      </w:r>
      <w:r w:rsidR="00987269" w:rsidRPr="002C4825">
        <w:rPr>
          <w:lang w:val="lt-LT"/>
        </w:rPr>
        <w:t xml:space="preserve">ar </w:t>
      </w:r>
      <w:r w:rsidRPr="002C4825">
        <w:rPr>
          <w:lang w:val="lt-LT"/>
        </w:rPr>
        <w:t>išsiurbimas</w:t>
      </w:r>
      <w:r w:rsidR="00987269" w:rsidRPr="002C4825">
        <w:rPr>
          <w:lang w:val="lt-LT"/>
        </w:rPr>
        <w:t>).</w:t>
      </w:r>
    </w:p>
    <w:p w14:paraId="59D7E00D" w14:textId="77777777" w:rsidR="00287EF6" w:rsidRPr="002C4825" w:rsidRDefault="00287EF6" w:rsidP="00287EF6">
      <w:pPr>
        <w:rPr>
          <w:lang w:val="lt-LT"/>
        </w:rPr>
      </w:pPr>
    </w:p>
    <w:p w14:paraId="3F16DFDA" w14:textId="4085B323" w:rsidR="00987269" w:rsidRPr="002C4825" w:rsidRDefault="00987269" w:rsidP="00987269">
      <w:pPr>
        <w:rPr>
          <w:lang w:val="lt-LT"/>
        </w:rPr>
      </w:pPr>
      <w:r w:rsidRPr="002C4825">
        <w:rPr>
          <w:lang w:val="lt-LT"/>
        </w:rPr>
        <w:t>Jeigu jaučiate sieros kvapą, nesijaudinkite, nes tai yra acetilcisteino savybė ir nereiškia, kad vaistas pakito.</w:t>
      </w:r>
    </w:p>
    <w:p w14:paraId="64362B3E" w14:textId="0D25C816" w:rsidR="00987269" w:rsidRPr="002C4825" w:rsidRDefault="00987269" w:rsidP="00987269">
      <w:pPr>
        <w:rPr>
          <w:lang w:val="lt-LT"/>
        </w:rPr>
      </w:pPr>
    </w:p>
    <w:p w14:paraId="7D79B04E" w14:textId="29BBB32A" w:rsidR="00987269" w:rsidRPr="002C4825" w:rsidRDefault="00987269" w:rsidP="00987269">
      <w:pPr>
        <w:rPr>
          <w:snapToGrid w:val="0"/>
          <w:szCs w:val="24"/>
          <w:lang w:val="lt-LT"/>
        </w:rPr>
      </w:pPr>
      <w:r w:rsidRPr="002C4825">
        <w:rPr>
          <w:lang w:val="lt-LT"/>
        </w:rPr>
        <w:t xml:space="preserve">Laboratoriniai tyrimai. </w:t>
      </w:r>
      <w:r w:rsidR="00923A4C" w:rsidRPr="002C4825">
        <w:rPr>
          <w:lang w:val="lt-LT"/>
        </w:rPr>
        <w:t xml:space="preserve">Acetilcisteinas gali </w:t>
      </w:r>
      <w:r w:rsidR="00923A4C" w:rsidRPr="002C4825">
        <w:rPr>
          <w:snapToGrid w:val="0"/>
          <w:szCs w:val="24"/>
          <w:lang w:val="lt-LT"/>
        </w:rPr>
        <w:t>daryti įtaką kai kurių kraujo ir šlapimo laboratorinių tyrimų rezultatams (</w:t>
      </w:r>
      <w:r w:rsidR="00923A4C" w:rsidRPr="002C4825">
        <w:rPr>
          <w:snapToGrid w:val="0"/>
          <w:lang w:val="lt-LT"/>
        </w:rPr>
        <w:t>kolorimetrinio salicilatų nustatymo tyrimo ir ketoninių kūnų nustatymo šlapime</w:t>
      </w:r>
      <w:r w:rsidR="00923A4C" w:rsidRPr="002C4825">
        <w:rPr>
          <w:snapToGrid w:val="0"/>
          <w:szCs w:val="24"/>
          <w:lang w:val="lt-LT"/>
        </w:rPr>
        <w:t>). Pasakykite gydytojui, kad vartojate šį vaistą, prieš atliekant tyrimus.</w:t>
      </w:r>
    </w:p>
    <w:p w14:paraId="20D51CAA" w14:textId="2AB96766" w:rsidR="00923A4C" w:rsidRPr="002C4825" w:rsidRDefault="00923A4C" w:rsidP="00987269">
      <w:pPr>
        <w:rPr>
          <w:snapToGrid w:val="0"/>
          <w:szCs w:val="24"/>
          <w:lang w:val="lt-LT"/>
        </w:rPr>
      </w:pPr>
    </w:p>
    <w:p w14:paraId="25C06C07" w14:textId="3E4A815D" w:rsidR="00923A4C" w:rsidRPr="002C4825" w:rsidRDefault="00923A4C" w:rsidP="009056FC">
      <w:pPr>
        <w:keepNext/>
        <w:rPr>
          <w:b/>
          <w:bCs/>
          <w:lang w:val="lt-LT"/>
        </w:rPr>
      </w:pPr>
      <w:r w:rsidRPr="002C4825">
        <w:rPr>
          <w:b/>
          <w:bCs/>
          <w:snapToGrid w:val="0"/>
          <w:szCs w:val="24"/>
          <w:lang w:val="lt-LT"/>
        </w:rPr>
        <w:t>Kiti vaistai ir Wintrozen</w:t>
      </w:r>
    </w:p>
    <w:p w14:paraId="0F549217" w14:textId="407DAA9E" w:rsidR="00287EF6" w:rsidRPr="002C4825" w:rsidRDefault="00923A4C" w:rsidP="009056FC">
      <w:pPr>
        <w:keepNext/>
        <w:ind w:right="-2"/>
        <w:rPr>
          <w:bCs/>
          <w:lang w:val="lt-LT"/>
        </w:rPr>
      </w:pPr>
      <w:r w:rsidRPr="002C4825">
        <w:rPr>
          <w:bCs/>
          <w:lang w:val="lt-LT"/>
        </w:rPr>
        <w:t>Jeigu vartojate ar neseniai vartojote kitų vaistų arba dėl to nesate tikri, apie tai pasakykite gydytojui arba vaistininkui.</w:t>
      </w:r>
    </w:p>
    <w:p w14:paraId="300738C1" w14:textId="20191749" w:rsidR="00923A4C" w:rsidRPr="002C4825" w:rsidRDefault="00923A4C" w:rsidP="00287EF6">
      <w:pPr>
        <w:ind w:right="-2"/>
        <w:rPr>
          <w:bCs/>
          <w:lang w:val="lt-LT"/>
        </w:rPr>
      </w:pPr>
    </w:p>
    <w:p w14:paraId="7D9F16D2" w14:textId="34DD22B0" w:rsidR="00923A4C" w:rsidRPr="002C4825" w:rsidRDefault="00923A4C" w:rsidP="00287EF6">
      <w:pPr>
        <w:ind w:right="-2"/>
        <w:rPr>
          <w:bCs/>
          <w:lang w:val="lt-LT"/>
        </w:rPr>
      </w:pPr>
      <w:r w:rsidRPr="002C4825">
        <w:rPr>
          <w:bCs/>
          <w:lang w:val="lt-LT"/>
        </w:rPr>
        <w:t>Nevartokite šio vaisto, jeigu vartojate:</w:t>
      </w:r>
    </w:p>
    <w:p w14:paraId="2288894A" w14:textId="36DE2178" w:rsidR="00923A4C" w:rsidRPr="002C4825" w:rsidRDefault="003B4A2F" w:rsidP="00923A4C">
      <w:pPr>
        <w:pStyle w:val="Sraopastraipa"/>
        <w:numPr>
          <w:ilvl w:val="0"/>
          <w:numId w:val="4"/>
        </w:numPr>
        <w:ind w:left="567" w:right="-2" w:hanging="567"/>
        <w:rPr>
          <w:bCs/>
          <w:lang w:val="lt-LT"/>
        </w:rPr>
      </w:pPr>
      <w:r w:rsidRPr="002C4825">
        <w:rPr>
          <w:bCs/>
          <w:lang w:val="lt-LT"/>
        </w:rPr>
        <w:t>vaistų nuo kosulio, nes tai gali paskatinti gleivių susikaupimą bronchuose.</w:t>
      </w:r>
    </w:p>
    <w:p w14:paraId="02B6BE95" w14:textId="031CCEB8" w:rsidR="003B4A2F" w:rsidRPr="002C4825" w:rsidRDefault="003B4A2F" w:rsidP="003B4A2F">
      <w:pPr>
        <w:ind w:right="-2"/>
        <w:rPr>
          <w:bCs/>
          <w:lang w:val="lt-LT"/>
        </w:rPr>
      </w:pPr>
    </w:p>
    <w:p w14:paraId="03330E29" w14:textId="5FF56DAD" w:rsidR="003B4A2F" w:rsidRPr="002C4825" w:rsidRDefault="003B4A2F" w:rsidP="003B4A2F">
      <w:pPr>
        <w:ind w:right="-2"/>
        <w:rPr>
          <w:bCs/>
          <w:lang w:val="lt-LT"/>
        </w:rPr>
      </w:pPr>
      <w:r w:rsidRPr="002C4825">
        <w:rPr>
          <w:bCs/>
          <w:lang w:val="lt-LT"/>
        </w:rPr>
        <w:t xml:space="preserve">Atsargiai vartokite šį vaistą </w:t>
      </w:r>
      <w:r w:rsidR="00DB2ED4" w:rsidRPr="002C4825">
        <w:rPr>
          <w:bCs/>
          <w:lang w:val="lt-LT"/>
        </w:rPr>
        <w:t>ir pasakykite gydytojui, jeigu vartojate šiuos vaistus:</w:t>
      </w:r>
    </w:p>
    <w:p w14:paraId="657D6D79" w14:textId="7558AA59" w:rsidR="00DB2ED4" w:rsidRPr="002C4825" w:rsidRDefault="00DB2ED4" w:rsidP="00DB2ED4">
      <w:pPr>
        <w:pStyle w:val="Sraopastraipa"/>
        <w:numPr>
          <w:ilvl w:val="0"/>
          <w:numId w:val="4"/>
        </w:numPr>
        <w:ind w:left="567" w:right="-2" w:hanging="567"/>
        <w:rPr>
          <w:bCs/>
          <w:lang w:val="lt-LT"/>
        </w:rPr>
      </w:pPr>
      <w:r w:rsidRPr="002C4825">
        <w:rPr>
          <w:bCs/>
          <w:lang w:val="lt-LT"/>
        </w:rPr>
        <w:t>aktyvintosios anglies, naudojamos gydyti virškinimo sutrikimus ar šalinti žarnyne susikaupusias dujas (meteorizmą), nes gali mažinti Wintrozen poveikį;</w:t>
      </w:r>
    </w:p>
    <w:p w14:paraId="66C52796" w14:textId="1DF551AF" w:rsidR="00DB2ED4" w:rsidRPr="002C4825" w:rsidRDefault="00DB2ED4" w:rsidP="00DB2ED4">
      <w:pPr>
        <w:pStyle w:val="Sraopastraipa"/>
        <w:numPr>
          <w:ilvl w:val="0"/>
          <w:numId w:val="4"/>
        </w:numPr>
        <w:ind w:left="567" w:right="-2" w:hanging="567"/>
        <w:rPr>
          <w:bCs/>
          <w:lang w:val="lt-LT"/>
        </w:rPr>
      </w:pPr>
      <w:r w:rsidRPr="002C4825">
        <w:rPr>
          <w:bCs/>
          <w:lang w:val="lt-LT"/>
        </w:rPr>
        <w:t>geriamuosius vaistus infekcijų gydymui (antibiotikus), išskyrus lorakarbefą. Vartokite šiuos vaistus dvi valandas prieš arba po Wintrozen vartojimo;</w:t>
      </w:r>
    </w:p>
    <w:p w14:paraId="674B6690" w14:textId="39D08BCA" w:rsidR="00DB2ED4" w:rsidRPr="002C4825" w:rsidRDefault="00DB2ED4" w:rsidP="00EE621D">
      <w:pPr>
        <w:pStyle w:val="Sraopastraipa"/>
        <w:numPr>
          <w:ilvl w:val="0"/>
          <w:numId w:val="4"/>
        </w:numPr>
        <w:ind w:left="567" w:right="-2" w:hanging="567"/>
        <w:rPr>
          <w:bCs/>
          <w:lang w:val="lt-LT"/>
        </w:rPr>
      </w:pPr>
      <w:r w:rsidRPr="002C4825">
        <w:rPr>
          <w:lang w:val="lt-LT"/>
        </w:rPr>
        <w:t xml:space="preserve">glicerolio trinitrato (nitroglicerino), </w:t>
      </w:r>
      <w:r w:rsidR="00224160" w:rsidRPr="002C4825">
        <w:rPr>
          <w:lang w:val="lt-LT"/>
        </w:rPr>
        <w:t>naudojamo kai kuriems širdies sutrikimams gydyti. Šio vaisto vartojimas kartu su Wintrozen gali pasireikšti kraujo spaudimo sumažėjimas (hipotenzija) ir galvos skausmas (cefalija). Tokiu atveju, gydytojas atliks griežtą kontrolę.</w:t>
      </w:r>
    </w:p>
    <w:p w14:paraId="108F9070" w14:textId="49BAFF02" w:rsidR="00224160" w:rsidRPr="002C4825" w:rsidRDefault="00224160" w:rsidP="00224160">
      <w:pPr>
        <w:ind w:right="-2"/>
        <w:rPr>
          <w:bCs/>
          <w:lang w:val="lt-LT"/>
        </w:rPr>
      </w:pPr>
    </w:p>
    <w:p w14:paraId="26718CB0" w14:textId="77777777" w:rsidR="00224160" w:rsidRPr="002C4825" w:rsidRDefault="00224160" w:rsidP="009056FC">
      <w:pPr>
        <w:keepNext/>
        <w:tabs>
          <w:tab w:val="left" w:pos="5954"/>
        </w:tabs>
        <w:rPr>
          <w:b/>
          <w:lang w:val="lt-LT"/>
        </w:rPr>
      </w:pPr>
      <w:r w:rsidRPr="002C4825">
        <w:rPr>
          <w:b/>
          <w:lang w:val="lt-LT"/>
        </w:rPr>
        <w:t>Nėštumas ir žindymo laikotarpis</w:t>
      </w:r>
    </w:p>
    <w:p w14:paraId="6D2F133A" w14:textId="77777777" w:rsidR="00224160" w:rsidRPr="002C4825" w:rsidRDefault="00224160" w:rsidP="009056FC">
      <w:pPr>
        <w:keepNext/>
        <w:rPr>
          <w:lang w:val="lt-LT"/>
        </w:rPr>
      </w:pPr>
      <w:r w:rsidRPr="002C4825">
        <w:rPr>
          <w:lang w:val="lt-LT"/>
        </w:rPr>
        <w:t>Jeigu esate nėščia, žindote kūdikį, manote, kad galbūt esate nėščia, arba planuojate pastoti, tai prieš vartodama šį vaistą, pasitarkite su gydytoju arba vaistininku.</w:t>
      </w:r>
    </w:p>
    <w:p w14:paraId="22EEB155" w14:textId="77777777" w:rsidR="00224160" w:rsidRPr="002C4825" w:rsidRDefault="00224160" w:rsidP="00224160">
      <w:pPr>
        <w:rPr>
          <w:lang w:val="lt-LT"/>
        </w:rPr>
      </w:pPr>
    </w:p>
    <w:p w14:paraId="41DFD973" w14:textId="00A4FC7F" w:rsidR="00224160" w:rsidRPr="002C4825" w:rsidRDefault="00224160" w:rsidP="00224160">
      <w:pPr>
        <w:rPr>
          <w:lang w:val="lt-LT"/>
        </w:rPr>
      </w:pPr>
      <w:r w:rsidRPr="002C4825">
        <w:rPr>
          <w:lang w:val="lt-LT"/>
        </w:rPr>
        <w:t>Kadangi acetilcisteino vartojimo nėštumo ir žindymo laikotarpiu patirties nepakanka, vartoti Wintrozen nėštumo ir žindymo metu Jūs galite tiktai jeigu Jūsų gydytojas mano, jog šis vaistas yra neabejotinai būtinas.</w:t>
      </w:r>
    </w:p>
    <w:p w14:paraId="25D5D003" w14:textId="547754F3" w:rsidR="00224160" w:rsidRPr="002C4825" w:rsidRDefault="00224160" w:rsidP="00224160">
      <w:pPr>
        <w:ind w:right="-2"/>
        <w:rPr>
          <w:bCs/>
          <w:lang w:val="lt-LT"/>
        </w:rPr>
      </w:pPr>
    </w:p>
    <w:p w14:paraId="0102CCB1" w14:textId="67639340" w:rsidR="00224160" w:rsidRPr="002C4825" w:rsidRDefault="00224160" w:rsidP="00224160">
      <w:pPr>
        <w:ind w:right="-2"/>
        <w:rPr>
          <w:b/>
          <w:lang w:val="lt-LT"/>
        </w:rPr>
      </w:pPr>
      <w:r w:rsidRPr="002C4825">
        <w:rPr>
          <w:b/>
          <w:lang w:val="lt-LT"/>
        </w:rPr>
        <w:t>Vairavimas ir mechanizmų valdymas</w:t>
      </w:r>
    </w:p>
    <w:p w14:paraId="7214DA2F" w14:textId="25033868" w:rsidR="00224160" w:rsidRPr="002C4825" w:rsidRDefault="00224160" w:rsidP="00224160">
      <w:pPr>
        <w:ind w:right="-2"/>
        <w:rPr>
          <w:b/>
          <w:lang w:val="lt-LT"/>
        </w:rPr>
      </w:pPr>
    </w:p>
    <w:p w14:paraId="0797C706" w14:textId="486AE192" w:rsidR="00224160" w:rsidRPr="002C4825" w:rsidRDefault="00224160" w:rsidP="00224160">
      <w:pPr>
        <w:ind w:right="-2"/>
        <w:rPr>
          <w:bCs/>
          <w:lang w:val="lt-LT"/>
        </w:rPr>
      </w:pPr>
      <w:r w:rsidRPr="002C4825">
        <w:rPr>
          <w:bCs/>
          <w:lang w:val="lt-LT"/>
        </w:rPr>
        <w:t>Wintrozen</w:t>
      </w:r>
      <w:r w:rsidRPr="002C4825">
        <w:rPr>
          <w:b/>
          <w:lang w:val="lt-LT"/>
        </w:rPr>
        <w:t xml:space="preserve"> </w:t>
      </w:r>
      <w:r w:rsidRPr="002C4825">
        <w:rPr>
          <w:bCs/>
          <w:lang w:val="lt-LT"/>
        </w:rPr>
        <w:t>įtakos gebėjimui vairuoti ir valdyti mechanizmus neturi.</w:t>
      </w:r>
    </w:p>
    <w:p w14:paraId="475C7A47" w14:textId="41CBC046" w:rsidR="00EE621D" w:rsidRPr="002C4825" w:rsidRDefault="00EE621D" w:rsidP="00224160">
      <w:pPr>
        <w:ind w:right="-2"/>
        <w:rPr>
          <w:bCs/>
          <w:lang w:val="lt-LT"/>
        </w:rPr>
      </w:pPr>
    </w:p>
    <w:p w14:paraId="3BBE9250" w14:textId="6260CA2D" w:rsidR="00EE621D" w:rsidRPr="002C4825" w:rsidRDefault="00EE621D" w:rsidP="009056FC">
      <w:pPr>
        <w:keepNext/>
        <w:rPr>
          <w:b/>
          <w:bCs/>
          <w:lang w:val="lt-LT"/>
        </w:rPr>
      </w:pPr>
      <w:r w:rsidRPr="002C4825">
        <w:rPr>
          <w:b/>
          <w:bCs/>
          <w:lang w:val="lt-LT"/>
        </w:rPr>
        <w:t>Wintrozen sudėtyje yra natrio</w:t>
      </w:r>
    </w:p>
    <w:p w14:paraId="409C0609" w14:textId="4934FD5F" w:rsidR="00EE621D" w:rsidRPr="002C4825" w:rsidRDefault="00EE621D" w:rsidP="009056FC">
      <w:pPr>
        <w:keepNext/>
        <w:tabs>
          <w:tab w:val="left" w:pos="425"/>
        </w:tabs>
        <w:rPr>
          <w:lang w:val="lt-LT"/>
        </w:rPr>
      </w:pPr>
      <w:r w:rsidRPr="002C4825">
        <w:rPr>
          <w:lang w:val="lt-LT"/>
        </w:rPr>
        <w:t>Kiekvienoje šio vaisto šnypščiojoje tabletėje yra 194 mg natrio (valgomosios druskos sudedamosios dalies). Tai atitinka 10 % didžiausios rekomenduojamos natrio paros normos suaugusiesiems.</w:t>
      </w:r>
    </w:p>
    <w:p w14:paraId="1C0633D5" w14:textId="363C6BA5" w:rsidR="00EE621D" w:rsidRDefault="00EE621D" w:rsidP="00EE621D">
      <w:pPr>
        <w:tabs>
          <w:tab w:val="left" w:pos="425"/>
        </w:tabs>
        <w:rPr>
          <w:lang w:val="lt-LT"/>
        </w:rPr>
      </w:pPr>
    </w:p>
    <w:p w14:paraId="46FA5C4D" w14:textId="77777777" w:rsidR="002C4825" w:rsidRPr="002C4825" w:rsidRDefault="002C4825" w:rsidP="00EE621D">
      <w:pPr>
        <w:tabs>
          <w:tab w:val="left" w:pos="425"/>
        </w:tabs>
        <w:rPr>
          <w:lang w:val="lt-LT"/>
        </w:rPr>
      </w:pPr>
    </w:p>
    <w:p w14:paraId="3F9D8337" w14:textId="7A157216" w:rsidR="00EE621D" w:rsidRPr="002C4825" w:rsidRDefault="00EE621D" w:rsidP="00EE621D">
      <w:pPr>
        <w:tabs>
          <w:tab w:val="left" w:pos="425"/>
        </w:tabs>
        <w:rPr>
          <w:b/>
          <w:lang w:val="lt-LT"/>
        </w:rPr>
      </w:pPr>
      <w:r w:rsidRPr="002C4825">
        <w:rPr>
          <w:b/>
          <w:lang w:val="lt-LT"/>
        </w:rPr>
        <w:t xml:space="preserve">3. </w:t>
      </w:r>
      <w:r w:rsidRPr="002C4825">
        <w:rPr>
          <w:b/>
          <w:lang w:val="lt-LT"/>
        </w:rPr>
        <w:tab/>
        <w:t>Kaip vartoti Wintrozen</w:t>
      </w:r>
    </w:p>
    <w:p w14:paraId="23C6A8A2" w14:textId="5233F9A8" w:rsidR="00EE621D" w:rsidRPr="002C4825" w:rsidRDefault="00EE621D" w:rsidP="00EE621D">
      <w:pPr>
        <w:tabs>
          <w:tab w:val="left" w:pos="425"/>
        </w:tabs>
        <w:rPr>
          <w:b/>
          <w:lang w:val="lt-LT"/>
        </w:rPr>
      </w:pPr>
    </w:p>
    <w:p w14:paraId="3FD8B22A" w14:textId="77777777" w:rsidR="00EE621D" w:rsidRPr="002C4825" w:rsidRDefault="00EE621D" w:rsidP="00EE621D">
      <w:pPr>
        <w:tabs>
          <w:tab w:val="left" w:pos="425"/>
        </w:tabs>
        <w:rPr>
          <w:lang w:val="lt-LT"/>
        </w:rPr>
      </w:pPr>
      <w:r w:rsidRPr="002C4825">
        <w:rPr>
          <w:noProof/>
          <w:lang w:val="lt-LT"/>
        </w:rPr>
        <w:t>Visada vartokite šį vaistą tiksliai kaip aprašyta šiame lapelyje arba kaip nurodė gydytojas arba vaistininkas</w:t>
      </w:r>
      <w:r w:rsidRPr="002C4825">
        <w:rPr>
          <w:lang w:val="lt-LT"/>
        </w:rPr>
        <w:t>. Jeigu abejojate, kreipkitės į gydytoją arba vaistininką.</w:t>
      </w:r>
    </w:p>
    <w:p w14:paraId="2EFD8623" w14:textId="77777777" w:rsidR="00EE621D" w:rsidRPr="002C4825" w:rsidRDefault="00EE621D" w:rsidP="00EE621D">
      <w:pPr>
        <w:tabs>
          <w:tab w:val="left" w:pos="425"/>
        </w:tabs>
        <w:rPr>
          <w:b/>
          <w:lang w:val="lt-LT"/>
        </w:rPr>
      </w:pPr>
    </w:p>
    <w:p w14:paraId="12E765AB" w14:textId="401E9D33" w:rsidR="00EE621D" w:rsidRPr="002C4825" w:rsidRDefault="00EE621D" w:rsidP="00EE621D">
      <w:pPr>
        <w:tabs>
          <w:tab w:val="left" w:pos="425"/>
        </w:tabs>
        <w:rPr>
          <w:bCs/>
          <w:u w:val="single"/>
          <w:lang w:val="lt-LT"/>
        </w:rPr>
      </w:pPr>
      <w:r w:rsidRPr="002C4825">
        <w:rPr>
          <w:bCs/>
          <w:u w:val="single"/>
          <w:lang w:val="lt-LT"/>
        </w:rPr>
        <w:t xml:space="preserve">Suaugusiems ir </w:t>
      </w:r>
      <w:r w:rsidR="00FD690A" w:rsidRPr="002C4825">
        <w:rPr>
          <w:lang w:val="lt-LT"/>
        </w:rPr>
        <w:t xml:space="preserve">vyresniems </w:t>
      </w:r>
      <w:r w:rsidR="00FD690A">
        <w:rPr>
          <w:lang w:val="lt-LT"/>
        </w:rPr>
        <w:t xml:space="preserve">kaip </w:t>
      </w:r>
      <w:r w:rsidRPr="002C4825">
        <w:rPr>
          <w:bCs/>
          <w:u w:val="single"/>
          <w:lang w:val="lt-LT"/>
        </w:rPr>
        <w:t>14 metų paaugliams</w:t>
      </w:r>
    </w:p>
    <w:p w14:paraId="2C6820F7" w14:textId="31C566F1" w:rsidR="00EE621D" w:rsidRPr="002C4825" w:rsidRDefault="00EE621D" w:rsidP="00EE621D">
      <w:pPr>
        <w:tabs>
          <w:tab w:val="left" w:pos="425"/>
        </w:tabs>
        <w:rPr>
          <w:bCs/>
          <w:u w:val="single"/>
          <w:lang w:val="lt-LT"/>
        </w:rPr>
      </w:pPr>
    </w:p>
    <w:p w14:paraId="7D0B02C4" w14:textId="29DEC70A" w:rsidR="00EE621D" w:rsidRPr="002C4825" w:rsidRDefault="00EE621D" w:rsidP="00EE621D">
      <w:pPr>
        <w:tabs>
          <w:tab w:val="left" w:pos="425"/>
        </w:tabs>
        <w:rPr>
          <w:lang w:val="lt-LT"/>
        </w:rPr>
      </w:pPr>
      <w:r w:rsidRPr="002C4825">
        <w:rPr>
          <w:bCs/>
          <w:lang w:val="lt-LT"/>
        </w:rPr>
        <w:t>Rekomenduojama dozė yra 1 tabletė (</w:t>
      </w:r>
      <w:r w:rsidRPr="002C4825">
        <w:rPr>
          <w:lang w:val="lt-LT"/>
        </w:rPr>
        <w:t>600 mg) vieną kartą per parą, vakare. Jūsų gydytojas gali pakeisti vartojimo dažnį ir dozę, neviršijant 600 mg didžiausios paros dozės.</w:t>
      </w:r>
    </w:p>
    <w:p w14:paraId="62869496" w14:textId="5FFF230B" w:rsidR="00EE621D" w:rsidRPr="002C4825" w:rsidRDefault="00EE621D" w:rsidP="00EE621D">
      <w:pPr>
        <w:tabs>
          <w:tab w:val="left" w:pos="425"/>
        </w:tabs>
        <w:rPr>
          <w:lang w:val="lt-LT"/>
        </w:rPr>
      </w:pPr>
    </w:p>
    <w:p w14:paraId="59F0540E" w14:textId="0B57A07C" w:rsidR="00EE621D" w:rsidRPr="002C4825" w:rsidRDefault="0059224B" w:rsidP="00EE621D">
      <w:pPr>
        <w:tabs>
          <w:tab w:val="left" w:pos="425"/>
        </w:tabs>
        <w:rPr>
          <w:lang w:val="lt-LT"/>
        </w:rPr>
      </w:pPr>
      <w:r w:rsidRPr="002C4825">
        <w:rPr>
          <w:lang w:val="lt-LT"/>
        </w:rPr>
        <w:t>Wintrozen negali būti vartojamas ilgiau nei 5 dienas.</w:t>
      </w:r>
    </w:p>
    <w:p w14:paraId="3BB479E8" w14:textId="15B5905A" w:rsidR="0059224B" w:rsidRPr="002C4825" w:rsidRDefault="0059224B" w:rsidP="00EE621D">
      <w:pPr>
        <w:tabs>
          <w:tab w:val="left" w:pos="425"/>
        </w:tabs>
        <w:rPr>
          <w:lang w:val="lt-LT"/>
        </w:rPr>
      </w:pPr>
    </w:p>
    <w:p w14:paraId="6259AE09" w14:textId="4B93FE5E" w:rsidR="009056FC" w:rsidRPr="002C4825" w:rsidRDefault="0059224B" w:rsidP="009056FC">
      <w:pPr>
        <w:keepNext/>
        <w:tabs>
          <w:tab w:val="left" w:pos="425"/>
        </w:tabs>
        <w:rPr>
          <w:bCs/>
          <w:u w:val="single"/>
          <w:lang w:val="lt-LT"/>
        </w:rPr>
      </w:pPr>
      <w:r w:rsidRPr="002C4825">
        <w:rPr>
          <w:bCs/>
          <w:u w:val="single"/>
          <w:lang w:val="lt-LT"/>
        </w:rPr>
        <w:t>Vartojimo metodas</w:t>
      </w:r>
    </w:p>
    <w:p w14:paraId="679CB0B9" w14:textId="77777777" w:rsidR="009056FC" w:rsidRPr="002C4825" w:rsidRDefault="009056FC" w:rsidP="009056FC">
      <w:pPr>
        <w:keepNext/>
        <w:rPr>
          <w:lang w:val="lt-LT"/>
        </w:rPr>
      </w:pPr>
      <w:r w:rsidRPr="002C4825">
        <w:rPr>
          <w:lang w:val="lt-LT"/>
        </w:rPr>
        <w:t xml:space="preserve">Vieną šnypščiąją tabletę ištirpinti stiklinėje vandens. </w:t>
      </w:r>
    </w:p>
    <w:p w14:paraId="3FAD7E58" w14:textId="7DD4CBD5" w:rsidR="009056FC" w:rsidRPr="002C4825" w:rsidRDefault="009056FC" w:rsidP="009056FC">
      <w:pPr>
        <w:keepNext/>
        <w:rPr>
          <w:lang w:val="lt-LT"/>
        </w:rPr>
      </w:pPr>
      <w:r w:rsidRPr="002C4825">
        <w:rPr>
          <w:lang w:val="lt-LT"/>
        </w:rPr>
        <w:t xml:space="preserve">Paruoštą tirpalą reikia išgerti per kelias minutes. </w:t>
      </w:r>
    </w:p>
    <w:p w14:paraId="2F21F07D" w14:textId="7855D064" w:rsidR="009056FC" w:rsidRPr="002C4825" w:rsidRDefault="009056FC" w:rsidP="009056FC">
      <w:pPr>
        <w:keepNext/>
        <w:tabs>
          <w:tab w:val="left" w:pos="425"/>
        </w:tabs>
        <w:rPr>
          <w:bCs/>
          <w:lang w:val="lt-LT"/>
        </w:rPr>
      </w:pPr>
      <w:r w:rsidRPr="002C4825">
        <w:rPr>
          <w:bCs/>
          <w:lang w:val="lt-LT"/>
        </w:rPr>
        <w:t>Rekomenduojama nemaišyti Wintrozen su kitais vaistais.</w:t>
      </w:r>
    </w:p>
    <w:p w14:paraId="0F28941A" w14:textId="22C66205" w:rsidR="009056FC" w:rsidRPr="002C4825" w:rsidRDefault="009056FC" w:rsidP="009056FC">
      <w:pPr>
        <w:tabs>
          <w:tab w:val="left" w:pos="425"/>
        </w:tabs>
        <w:rPr>
          <w:bCs/>
          <w:lang w:val="lt-LT"/>
        </w:rPr>
      </w:pPr>
    </w:p>
    <w:p w14:paraId="2FAB129D" w14:textId="0E638FF9" w:rsidR="009056FC" w:rsidRPr="002C4825" w:rsidRDefault="009056FC" w:rsidP="009056FC">
      <w:pPr>
        <w:keepNext/>
        <w:tabs>
          <w:tab w:val="left" w:pos="425"/>
        </w:tabs>
        <w:rPr>
          <w:b/>
          <w:lang w:val="lt-LT"/>
        </w:rPr>
      </w:pPr>
      <w:r w:rsidRPr="002C4825">
        <w:rPr>
          <w:b/>
          <w:lang w:val="lt-LT"/>
        </w:rPr>
        <w:t>Ką daryti pavartojus per didelę Wintrozen</w:t>
      </w:r>
      <w:r w:rsidRPr="002C4825">
        <w:rPr>
          <w:lang w:val="lt-LT"/>
        </w:rPr>
        <w:t xml:space="preserve"> </w:t>
      </w:r>
      <w:r w:rsidRPr="002C4825">
        <w:rPr>
          <w:b/>
          <w:lang w:val="lt-LT"/>
        </w:rPr>
        <w:t>dozę</w:t>
      </w:r>
    </w:p>
    <w:p w14:paraId="11E1DFA3" w14:textId="53FDA695" w:rsidR="009056FC" w:rsidRPr="002C4825" w:rsidRDefault="009056FC" w:rsidP="009056FC">
      <w:pPr>
        <w:keepNext/>
        <w:tabs>
          <w:tab w:val="left" w:pos="425"/>
        </w:tabs>
        <w:rPr>
          <w:bCs/>
          <w:lang w:val="lt-LT"/>
        </w:rPr>
      </w:pPr>
      <w:r w:rsidRPr="002C4825">
        <w:rPr>
          <w:bCs/>
          <w:lang w:val="lt-LT"/>
        </w:rPr>
        <w:t>Nėra pranešta apie perdozavimo atvejus. Perdozavimo simptomai gali būti pykinimas, vėmimas ir viduriavimas.</w:t>
      </w:r>
    </w:p>
    <w:p w14:paraId="44EC8B2E" w14:textId="657F9BCE" w:rsidR="009056FC" w:rsidRPr="002C4825" w:rsidRDefault="009056FC" w:rsidP="009056FC">
      <w:pPr>
        <w:keepNext/>
        <w:tabs>
          <w:tab w:val="left" w:pos="425"/>
        </w:tabs>
        <w:rPr>
          <w:lang w:val="lt-LT"/>
        </w:rPr>
      </w:pPr>
      <w:r w:rsidRPr="002C4825">
        <w:rPr>
          <w:lang w:val="lt-LT"/>
        </w:rPr>
        <w:t>Jei perdozavote ar nurijote šio vaisto, nedelsiant pasakykite savo gydytojui ar kreipkitės į artimiausią ligoninę.</w:t>
      </w:r>
    </w:p>
    <w:p w14:paraId="6B89166F" w14:textId="052E900C" w:rsidR="009056FC" w:rsidRPr="002C4825" w:rsidRDefault="009056FC" w:rsidP="009056FC">
      <w:pPr>
        <w:tabs>
          <w:tab w:val="left" w:pos="425"/>
        </w:tabs>
        <w:rPr>
          <w:lang w:val="lt-LT"/>
        </w:rPr>
      </w:pPr>
    </w:p>
    <w:p w14:paraId="6658C93D" w14:textId="7B8F1A6B" w:rsidR="009056FC" w:rsidRPr="002C4825" w:rsidRDefault="00CC5A98" w:rsidP="00CC5A98">
      <w:pPr>
        <w:keepNext/>
        <w:tabs>
          <w:tab w:val="left" w:pos="425"/>
        </w:tabs>
        <w:rPr>
          <w:bCs/>
          <w:lang w:val="lt-LT"/>
        </w:rPr>
      </w:pPr>
      <w:r w:rsidRPr="002C4825">
        <w:rPr>
          <w:b/>
          <w:lang w:val="lt-LT"/>
        </w:rPr>
        <w:t>Pamiršus pavartoti Wintrozen šnypščiųjų tablečių</w:t>
      </w:r>
    </w:p>
    <w:p w14:paraId="62AA2E22" w14:textId="4ECC7DDF" w:rsidR="00CC5A98" w:rsidRPr="002C4825" w:rsidRDefault="00CC5A98" w:rsidP="00CC5A98">
      <w:pPr>
        <w:keepNext/>
        <w:rPr>
          <w:lang w:val="lt-LT"/>
        </w:rPr>
      </w:pPr>
      <w:r w:rsidRPr="002C4825">
        <w:rPr>
          <w:lang w:val="lt-LT"/>
        </w:rPr>
        <w:t xml:space="preserve">Negalima vartoti dvigubos dozės norint kompensuoti praleistą dozę. </w:t>
      </w:r>
    </w:p>
    <w:p w14:paraId="35B8C3C4" w14:textId="77777777" w:rsidR="00CC5A98" w:rsidRPr="002C4825" w:rsidRDefault="00CC5A98" w:rsidP="00CC5A98">
      <w:pPr>
        <w:ind w:left="567" w:hanging="567"/>
        <w:rPr>
          <w:lang w:val="lt-LT"/>
        </w:rPr>
      </w:pPr>
      <w:r w:rsidRPr="002C4825">
        <w:rPr>
          <w:lang w:val="lt-LT"/>
        </w:rPr>
        <w:t>Jeigu kiltų daugiau klausimų dėl šio vaisto vartojimo, kreipkitės į gydytoją arba vaistininką.</w:t>
      </w:r>
    </w:p>
    <w:p w14:paraId="0C3B01E2" w14:textId="77777777" w:rsidR="00CC5A98" w:rsidRPr="002C4825" w:rsidRDefault="00CC5A98" w:rsidP="00CC5A98">
      <w:pPr>
        <w:rPr>
          <w:b/>
          <w:bCs/>
          <w:lang w:val="lt-LT"/>
        </w:rPr>
      </w:pPr>
    </w:p>
    <w:p w14:paraId="4EC4001C" w14:textId="77777777" w:rsidR="00CC5A98" w:rsidRPr="002C4825" w:rsidRDefault="00CC5A98" w:rsidP="00CC5A98">
      <w:pPr>
        <w:rPr>
          <w:b/>
          <w:bCs/>
          <w:lang w:val="lt-LT"/>
        </w:rPr>
      </w:pPr>
    </w:p>
    <w:p w14:paraId="5045172D" w14:textId="77777777" w:rsidR="00CC5A98" w:rsidRPr="002C4825" w:rsidRDefault="00CC5A98" w:rsidP="00CC5A98">
      <w:pPr>
        <w:tabs>
          <w:tab w:val="left" w:pos="540"/>
        </w:tabs>
        <w:rPr>
          <w:b/>
          <w:bCs/>
          <w:lang w:val="lt-LT"/>
        </w:rPr>
      </w:pPr>
      <w:r w:rsidRPr="002C4825">
        <w:rPr>
          <w:b/>
          <w:bCs/>
          <w:lang w:val="lt-LT"/>
        </w:rPr>
        <w:t>4.</w:t>
      </w:r>
      <w:r w:rsidRPr="002C4825">
        <w:rPr>
          <w:b/>
          <w:bCs/>
          <w:lang w:val="lt-LT"/>
        </w:rPr>
        <w:tab/>
        <w:t xml:space="preserve"> Galimas šalutinis poveikis</w:t>
      </w:r>
    </w:p>
    <w:p w14:paraId="79DD6D05" w14:textId="3BF580EB" w:rsidR="00CC5A98" w:rsidRPr="002C4825" w:rsidRDefault="00CC5A98" w:rsidP="009056FC">
      <w:pPr>
        <w:tabs>
          <w:tab w:val="left" w:pos="425"/>
        </w:tabs>
        <w:rPr>
          <w:bCs/>
          <w:lang w:val="lt-LT"/>
        </w:rPr>
      </w:pPr>
    </w:p>
    <w:p w14:paraId="77B5E352" w14:textId="77777777" w:rsidR="00CC5A98" w:rsidRPr="002C4825" w:rsidRDefault="00CC5A98" w:rsidP="00CC5A98">
      <w:pPr>
        <w:rPr>
          <w:lang w:val="lt-LT"/>
        </w:rPr>
      </w:pPr>
      <w:r w:rsidRPr="002C4825">
        <w:rPr>
          <w:lang w:val="lt-LT"/>
        </w:rPr>
        <w:t>Šis vaistas, kaip ir visi kiti, gali sukelti šalutinį poveikį, nors jis pasireiškia ne visiems žmonėms.</w:t>
      </w:r>
    </w:p>
    <w:p w14:paraId="72E1FA29" w14:textId="7C492400" w:rsidR="00CC5A98" w:rsidRPr="002C4825" w:rsidRDefault="00CC5A98" w:rsidP="009056FC">
      <w:pPr>
        <w:tabs>
          <w:tab w:val="left" w:pos="425"/>
        </w:tabs>
        <w:rPr>
          <w:bCs/>
          <w:lang w:val="lt-LT"/>
        </w:rPr>
      </w:pPr>
      <w:r w:rsidRPr="002C4825">
        <w:rPr>
          <w:bCs/>
          <w:lang w:val="lt-LT"/>
        </w:rPr>
        <w:t>Gali pasireikšti šie šalutiniai poveikiai:</w:t>
      </w:r>
    </w:p>
    <w:p w14:paraId="1CF7218B" w14:textId="4FCE899E" w:rsidR="00CC5A98" w:rsidRPr="002C4825" w:rsidRDefault="00CC5A98" w:rsidP="009056FC">
      <w:pPr>
        <w:tabs>
          <w:tab w:val="left" w:pos="425"/>
        </w:tabs>
        <w:rPr>
          <w:bCs/>
          <w:lang w:val="lt-LT"/>
        </w:rPr>
      </w:pPr>
    </w:p>
    <w:p w14:paraId="41824E1C" w14:textId="7C325AD4" w:rsidR="00CC5A98" w:rsidRPr="002C4825" w:rsidRDefault="00FE1075" w:rsidP="009056FC">
      <w:pPr>
        <w:tabs>
          <w:tab w:val="left" w:pos="425"/>
        </w:tabs>
        <w:rPr>
          <w:color w:val="000000"/>
          <w:lang w:val="lt-LT" w:eastAsia="sl-SI"/>
        </w:rPr>
      </w:pPr>
      <w:r w:rsidRPr="00FE1075">
        <w:rPr>
          <w:b/>
          <w:lang w:val="lt-LT"/>
        </w:rPr>
        <w:t>Nedažni šalutinio poveikio reiškiniai (gali pasireikšti rečiau kaip 1 iš 100 asmenų):</w:t>
      </w:r>
    </w:p>
    <w:p w14:paraId="765C9AEA" w14:textId="7DF4C71D" w:rsidR="00CC5A98" w:rsidRPr="002C4825" w:rsidRDefault="00CC5A98" w:rsidP="005F4E33">
      <w:pPr>
        <w:pStyle w:val="Sraopastraipa"/>
        <w:numPr>
          <w:ilvl w:val="0"/>
          <w:numId w:val="5"/>
        </w:numPr>
        <w:tabs>
          <w:tab w:val="left" w:pos="567"/>
        </w:tabs>
        <w:ind w:left="567" w:hanging="567"/>
        <w:rPr>
          <w:bCs/>
          <w:lang w:val="lt-LT"/>
        </w:rPr>
      </w:pPr>
      <w:r w:rsidRPr="002C4825">
        <w:rPr>
          <w:bCs/>
          <w:lang w:val="lt-LT"/>
        </w:rPr>
        <w:t>alerginė reakcija (padidėjusio jautrumo reakcija);</w:t>
      </w:r>
    </w:p>
    <w:p w14:paraId="0342FDB7" w14:textId="6665124F" w:rsidR="00CC5A98" w:rsidRPr="002C4825" w:rsidRDefault="00CC5A98" w:rsidP="005F4E33">
      <w:pPr>
        <w:pStyle w:val="Sraopastraipa"/>
        <w:numPr>
          <w:ilvl w:val="0"/>
          <w:numId w:val="5"/>
        </w:numPr>
        <w:tabs>
          <w:tab w:val="left" w:pos="567"/>
        </w:tabs>
        <w:ind w:left="567" w:hanging="567"/>
        <w:rPr>
          <w:bCs/>
          <w:lang w:val="lt-LT"/>
        </w:rPr>
      </w:pPr>
      <w:r w:rsidRPr="002C4825">
        <w:rPr>
          <w:bCs/>
          <w:lang w:val="lt-LT"/>
        </w:rPr>
        <w:t>galvos skausmas (cefalija);</w:t>
      </w:r>
    </w:p>
    <w:p w14:paraId="5437F19B" w14:textId="0D020BDC" w:rsidR="00CC5A98" w:rsidRPr="002C4825" w:rsidRDefault="00CC5A98" w:rsidP="005F4E33">
      <w:pPr>
        <w:pStyle w:val="Sraopastraipa"/>
        <w:numPr>
          <w:ilvl w:val="0"/>
          <w:numId w:val="5"/>
        </w:numPr>
        <w:tabs>
          <w:tab w:val="left" w:pos="567"/>
        </w:tabs>
        <w:ind w:left="567" w:hanging="567"/>
        <w:rPr>
          <w:bCs/>
          <w:lang w:val="lt-LT"/>
        </w:rPr>
      </w:pPr>
      <w:r w:rsidRPr="002C4825">
        <w:rPr>
          <w:bCs/>
          <w:lang w:val="lt-LT"/>
        </w:rPr>
        <w:t>spengimas ausyse (tinitas);</w:t>
      </w:r>
    </w:p>
    <w:p w14:paraId="4E7C3B49" w14:textId="0AC0A791" w:rsidR="00CC5A98" w:rsidRPr="002C4825" w:rsidRDefault="00CC5A98" w:rsidP="005F4E33">
      <w:pPr>
        <w:pStyle w:val="Sraopastraipa"/>
        <w:numPr>
          <w:ilvl w:val="0"/>
          <w:numId w:val="5"/>
        </w:numPr>
        <w:tabs>
          <w:tab w:val="left" w:pos="567"/>
        </w:tabs>
        <w:ind w:left="567" w:hanging="567"/>
        <w:rPr>
          <w:bCs/>
          <w:lang w:val="lt-LT"/>
        </w:rPr>
      </w:pPr>
      <w:r w:rsidRPr="002C4825">
        <w:rPr>
          <w:bCs/>
          <w:lang w:val="lt-LT"/>
        </w:rPr>
        <w:t>padidėjęs širdies ritmas (tachikardija)</w:t>
      </w:r>
    </w:p>
    <w:p w14:paraId="1BE926A4" w14:textId="1C857D2D" w:rsidR="00CC5A98" w:rsidRPr="002C4825" w:rsidRDefault="00CC5A98" w:rsidP="005F4E33">
      <w:pPr>
        <w:pStyle w:val="Sraopastraipa"/>
        <w:numPr>
          <w:ilvl w:val="0"/>
          <w:numId w:val="5"/>
        </w:numPr>
        <w:tabs>
          <w:tab w:val="left" w:pos="567"/>
        </w:tabs>
        <w:ind w:left="567" w:hanging="567"/>
        <w:rPr>
          <w:bCs/>
          <w:lang w:val="lt-LT"/>
        </w:rPr>
      </w:pPr>
      <w:r w:rsidRPr="002C4825">
        <w:rPr>
          <w:bCs/>
          <w:lang w:val="lt-LT"/>
        </w:rPr>
        <w:t>vėmimas, viduriavimas, burnos gleivinės uždegimas (stomatitas), pilvo skausmas, pykinimas</w:t>
      </w:r>
      <w:r w:rsidR="005F4E33" w:rsidRPr="002C4825">
        <w:rPr>
          <w:bCs/>
          <w:lang w:val="lt-LT"/>
        </w:rPr>
        <w:t>;</w:t>
      </w:r>
    </w:p>
    <w:p w14:paraId="481FE3E4" w14:textId="2EF9088C" w:rsidR="005F4E33" w:rsidRPr="002C4825" w:rsidRDefault="005F4E33" w:rsidP="005F4E33">
      <w:pPr>
        <w:pStyle w:val="Sraopastraipa"/>
        <w:numPr>
          <w:ilvl w:val="0"/>
          <w:numId w:val="5"/>
        </w:numPr>
        <w:tabs>
          <w:tab w:val="left" w:pos="567"/>
        </w:tabs>
        <w:ind w:left="567" w:hanging="567"/>
        <w:rPr>
          <w:bCs/>
          <w:lang w:val="lt-LT"/>
        </w:rPr>
      </w:pPr>
      <w:r w:rsidRPr="002C4825">
        <w:rPr>
          <w:bCs/>
          <w:lang w:val="lt-LT"/>
        </w:rPr>
        <w:t>niež</w:t>
      </w:r>
      <w:r w:rsidR="008E09B0">
        <w:rPr>
          <w:bCs/>
          <w:lang w:val="lt-LT"/>
        </w:rPr>
        <w:t>ėjimas</w:t>
      </w:r>
      <w:r w:rsidRPr="002C4825">
        <w:rPr>
          <w:bCs/>
          <w:lang w:val="lt-LT"/>
        </w:rPr>
        <w:t>, dilgėlinė, odos bėrimas;</w:t>
      </w:r>
    </w:p>
    <w:p w14:paraId="0851BFF8" w14:textId="36272E38" w:rsidR="005F4E33" w:rsidRPr="002C4825" w:rsidRDefault="005F4E33" w:rsidP="005F4E33">
      <w:pPr>
        <w:pStyle w:val="Sraopastraipa"/>
        <w:numPr>
          <w:ilvl w:val="0"/>
          <w:numId w:val="5"/>
        </w:numPr>
        <w:tabs>
          <w:tab w:val="left" w:pos="567"/>
        </w:tabs>
        <w:ind w:left="567" w:hanging="567"/>
        <w:rPr>
          <w:bCs/>
          <w:lang w:val="lt-LT"/>
        </w:rPr>
      </w:pPr>
      <w:r w:rsidRPr="002C4825">
        <w:rPr>
          <w:color w:val="000000"/>
          <w:lang w:val="lt-LT" w:eastAsia="sl-SI"/>
        </w:rPr>
        <w:t>veido, lūpų, liežuvio ir (arba) gerklės paburkimas, galintis sukelti rijimo ar kvėpavimo pasunkėjimą (angioneurozinė edema);</w:t>
      </w:r>
    </w:p>
    <w:p w14:paraId="1824DB4F" w14:textId="6F6E2888" w:rsidR="005F4E33" w:rsidRPr="002C4825" w:rsidRDefault="005F4E33" w:rsidP="005F4E33">
      <w:pPr>
        <w:pStyle w:val="Sraopastraipa"/>
        <w:numPr>
          <w:ilvl w:val="0"/>
          <w:numId w:val="5"/>
        </w:numPr>
        <w:tabs>
          <w:tab w:val="left" w:pos="567"/>
        </w:tabs>
        <w:ind w:left="567" w:hanging="567"/>
        <w:rPr>
          <w:bCs/>
          <w:lang w:val="lt-LT"/>
        </w:rPr>
      </w:pPr>
      <w:r w:rsidRPr="002C4825">
        <w:rPr>
          <w:color w:val="000000"/>
          <w:lang w:val="lt-LT" w:eastAsia="sl-SI"/>
        </w:rPr>
        <w:t>karščiavimas;</w:t>
      </w:r>
    </w:p>
    <w:p w14:paraId="7015EF3A" w14:textId="25DD3A93" w:rsidR="005F4E33" w:rsidRPr="002C4825" w:rsidRDefault="005F4E33" w:rsidP="005F4E33">
      <w:pPr>
        <w:pStyle w:val="Sraopastraipa"/>
        <w:numPr>
          <w:ilvl w:val="0"/>
          <w:numId w:val="5"/>
        </w:numPr>
        <w:tabs>
          <w:tab w:val="left" w:pos="567"/>
        </w:tabs>
        <w:ind w:left="567" w:hanging="567"/>
        <w:rPr>
          <w:bCs/>
          <w:lang w:val="lt-LT"/>
        </w:rPr>
      </w:pPr>
      <w:r w:rsidRPr="002C4825">
        <w:rPr>
          <w:color w:val="000000"/>
          <w:lang w:val="lt-LT" w:eastAsia="sl-SI"/>
        </w:rPr>
        <w:t>sumažėjęs kraujo spaudimas.</w:t>
      </w:r>
    </w:p>
    <w:p w14:paraId="331CE9BA" w14:textId="1F23853A" w:rsidR="005F4E33" w:rsidRPr="002C4825" w:rsidRDefault="005F4E33" w:rsidP="005F4E33">
      <w:pPr>
        <w:tabs>
          <w:tab w:val="left" w:pos="425"/>
        </w:tabs>
        <w:rPr>
          <w:bCs/>
          <w:lang w:val="lt-LT"/>
        </w:rPr>
      </w:pPr>
    </w:p>
    <w:p w14:paraId="30BAB9D1" w14:textId="748EBCBA" w:rsidR="005F4E33" w:rsidRPr="002C4825" w:rsidRDefault="00FE1075" w:rsidP="005F4E33">
      <w:pPr>
        <w:tabs>
          <w:tab w:val="left" w:pos="425"/>
        </w:tabs>
        <w:rPr>
          <w:lang w:val="lt-LT"/>
        </w:rPr>
      </w:pPr>
      <w:r w:rsidRPr="00FE1075">
        <w:rPr>
          <w:b/>
          <w:lang w:val="lt-LT"/>
        </w:rPr>
        <w:t>Reti šalutinio poveikio reiškiniai (gali pasireikšti rečiau kaip 1 iš 1 000 asmenų):</w:t>
      </w:r>
    </w:p>
    <w:p w14:paraId="5EDD3042" w14:textId="657E1E52" w:rsidR="005F4E33" w:rsidRPr="002C4825" w:rsidRDefault="005F4E33" w:rsidP="005F4E33">
      <w:pPr>
        <w:pStyle w:val="Sraopastraipa"/>
        <w:numPr>
          <w:ilvl w:val="0"/>
          <w:numId w:val="6"/>
        </w:numPr>
        <w:tabs>
          <w:tab w:val="left" w:pos="567"/>
        </w:tabs>
        <w:ind w:left="567" w:hanging="567"/>
        <w:rPr>
          <w:bCs/>
          <w:lang w:val="lt-LT"/>
        </w:rPr>
      </w:pPr>
      <w:r w:rsidRPr="002C4825">
        <w:rPr>
          <w:bCs/>
          <w:lang w:val="lt-LT"/>
        </w:rPr>
        <w:t>kvėpavimo raumenų susitraukimas (bronchų spazmas);</w:t>
      </w:r>
    </w:p>
    <w:p w14:paraId="325E0FB3" w14:textId="2460C1D3" w:rsidR="005F4E33" w:rsidRPr="002C4825" w:rsidRDefault="005F4E33" w:rsidP="005F4E33">
      <w:pPr>
        <w:pStyle w:val="Sraopastraipa"/>
        <w:numPr>
          <w:ilvl w:val="0"/>
          <w:numId w:val="6"/>
        </w:numPr>
        <w:tabs>
          <w:tab w:val="left" w:pos="567"/>
        </w:tabs>
        <w:ind w:left="567" w:hanging="567"/>
        <w:rPr>
          <w:bCs/>
          <w:lang w:val="lt-LT"/>
        </w:rPr>
      </w:pPr>
      <w:r w:rsidRPr="002C4825">
        <w:rPr>
          <w:bCs/>
          <w:lang w:val="lt-LT"/>
        </w:rPr>
        <w:t>dusulys (dispnėja);</w:t>
      </w:r>
    </w:p>
    <w:p w14:paraId="2EF87D5E" w14:textId="2FCE00DD" w:rsidR="005F4E33" w:rsidRPr="002C4825" w:rsidRDefault="005F4E33" w:rsidP="005F4E33">
      <w:pPr>
        <w:pStyle w:val="Sraopastraipa"/>
        <w:numPr>
          <w:ilvl w:val="0"/>
          <w:numId w:val="6"/>
        </w:numPr>
        <w:tabs>
          <w:tab w:val="left" w:pos="567"/>
        </w:tabs>
        <w:ind w:left="567" w:hanging="567"/>
        <w:rPr>
          <w:bCs/>
          <w:lang w:val="lt-LT"/>
        </w:rPr>
      </w:pPr>
      <w:r w:rsidRPr="002C4825">
        <w:rPr>
          <w:bCs/>
          <w:lang w:val="lt-LT"/>
        </w:rPr>
        <w:t>virškinimo sutrikimai (dispepsija).</w:t>
      </w:r>
    </w:p>
    <w:p w14:paraId="0D03F56E" w14:textId="79427008" w:rsidR="005F4E33" w:rsidRPr="002C4825" w:rsidRDefault="005F4E33" w:rsidP="005F4E33">
      <w:pPr>
        <w:tabs>
          <w:tab w:val="left" w:pos="567"/>
        </w:tabs>
        <w:rPr>
          <w:bCs/>
          <w:lang w:val="lt-LT"/>
        </w:rPr>
      </w:pPr>
    </w:p>
    <w:p w14:paraId="04D0C943" w14:textId="2DA37076" w:rsidR="005F4E33" w:rsidRPr="00FF6A87" w:rsidRDefault="00FE1075" w:rsidP="005F4E33">
      <w:pPr>
        <w:tabs>
          <w:tab w:val="left" w:pos="567"/>
        </w:tabs>
        <w:rPr>
          <w:b/>
          <w:lang w:val="lt-LT"/>
        </w:rPr>
      </w:pPr>
      <w:r w:rsidRPr="00FE1075">
        <w:rPr>
          <w:b/>
          <w:lang w:val="lt-LT"/>
        </w:rPr>
        <w:t>Labai reti šalutinio poveikio reiškiniai (gali pasireikšti rečiau kaip 1 iš 10</w:t>
      </w:r>
      <w:r w:rsidR="00B30C3D">
        <w:rPr>
          <w:b/>
          <w:lang w:val="lt-LT"/>
        </w:rPr>
        <w:t> </w:t>
      </w:r>
      <w:r w:rsidRPr="00FE1075">
        <w:rPr>
          <w:b/>
          <w:lang w:val="lt-LT"/>
        </w:rPr>
        <w:t>000 asmenų</w:t>
      </w:r>
      <w:r>
        <w:rPr>
          <w:b/>
          <w:lang w:val="lt-LT"/>
        </w:rPr>
        <w:t>):</w:t>
      </w:r>
    </w:p>
    <w:p w14:paraId="308DEC7E" w14:textId="77777777" w:rsidR="00FD1160" w:rsidRPr="002C4825" w:rsidRDefault="00FD1160" w:rsidP="005F4E33">
      <w:pPr>
        <w:pStyle w:val="Sraopastraipa"/>
        <w:numPr>
          <w:ilvl w:val="0"/>
          <w:numId w:val="7"/>
        </w:numPr>
        <w:tabs>
          <w:tab w:val="left" w:pos="567"/>
        </w:tabs>
        <w:ind w:left="567" w:hanging="567"/>
        <w:rPr>
          <w:b/>
          <w:lang w:val="lt-LT"/>
        </w:rPr>
      </w:pPr>
      <w:r w:rsidRPr="002C4825">
        <w:rPr>
          <w:bCs/>
          <w:lang w:val="lt-LT"/>
        </w:rPr>
        <w:t>sunkios alerginės reakcijos (anafilaksinis šokas, anafilaksinė/anafilaktoidinė reakcija);</w:t>
      </w:r>
    </w:p>
    <w:p w14:paraId="4F749770" w14:textId="3ABB85E5" w:rsidR="005F4E33" w:rsidRPr="002C4825" w:rsidRDefault="00FD1160" w:rsidP="005F4E33">
      <w:pPr>
        <w:pStyle w:val="Sraopastraipa"/>
        <w:numPr>
          <w:ilvl w:val="0"/>
          <w:numId w:val="7"/>
        </w:numPr>
        <w:tabs>
          <w:tab w:val="left" w:pos="567"/>
        </w:tabs>
        <w:ind w:left="567" w:hanging="567"/>
        <w:rPr>
          <w:b/>
          <w:lang w:val="lt-LT"/>
        </w:rPr>
      </w:pPr>
      <w:r w:rsidRPr="002C4825">
        <w:rPr>
          <w:bCs/>
          <w:lang w:val="lt-LT"/>
        </w:rPr>
        <w:t>kraujavimas (hemoragija).</w:t>
      </w:r>
    </w:p>
    <w:p w14:paraId="470C6E18" w14:textId="3BEF16FA" w:rsidR="00FD1160" w:rsidRPr="002C4825" w:rsidRDefault="00FD1160" w:rsidP="00FD1160">
      <w:pPr>
        <w:tabs>
          <w:tab w:val="left" w:pos="567"/>
        </w:tabs>
        <w:rPr>
          <w:b/>
          <w:lang w:val="lt-LT"/>
        </w:rPr>
      </w:pPr>
    </w:p>
    <w:p w14:paraId="5E51437E" w14:textId="0689E1B9" w:rsidR="00FD1160" w:rsidRPr="002C4825" w:rsidRDefault="00FE1075" w:rsidP="00FD1160">
      <w:pPr>
        <w:tabs>
          <w:tab w:val="left" w:pos="567"/>
        </w:tabs>
        <w:rPr>
          <w:lang w:val="lt-LT"/>
        </w:rPr>
      </w:pPr>
      <w:r w:rsidRPr="00FE1075">
        <w:rPr>
          <w:b/>
          <w:lang w:val="lt-LT"/>
        </w:rPr>
        <w:t>Šalutinio poveikio reiškiniai, kurių dažnis nežinomas (negali būti apskaičiuotas pagal turimus duomenis):</w:t>
      </w:r>
    </w:p>
    <w:p w14:paraId="45B7A5BA" w14:textId="365FCCE2" w:rsidR="00FD1160" w:rsidRPr="002C4825" w:rsidRDefault="00FD1160" w:rsidP="00FD1160">
      <w:pPr>
        <w:pStyle w:val="Sraopastraipa"/>
        <w:numPr>
          <w:ilvl w:val="0"/>
          <w:numId w:val="8"/>
        </w:numPr>
        <w:tabs>
          <w:tab w:val="left" w:pos="567"/>
        </w:tabs>
        <w:ind w:left="567" w:hanging="567"/>
        <w:rPr>
          <w:b/>
          <w:lang w:val="lt-LT"/>
        </w:rPr>
      </w:pPr>
      <w:r w:rsidRPr="002C4825">
        <w:rPr>
          <w:lang w:val="lt-LT"/>
        </w:rPr>
        <w:t>veido patinimas (edema);</w:t>
      </w:r>
    </w:p>
    <w:p w14:paraId="05D63169" w14:textId="067F6B24" w:rsidR="00FD1160" w:rsidRPr="002C4825" w:rsidRDefault="00FD1160" w:rsidP="00FD1160">
      <w:pPr>
        <w:pStyle w:val="Sraopastraipa"/>
        <w:numPr>
          <w:ilvl w:val="0"/>
          <w:numId w:val="8"/>
        </w:numPr>
        <w:tabs>
          <w:tab w:val="left" w:pos="567"/>
        </w:tabs>
        <w:ind w:left="567" w:hanging="567"/>
        <w:rPr>
          <w:bCs/>
          <w:lang w:val="lt-LT"/>
        </w:rPr>
      </w:pPr>
      <w:r w:rsidRPr="002C4825">
        <w:rPr>
          <w:bCs/>
          <w:lang w:val="lt-LT"/>
        </w:rPr>
        <w:t>bronchų užsikimšimas (obstrukcija).</w:t>
      </w:r>
    </w:p>
    <w:p w14:paraId="613DE98A" w14:textId="6CD799EE" w:rsidR="00FD1160" w:rsidRPr="002C4825" w:rsidRDefault="00FD1160" w:rsidP="00FD1160">
      <w:pPr>
        <w:tabs>
          <w:tab w:val="left" w:pos="567"/>
        </w:tabs>
        <w:rPr>
          <w:bCs/>
          <w:lang w:val="lt-LT"/>
        </w:rPr>
      </w:pPr>
    </w:p>
    <w:p w14:paraId="7CAA3A2F" w14:textId="586D4DEB" w:rsidR="00FD1160" w:rsidRPr="002C4825" w:rsidRDefault="00FD1160" w:rsidP="00FD1160">
      <w:pPr>
        <w:ind w:right="-2"/>
        <w:rPr>
          <w:lang w:val="lt-LT"/>
        </w:rPr>
      </w:pPr>
      <w:r w:rsidRPr="002C4825">
        <w:rPr>
          <w:lang w:val="lt-LT"/>
        </w:rPr>
        <w:t>Labai retai gauta pranešimų apie sunkių odos reakcijų pasireiškimą (įskaitant Stivenso-Džonsono (</w:t>
      </w:r>
      <w:r w:rsidRPr="002C4825">
        <w:rPr>
          <w:i/>
          <w:lang w:val="lt-LT"/>
        </w:rPr>
        <w:t>Stevens-Johnson</w:t>
      </w:r>
      <w:r w:rsidRPr="002C4825">
        <w:rPr>
          <w:lang w:val="lt-LT"/>
        </w:rPr>
        <w:t>) sindromą ir Lajelio (</w:t>
      </w:r>
      <w:r w:rsidRPr="002C4825">
        <w:rPr>
          <w:i/>
          <w:lang w:val="lt-LT"/>
        </w:rPr>
        <w:t>Lyell</w:t>
      </w:r>
      <w:r w:rsidRPr="002C4825">
        <w:rPr>
          <w:lang w:val="lt-LT"/>
        </w:rPr>
        <w:t>) sindromą). Jeigu atsiranda odos ar gleivinės pokyčių, nutraukite vaisto vartojimą ir pasakykite savo gydytojui.</w:t>
      </w:r>
    </w:p>
    <w:p w14:paraId="74532183" w14:textId="34398312" w:rsidR="00FD1160" w:rsidRPr="002C4825" w:rsidRDefault="00FD1160" w:rsidP="00FD1160">
      <w:pPr>
        <w:ind w:right="-2"/>
        <w:rPr>
          <w:lang w:val="lt-LT"/>
        </w:rPr>
      </w:pPr>
    </w:p>
    <w:p w14:paraId="1D661359" w14:textId="6CDAC3FB" w:rsidR="00FD1160" w:rsidRPr="002C4825" w:rsidRDefault="00FD1160" w:rsidP="00FD1160">
      <w:pPr>
        <w:ind w:right="-2"/>
        <w:rPr>
          <w:lang w:val="lt-LT"/>
        </w:rPr>
      </w:pPr>
      <w:r w:rsidRPr="002C4825">
        <w:rPr>
          <w:lang w:val="lt-LT"/>
        </w:rPr>
        <w:t>Taip pat kreipkitės į  gydytoją, jeigu pasireiškė ilgesnis nei įprastai kraujavimo laikas (sumažėjęs kraujo plokštelių sulipimas).</w:t>
      </w:r>
    </w:p>
    <w:p w14:paraId="1F9D5272" w14:textId="7170A65E" w:rsidR="00FD1160" w:rsidRPr="002C4825" w:rsidRDefault="00FD1160" w:rsidP="00FD1160">
      <w:pPr>
        <w:ind w:right="-2"/>
        <w:rPr>
          <w:lang w:val="lt-LT"/>
        </w:rPr>
      </w:pPr>
    </w:p>
    <w:p w14:paraId="2838BBEE" w14:textId="77777777" w:rsidR="00FD1160" w:rsidRPr="002C4825" w:rsidRDefault="00FD1160" w:rsidP="00FD1160">
      <w:pPr>
        <w:rPr>
          <w:b/>
          <w:lang w:val="lt-LT"/>
        </w:rPr>
      </w:pPr>
      <w:r w:rsidRPr="002C4825">
        <w:rPr>
          <w:b/>
          <w:lang w:val="lt-LT"/>
        </w:rPr>
        <w:t>Pranešimas apie šalutinį poveikį</w:t>
      </w:r>
    </w:p>
    <w:p w14:paraId="29747375" w14:textId="467EE1C3" w:rsidR="00FD1160" w:rsidRPr="002C4825" w:rsidRDefault="00FE1075" w:rsidP="00FD1160">
      <w:pPr>
        <w:adjustRightInd w:val="0"/>
        <w:rPr>
          <w:color w:val="000000"/>
          <w:lang w:val="lt-LT" w:eastAsia="sl-SI"/>
        </w:rPr>
      </w:pPr>
      <w:r w:rsidRPr="00FE1075">
        <w:rPr>
          <w:lang w:val="lt-LT"/>
        </w:rPr>
        <w:t xml:space="preserve">Jeigu pasireiškė šalutinis poveikis, įskaitant šiame lapelyje nenurodytą, pasakykite gydytojui arba </w:t>
      </w:r>
      <w:r w:rsidRPr="00FE1075">
        <w:rPr>
          <w:lang w:val="lt-LT"/>
        </w:rPr>
        <w:lastRenderedPageBreak/>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w:t>
      </w:r>
    </w:p>
    <w:p w14:paraId="737E278B" w14:textId="470A5779" w:rsidR="00FD1160" w:rsidRDefault="00FD1160" w:rsidP="00FD1160">
      <w:pPr>
        <w:adjustRightInd w:val="0"/>
        <w:rPr>
          <w:color w:val="000000"/>
          <w:lang w:val="lt-LT" w:eastAsia="sl-SI"/>
        </w:rPr>
      </w:pPr>
    </w:p>
    <w:p w14:paraId="72CAA70D" w14:textId="77777777" w:rsidR="00EA0487" w:rsidRPr="002C4825" w:rsidRDefault="00EA0487" w:rsidP="00FD1160">
      <w:pPr>
        <w:adjustRightInd w:val="0"/>
        <w:rPr>
          <w:color w:val="000000"/>
          <w:lang w:val="lt-LT" w:eastAsia="sl-SI"/>
        </w:rPr>
      </w:pPr>
    </w:p>
    <w:p w14:paraId="09AB64E1" w14:textId="2C316E0E" w:rsidR="00FD1160" w:rsidRPr="002C4825" w:rsidRDefault="00FD1160" w:rsidP="00FD1160">
      <w:pPr>
        <w:ind w:right="-2"/>
        <w:rPr>
          <w:b/>
          <w:bCs/>
          <w:color w:val="000000"/>
          <w:lang w:val="lt-LT" w:eastAsia="sl-SI"/>
        </w:rPr>
      </w:pPr>
      <w:r w:rsidRPr="002C4825">
        <w:rPr>
          <w:b/>
          <w:bCs/>
          <w:color w:val="000000"/>
          <w:lang w:val="lt-LT" w:eastAsia="sl-SI"/>
        </w:rPr>
        <w:t>5.</w:t>
      </w:r>
      <w:r w:rsidRPr="002C4825">
        <w:rPr>
          <w:b/>
          <w:bCs/>
          <w:color w:val="000000"/>
          <w:lang w:val="lt-LT" w:eastAsia="sl-SI"/>
        </w:rPr>
        <w:tab/>
        <w:t>Kaip laikyti Wintrozen</w:t>
      </w:r>
    </w:p>
    <w:p w14:paraId="7F57DA76" w14:textId="6864D6BA" w:rsidR="00FD1160" w:rsidRPr="002C4825" w:rsidRDefault="00FD1160" w:rsidP="00FD1160">
      <w:pPr>
        <w:ind w:right="-2"/>
        <w:rPr>
          <w:b/>
          <w:bCs/>
          <w:color w:val="000000"/>
          <w:lang w:val="lt-LT" w:eastAsia="sl-SI"/>
        </w:rPr>
      </w:pPr>
    </w:p>
    <w:p w14:paraId="3D1683AD" w14:textId="77777777" w:rsidR="00FD1160" w:rsidRPr="002C4825" w:rsidRDefault="00FD1160" w:rsidP="00FD1160">
      <w:pPr>
        <w:numPr>
          <w:ilvl w:val="12"/>
          <w:numId w:val="0"/>
        </w:numPr>
        <w:ind w:right="-2"/>
        <w:rPr>
          <w:szCs w:val="24"/>
          <w:lang w:val="lt-LT"/>
        </w:rPr>
      </w:pPr>
      <w:r w:rsidRPr="002C4825">
        <w:rPr>
          <w:noProof/>
          <w:szCs w:val="24"/>
          <w:lang w:val="lt-LT"/>
        </w:rPr>
        <w:t>Šį vaistą laikykite vaikams nepastebimoje ir nepasiekiamoje vietoje.</w:t>
      </w:r>
    </w:p>
    <w:p w14:paraId="49A14D91" w14:textId="77777777" w:rsidR="00FD1160" w:rsidRPr="002C4825" w:rsidRDefault="00FD1160" w:rsidP="00FD1160">
      <w:pPr>
        <w:rPr>
          <w:lang w:val="lt-LT"/>
        </w:rPr>
      </w:pPr>
      <w:r w:rsidRPr="002C4825">
        <w:rPr>
          <w:bCs/>
          <w:lang w:val="lt-LT"/>
        </w:rPr>
        <w:t xml:space="preserve">Tūbelę laikyti sandariai uždarytą, kad </w:t>
      </w:r>
      <w:r w:rsidRPr="002C4825">
        <w:rPr>
          <w:lang w:val="lt-LT"/>
        </w:rPr>
        <w:t>vaistas būtų apsaugotas nuo šviesos ir drėgmės.</w:t>
      </w:r>
    </w:p>
    <w:p w14:paraId="1747BA80" w14:textId="08F3AA5D" w:rsidR="00FD1160" w:rsidRPr="002C4825" w:rsidRDefault="00A06B14" w:rsidP="00FD1160">
      <w:pPr>
        <w:adjustRightInd w:val="0"/>
        <w:rPr>
          <w:color w:val="000000"/>
          <w:lang w:val="lt-LT" w:eastAsia="sl-SI"/>
        </w:rPr>
      </w:pPr>
      <w:r w:rsidRPr="00AC2CD5">
        <w:rPr>
          <w:lang w:val="lt-LT"/>
        </w:rPr>
        <w:t>Šio vaisto laikymui specialių temperatū</w:t>
      </w:r>
      <w:r>
        <w:rPr>
          <w:lang w:val="lt-LT"/>
        </w:rPr>
        <w:t>ros sąlygų nereikalaujama</w:t>
      </w:r>
      <w:r w:rsidRPr="002C4825" w:rsidDel="00A06B14">
        <w:rPr>
          <w:lang w:val="lt-LT"/>
        </w:rPr>
        <w:t xml:space="preserve"> </w:t>
      </w:r>
    </w:p>
    <w:p w14:paraId="728B4296" w14:textId="4D92D911" w:rsidR="00FD1160" w:rsidRPr="002C4825" w:rsidRDefault="00FD1160" w:rsidP="00FD1160">
      <w:pPr>
        <w:adjustRightInd w:val="0"/>
        <w:rPr>
          <w:color w:val="000000"/>
          <w:lang w:val="lt-LT" w:eastAsia="sl-SI"/>
        </w:rPr>
      </w:pPr>
      <w:r w:rsidRPr="002C4825">
        <w:rPr>
          <w:color w:val="000000"/>
          <w:lang w:val="lt-LT" w:eastAsia="sl-SI"/>
        </w:rPr>
        <w:t>Ant dėžutės</w:t>
      </w:r>
      <w:r w:rsidR="00F77D2F">
        <w:rPr>
          <w:color w:val="000000"/>
          <w:lang w:val="lt-LT" w:eastAsia="sl-SI"/>
        </w:rPr>
        <w:t xml:space="preserve"> ir tūbelės</w:t>
      </w:r>
      <w:r w:rsidRPr="002C4825">
        <w:rPr>
          <w:color w:val="000000"/>
          <w:lang w:val="lt-LT" w:eastAsia="sl-SI"/>
        </w:rPr>
        <w:t xml:space="preserve"> po „EXP“ nurodytam tinkamumo laikui pasibaigus, šio vaisto vartoti negalima. Vaistas tinkamas vartoti iki paskutinės nurodyto mėnesio dienos.</w:t>
      </w:r>
    </w:p>
    <w:p w14:paraId="7F8E9321" w14:textId="77777777" w:rsidR="00FD1160" w:rsidRPr="002C4825" w:rsidRDefault="00FD1160" w:rsidP="00FD1160">
      <w:pPr>
        <w:ind w:right="-2"/>
        <w:rPr>
          <w:noProof/>
          <w:snapToGrid w:val="0"/>
          <w:lang w:val="lt-LT"/>
        </w:rPr>
      </w:pPr>
    </w:p>
    <w:p w14:paraId="7C742895" w14:textId="77777777" w:rsidR="009B7305" w:rsidRPr="002C4825" w:rsidRDefault="009B7305" w:rsidP="009B7305">
      <w:pPr>
        <w:adjustRightInd w:val="0"/>
        <w:rPr>
          <w:color w:val="000000"/>
          <w:lang w:val="lt-LT" w:eastAsia="sl-SI"/>
        </w:rPr>
      </w:pPr>
      <w:r w:rsidRPr="002C4825">
        <w:rPr>
          <w:color w:val="000000"/>
          <w:lang w:val="lt-LT" w:eastAsia="sl-SI"/>
        </w:rPr>
        <w:t>Vaistų negalima išmesti į kanalizaciją arba su buitinėmis atliekomis. Kaip išmesti nereikalingus vaistus, klauskite vaistininko. Šios priemonės padės apsaugoti aplinką.</w:t>
      </w:r>
    </w:p>
    <w:p w14:paraId="26391E8C" w14:textId="66E49A92" w:rsidR="00FD1160" w:rsidRDefault="00FD1160" w:rsidP="00FD1160">
      <w:pPr>
        <w:tabs>
          <w:tab w:val="left" w:pos="567"/>
        </w:tabs>
        <w:rPr>
          <w:bCs/>
          <w:lang w:val="lt-LT"/>
        </w:rPr>
      </w:pPr>
    </w:p>
    <w:p w14:paraId="6B0AC108" w14:textId="77777777" w:rsidR="002C4825" w:rsidRPr="002C4825" w:rsidRDefault="002C4825" w:rsidP="00FD1160">
      <w:pPr>
        <w:tabs>
          <w:tab w:val="left" w:pos="567"/>
        </w:tabs>
        <w:rPr>
          <w:bCs/>
          <w:lang w:val="lt-LT"/>
        </w:rPr>
      </w:pPr>
    </w:p>
    <w:p w14:paraId="14281E19" w14:textId="77777777" w:rsidR="009B7305" w:rsidRPr="002C4825" w:rsidRDefault="009B7305" w:rsidP="009B7305">
      <w:pPr>
        <w:adjustRightInd w:val="0"/>
        <w:rPr>
          <w:color w:val="000000"/>
          <w:lang w:val="lt-LT" w:eastAsia="sl-SI"/>
        </w:rPr>
      </w:pPr>
      <w:r w:rsidRPr="002C4825">
        <w:rPr>
          <w:b/>
          <w:bCs/>
          <w:color w:val="000000"/>
          <w:lang w:val="lt-LT" w:eastAsia="sl-SI"/>
        </w:rPr>
        <w:t>6.</w:t>
      </w:r>
      <w:r w:rsidRPr="002C4825">
        <w:rPr>
          <w:b/>
          <w:bCs/>
          <w:color w:val="000000"/>
          <w:lang w:val="lt-LT" w:eastAsia="sl-SI"/>
        </w:rPr>
        <w:tab/>
        <w:t>Pakuotės turinys ir kita informacija</w:t>
      </w:r>
    </w:p>
    <w:p w14:paraId="0CAABFA7" w14:textId="527125C8" w:rsidR="009B7305" w:rsidRPr="002C4825" w:rsidRDefault="009B7305" w:rsidP="00FD1160">
      <w:pPr>
        <w:tabs>
          <w:tab w:val="left" w:pos="567"/>
        </w:tabs>
        <w:rPr>
          <w:bCs/>
          <w:lang w:val="lt-LT"/>
        </w:rPr>
      </w:pPr>
    </w:p>
    <w:p w14:paraId="59C35075" w14:textId="7FEDAA9E" w:rsidR="009B7305" w:rsidRPr="002C4825" w:rsidRDefault="009B7305" w:rsidP="00FD1160">
      <w:pPr>
        <w:tabs>
          <w:tab w:val="left" w:pos="567"/>
        </w:tabs>
        <w:rPr>
          <w:b/>
          <w:lang w:val="lt-LT"/>
        </w:rPr>
      </w:pPr>
      <w:r w:rsidRPr="002C4825">
        <w:rPr>
          <w:b/>
          <w:lang w:val="lt-LT"/>
        </w:rPr>
        <w:t>Wintrozen sudėtis</w:t>
      </w:r>
    </w:p>
    <w:p w14:paraId="5BB76675" w14:textId="4CB35EA6" w:rsidR="009B7305" w:rsidRPr="002C4825" w:rsidRDefault="009B7305" w:rsidP="009B7305">
      <w:pPr>
        <w:pStyle w:val="Sraopastraipa"/>
        <w:numPr>
          <w:ilvl w:val="0"/>
          <w:numId w:val="9"/>
        </w:numPr>
        <w:tabs>
          <w:tab w:val="left" w:pos="567"/>
        </w:tabs>
        <w:ind w:left="567" w:hanging="567"/>
        <w:rPr>
          <w:bCs/>
          <w:lang w:val="lt-LT"/>
        </w:rPr>
      </w:pPr>
      <w:r w:rsidRPr="002C4825">
        <w:rPr>
          <w:bCs/>
          <w:lang w:val="lt-LT"/>
        </w:rPr>
        <w:t xml:space="preserve">Veiklioji medžiaga yra acetilcisteinas: </w:t>
      </w:r>
      <w:r w:rsidR="00F77D2F">
        <w:rPr>
          <w:bCs/>
          <w:lang w:val="lt-LT"/>
        </w:rPr>
        <w:t>kiek</w:t>
      </w:r>
      <w:r w:rsidRPr="002C4825">
        <w:rPr>
          <w:bCs/>
          <w:lang w:val="lt-LT"/>
        </w:rPr>
        <w:t>vienoje šnypščiojoje tabletėje yra 600 mg acetilcisteino.</w:t>
      </w:r>
    </w:p>
    <w:p w14:paraId="74BE12B6" w14:textId="69B3BC27" w:rsidR="009B7305" w:rsidRPr="002C4825" w:rsidRDefault="009B7305" w:rsidP="009B7305">
      <w:pPr>
        <w:pStyle w:val="Sraopastraipa"/>
        <w:numPr>
          <w:ilvl w:val="0"/>
          <w:numId w:val="9"/>
        </w:numPr>
        <w:tabs>
          <w:tab w:val="left" w:pos="567"/>
        </w:tabs>
        <w:ind w:left="567" w:hanging="567"/>
        <w:rPr>
          <w:lang w:val="lt-LT"/>
        </w:rPr>
      </w:pPr>
      <w:r w:rsidRPr="002C4825">
        <w:rPr>
          <w:bCs/>
          <w:lang w:val="lt-LT"/>
        </w:rPr>
        <w:t xml:space="preserve">Pagalbinės medžiagos: </w:t>
      </w:r>
      <w:r w:rsidRPr="002C4825">
        <w:rPr>
          <w:lang w:val="lt-LT"/>
        </w:rPr>
        <w:t>citrinų rūgštis, maltodekstrinas, natrio</w:t>
      </w:r>
      <w:r w:rsidR="00343E21">
        <w:rPr>
          <w:lang w:val="lt-LT"/>
        </w:rPr>
        <w:t>-vandenilio</w:t>
      </w:r>
      <w:r w:rsidRPr="002C4825">
        <w:rPr>
          <w:lang w:val="lt-LT"/>
        </w:rPr>
        <w:t xml:space="preserve"> karbonatas, apelsinų skonio medžiaga</w:t>
      </w:r>
      <w:r w:rsidR="00343E21">
        <w:rPr>
          <w:lang w:val="lt-LT"/>
        </w:rPr>
        <w:t xml:space="preserve"> (maltodekstrinas, gumiarabikas, askorbo rūgštis, butilhidroksianizolas (BHA)</w:t>
      </w:r>
      <w:r w:rsidRPr="002C4825">
        <w:rPr>
          <w:lang w:val="lt-LT"/>
        </w:rPr>
        <w:t>, leucinas, sacharino natrio druska.</w:t>
      </w:r>
    </w:p>
    <w:p w14:paraId="171DAD3F" w14:textId="0FCB50CE" w:rsidR="009B7305" w:rsidRPr="002C4825" w:rsidRDefault="009B7305" w:rsidP="009B7305">
      <w:pPr>
        <w:tabs>
          <w:tab w:val="left" w:pos="567"/>
        </w:tabs>
        <w:rPr>
          <w:bCs/>
          <w:lang w:val="lt-LT"/>
        </w:rPr>
      </w:pPr>
    </w:p>
    <w:p w14:paraId="3328BE5D" w14:textId="77777777" w:rsidR="009B7305" w:rsidRPr="002C4825" w:rsidRDefault="009B7305" w:rsidP="009B7305">
      <w:pPr>
        <w:adjustRightInd w:val="0"/>
        <w:rPr>
          <w:color w:val="000000"/>
          <w:lang w:val="lt-LT" w:eastAsia="sl-SI"/>
        </w:rPr>
      </w:pPr>
      <w:r w:rsidRPr="002C4825">
        <w:rPr>
          <w:b/>
          <w:lang w:val="lt-LT"/>
        </w:rPr>
        <w:t xml:space="preserve">Wintrozen </w:t>
      </w:r>
      <w:r w:rsidRPr="002C4825">
        <w:rPr>
          <w:b/>
          <w:bCs/>
          <w:color w:val="000000"/>
          <w:lang w:val="lt-LT" w:eastAsia="sl-SI"/>
        </w:rPr>
        <w:t>išvaizda ir kiekis pakuotėje</w:t>
      </w:r>
    </w:p>
    <w:p w14:paraId="05E79E92" w14:textId="2FCBCF3F" w:rsidR="009B7305" w:rsidRPr="002C4825" w:rsidRDefault="009B7305" w:rsidP="009B7305">
      <w:pPr>
        <w:tabs>
          <w:tab w:val="left" w:pos="567"/>
        </w:tabs>
        <w:rPr>
          <w:bCs/>
          <w:lang w:val="lt-LT"/>
        </w:rPr>
      </w:pPr>
      <w:r w:rsidRPr="002C4825">
        <w:rPr>
          <w:bCs/>
          <w:lang w:val="lt-LT"/>
        </w:rPr>
        <w:t xml:space="preserve">Wintrozen </w:t>
      </w:r>
      <w:r w:rsidR="00343E21">
        <w:rPr>
          <w:bCs/>
          <w:lang w:val="lt-LT"/>
        </w:rPr>
        <w:t>600 mg šnypščiosios tabletės</w:t>
      </w:r>
      <w:r w:rsidR="00343E21" w:rsidRPr="002C4825">
        <w:rPr>
          <w:bCs/>
          <w:lang w:val="lt-LT"/>
        </w:rPr>
        <w:t xml:space="preserve"> </w:t>
      </w:r>
      <w:r w:rsidRPr="002C4825">
        <w:rPr>
          <w:bCs/>
          <w:lang w:val="lt-LT"/>
        </w:rPr>
        <w:t xml:space="preserve">yra </w:t>
      </w:r>
      <w:r w:rsidR="00343E21">
        <w:rPr>
          <w:bCs/>
          <w:lang w:val="lt-LT"/>
        </w:rPr>
        <w:t xml:space="preserve">baltos spalvos, apvalios, </w:t>
      </w:r>
      <w:r w:rsidRPr="002C4825">
        <w:rPr>
          <w:bCs/>
          <w:lang w:val="lt-LT"/>
        </w:rPr>
        <w:t>plokščios tabletės, supakuotos į tūbeles.</w:t>
      </w:r>
    </w:p>
    <w:p w14:paraId="42804C25" w14:textId="7AC82A25" w:rsidR="009B7305" w:rsidRPr="002C4825" w:rsidRDefault="009B7305" w:rsidP="009B7305">
      <w:pPr>
        <w:tabs>
          <w:tab w:val="left" w:pos="567"/>
        </w:tabs>
        <w:rPr>
          <w:bCs/>
          <w:lang w:val="lt-LT"/>
        </w:rPr>
      </w:pPr>
      <w:r w:rsidRPr="002C4825">
        <w:rPr>
          <w:bCs/>
          <w:lang w:val="lt-LT"/>
        </w:rPr>
        <w:t xml:space="preserve">Vaistas tiekiamas kartoninėje dėžutėje, kurioje yra tūbelė su 10 arba 20 </w:t>
      </w:r>
      <w:r w:rsidR="00343E21">
        <w:rPr>
          <w:bCs/>
          <w:lang w:val="lt-LT"/>
        </w:rPr>
        <w:t xml:space="preserve">šnypščiųjų </w:t>
      </w:r>
      <w:r w:rsidRPr="002C4825">
        <w:rPr>
          <w:bCs/>
          <w:lang w:val="lt-LT"/>
        </w:rPr>
        <w:t>tablečių.</w:t>
      </w:r>
    </w:p>
    <w:p w14:paraId="4CB7666E" w14:textId="1D66EEE8" w:rsidR="009B7305" w:rsidRPr="002C4825" w:rsidRDefault="009B7305" w:rsidP="009B7305">
      <w:pPr>
        <w:tabs>
          <w:tab w:val="left" w:pos="567"/>
        </w:tabs>
        <w:rPr>
          <w:noProof/>
          <w:snapToGrid w:val="0"/>
          <w:lang w:val="lt-LT"/>
        </w:rPr>
      </w:pPr>
      <w:r w:rsidRPr="002C4825">
        <w:rPr>
          <w:noProof/>
          <w:snapToGrid w:val="0"/>
          <w:lang w:val="lt-LT"/>
        </w:rPr>
        <w:t>Gali būti tiekiamos ne visų dydžių pakuotės.</w:t>
      </w:r>
    </w:p>
    <w:p w14:paraId="10E80669" w14:textId="304AB29A" w:rsidR="009B7305" w:rsidRPr="002C4825" w:rsidRDefault="009B7305" w:rsidP="009B7305">
      <w:pPr>
        <w:tabs>
          <w:tab w:val="left" w:pos="567"/>
        </w:tabs>
        <w:rPr>
          <w:noProof/>
          <w:snapToGrid w:val="0"/>
          <w:lang w:val="lt-LT"/>
        </w:rPr>
      </w:pPr>
    </w:p>
    <w:p w14:paraId="3CB28A39" w14:textId="06F19D4A" w:rsidR="009B7305" w:rsidRDefault="009B7305" w:rsidP="009B7305">
      <w:pPr>
        <w:tabs>
          <w:tab w:val="left" w:pos="567"/>
        </w:tabs>
        <w:rPr>
          <w:b/>
          <w:bCs/>
          <w:noProof/>
          <w:snapToGrid w:val="0"/>
          <w:lang w:val="lt-LT"/>
        </w:rPr>
      </w:pPr>
      <w:r w:rsidRPr="002C4825">
        <w:rPr>
          <w:b/>
          <w:bCs/>
          <w:noProof/>
          <w:snapToGrid w:val="0"/>
          <w:lang w:val="lt-LT"/>
        </w:rPr>
        <w:t>Registruotojas ir gamintojas</w:t>
      </w:r>
    </w:p>
    <w:p w14:paraId="7E2BD514" w14:textId="77777777" w:rsidR="00891BD0" w:rsidRPr="002C4825" w:rsidRDefault="00891BD0" w:rsidP="009B7305">
      <w:pPr>
        <w:tabs>
          <w:tab w:val="left" w:pos="567"/>
        </w:tabs>
        <w:rPr>
          <w:b/>
          <w:bCs/>
          <w:noProof/>
          <w:snapToGrid w:val="0"/>
          <w:lang w:val="lt-LT"/>
        </w:rPr>
      </w:pPr>
    </w:p>
    <w:p w14:paraId="0FB3F8CC" w14:textId="002129C0" w:rsidR="009B7305" w:rsidRPr="002C4825" w:rsidRDefault="009B7305" w:rsidP="009B7305">
      <w:pPr>
        <w:rPr>
          <w:i/>
          <w:iCs/>
          <w:lang w:val="lt-LT"/>
        </w:rPr>
      </w:pPr>
      <w:r w:rsidRPr="002C4825">
        <w:rPr>
          <w:i/>
          <w:iCs/>
          <w:lang w:val="lt-LT"/>
        </w:rPr>
        <w:t>Registruotojas</w:t>
      </w:r>
    </w:p>
    <w:p w14:paraId="02E60502" w14:textId="0CBB7CEB" w:rsidR="009B7305" w:rsidRPr="002C4825" w:rsidRDefault="009B7305" w:rsidP="009B7305">
      <w:pPr>
        <w:rPr>
          <w:lang w:val="lt-LT"/>
        </w:rPr>
      </w:pPr>
      <w:r w:rsidRPr="002C4825">
        <w:rPr>
          <w:lang w:val="lt-LT"/>
        </w:rPr>
        <w:t>Zentiva, k.s.</w:t>
      </w:r>
    </w:p>
    <w:p w14:paraId="4D5AD15A" w14:textId="14ED0F28" w:rsidR="009B7305" w:rsidRPr="002C4825" w:rsidRDefault="009B7305" w:rsidP="009B7305">
      <w:pPr>
        <w:rPr>
          <w:lang w:val="lt-LT"/>
        </w:rPr>
      </w:pPr>
      <w:r w:rsidRPr="002C4825">
        <w:rPr>
          <w:lang w:val="lt-LT"/>
        </w:rPr>
        <w:t xml:space="preserve">U </w:t>
      </w:r>
      <w:r w:rsidR="00B30C3D">
        <w:rPr>
          <w:lang w:val="lt-LT"/>
        </w:rPr>
        <w:t>k</w:t>
      </w:r>
      <w:r w:rsidRPr="002C4825">
        <w:rPr>
          <w:lang w:val="lt-LT"/>
        </w:rPr>
        <w:t>abelovny 130</w:t>
      </w:r>
    </w:p>
    <w:p w14:paraId="59B80ACE" w14:textId="77777777" w:rsidR="00B30C3D" w:rsidRPr="0074523E" w:rsidRDefault="00B30C3D" w:rsidP="00B30C3D">
      <w:pPr>
        <w:rPr>
          <w:lang w:val="pl-PL"/>
        </w:rPr>
      </w:pPr>
      <w:r w:rsidRPr="0074523E">
        <w:rPr>
          <w:lang w:val="pl-PL"/>
        </w:rPr>
        <w:t>Dolní Měcholupy</w:t>
      </w:r>
    </w:p>
    <w:p w14:paraId="14EF1D7D" w14:textId="5DB64A06" w:rsidR="009B7305" w:rsidRPr="002C4825" w:rsidRDefault="009B7305" w:rsidP="009B7305">
      <w:pPr>
        <w:rPr>
          <w:lang w:val="lt-LT"/>
        </w:rPr>
      </w:pPr>
      <w:r w:rsidRPr="002C4825">
        <w:rPr>
          <w:lang w:val="lt-LT"/>
        </w:rPr>
        <w:t>102 37 Pra</w:t>
      </w:r>
      <w:r w:rsidR="00B30C3D">
        <w:rPr>
          <w:lang w:val="lt-LT"/>
        </w:rPr>
        <w:t>ha</w:t>
      </w:r>
      <w:r w:rsidRPr="002C4825">
        <w:rPr>
          <w:lang w:val="lt-LT"/>
        </w:rPr>
        <w:t xml:space="preserve"> 10</w:t>
      </w:r>
    </w:p>
    <w:p w14:paraId="344B0A52" w14:textId="134B69EB" w:rsidR="009B7305" w:rsidRPr="002C4825" w:rsidRDefault="009B7305" w:rsidP="009B7305">
      <w:pPr>
        <w:numPr>
          <w:ilvl w:val="12"/>
          <w:numId w:val="0"/>
        </w:numPr>
        <w:ind w:right="-2"/>
        <w:rPr>
          <w:lang w:val="lt-LT"/>
        </w:rPr>
      </w:pPr>
      <w:r w:rsidRPr="002C4825">
        <w:rPr>
          <w:lang w:val="lt-LT"/>
        </w:rPr>
        <w:t>Čekija</w:t>
      </w:r>
    </w:p>
    <w:p w14:paraId="4F2B1491" w14:textId="42C0EFB9" w:rsidR="009B7305" w:rsidRPr="002C4825" w:rsidRDefault="009B7305" w:rsidP="009B7305">
      <w:pPr>
        <w:numPr>
          <w:ilvl w:val="12"/>
          <w:numId w:val="0"/>
        </w:numPr>
        <w:ind w:right="-2"/>
        <w:rPr>
          <w:lang w:val="lt-LT"/>
        </w:rPr>
      </w:pPr>
    </w:p>
    <w:p w14:paraId="7EB97195" w14:textId="50891883" w:rsidR="009B7305" w:rsidRPr="002C4825" w:rsidRDefault="009B7305" w:rsidP="009B7305">
      <w:pPr>
        <w:numPr>
          <w:ilvl w:val="12"/>
          <w:numId w:val="0"/>
        </w:numPr>
        <w:ind w:right="-2"/>
        <w:rPr>
          <w:i/>
          <w:iCs/>
          <w:lang w:val="lt-LT"/>
        </w:rPr>
      </w:pPr>
      <w:r w:rsidRPr="002C4825">
        <w:rPr>
          <w:i/>
          <w:iCs/>
          <w:lang w:val="lt-LT"/>
        </w:rPr>
        <w:t>Gamintojas</w:t>
      </w:r>
    </w:p>
    <w:p w14:paraId="7CED332E" w14:textId="77777777" w:rsidR="009B7305" w:rsidRPr="002C4825" w:rsidRDefault="009B7305" w:rsidP="009B7305">
      <w:pPr>
        <w:numPr>
          <w:ilvl w:val="12"/>
          <w:numId w:val="0"/>
        </w:numPr>
        <w:ind w:right="-2"/>
        <w:rPr>
          <w:lang w:val="lt-LT" w:bidi="en-US"/>
        </w:rPr>
      </w:pPr>
      <w:r w:rsidRPr="002C4825">
        <w:rPr>
          <w:lang w:val="lt-LT" w:bidi="en-US"/>
        </w:rPr>
        <w:t>E-Pharma Trento S.p.A.</w:t>
      </w:r>
    </w:p>
    <w:p w14:paraId="1E4019B2" w14:textId="77777777" w:rsidR="009B7305" w:rsidRPr="002C4825" w:rsidRDefault="009B7305" w:rsidP="009B7305">
      <w:pPr>
        <w:numPr>
          <w:ilvl w:val="12"/>
          <w:numId w:val="0"/>
        </w:numPr>
        <w:ind w:right="-2"/>
        <w:rPr>
          <w:lang w:val="lt-LT" w:bidi="en-US"/>
        </w:rPr>
      </w:pPr>
      <w:r w:rsidRPr="002C4825">
        <w:rPr>
          <w:lang w:val="lt-LT" w:bidi="en-US"/>
        </w:rPr>
        <w:t>via Provina 2</w:t>
      </w:r>
    </w:p>
    <w:p w14:paraId="367E46C3" w14:textId="0B266F38" w:rsidR="009B7305" w:rsidRPr="002C4825" w:rsidRDefault="009B7305" w:rsidP="009B7305">
      <w:pPr>
        <w:numPr>
          <w:ilvl w:val="12"/>
          <w:numId w:val="0"/>
        </w:numPr>
        <w:ind w:right="-2"/>
        <w:rPr>
          <w:lang w:val="lt-LT" w:bidi="en-US"/>
        </w:rPr>
      </w:pPr>
      <w:r w:rsidRPr="002C4825">
        <w:rPr>
          <w:lang w:val="lt-LT" w:bidi="en-US"/>
        </w:rPr>
        <w:t>38123 Trento (TN)</w:t>
      </w:r>
    </w:p>
    <w:p w14:paraId="5C8566EC" w14:textId="68AF5E5F" w:rsidR="009B7305" w:rsidRPr="002C4825" w:rsidRDefault="009B7305" w:rsidP="009B7305">
      <w:pPr>
        <w:numPr>
          <w:ilvl w:val="12"/>
          <w:numId w:val="0"/>
        </w:numPr>
        <w:ind w:right="-2"/>
        <w:rPr>
          <w:sz w:val="20"/>
          <w:szCs w:val="20"/>
          <w:lang w:val="lt-LT"/>
        </w:rPr>
      </w:pPr>
      <w:r w:rsidRPr="002C4825">
        <w:rPr>
          <w:lang w:val="lt-LT" w:bidi="en-US"/>
        </w:rPr>
        <w:t>Italija</w:t>
      </w:r>
    </w:p>
    <w:p w14:paraId="2A3308D1" w14:textId="71D1DF2B" w:rsidR="009B7305" w:rsidRPr="002C4825" w:rsidRDefault="009B7305" w:rsidP="009B7305">
      <w:pPr>
        <w:tabs>
          <w:tab w:val="left" w:pos="567"/>
        </w:tabs>
        <w:rPr>
          <w:b/>
          <w:bCs/>
          <w:i/>
          <w:iCs/>
          <w:lang w:val="lt-LT"/>
        </w:rPr>
      </w:pPr>
    </w:p>
    <w:p w14:paraId="009F202B" w14:textId="30BAAD26" w:rsidR="009B7305" w:rsidRPr="002C4825" w:rsidRDefault="009B7305" w:rsidP="009B7305">
      <w:pPr>
        <w:numPr>
          <w:ilvl w:val="12"/>
          <w:numId w:val="0"/>
        </w:numPr>
        <w:ind w:right="-2"/>
        <w:rPr>
          <w:lang w:val="lt-LT"/>
        </w:rPr>
      </w:pPr>
      <w:r w:rsidRPr="002C4825">
        <w:rPr>
          <w:b/>
          <w:lang w:val="lt-LT"/>
        </w:rPr>
        <w:t xml:space="preserve">Šis vaistas </w:t>
      </w:r>
      <w:r w:rsidR="00FE1075" w:rsidRPr="00FE1075">
        <w:rPr>
          <w:b/>
          <w:lang w:val="lt-LT"/>
        </w:rPr>
        <w:t>Europos ekonominės erdvės</w:t>
      </w:r>
      <w:r w:rsidR="00FE1075" w:rsidRPr="00FE1075" w:rsidDel="00FE1075">
        <w:rPr>
          <w:b/>
          <w:lang w:val="lt-LT"/>
        </w:rPr>
        <w:t xml:space="preserve"> </w:t>
      </w:r>
      <w:r w:rsidRPr="002C4825">
        <w:rPr>
          <w:b/>
          <w:lang w:val="lt-LT"/>
        </w:rPr>
        <w:t>valstybėse narėse registruotas tokiais pavadinimais</w:t>
      </w:r>
      <w:r w:rsidRPr="002C4825">
        <w:rPr>
          <w:lang w:val="lt-LT"/>
        </w:rPr>
        <w:t>:</w:t>
      </w:r>
    </w:p>
    <w:p w14:paraId="1B6B5B6D" w14:textId="4A2B5FB9" w:rsidR="009B7305" w:rsidRPr="002C4825" w:rsidRDefault="009B7305" w:rsidP="009B7305">
      <w:pPr>
        <w:tabs>
          <w:tab w:val="left" w:pos="567"/>
        </w:tabs>
        <w:rPr>
          <w:lang w:val="lt-LT"/>
        </w:rPr>
      </w:pPr>
      <w:r w:rsidRPr="002C4825">
        <w:rPr>
          <w:lang w:val="lt-LT"/>
        </w:rPr>
        <w:t>Portugalija</w:t>
      </w:r>
      <w:r w:rsidR="00446BBE" w:rsidRPr="002C4825">
        <w:rPr>
          <w:lang w:val="lt-LT"/>
        </w:rPr>
        <w:t>:</w:t>
      </w:r>
      <w:r w:rsidRPr="002C4825">
        <w:rPr>
          <w:lang w:val="lt-LT"/>
        </w:rPr>
        <w:t xml:space="preserve"> Zentorant</w:t>
      </w:r>
    </w:p>
    <w:p w14:paraId="2A3BF5B7" w14:textId="21C5D0E9" w:rsidR="009B7305" w:rsidRPr="00DE2DFF" w:rsidRDefault="009B7305" w:rsidP="009B7305">
      <w:pPr>
        <w:tabs>
          <w:tab w:val="left" w:pos="567"/>
        </w:tabs>
        <w:rPr>
          <w:lang w:val="lt-LT"/>
        </w:rPr>
      </w:pPr>
      <w:r w:rsidRPr="002C4825">
        <w:rPr>
          <w:lang w:val="lt-LT"/>
        </w:rPr>
        <w:t>Vokietija</w:t>
      </w:r>
      <w:r w:rsidR="00446BBE" w:rsidRPr="002C4825">
        <w:rPr>
          <w:lang w:val="lt-LT"/>
        </w:rPr>
        <w:t>:</w:t>
      </w:r>
      <w:r w:rsidRPr="002C4825">
        <w:rPr>
          <w:lang w:val="lt-LT"/>
        </w:rPr>
        <w:t xml:space="preserve"> </w:t>
      </w:r>
      <w:r w:rsidRPr="00DE2DFF">
        <w:rPr>
          <w:lang w:val="lt-LT"/>
        </w:rPr>
        <w:t>Acetylcystein Zentiva</w:t>
      </w:r>
    </w:p>
    <w:p w14:paraId="3CEC4AE5" w14:textId="7103C925" w:rsidR="00446BBE" w:rsidRPr="00DE2DFF" w:rsidRDefault="00446BBE" w:rsidP="009B7305">
      <w:pPr>
        <w:tabs>
          <w:tab w:val="left" w:pos="567"/>
        </w:tabs>
        <w:rPr>
          <w:lang w:val="lt-LT"/>
        </w:rPr>
      </w:pPr>
      <w:r w:rsidRPr="00DE2DFF">
        <w:rPr>
          <w:lang w:val="lt-LT"/>
        </w:rPr>
        <w:t>Estija, Latvija, Lietuva: Wintrozen</w:t>
      </w:r>
    </w:p>
    <w:p w14:paraId="394874C5" w14:textId="1F148BBD" w:rsidR="00446BBE" w:rsidRPr="00DE2DFF" w:rsidRDefault="00446BBE" w:rsidP="009B7305">
      <w:pPr>
        <w:tabs>
          <w:tab w:val="left" w:pos="567"/>
        </w:tabs>
        <w:rPr>
          <w:lang w:val="lt-LT"/>
        </w:rPr>
      </w:pPr>
      <w:r w:rsidRPr="00DE2DFF">
        <w:rPr>
          <w:lang w:val="lt-LT"/>
        </w:rPr>
        <w:t>Rumunija: Acetilcisteină Zentiva</w:t>
      </w:r>
    </w:p>
    <w:p w14:paraId="30AFF807" w14:textId="69CAE966" w:rsidR="009B7305" w:rsidRPr="002C4825" w:rsidRDefault="009B7305" w:rsidP="009B7305">
      <w:pPr>
        <w:tabs>
          <w:tab w:val="left" w:pos="567"/>
        </w:tabs>
        <w:rPr>
          <w:b/>
          <w:bCs/>
          <w:lang w:val="lt-LT"/>
        </w:rPr>
      </w:pPr>
    </w:p>
    <w:p w14:paraId="5C1ED06F" w14:textId="38DA7782" w:rsidR="009B7305" w:rsidRPr="002C4825" w:rsidRDefault="009B7305" w:rsidP="009B7305">
      <w:pPr>
        <w:numPr>
          <w:ilvl w:val="12"/>
          <w:numId w:val="0"/>
        </w:numPr>
        <w:rPr>
          <w:b/>
          <w:bCs/>
          <w:lang w:val="lt-LT" w:eastAsia="lt-LT"/>
        </w:rPr>
      </w:pPr>
      <w:r w:rsidRPr="002C4825">
        <w:rPr>
          <w:b/>
          <w:bCs/>
          <w:lang w:val="lt-LT" w:eastAsia="lt-LT"/>
        </w:rPr>
        <w:t xml:space="preserve">Šis pakuotės lapelis paskutinį kartą peržiūrėtas </w:t>
      </w:r>
      <w:r w:rsidR="00AA456B">
        <w:rPr>
          <w:b/>
          <w:bCs/>
          <w:lang w:val="lt-LT" w:eastAsia="lt-LT"/>
        </w:rPr>
        <w:t>202</w:t>
      </w:r>
      <w:r w:rsidR="008521E7">
        <w:rPr>
          <w:b/>
          <w:bCs/>
          <w:lang w:val="lt-LT" w:eastAsia="lt-LT"/>
        </w:rPr>
        <w:t>2-04-15</w:t>
      </w:r>
      <w:r w:rsidRPr="002C4825">
        <w:rPr>
          <w:b/>
          <w:bCs/>
          <w:lang w:val="lt-LT" w:eastAsia="lt-LT"/>
        </w:rPr>
        <w:t>.</w:t>
      </w:r>
    </w:p>
    <w:p w14:paraId="252F0ABE" w14:textId="77777777" w:rsidR="009B7305" w:rsidRPr="002C4825" w:rsidRDefault="009B7305" w:rsidP="009B7305">
      <w:pPr>
        <w:ind w:left="567" w:hanging="567"/>
        <w:rPr>
          <w:lang w:val="lt-LT"/>
        </w:rPr>
      </w:pPr>
    </w:p>
    <w:p w14:paraId="2868EB7D" w14:textId="2D715177" w:rsidR="009B7305" w:rsidRDefault="009B7305" w:rsidP="002C4825">
      <w:pPr>
        <w:keepLines/>
        <w:numPr>
          <w:ilvl w:val="12"/>
          <w:numId w:val="0"/>
        </w:numPr>
        <w:rPr>
          <w:lang w:val="lt-LT"/>
        </w:rPr>
      </w:pPr>
      <w:r w:rsidRPr="002C4825">
        <w:rPr>
          <w:lang w:val="lt-LT"/>
        </w:rPr>
        <w:t>Išsami informacija apie šį vaistą pateikiama Valstybinės vaistų kontrolės tarnybos prie Lietuvos Respublikos sveikatos apsaugos ministerijos tinklalapyje</w:t>
      </w:r>
      <w:r w:rsidRPr="002C4825">
        <w:rPr>
          <w:i/>
          <w:lang w:val="lt-LT"/>
        </w:rPr>
        <w:t xml:space="preserve"> </w:t>
      </w:r>
      <w:hyperlink r:id="rId8" w:history="1">
        <w:r w:rsidRPr="002C4825">
          <w:rPr>
            <w:rFonts w:eastAsia="SimSun"/>
            <w:color w:val="0000FF"/>
            <w:u w:val="single"/>
            <w:lang w:val="lt-LT"/>
          </w:rPr>
          <w:t>http://www.vvkt.lt/</w:t>
        </w:r>
      </w:hyperlink>
      <w:r w:rsidRPr="002C4825">
        <w:rPr>
          <w:lang w:val="lt-LT"/>
        </w:rPr>
        <w:t>.</w:t>
      </w:r>
    </w:p>
    <w:p w14:paraId="6F4EFF98" w14:textId="6889DEF8" w:rsidR="00F80092" w:rsidRDefault="00F80092" w:rsidP="002C4825">
      <w:pPr>
        <w:keepLines/>
        <w:numPr>
          <w:ilvl w:val="12"/>
          <w:numId w:val="0"/>
        </w:numPr>
        <w:rPr>
          <w:lang w:val="lt-LT"/>
        </w:rPr>
      </w:pPr>
    </w:p>
    <w:p w14:paraId="0C3BC835" w14:textId="77777777" w:rsidR="00F80092" w:rsidRPr="002C4825" w:rsidRDefault="00F80092" w:rsidP="002C4825">
      <w:pPr>
        <w:keepLines/>
        <w:numPr>
          <w:ilvl w:val="12"/>
          <w:numId w:val="0"/>
        </w:numPr>
        <w:rPr>
          <w:b/>
          <w:bCs/>
          <w:lang w:val="lt-LT"/>
        </w:rPr>
      </w:pPr>
      <w:bookmarkStart w:id="2" w:name="_GoBack"/>
      <w:bookmarkEnd w:id="2"/>
    </w:p>
    <w:sectPr w:rsidR="00F80092" w:rsidRPr="002C4825" w:rsidSect="00CC7994">
      <w:headerReference w:type="even" r:id="rId9"/>
      <w:headerReference w:type="default" r:id="rId10"/>
      <w:footerReference w:type="default" r:id="rId11"/>
      <w:head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8F19F" w14:textId="77777777" w:rsidR="0074409E" w:rsidRDefault="0074409E" w:rsidP="00883C99">
      <w:r>
        <w:separator/>
      </w:r>
    </w:p>
  </w:endnote>
  <w:endnote w:type="continuationSeparator" w:id="0">
    <w:p w14:paraId="510B468C" w14:textId="77777777" w:rsidR="0074409E" w:rsidRDefault="0074409E" w:rsidP="00883C99">
      <w:r>
        <w:continuationSeparator/>
      </w:r>
    </w:p>
  </w:endnote>
  <w:endnote w:type="continuationNotice" w:id="1">
    <w:p w14:paraId="2C74278D" w14:textId="77777777" w:rsidR="0074409E" w:rsidRDefault="00744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52175"/>
      <w:docPartObj>
        <w:docPartGallery w:val="Page Numbers (Bottom of Page)"/>
        <w:docPartUnique/>
      </w:docPartObj>
    </w:sdtPr>
    <w:sdtEndPr>
      <w:rPr>
        <w:noProof/>
      </w:rPr>
    </w:sdtEndPr>
    <w:sdtContent>
      <w:p w14:paraId="300DCBC9" w14:textId="61BFF92E" w:rsidR="002A57E7" w:rsidRDefault="002A57E7">
        <w:pPr>
          <w:pStyle w:val="Porat"/>
          <w:jc w:val="center"/>
        </w:pPr>
        <w:r>
          <w:fldChar w:fldCharType="begin"/>
        </w:r>
        <w:r>
          <w:instrText xml:space="preserve"> PAGE   \* MERGEFORMAT </w:instrText>
        </w:r>
        <w:r>
          <w:fldChar w:fldCharType="separate"/>
        </w:r>
        <w:r w:rsidR="00027784">
          <w:rPr>
            <w:noProof/>
          </w:rPr>
          <w:t>22</w:t>
        </w:r>
        <w:r>
          <w:rPr>
            <w:noProof/>
          </w:rPr>
          <w:fldChar w:fldCharType="end"/>
        </w:r>
      </w:p>
    </w:sdtContent>
  </w:sdt>
  <w:p w14:paraId="3169BD28" w14:textId="77777777" w:rsidR="002A57E7" w:rsidRDefault="002A57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A3F90" w14:textId="77777777" w:rsidR="0074409E" w:rsidRDefault="0074409E" w:rsidP="00883C99">
      <w:r>
        <w:separator/>
      </w:r>
    </w:p>
  </w:footnote>
  <w:footnote w:type="continuationSeparator" w:id="0">
    <w:p w14:paraId="2031829C" w14:textId="77777777" w:rsidR="0074409E" w:rsidRDefault="0074409E" w:rsidP="00883C99">
      <w:r>
        <w:continuationSeparator/>
      </w:r>
    </w:p>
  </w:footnote>
  <w:footnote w:type="continuationNotice" w:id="1">
    <w:p w14:paraId="2862C6E9" w14:textId="77777777" w:rsidR="0074409E" w:rsidRDefault="007440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3377D" w14:textId="2F0E2A14" w:rsidR="006622C7" w:rsidRDefault="006622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1626" w14:textId="294AA0F9" w:rsidR="006622C7" w:rsidRDefault="006622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D246A" w14:textId="6952D1E1" w:rsidR="006622C7" w:rsidRDefault="00662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0DB5"/>
    <w:multiLevelType w:val="hybridMultilevel"/>
    <w:tmpl w:val="04520C70"/>
    <w:lvl w:ilvl="0" w:tplc="81DA0A94">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E27E99"/>
    <w:multiLevelType w:val="hybridMultilevel"/>
    <w:tmpl w:val="EF8C7A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D6EAF"/>
    <w:multiLevelType w:val="hybridMultilevel"/>
    <w:tmpl w:val="F9908C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F4E3E"/>
    <w:multiLevelType w:val="hybridMultilevel"/>
    <w:tmpl w:val="02B65EC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F94C6B"/>
    <w:multiLevelType w:val="hybridMultilevel"/>
    <w:tmpl w:val="2FBA57AA"/>
    <w:lvl w:ilvl="0" w:tplc="81DA0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C6CF2"/>
    <w:multiLevelType w:val="multilevel"/>
    <w:tmpl w:val="6FA6BD82"/>
    <w:lvl w:ilvl="0">
      <w:start w:val="1"/>
      <w:numFmt w:val="decimal"/>
      <w:lvlText w:val="%1."/>
      <w:lvlJc w:val="left"/>
      <w:pPr>
        <w:ind w:left="882" w:hanging="567"/>
      </w:pPr>
      <w:rPr>
        <w:rFonts w:ascii="Times New Roman" w:eastAsia="Times New Roman" w:hAnsi="Times New Roman" w:cs="Times New Roman" w:hint="default"/>
        <w:b/>
        <w:bCs/>
        <w:w w:val="100"/>
        <w:sz w:val="22"/>
        <w:szCs w:val="22"/>
      </w:rPr>
    </w:lvl>
    <w:lvl w:ilvl="1">
      <w:start w:val="1"/>
      <w:numFmt w:val="decimal"/>
      <w:lvlText w:val="%1.%2"/>
      <w:lvlJc w:val="left"/>
      <w:pPr>
        <w:ind w:left="882" w:hanging="567"/>
      </w:pPr>
      <w:rPr>
        <w:rFonts w:ascii="Times New Roman" w:eastAsia="Times New Roman" w:hAnsi="Times New Roman" w:cs="Times New Roman" w:hint="default"/>
        <w:b/>
        <w:bCs/>
        <w:w w:val="100"/>
        <w:sz w:val="22"/>
        <w:szCs w:val="22"/>
      </w:rPr>
    </w:lvl>
    <w:lvl w:ilvl="2">
      <w:numFmt w:val="bullet"/>
      <w:lvlText w:val="•"/>
      <w:lvlJc w:val="left"/>
      <w:pPr>
        <w:ind w:left="2624" w:hanging="567"/>
      </w:pPr>
      <w:rPr>
        <w:rFonts w:hint="default"/>
      </w:rPr>
    </w:lvl>
    <w:lvl w:ilvl="3">
      <w:numFmt w:val="bullet"/>
      <w:lvlText w:val="•"/>
      <w:lvlJc w:val="left"/>
      <w:pPr>
        <w:ind w:left="3497" w:hanging="567"/>
      </w:pPr>
      <w:rPr>
        <w:rFonts w:hint="default"/>
      </w:rPr>
    </w:lvl>
    <w:lvl w:ilvl="4">
      <w:numFmt w:val="bullet"/>
      <w:lvlText w:val="•"/>
      <w:lvlJc w:val="left"/>
      <w:pPr>
        <w:ind w:left="4369" w:hanging="567"/>
      </w:pPr>
      <w:rPr>
        <w:rFonts w:hint="default"/>
      </w:rPr>
    </w:lvl>
    <w:lvl w:ilvl="5">
      <w:numFmt w:val="bullet"/>
      <w:lvlText w:val="•"/>
      <w:lvlJc w:val="left"/>
      <w:pPr>
        <w:ind w:left="5242" w:hanging="567"/>
      </w:pPr>
      <w:rPr>
        <w:rFonts w:hint="default"/>
      </w:rPr>
    </w:lvl>
    <w:lvl w:ilvl="6">
      <w:numFmt w:val="bullet"/>
      <w:lvlText w:val="•"/>
      <w:lvlJc w:val="left"/>
      <w:pPr>
        <w:ind w:left="6114" w:hanging="567"/>
      </w:pPr>
      <w:rPr>
        <w:rFonts w:hint="default"/>
      </w:rPr>
    </w:lvl>
    <w:lvl w:ilvl="7">
      <w:numFmt w:val="bullet"/>
      <w:lvlText w:val="•"/>
      <w:lvlJc w:val="left"/>
      <w:pPr>
        <w:ind w:left="6986" w:hanging="567"/>
      </w:pPr>
      <w:rPr>
        <w:rFonts w:hint="default"/>
      </w:rPr>
    </w:lvl>
    <w:lvl w:ilvl="8">
      <w:numFmt w:val="bullet"/>
      <w:lvlText w:val="•"/>
      <w:lvlJc w:val="left"/>
      <w:pPr>
        <w:ind w:left="7859" w:hanging="567"/>
      </w:pPr>
      <w:rPr>
        <w:rFonts w:hint="default"/>
      </w:rPr>
    </w:lvl>
  </w:abstractNum>
  <w:abstractNum w:abstractNumId="6" w15:restartNumberingAfterBreak="0">
    <w:nsid w:val="7B50050F"/>
    <w:multiLevelType w:val="hybridMultilevel"/>
    <w:tmpl w:val="5B2E5E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CC23EC"/>
    <w:multiLevelType w:val="hybridMultilevel"/>
    <w:tmpl w:val="B56213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0"/>
  </w:num>
  <w:num w:numId="4">
    <w:abstractNumId w:val="4"/>
  </w:num>
  <w:num w:numId="5">
    <w:abstractNumId w:val="3"/>
  </w:num>
  <w:num w:numId="6">
    <w:abstractNumId w:val="7"/>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63"/>
    <w:rsid w:val="00027784"/>
    <w:rsid w:val="000546B7"/>
    <w:rsid w:val="000663E5"/>
    <w:rsid w:val="00073CD8"/>
    <w:rsid w:val="00097F9A"/>
    <w:rsid w:val="000B41BD"/>
    <w:rsid w:val="000D0A9A"/>
    <w:rsid w:val="001144A8"/>
    <w:rsid w:val="00183C93"/>
    <w:rsid w:val="001E67C2"/>
    <w:rsid w:val="001E748B"/>
    <w:rsid w:val="002018EA"/>
    <w:rsid w:val="00224160"/>
    <w:rsid w:val="002247E4"/>
    <w:rsid w:val="00265C06"/>
    <w:rsid w:val="00283B02"/>
    <w:rsid w:val="00287EF6"/>
    <w:rsid w:val="0029610F"/>
    <w:rsid w:val="002A57E7"/>
    <w:rsid w:val="002C4825"/>
    <w:rsid w:val="003248F2"/>
    <w:rsid w:val="00343E21"/>
    <w:rsid w:val="003870EE"/>
    <w:rsid w:val="003B3301"/>
    <w:rsid w:val="003B4A2F"/>
    <w:rsid w:val="003F0DF5"/>
    <w:rsid w:val="00446BBE"/>
    <w:rsid w:val="00451A9F"/>
    <w:rsid w:val="004933A9"/>
    <w:rsid w:val="004A7D5E"/>
    <w:rsid w:val="00516656"/>
    <w:rsid w:val="00522B8E"/>
    <w:rsid w:val="005567DD"/>
    <w:rsid w:val="005869F7"/>
    <w:rsid w:val="0059224B"/>
    <w:rsid w:val="005A1AC1"/>
    <w:rsid w:val="005A6EAF"/>
    <w:rsid w:val="005B3E41"/>
    <w:rsid w:val="005C4145"/>
    <w:rsid w:val="005D5419"/>
    <w:rsid w:val="005F4E33"/>
    <w:rsid w:val="005F743F"/>
    <w:rsid w:val="006622C7"/>
    <w:rsid w:val="00693DEF"/>
    <w:rsid w:val="006C486F"/>
    <w:rsid w:val="006E28D3"/>
    <w:rsid w:val="006E2E46"/>
    <w:rsid w:val="00710B25"/>
    <w:rsid w:val="00726B08"/>
    <w:rsid w:val="00733D52"/>
    <w:rsid w:val="0073744C"/>
    <w:rsid w:val="0074409E"/>
    <w:rsid w:val="0074523E"/>
    <w:rsid w:val="00767483"/>
    <w:rsid w:val="007B1BAF"/>
    <w:rsid w:val="007B41AE"/>
    <w:rsid w:val="007F52D2"/>
    <w:rsid w:val="00823333"/>
    <w:rsid w:val="00825972"/>
    <w:rsid w:val="008521E7"/>
    <w:rsid w:val="008533F2"/>
    <w:rsid w:val="00865F34"/>
    <w:rsid w:val="00883C99"/>
    <w:rsid w:val="00891BD0"/>
    <w:rsid w:val="008A05DD"/>
    <w:rsid w:val="008A670C"/>
    <w:rsid w:val="008B3F12"/>
    <w:rsid w:val="008B4BF2"/>
    <w:rsid w:val="008C4889"/>
    <w:rsid w:val="008E09B0"/>
    <w:rsid w:val="008F667A"/>
    <w:rsid w:val="009056FC"/>
    <w:rsid w:val="00923A4C"/>
    <w:rsid w:val="009241A6"/>
    <w:rsid w:val="00987269"/>
    <w:rsid w:val="0099178A"/>
    <w:rsid w:val="009A434C"/>
    <w:rsid w:val="009A5313"/>
    <w:rsid w:val="009B7305"/>
    <w:rsid w:val="00A06B14"/>
    <w:rsid w:val="00A62AA1"/>
    <w:rsid w:val="00A75F95"/>
    <w:rsid w:val="00A94EB6"/>
    <w:rsid w:val="00AA456B"/>
    <w:rsid w:val="00B30C3D"/>
    <w:rsid w:val="00B44873"/>
    <w:rsid w:val="00C102AC"/>
    <w:rsid w:val="00C13DB6"/>
    <w:rsid w:val="00C26CEA"/>
    <w:rsid w:val="00C30D4A"/>
    <w:rsid w:val="00C42B63"/>
    <w:rsid w:val="00CC0432"/>
    <w:rsid w:val="00CC5A98"/>
    <w:rsid w:val="00CC7994"/>
    <w:rsid w:val="00D33279"/>
    <w:rsid w:val="00D76C00"/>
    <w:rsid w:val="00DA18BD"/>
    <w:rsid w:val="00DA614A"/>
    <w:rsid w:val="00DB2ED4"/>
    <w:rsid w:val="00DE16BA"/>
    <w:rsid w:val="00DE2DFF"/>
    <w:rsid w:val="00E21A16"/>
    <w:rsid w:val="00E329DC"/>
    <w:rsid w:val="00E35EE1"/>
    <w:rsid w:val="00E40E4A"/>
    <w:rsid w:val="00EA0487"/>
    <w:rsid w:val="00EE621D"/>
    <w:rsid w:val="00F23F42"/>
    <w:rsid w:val="00F430BE"/>
    <w:rsid w:val="00F72AE9"/>
    <w:rsid w:val="00F77D2F"/>
    <w:rsid w:val="00F80092"/>
    <w:rsid w:val="00FD1160"/>
    <w:rsid w:val="00FD690A"/>
    <w:rsid w:val="00FE1075"/>
    <w:rsid w:val="00FF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2D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C99"/>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07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unhideWhenUsed/>
    <w:qFormat/>
    <w:rsid w:val="00883C99"/>
    <w:pPr>
      <w:ind w:left="882"/>
      <w:outlineLvl w:val="1"/>
    </w:pPr>
    <w:rPr>
      <w:b/>
      <w:bCs/>
    </w:rPr>
  </w:style>
  <w:style w:type="paragraph" w:styleId="Antrat3">
    <w:name w:val="heading 3"/>
    <w:basedOn w:val="prastasis"/>
    <w:next w:val="prastasis"/>
    <w:link w:val="Antrat3Diagrama"/>
    <w:uiPriority w:val="9"/>
    <w:semiHidden/>
    <w:unhideWhenUsed/>
    <w:qFormat/>
    <w:rsid w:val="00C102A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DE16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83C99"/>
    <w:pPr>
      <w:tabs>
        <w:tab w:val="center" w:pos="4680"/>
        <w:tab w:val="right" w:pos="9360"/>
      </w:tabs>
    </w:pPr>
  </w:style>
  <w:style w:type="character" w:customStyle="1" w:styleId="AntratsDiagrama">
    <w:name w:val="Antraštės Diagrama"/>
    <w:basedOn w:val="Numatytasispastraiposriftas"/>
    <w:link w:val="Antrats"/>
    <w:uiPriority w:val="99"/>
    <w:rsid w:val="00883C99"/>
  </w:style>
  <w:style w:type="paragraph" w:styleId="Porat">
    <w:name w:val="footer"/>
    <w:basedOn w:val="prastasis"/>
    <w:link w:val="PoratDiagrama"/>
    <w:uiPriority w:val="99"/>
    <w:unhideWhenUsed/>
    <w:rsid w:val="00883C99"/>
    <w:pPr>
      <w:tabs>
        <w:tab w:val="center" w:pos="4680"/>
        <w:tab w:val="right" w:pos="9360"/>
      </w:tabs>
    </w:pPr>
  </w:style>
  <w:style w:type="character" w:customStyle="1" w:styleId="PoratDiagrama">
    <w:name w:val="Poraštė Diagrama"/>
    <w:basedOn w:val="Numatytasispastraiposriftas"/>
    <w:link w:val="Porat"/>
    <w:uiPriority w:val="99"/>
    <w:rsid w:val="00883C99"/>
  </w:style>
  <w:style w:type="character" w:customStyle="1" w:styleId="Antrat2Diagrama">
    <w:name w:val="Antraštė 2 Diagrama"/>
    <w:basedOn w:val="Numatytasispastraiposriftas"/>
    <w:link w:val="Antrat2"/>
    <w:uiPriority w:val="9"/>
    <w:rsid w:val="00883C99"/>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883C99"/>
  </w:style>
  <w:style w:type="character" w:customStyle="1" w:styleId="PagrindinistekstasDiagrama">
    <w:name w:val="Pagrindinis tekstas Diagrama"/>
    <w:basedOn w:val="Numatytasispastraiposriftas"/>
    <w:link w:val="Pagrindinistekstas"/>
    <w:uiPriority w:val="1"/>
    <w:rsid w:val="00883C99"/>
    <w:rPr>
      <w:rFonts w:ascii="Times New Roman" w:eastAsia="Times New Roman" w:hAnsi="Times New Roman" w:cs="Times New Roman"/>
    </w:rPr>
  </w:style>
  <w:style w:type="paragraph" w:styleId="Sraopastraipa">
    <w:name w:val="List Paragraph"/>
    <w:basedOn w:val="prastasis"/>
    <w:uiPriority w:val="34"/>
    <w:qFormat/>
    <w:rsid w:val="00883C99"/>
    <w:pPr>
      <w:ind w:left="720"/>
      <w:contextualSpacing/>
    </w:pPr>
  </w:style>
  <w:style w:type="character" w:customStyle="1" w:styleId="Antrat4Diagrama">
    <w:name w:val="Antraštė 4 Diagrama"/>
    <w:basedOn w:val="Numatytasispastraiposriftas"/>
    <w:link w:val="Antrat4"/>
    <w:uiPriority w:val="9"/>
    <w:semiHidden/>
    <w:rsid w:val="00DE16BA"/>
    <w:rPr>
      <w:rFonts w:asciiTheme="majorHAnsi" w:eastAsiaTheme="majorEastAsia" w:hAnsiTheme="majorHAnsi" w:cstheme="majorBidi"/>
      <w:i/>
      <w:iCs/>
      <w:color w:val="2F5496" w:themeColor="accent1" w:themeShade="BF"/>
    </w:rPr>
  </w:style>
  <w:style w:type="table" w:styleId="Lentelstinklelis">
    <w:name w:val="Table Grid"/>
    <w:basedOn w:val="prastojilentel"/>
    <w:rsid w:val="00265C06"/>
    <w:pPr>
      <w:spacing w:after="0" w:line="240" w:lineRule="auto"/>
    </w:pPr>
    <w:rPr>
      <w:rFonts w:ascii="Calibri" w:eastAsia="Calibri" w:hAnsi="Calibri"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C102AC"/>
    <w:rPr>
      <w:rFonts w:asciiTheme="majorHAnsi" w:eastAsiaTheme="majorEastAsia" w:hAnsiTheme="majorHAnsi" w:cstheme="majorBidi"/>
      <w:color w:val="1F3763" w:themeColor="accent1" w:themeShade="7F"/>
      <w:sz w:val="24"/>
      <w:szCs w:val="24"/>
    </w:rPr>
  </w:style>
  <w:style w:type="character" w:styleId="Hipersaitas">
    <w:name w:val="Hyperlink"/>
    <w:uiPriority w:val="99"/>
    <w:rsid w:val="0099178A"/>
    <w:rPr>
      <w:color w:val="0000FF"/>
      <w:u w:val="single"/>
    </w:rPr>
  </w:style>
  <w:style w:type="paragraph" w:styleId="Paprastasistekstas">
    <w:name w:val="Plain Text"/>
    <w:basedOn w:val="prastasis"/>
    <w:link w:val="PaprastasistekstasDiagrama"/>
    <w:uiPriority w:val="99"/>
    <w:rsid w:val="0099178A"/>
    <w:pPr>
      <w:widowControl/>
      <w:autoSpaceDE/>
      <w:autoSpaceDN/>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99178A"/>
    <w:rPr>
      <w:rFonts w:ascii="Courier New" w:eastAsia="SimSun" w:hAnsi="Courier New" w:cs="Times New Roman"/>
      <w:sz w:val="20"/>
      <w:szCs w:val="20"/>
    </w:rPr>
  </w:style>
  <w:style w:type="character" w:customStyle="1" w:styleId="Antrat1Diagrama">
    <w:name w:val="Antraštė 1 Diagrama"/>
    <w:basedOn w:val="Numatytasispastraiposriftas"/>
    <w:link w:val="Antrat1"/>
    <w:uiPriority w:val="9"/>
    <w:rsid w:val="00073CD8"/>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uiPriority w:val="99"/>
    <w:semiHidden/>
    <w:unhideWhenUsed/>
    <w:rsid w:val="00C26CEA"/>
    <w:rPr>
      <w:sz w:val="16"/>
      <w:szCs w:val="16"/>
    </w:rPr>
  </w:style>
  <w:style w:type="paragraph" w:styleId="Komentarotekstas">
    <w:name w:val="annotation text"/>
    <w:basedOn w:val="prastasis"/>
    <w:link w:val="KomentarotekstasDiagrama"/>
    <w:unhideWhenUsed/>
    <w:rsid w:val="00C26CEA"/>
    <w:rPr>
      <w:sz w:val="20"/>
      <w:szCs w:val="20"/>
    </w:rPr>
  </w:style>
  <w:style w:type="character" w:customStyle="1" w:styleId="KomentarotekstasDiagrama">
    <w:name w:val="Komentaro tekstas Diagrama"/>
    <w:basedOn w:val="Numatytasispastraiposriftas"/>
    <w:link w:val="Komentarotekstas"/>
    <w:rsid w:val="00C26C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6CEA"/>
    <w:rPr>
      <w:b/>
      <w:bCs/>
    </w:rPr>
  </w:style>
  <w:style w:type="character" w:customStyle="1" w:styleId="KomentarotemaDiagrama">
    <w:name w:val="Komentaro tema Diagrama"/>
    <w:basedOn w:val="KomentarotekstasDiagrama"/>
    <w:link w:val="Komentarotema"/>
    <w:uiPriority w:val="99"/>
    <w:semiHidden/>
    <w:rsid w:val="00C26C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26C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6CEA"/>
    <w:rPr>
      <w:rFonts w:ascii="Segoe UI" w:eastAsia="Times New Roman" w:hAnsi="Segoe UI" w:cs="Segoe UI"/>
      <w:sz w:val="18"/>
      <w:szCs w:val="18"/>
    </w:rPr>
  </w:style>
  <w:style w:type="paragraph" w:styleId="Pataisymai">
    <w:name w:val="Revision"/>
    <w:hidden/>
    <w:uiPriority w:val="99"/>
    <w:semiHidden/>
    <w:rsid w:val="008521E7"/>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3691">
      <w:bodyDiv w:val="1"/>
      <w:marLeft w:val="0"/>
      <w:marRight w:val="0"/>
      <w:marTop w:val="0"/>
      <w:marBottom w:val="0"/>
      <w:divBdr>
        <w:top w:val="none" w:sz="0" w:space="0" w:color="auto"/>
        <w:left w:val="none" w:sz="0" w:space="0" w:color="auto"/>
        <w:bottom w:val="none" w:sz="0" w:space="0" w:color="auto"/>
        <w:right w:val="none" w:sz="0" w:space="0" w:color="auto"/>
      </w:divBdr>
    </w:div>
    <w:div w:id="100417590">
      <w:bodyDiv w:val="1"/>
      <w:marLeft w:val="0"/>
      <w:marRight w:val="0"/>
      <w:marTop w:val="0"/>
      <w:marBottom w:val="0"/>
      <w:divBdr>
        <w:top w:val="none" w:sz="0" w:space="0" w:color="auto"/>
        <w:left w:val="none" w:sz="0" w:space="0" w:color="auto"/>
        <w:bottom w:val="none" w:sz="0" w:space="0" w:color="auto"/>
        <w:right w:val="none" w:sz="0" w:space="0" w:color="auto"/>
      </w:divBdr>
    </w:div>
    <w:div w:id="157963787">
      <w:bodyDiv w:val="1"/>
      <w:marLeft w:val="0"/>
      <w:marRight w:val="0"/>
      <w:marTop w:val="0"/>
      <w:marBottom w:val="0"/>
      <w:divBdr>
        <w:top w:val="none" w:sz="0" w:space="0" w:color="auto"/>
        <w:left w:val="none" w:sz="0" w:space="0" w:color="auto"/>
        <w:bottom w:val="none" w:sz="0" w:space="0" w:color="auto"/>
        <w:right w:val="none" w:sz="0" w:space="0" w:color="auto"/>
      </w:divBdr>
    </w:div>
    <w:div w:id="342898103">
      <w:bodyDiv w:val="1"/>
      <w:marLeft w:val="0"/>
      <w:marRight w:val="0"/>
      <w:marTop w:val="0"/>
      <w:marBottom w:val="0"/>
      <w:divBdr>
        <w:top w:val="none" w:sz="0" w:space="0" w:color="auto"/>
        <w:left w:val="none" w:sz="0" w:space="0" w:color="auto"/>
        <w:bottom w:val="none" w:sz="0" w:space="0" w:color="auto"/>
        <w:right w:val="none" w:sz="0" w:space="0" w:color="auto"/>
      </w:divBdr>
    </w:div>
    <w:div w:id="357705228">
      <w:bodyDiv w:val="1"/>
      <w:marLeft w:val="0"/>
      <w:marRight w:val="0"/>
      <w:marTop w:val="0"/>
      <w:marBottom w:val="0"/>
      <w:divBdr>
        <w:top w:val="none" w:sz="0" w:space="0" w:color="auto"/>
        <w:left w:val="none" w:sz="0" w:space="0" w:color="auto"/>
        <w:bottom w:val="none" w:sz="0" w:space="0" w:color="auto"/>
        <w:right w:val="none" w:sz="0" w:space="0" w:color="auto"/>
      </w:divBdr>
    </w:div>
    <w:div w:id="414860626">
      <w:bodyDiv w:val="1"/>
      <w:marLeft w:val="0"/>
      <w:marRight w:val="0"/>
      <w:marTop w:val="0"/>
      <w:marBottom w:val="0"/>
      <w:divBdr>
        <w:top w:val="none" w:sz="0" w:space="0" w:color="auto"/>
        <w:left w:val="none" w:sz="0" w:space="0" w:color="auto"/>
        <w:bottom w:val="none" w:sz="0" w:space="0" w:color="auto"/>
        <w:right w:val="none" w:sz="0" w:space="0" w:color="auto"/>
      </w:divBdr>
    </w:div>
    <w:div w:id="434642035">
      <w:bodyDiv w:val="1"/>
      <w:marLeft w:val="0"/>
      <w:marRight w:val="0"/>
      <w:marTop w:val="0"/>
      <w:marBottom w:val="0"/>
      <w:divBdr>
        <w:top w:val="none" w:sz="0" w:space="0" w:color="auto"/>
        <w:left w:val="none" w:sz="0" w:space="0" w:color="auto"/>
        <w:bottom w:val="none" w:sz="0" w:space="0" w:color="auto"/>
        <w:right w:val="none" w:sz="0" w:space="0" w:color="auto"/>
      </w:divBdr>
    </w:div>
    <w:div w:id="445274512">
      <w:bodyDiv w:val="1"/>
      <w:marLeft w:val="0"/>
      <w:marRight w:val="0"/>
      <w:marTop w:val="0"/>
      <w:marBottom w:val="0"/>
      <w:divBdr>
        <w:top w:val="none" w:sz="0" w:space="0" w:color="auto"/>
        <w:left w:val="none" w:sz="0" w:space="0" w:color="auto"/>
        <w:bottom w:val="none" w:sz="0" w:space="0" w:color="auto"/>
        <w:right w:val="none" w:sz="0" w:space="0" w:color="auto"/>
      </w:divBdr>
    </w:div>
    <w:div w:id="527330101">
      <w:bodyDiv w:val="1"/>
      <w:marLeft w:val="0"/>
      <w:marRight w:val="0"/>
      <w:marTop w:val="0"/>
      <w:marBottom w:val="0"/>
      <w:divBdr>
        <w:top w:val="none" w:sz="0" w:space="0" w:color="auto"/>
        <w:left w:val="none" w:sz="0" w:space="0" w:color="auto"/>
        <w:bottom w:val="none" w:sz="0" w:space="0" w:color="auto"/>
        <w:right w:val="none" w:sz="0" w:space="0" w:color="auto"/>
      </w:divBdr>
    </w:div>
    <w:div w:id="586765471">
      <w:bodyDiv w:val="1"/>
      <w:marLeft w:val="0"/>
      <w:marRight w:val="0"/>
      <w:marTop w:val="0"/>
      <w:marBottom w:val="0"/>
      <w:divBdr>
        <w:top w:val="none" w:sz="0" w:space="0" w:color="auto"/>
        <w:left w:val="none" w:sz="0" w:space="0" w:color="auto"/>
        <w:bottom w:val="none" w:sz="0" w:space="0" w:color="auto"/>
        <w:right w:val="none" w:sz="0" w:space="0" w:color="auto"/>
      </w:divBdr>
    </w:div>
    <w:div w:id="601962492">
      <w:bodyDiv w:val="1"/>
      <w:marLeft w:val="0"/>
      <w:marRight w:val="0"/>
      <w:marTop w:val="0"/>
      <w:marBottom w:val="0"/>
      <w:divBdr>
        <w:top w:val="none" w:sz="0" w:space="0" w:color="auto"/>
        <w:left w:val="none" w:sz="0" w:space="0" w:color="auto"/>
        <w:bottom w:val="none" w:sz="0" w:space="0" w:color="auto"/>
        <w:right w:val="none" w:sz="0" w:space="0" w:color="auto"/>
      </w:divBdr>
    </w:div>
    <w:div w:id="682172937">
      <w:bodyDiv w:val="1"/>
      <w:marLeft w:val="0"/>
      <w:marRight w:val="0"/>
      <w:marTop w:val="0"/>
      <w:marBottom w:val="0"/>
      <w:divBdr>
        <w:top w:val="none" w:sz="0" w:space="0" w:color="auto"/>
        <w:left w:val="none" w:sz="0" w:space="0" w:color="auto"/>
        <w:bottom w:val="none" w:sz="0" w:space="0" w:color="auto"/>
        <w:right w:val="none" w:sz="0" w:space="0" w:color="auto"/>
      </w:divBdr>
    </w:div>
    <w:div w:id="809783010">
      <w:bodyDiv w:val="1"/>
      <w:marLeft w:val="0"/>
      <w:marRight w:val="0"/>
      <w:marTop w:val="0"/>
      <w:marBottom w:val="0"/>
      <w:divBdr>
        <w:top w:val="none" w:sz="0" w:space="0" w:color="auto"/>
        <w:left w:val="none" w:sz="0" w:space="0" w:color="auto"/>
        <w:bottom w:val="none" w:sz="0" w:space="0" w:color="auto"/>
        <w:right w:val="none" w:sz="0" w:space="0" w:color="auto"/>
      </w:divBdr>
    </w:div>
    <w:div w:id="858471856">
      <w:bodyDiv w:val="1"/>
      <w:marLeft w:val="0"/>
      <w:marRight w:val="0"/>
      <w:marTop w:val="0"/>
      <w:marBottom w:val="0"/>
      <w:divBdr>
        <w:top w:val="none" w:sz="0" w:space="0" w:color="auto"/>
        <w:left w:val="none" w:sz="0" w:space="0" w:color="auto"/>
        <w:bottom w:val="none" w:sz="0" w:space="0" w:color="auto"/>
        <w:right w:val="none" w:sz="0" w:space="0" w:color="auto"/>
      </w:divBdr>
    </w:div>
    <w:div w:id="927693365">
      <w:bodyDiv w:val="1"/>
      <w:marLeft w:val="0"/>
      <w:marRight w:val="0"/>
      <w:marTop w:val="0"/>
      <w:marBottom w:val="0"/>
      <w:divBdr>
        <w:top w:val="none" w:sz="0" w:space="0" w:color="auto"/>
        <w:left w:val="none" w:sz="0" w:space="0" w:color="auto"/>
        <w:bottom w:val="none" w:sz="0" w:space="0" w:color="auto"/>
        <w:right w:val="none" w:sz="0" w:space="0" w:color="auto"/>
      </w:divBdr>
    </w:div>
    <w:div w:id="1016931008">
      <w:bodyDiv w:val="1"/>
      <w:marLeft w:val="0"/>
      <w:marRight w:val="0"/>
      <w:marTop w:val="0"/>
      <w:marBottom w:val="0"/>
      <w:divBdr>
        <w:top w:val="none" w:sz="0" w:space="0" w:color="auto"/>
        <w:left w:val="none" w:sz="0" w:space="0" w:color="auto"/>
        <w:bottom w:val="none" w:sz="0" w:space="0" w:color="auto"/>
        <w:right w:val="none" w:sz="0" w:space="0" w:color="auto"/>
      </w:divBdr>
    </w:div>
    <w:div w:id="1116557818">
      <w:bodyDiv w:val="1"/>
      <w:marLeft w:val="0"/>
      <w:marRight w:val="0"/>
      <w:marTop w:val="0"/>
      <w:marBottom w:val="0"/>
      <w:divBdr>
        <w:top w:val="none" w:sz="0" w:space="0" w:color="auto"/>
        <w:left w:val="none" w:sz="0" w:space="0" w:color="auto"/>
        <w:bottom w:val="none" w:sz="0" w:space="0" w:color="auto"/>
        <w:right w:val="none" w:sz="0" w:space="0" w:color="auto"/>
      </w:divBdr>
    </w:div>
    <w:div w:id="1217201250">
      <w:bodyDiv w:val="1"/>
      <w:marLeft w:val="0"/>
      <w:marRight w:val="0"/>
      <w:marTop w:val="0"/>
      <w:marBottom w:val="0"/>
      <w:divBdr>
        <w:top w:val="none" w:sz="0" w:space="0" w:color="auto"/>
        <w:left w:val="none" w:sz="0" w:space="0" w:color="auto"/>
        <w:bottom w:val="none" w:sz="0" w:space="0" w:color="auto"/>
        <w:right w:val="none" w:sz="0" w:space="0" w:color="auto"/>
      </w:divBdr>
    </w:div>
    <w:div w:id="1334721482">
      <w:bodyDiv w:val="1"/>
      <w:marLeft w:val="0"/>
      <w:marRight w:val="0"/>
      <w:marTop w:val="0"/>
      <w:marBottom w:val="0"/>
      <w:divBdr>
        <w:top w:val="none" w:sz="0" w:space="0" w:color="auto"/>
        <w:left w:val="none" w:sz="0" w:space="0" w:color="auto"/>
        <w:bottom w:val="none" w:sz="0" w:space="0" w:color="auto"/>
        <w:right w:val="none" w:sz="0" w:space="0" w:color="auto"/>
      </w:divBdr>
    </w:div>
    <w:div w:id="1345014004">
      <w:bodyDiv w:val="1"/>
      <w:marLeft w:val="0"/>
      <w:marRight w:val="0"/>
      <w:marTop w:val="0"/>
      <w:marBottom w:val="0"/>
      <w:divBdr>
        <w:top w:val="none" w:sz="0" w:space="0" w:color="auto"/>
        <w:left w:val="none" w:sz="0" w:space="0" w:color="auto"/>
        <w:bottom w:val="none" w:sz="0" w:space="0" w:color="auto"/>
        <w:right w:val="none" w:sz="0" w:space="0" w:color="auto"/>
      </w:divBdr>
    </w:div>
    <w:div w:id="1446852191">
      <w:bodyDiv w:val="1"/>
      <w:marLeft w:val="0"/>
      <w:marRight w:val="0"/>
      <w:marTop w:val="0"/>
      <w:marBottom w:val="0"/>
      <w:divBdr>
        <w:top w:val="none" w:sz="0" w:space="0" w:color="auto"/>
        <w:left w:val="none" w:sz="0" w:space="0" w:color="auto"/>
        <w:bottom w:val="none" w:sz="0" w:space="0" w:color="auto"/>
        <w:right w:val="none" w:sz="0" w:space="0" w:color="auto"/>
      </w:divBdr>
    </w:div>
    <w:div w:id="1468163385">
      <w:bodyDiv w:val="1"/>
      <w:marLeft w:val="0"/>
      <w:marRight w:val="0"/>
      <w:marTop w:val="0"/>
      <w:marBottom w:val="0"/>
      <w:divBdr>
        <w:top w:val="none" w:sz="0" w:space="0" w:color="auto"/>
        <w:left w:val="none" w:sz="0" w:space="0" w:color="auto"/>
        <w:bottom w:val="none" w:sz="0" w:space="0" w:color="auto"/>
        <w:right w:val="none" w:sz="0" w:space="0" w:color="auto"/>
      </w:divBdr>
    </w:div>
    <w:div w:id="1505362459">
      <w:bodyDiv w:val="1"/>
      <w:marLeft w:val="0"/>
      <w:marRight w:val="0"/>
      <w:marTop w:val="0"/>
      <w:marBottom w:val="0"/>
      <w:divBdr>
        <w:top w:val="none" w:sz="0" w:space="0" w:color="auto"/>
        <w:left w:val="none" w:sz="0" w:space="0" w:color="auto"/>
        <w:bottom w:val="none" w:sz="0" w:space="0" w:color="auto"/>
        <w:right w:val="none" w:sz="0" w:space="0" w:color="auto"/>
      </w:divBdr>
    </w:div>
    <w:div w:id="1517580168">
      <w:bodyDiv w:val="1"/>
      <w:marLeft w:val="0"/>
      <w:marRight w:val="0"/>
      <w:marTop w:val="0"/>
      <w:marBottom w:val="0"/>
      <w:divBdr>
        <w:top w:val="none" w:sz="0" w:space="0" w:color="auto"/>
        <w:left w:val="none" w:sz="0" w:space="0" w:color="auto"/>
        <w:bottom w:val="none" w:sz="0" w:space="0" w:color="auto"/>
        <w:right w:val="none" w:sz="0" w:space="0" w:color="auto"/>
      </w:divBdr>
    </w:div>
    <w:div w:id="1523739494">
      <w:bodyDiv w:val="1"/>
      <w:marLeft w:val="0"/>
      <w:marRight w:val="0"/>
      <w:marTop w:val="0"/>
      <w:marBottom w:val="0"/>
      <w:divBdr>
        <w:top w:val="none" w:sz="0" w:space="0" w:color="auto"/>
        <w:left w:val="none" w:sz="0" w:space="0" w:color="auto"/>
        <w:bottom w:val="none" w:sz="0" w:space="0" w:color="auto"/>
        <w:right w:val="none" w:sz="0" w:space="0" w:color="auto"/>
      </w:divBdr>
    </w:div>
    <w:div w:id="1541237566">
      <w:bodyDiv w:val="1"/>
      <w:marLeft w:val="0"/>
      <w:marRight w:val="0"/>
      <w:marTop w:val="0"/>
      <w:marBottom w:val="0"/>
      <w:divBdr>
        <w:top w:val="none" w:sz="0" w:space="0" w:color="auto"/>
        <w:left w:val="none" w:sz="0" w:space="0" w:color="auto"/>
        <w:bottom w:val="none" w:sz="0" w:space="0" w:color="auto"/>
        <w:right w:val="none" w:sz="0" w:space="0" w:color="auto"/>
      </w:divBdr>
    </w:div>
    <w:div w:id="1547599037">
      <w:bodyDiv w:val="1"/>
      <w:marLeft w:val="0"/>
      <w:marRight w:val="0"/>
      <w:marTop w:val="0"/>
      <w:marBottom w:val="0"/>
      <w:divBdr>
        <w:top w:val="none" w:sz="0" w:space="0" w:color="auto"/>
        <w:left w:val="none" w:sz="0" w:space="0" w:color="auto"/>
        <w:bottom w:val="none" w:sz="0" w:space="0" w:color="auto"/>
        <w:right w:val="none" w:sz="0" w:space="0" w:color="auto"/>
      </w:divBdr>
    </w:div>
    <w:div w:id="1590843587">
      <w:bodyDiv w:val="1"/>
      <w:marLeft w:val="0"/>
      <w:marRight w:val="0"/>
      <w:marTop w:val="0"/>
      <w:marBottom w:val="0"/>
      <w:divBdr>
        <w:top w:val="none" w:sz="0" w:space="0" w:color="auto"/>
        <w:left w:val="none" w:sz="0" w:space="0" w:color="auto"/>
        <w:bottom w:val="none" w:sz="0" w:space="0" w:color="auto"/>
        <w:right w:val="none" w:sz="0" w:space="0" w:color="auto"/>
      </w:divBdr>
    </w:div>
    <w:div w:id="1593078814">
      <w:bodyDiv w:val="1"/>
      <w:marLeft w:val="0"/>
      <w:marRight w:val="0"/>
      <w:marTop w:val="0"/>
      <w:marBottom w:val="0"/>
      <w:divBdr>
        <w:top w:val="none" w:sz="0" w:space="0" w:color="auto"/>
        <w:left w:val="none" w:sz="0" w:space="0" w:color="auto"/>
        <w:bottom w:val="none" w:sz="0" w:space="0" w:color="auto"/>
        <w:right w:val="none" w:sz="0" w:space="0" w:color="auto"/>
      </w:divBdr>
    </w:div>
    <w:div w:id="1613048475">
      <w:bodyDiv w:val="1"/>
      <w:marLeft w:val="0"/>
      <w:marRight w:val="0"/>
      <w:marTop w:val="0"/>
      <w:marBottom w:val="0"/>
      <w:divBdr>
        <w:top w:val="none" w:sz="0" w:space="0" w:color="auto"/>
        <w:left w:val="none" w:sz="0" w:space="0" w:color="auto"/>
        <w:bottom w:val="none" w:sz="0" w:space="0" w:color="auto"/>
        <w:right w:val="none" w:sz="0" w:space="0" w:color="auto"/>
      </w:divBdr>
    </w:div>
    <w:div w:id="1829200314">
      <w:bodyDiv w:val="1"/>
      <w:marLeft w:val="0"/>
      <w:marRight w:val="0"/>
      <w:marTop w:val="0"/>
      <w:marBottom w:val="0"/>
      <w:divBdr>
        <w:top w:val="none" w:sz="0" w:space="0" w:color="auto"/>
        <w:left w:val="none" w:sz="0" w:space="0" w:color="auto"/>
        <w:bottom w:val="none" w:sz="0" w:space="0" w:color="auto"/>
        <w:right w:val="none" w:sz="0" w:space="0" w:color="auto"/>
      </w:divBdr>
    </w:div>
    <w:div w:id="1847354689">
      <w:bodyDiv w:val="1"/>
      <w:marLeft w:val="0"/>
      <w:marRight w:val="0"/>
      <w:marTop w:val="0"/>
      <w:marBottom w:val="0"/>
      <w:divBdr>
        <w:top w:val="none" w:sz="0" w:space="0" w:color="auto"/>
        <w:left w:val="none" w:sz="0" w:space="0" w:color="auto"/>
        <w:bottom w:val="none" w:sz="0" w:space="0" w:color="auto"/>
        <w:right w:val="none" w:sz="0" w:space="0" w:color="auto"/>
      </w:divBdr>
    </w:div>
    <w:div w:id="1878658755">
      <w:bodyDiv w:val="1"/>
      <w:marLeft w:val="0"/>
      <w:marRight w:val="0"/>
      <w:marTop w:val="0"/>
      <w:marBottom w:val="0"/>
      <w:divBdr>
        <w:top w:val="none" w:sz="0" w:space="0" w:color="auto"/>
        <w:left w:val="none" w:sz="0" w:space="0" w:color="auto"/>
        <w:bottom w:val="none" w:sz="0" w:space="0" w:color="auto"/>
        <w:right w:val="none" w:sz="0" w:space="0" w:color="auto"/>
      </w:divBdr>
    </w:div>
    <w:div w:id="1890918208">
      <w:bodyDiv w:val="1"/>
      <w:marLeft w:val="0"/>
      <w:marRight w:val="0"/>
      <w:marTop w:val="0"/>
      <w:marBottom w:val="0"/>
      <w:divBdr>
        <w:top w:val="none" w:sz="0" w:space="0" w:color="auto"/>
        <w:left w:val="none" w:sz="0" w:space="0" w:color="auto"/>
        <w:bottom w:val="none" w:sz="0" w:space="0" w:color="auto"/>
        <w:right w:val="none" w:sz="0" w:space="0" w:color="auto"/>
      </w:divBdr>
    </w:div>
    <w:div w:id="1962107112">
      <w:bodyDiv w:val="1"/>
      <w:marLeft w:val="0"/>
      <w:marRight w:val="0"/>
      <w:marTop w:val="0"/>
      <w:marBottom w:val="0"/>
      <w:divBdr>
        <w:top w:val="none" w:sz="0" w:space="0" w:color="auto"/>
        <w:left w:val="none" w:sz="0" w:space="0" w:color="auto"/>
        <w:bottom w:val="none" w:sz="0" w:space="0" w:color="auto"/>
        <w:right w:val="none" w:sz="0" w:space="0" w:color="auto"/>
      </w:divBdr>
    </w:div>
    <w:div w:id="2044666208">
      <w:bodyDiv w:val="1"/>
      <w:marLeft w:val="0"/>
      <w:marRight w:val="0"/>
      <w:marTop w:val="0"/>
      <w:marBottom w:val="0"/>
      <w:divBdr>
        <w:top w:val="none" w:sz="0" w:space="0" w:color="auto"/>
        <w:left w:val="none" w:sz="0" w:space="0" w:color="auto"/>
        <w:bottom w:val="none" w:sz="0" w:space="0" w:color="auto"/>
        <w:right w:val="none" w:sz="0" w:space="0" w:color="auto"/>
      </w:divBdr>
    </w:div>
    <w:div w:id="21458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18432</Words>
  <Characters>10507</Characters>
  <Application>Microsoft Office Word</Application>
  <DocSecurity>4</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2024-05-09T08:39:00Z</dcterms:created>
  <dcterms:modified xsi:type="dcterms:W3CDTF">2024-05-09T08:39:00Z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2024-05-09T08:03:29Z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416f2eaa-bfbe-47f3-9365-e9b7dcb48409</vt:lpwstr>
  </property>
  <property fmtid="{D5CDD505-2E9C-101B-9397-08002B2CF9AE}" pid="8" name="MSIP_Label_c63a0701-319b-41bf-8431-58956e491e60_ContentBits">
    <vt:lpwstr>0</vt:lpwstr>
  </property>
</Properties>
</file>