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A236" w14:textId="77777777" w:rsidR="00696DDC" w:rsidRPr="009E0143" w:rsidRDefault="00696DDC" w:rsidP="00F56562">
      <w:pPr>
        <w:rPr>
          <w:rFonts w:eastAsia="Times New Roman"/>
          <w:b/>
          <w:bCs/>
          <w:lang w:val="lt-LT" w:eastAsia="lt-LT"/>
        </w:rPr>
      </w:pPr>
    </w:p>
    <w:p w14:paraId="6EA5BD5E" w14:textId="77777777" w:rsidR="00696DDC" w:rsidRPr="009E0143" w:rsidRDefault="00696DDC" w:rsidP="00F56562">
      <w:pPr>
        <w:rPr>
          <w:rFonts w:eastAsia="Times New Roman"/>
          <w:b/>
          <w:bCs/>
          <w:lang w:val="lt-LT" w:eastAsia="lt-LT"/>
        </w:rPr>
      </w:pPr>
    </w:p>
    <w:p w14:paraId="675EB17D" w14:textId="77777777" w:rsidR="00696DDC" w:rsidRPr="009E0143" w:rsidRDefault="00696DDC" w:rsidP="00F56562">
      <w:pPr>
        <w:rPr>
          <w:rFonts w:eastAsia="Times New Roman"/>
          <w:b/>
          <w:bCs/>
          <w:lang w:val="lt-LT" w:eastAsia="lt-LT"/>
        </w:rPr>
      </w:pPr>
    </w:p>
    <w:p w14:paraId="36CBE971" w14:textId="77777777" w:rsidR="00696DDC" w:rsidRPr="009E0143" w:rsidRDefault="00696DDC" w:rsidP="00F56562">
      <w:pPr>
        <w:rPr>
          <w:rFonts w:eastAsia="Times New Roman"/>
          <w:b/>
          <w:bCs/>
          <w:lang w:val="lt-LT" w:eastAsia="lt-LT"/>
        </w:rPr>
      </w:pPr>
    </w:p>
    <w:p w14:paraId="47C77682" w14:textId="77777777" w:rsidR="00696DDC" w:rsidRPr="009E0143" w:rsidRDefault="00696DDC" w:rsidP="00F56562">
      <w:pPr>
        <w:rPr>
          <w:rFonts w:eastAsia="Times New Roman"/>
          <w:b/>
          <w:bCs/>
          <w:lang w:val="lt-LT"/>
        </w:rPr>
      </w:pPr>
    </w:p>
    <w:p w14:paraId="4A1A26A1" w14:textId="77777777" w:rsidR="00696DDC" w:rsidRPr="009E0143" w:rsidRDefault="00696DDC" w:rsidP="00F56562">
      <w:pPr>
        <w:rPr>
          <w:rFonts w:eastAsia="Times New Roman"/>
          <w:b/>
          <w:bCs/>
          <w:lang w:val="lt-LT"/>
        </w:rPr>
      </w:pPr>
    </w:p>
    <w:p w14:paraId="6848BA50" w14:textId="77777777" w:rsidR="00696DDC" w:rsidRPr="009E0143" w:rsidRDefault="00696DDC" w:rsidP="00F56562">
      <w:pPr>
        <w:rPr>
          <w:rFonts w:eastAsia="Times New Roman"/>
          <w:b/>
          <w:bCs/>
          <w:lang w:val="lt-LT"/>
        </w:rPr>
      </w:pPr>
    </w:p>
    <w:p w14:paraId="4920885F" w14:textId="77777777" w:rsidR="00696DDC" w:rsidRPr="009E0143" w:rsidRDefault="00696DDC" w:rsidP="00F56562">
      <w:pPr>
        <w:rPr>
          <w:rFonts w:eastAsia="Times New Roman"/>
          <w:b/>
          <w:bCs/>
          <w:lang w:val="lt-LT"/>
        </w:rPr>
      </w:pPr>
    </w:p>
    <w:p w14:paraId="001C8147" w14:textId="77777777" w:rsidR="00696DDC" w:rsidRPr="009E0143" w:rsidRDefault="00696DDC" w:rsidP="00F56562">
      <w:pPr>
        <w:rPr>
          <w:rFonts w:eastAsia="Times New Roman"/>
          <w:b/>
          <w:bCs/>
          <w:lang w:val="lt-LT"/>
        </w:rPr>
      </w:pPr>
    </w:p>
    <w:p w14:paraId="60982F52" w14:textId="77777777" w:rsidR="00696DDC" w:rsidRPr="009E0143" w:rsidRDefault="00696DDC" w:rsidP="00F56562">
      <w:pPr>
        <w:rPr>
          <w:rFonts w:eastAsia="Times New Roman"/>
          <w:b/>
          <w:bCs/>
          <w:lang w:val="lt-LT"/>
        </w:rPr>
      </w:pPr>
    </w:p>
    <w:p w14:paraId="495C5546" w14:textId="77777777" w:rsidR="00696DDC" w:rsidRPr="009E0143" w:rsidRDefault="00696DDC" w:rsidP="00F56562">
      <w:pPr>
        <w:rPr>
          <w:rFonts w:eastAsia="Times New Roman"/>
          <w:b/>
          <w:bCs/>
          <w:lang w:val="lt-LT"/>
        </w:rPr>
      </w:pPr>
    </w:p>
    <w:p w14:paraId="764049A6" w14:textId="77777777" w:rsidR="00696DDC" w:rsidRPr="009E0143" w:rsidRDefault="00696DDC" w:rsidP="00F56562">
      <w:pPr>
        <w:rPr>
          <w:rFonts w:eastAsia="Times New Roman"/>
          <w:b/>
          <w:bCs/>
          <w:lang w:val="lt-LT"/>
        </w:rPr>
      </w:pPr>
    </w:p>
    <w:p w14:paraId="1B5662BD" w14:textId="77777777" w:rsidR="00696DDC" w:rsidRPr="009E0143" w:rsidRDefault="00696DDC" w:rsidP="00F56562">
      <w:pPr>
        <w:rPr>
          <w:rFonts w:eastAsia="Times New Roman"/>
          <w:b/>
          <w:bCs/>
          <w:lang w:val="lt-LT"/>
        </w:rPr>
      </w:pPr>
    </w:p>
    <w:p w14:paraId="5C16A2D5" w14:textId="77777777" w:rsidR="00696DDC" w:rsidRPr="009E0143" w:rsidRDefault="00696DDC" w:rsidP="00F56562">
      <w:pPr>
        <w:rPr>
          <w:rFonts w:eastAsia="Times New Roman"/>
          <w:b/>
          <w:bCs/>
          <w:lang w:val="lt-LT"/>
        </w:rPr>
      </w:pPr>
    </w:p>
    <w:p w14:paraId="6B71ABBB" w14:textId="77777777" w:rsidR="00696DDC" w:rsidRPr="009E0143" w:rsidRDefault="00696DDC" w:rsidP="00F56562">
      <w:pPr>
        <w:rPr>
          <w:rFonts w:eastAsia="Times New Roman"/>
          <w:b/>
          <w:bCs/>
          <w:lang w:val="lt-LT"/>
        </w:rPr>
      </w:pPr>
    </w:p>
    <w:p w14:paraId="02D6036C" w14:textId="77777777" w:rsidR="00696DDC" w:rsidRPr="009E0143" w:rsidRDefault="00696DDC" w:rsidP="00F56562">
      <w:pPr>
        <w:rPr>
          <w:rFonts w:eastAsia="Times New Roman"/>
          <w:b/>
          <w:bCs/>
          <w:lang w:val="lt-LT"/>
        </w:rPr>
      </w:pPr>
    </w:p>
    <w:p w14:paraId="674DFBA8" w14:textId="77777777" w:rsidR="00696DDC" w:rsidRPr="009E0143" w:rsidRDefault="00696DDC" w:rsidP="00F56562">
      <w:pPr>
        <w:rPr>
          <w:rFonts w:eastAsia="Times New Roman"/>
          <w:b/>
          <w:bCs/>
          <w:lang w:val="lt-LT"/>
        </w:rPr>
      </w:pPr>
    </w:p>
    <w:p w14:paraId="35BC496E" w14:textId="77777777" w:rsidR="00696DDC" w:rsidRPr="009E0143" w:rsidRDefault="00696DDC" w:rsidP="00F56562">
      <w:pPr>
        <w:rPr>
          <w:rFonts w:eastAsia="Times New Roman"/>
          <w:b/>
          <w:bCs/>
          <w:lang w:val="lt-LT"/>
        </w:rPr>
      </w:pPr>
    </w:p>
    <w:p w14:paraId="1359D2EF" w14:textId="77777777" w:rsidR="00696DDC" w:rsidRPr="009E0143" w:rsidRDefault="00696DDC" w:rsidP="00F56562">
      <w:pPr>
        <w:rPr>
          <w:rFonts w:eastAsia="Times New Roman"/>
          <w:b/>
          <w:bCs/>
          <w:lang w:val="lt-LT"/>
        </w:rPr>
      </w:pPr>
    </w:p>
    <w:p w14:paraId="77FDE9B8" w14:textId="77777777" w:rsidR="00696DDC" w:rsidRPr="009E0143" w:rsidRDefault="00696DDC" w:rsidP="00F56562">
      <w:pPr>
        <w:rPr>
          <w:rFonts w:eastAsia="Times New Roman"/>
          <w:b/>
          <w:bCs/>
          <w:lang w:val="lt-LT"/>
        </w:rPr>
      </w:pPr>
    </w:p>
    <w:p w14:paraId="62FC424F" w14:textId="77777777" w:rsidR="00696DDC" w:rsidRPr="009E0143" w:rsidRDefault="00696DDC" w:rsidP="00F56562">
      <w:pPr>
        <w:rPr>
          <w:rFonts w:eastAsia="Times New Roman"/>
          <w:b/>
          <w:bCs/>
          <w:lang w:val="lt-LT"/>
        </w:rPr>
      </w:pPr>
    </w:p>
    <w:p w14:paraId="0288C451" w14:textId="77777777" w:rsidR="00A32F9C" w:rsidRPr="009E0143" w:rsidRDefault="00A32F9C" w:rsidP="00F56562">
      <w:pPr>
        <w:keepNext/>
        <w:tabs>
          <w:tab w:val="left" w:pos="567"/>
        </w:tabs>
        <w:jc w:val="center"/>
        <w:outlineLvl w:val="1"/>
        <w:rPr>
          <w:b/>
          <w:sz w:val="22"/>
          <w:szCs w:val="22"/>
          <w:lang w:val="lt-LT"/>
        </w:rPr>
      </w:pPr>
    </w:p>
    <w:p w14:paraId="53E01551" w14:textId="77777777" w:rsidR="00A32F9C" w:rsidRPr="009E0143" w:rsidRDefault="00A32F9C" w:rsidP="00F56562">
      <w:pPr>
        <w:keepNext/>
        <w:tabs>
          <w:tab w:val="left" w:pos="567"/>
        </w:tabs>
        <w:jc w:val="center"/>
        <w:outlineLvl w:val="1"/>
        <w:rPr>
          <w:b/>
          <w:sz w:val="22"/>
          <w:szCs w:val="22"/>
          <w:lang w:val="lt-LT"/>
        </w:rPr>
      </w:pPr>
    </w:p>
    <w:p w14:paraId="569E9F9D" w14:textId="77777777" w:rsidR="002E66CB" w:rsidRPr="009E0143" w:rsidRDefault="002E66CB" w:rsidP="00F56562">
      <w:pPr>
        <w:keepNext/>
        <w:tabs>
          <w:tab w:val="left" w:pos="567"/>
        </w:tabs>
        <w:jc w:val="center"/>
        <w:outlineLvl w:val="1"/>
        <w:rPr>
          <w:i/>
          <w:sz w:val="22"/>
          <w:szCs w:val="22"/>
          <w:lang w:val="lt-LT"/>
        </w:rPr>
      </w:pPr>
      <w:r w:rsidRPr="009E0143">
        <w:rPr>
          <w:b/>
          <w:sz w:val="22"/>
          <w:szCs w:val="22"/>
          <w:lang w:val="lt-LT"/>
        </w:rPr>
        <w:t>I PRIEDAS</w:t>
      </w:r>
    </w:p>
    <w:p w14:paraId="1E5E3D0D" w14:textId="77777777" w:rsidR="002E66CB" w:rsidRPr="009E0143" w:rsidRDefault="002E66CB" w:rsidP="00F56562">
      <w:pPr>
        <w:tabs>
          <w:tab w:val="left" w:pos="567"/>
        </w:tabs>
        <w:rPr>
          <w:sz w:val="22"/>
          <w:szCs w:val="22"/>
          <w:lang w:val="lt-LT"/>
        </w:rPr>
      </w:pPr>
    </w:p>
    <w:p w14:paraId="2058EE98" w14:textId="77777777" w:rsidR="002E66CB" w:rsidRPr="009E0143" w:rsidRDefault="002E66CB" w:rsidP="00F56562">
      <w:pPr>
        <w:tabs>
          <w:tab w:val="left" w:pos="-1440"/>
          <w:tab w:val="left" w:pos="-720"/>
          <w:tab w:val="left" w:pos="567"/>
        </w:tabs>
        <w:jc w:val="center"/>
        <w:rPr>
          <w:b/>
          <w:sz w:val="22"/>
          <w:szCs w:val="22"/>
          <w:lang w:val="lt-LT"/>
        </w:rPr>
      </w:pPr>
      <w:r w:rsidRPr="009E0143">
        <w:rPr>
          <w:b/>
          <w:sz w:val="22"/>
          <w:szCs w:val="22"/>
          <w:lang w:val="lt-LT"/>
        </w:rPr>
        <w:t>PREPARATO CHARAKTERISTIKŲ SANTRAUKA</w:t>
      </w:r>
    </w:p>
    <w:p w14:paraId="0EC61304" w14:textId="77777777" w:rsidR="002E66CB" w:rsidRPr="009E0143" w:rsidRDefault="002E66CB" w:rsidP="00F56562">
      <w:pPr>
        <w:keepNext/>
        <w:keepLines/>
        <w:tabs>
          <w:tab w:val="left" w:pos="567"/>
        </w:tabs>
        <w:outlineLvl w:val="2"/>
        <w:rPr>
          <w:sz w:val="22"/>
          <w:szCs w:val="22"/>
          <w:lang w:val="lt-LT"/>
        </w:rPr>
      </w:pPr>
      <w:r w:rsidRPr="009E0143">
        <w:rPr>
          <w:sz w:val="22"/>
          <w:szCs w:val="22"/>
          <w:lang w:val="lt-LT"/>
        </w:rPr>
        <w:br w:type="page"/>
      </w:r>
      <w:r w:rsidRPr="009E0143">
        <w:rPr>
          <w:b/>
          <w:sz w:val="22"/>
          <w:szCs w:val="22"/>
          <w:lang w:val="lt-LT"/>
        </w:rPr>
        <w:lastRenderedPageBreak/>
        <w:t>1.</w:t>
      </w:r>
      <w:r w:rsidRPr="009E0143">
        <w:rPr>
          <w:b/>
          <w:sz w:val="22"/>
          <w:szCs w:val="22"/>
          <w:lang w:val="lt-LT"/>
        </w:rPr>
        <w:tab/>
        <w:t>VAISTINIO PREPARATO PAVADINIMAS</w:t>
      </w:r>
    </w:p>
    <w:p w14:paraId="5FD4331A" w14:textId="77777777" w:rsidR="00B91366" w:rsidRPr="009E0143" w:rsidRDefault="00B91366" w:rsidP="00F56562">
      <w:pPr>
        <w:tabs>
          <w:tab w:val="left" w:pos="-1440"/>
          <w:tab w:val="left" w:pos="-720"/>
          <w:tab w:val="left" w:pos="567"/>
        </w:tabs>
        <w:rPr>
          <w:b/>
          <w:noProof w:val="0"/>
          <w:sz w:val="22"/>
          <w:szCs w:val="22"/>
          <w:lang w:val="lt-LT"/>
        </w:rPr>
      </w:pPr>
    </w:p>
    <w:p w14:paraId="6AB9648E" w14:textId="77777777" w:rsidR="005A1F5B" w:rsidRPr="009E0143" w:rsidRDefault="00941A19" w:rsidP="00F56562">
      <w:pPr>
        <w:jc w:val="both"/>
        <w:rPr>
          <w:bCs/>
          <w:noProof w:val="0"/>
          <w:sz w:val="22"/>
          <w:szCs w:val="22"/>
          <w:lang w:val="lt-LT"/>
        </w:rPr>
      </w:pPr>
      <w:r w:rsidRPr="009E0143">
        <w:rPr>
          <w:bCs/>
          <w:noProof w:val="0"/>
          <w:sz w:val="22"/>
          <w:szCs w:val="22"/>
          <w:lang w:val="lt-LT"/>
        </w:rPr>
        <w:t>Paracetamol Zentiva</w:t>
      </w:r>
      <w:r w:rsidR="0043582A" w:rsidRPr="009E0143">
        <w:rPr>
          <w:bCs/>
          <w:noProof w:val="0"/>
          <w:sz w:val="22"/>
          <w:szCs w:val="22"/>
          <w:lang w:val="lt-LT"/>
        </w:rPr>
        <w:t xml:space="preserve"> </w:t>
      </w:r>
      <w:r w:rsidR="00580DD3" w:rsidRPr="009E0143">
        <w:rPr>
          <w:bCs/>
          <w:noProof w:val="0"/>
          <w:sz w:val="22"/>
          <w:szCs w:val="22"/>
          <w:lang w:val="lt-LT"/>
        </w:rPr>
        <w:t>500</w:t>
      </w:r>
      <w:r w:rsidR="0043582A" w:rsidRPr="009E0143">
        <w:rPr>
          <w:bCs/>
          <w:noProof w:val="0"/>
          <w:sz w:val="22"/>
          <w:szCs w:val="22"/>
          <w:lang w:val="lt-LT"/>
        </w:rPr>
        <w:t> mg t</w:t>
      </w:r>
      <w:r w:rsidR="004E3156" w:rsidRPr="009E0143">
        <w:rPr>
          <w:bCs/>
          <w:noProof w:val="0"/>
          <w:sz w:val="22"/>
          <w:szCs w:val="22"/>
          <w:lang w:val="lt-LT"/>
        </w:rPr>
        <w:t>ablet</w:t>
      </w:r>
      <w:r w:rsidRPr="009E0143">
        <w:rPr>
          <w:bCs/>
          <w:noProof w:val="0"/>
          <w:sz w:val="22"/>
          <w:szCs w:val="22"/>
          <w:lang w:val="lt-LT"/>
        </w:rPr>
        <w:t>ės</w:t>
      </w:r>
    </w:p>
    <w:p w14:paraId="65537BF1" w14:textId="77777777" w:rsidR="007E03DF" w:rsidRPr="009E0143" w:rsidRDefault="007E03DF" w:rsidP="00F56562">
      <w:pPr>
        <w:jc w:val="both"/>
        <w:rPr>
          <w:noProof w:val="0"/>
          <w:sz w:val="22"/>
          <w:szCs w:val="22"/>
          <w:lang w:val="lt-LT"/>
        </w:rPr>
      </w:pPr>
    </w:p>
    <w:p w14:paraId="4EC6BD04" w14:textId="77777777" w:rsidR="000850E3" w:rsidRPr="009E0143" w:rsidRDefault="000850E3" w:rsidP="00F56562">
      <w:pPr>
        <w:jc w:val="both"/>
        <w:rPr>
          <w:noProof w:val="0"/>
          <w:sz w:val="22"/>
          <w:szCs w:val="22"/>
          <w:lang w:val="lt-LT"/>
        </w:rPr>
      </w:pPr>
    </w:p>
    <w:p w14:paraId="394E34F2" w14:textId="77777777" w:rsidR="002E66CB" w:rsidRPr="009E0143" w:rsidRDefault="002E66CB" w:rsidP="00F56562">
      <w:pPr>
        <w:keepNext/>
        <w:keepLines/>
        <w:tabs>
          <w:tab w:val="left" w:pos="567"/>
        </w:tabs>
        <w:outlineLvl w:val="2"/>
        <w:rPr>
          <w:sz w:val="22"/>
          <w:szCs w:val="22"/>
          <w:lang w:val="lt-LT"/>
        </w:rPr>
      </w:pPr>
      <w:r w:rsidRPr="009E0143">
        <w:rPr>
          <w:b/>
          <w:sz w:val="22"/>
          <w:szCs w:val="22"/>
          <w:lang w:val="lt-LT"/>
        </w:rPr>
        <w:t>2.</w:t>
      </w:r>
      <w:r w:rsidRPr="009E0143">
        <w:rPr>
          <w:b/>
          <w:sz w:val="22"/>
          <w:szCs w:val="22"/>
          <w:lang w:val="lt-LT"/>
        </w:rPr>
        <w:tab/>
        <w:t>KOKYBINĖ IR KIEKYBINĖ SUDĖTIS</w:t>
      </w:r>
    </w:p>
    <w:p w14:paraId="0851F060" w14:textId="77777777" w:rsidR="00B91366" w:rsidRPr="009E0143" w:rsidRDefault="00B91366" w:rsidP="00F56562">
      <w:pPr>
        <w:jc w:val="both"/>
        <w:rPr>
          <w:noProof w:val="0"/>
          <w:sz w:val="22"/>
          <w:szCs w:val="22"/>
          <w:lang w:val="lt-LT"/>
        </w:rPr>
      </w:pPr>
    </w:p>
    <w:p w14:paraId="4A7F38CA" w14:textId="77777777" w:rsidR="005A1F5B" w:rsidRPr="009E0143" w:rsidRDefault="00885974" w:rsidP="00F56562">
      <w:pPr>
        <w:jc w:val="both"/>
        <w:rPr>
          <w:noProof w:val="0"/>
          <w:sz w:val="22"/>
          <w:szCs w:val="22"/>
          <w:lang w:val="lt-LT"/>
        </w:rPr>
      </w:pPr>
      <w:r w:rsidRPr="009E0143">
        <w:rPr>
          <w:noProof w:val="0"/>
          <w:sz w:val="22"/>
          <w:szCs w:val="22"/>
          <w:lang w:val="lt-LT"/>
        </w:rPr>
        <w:t>Kiekvienoje tabletėje yra</w:t>
      </w:r>
      <w:r w:rsidR="001A51F5" w:rsidRPr="009E0143">
        <w:rPr>
          <w:noProof w:val="0"/>
          <w:sz w:val="22"/>
          <w:szCs w:val="22"/>
          <w:lang w:val="lt-LT"/>
        </w:rPr>
        <w:t xml:space="preserve"> </w:t>
      </w:r>
      <w:r w:rsidR="005A1F5B" w:rsidRPr="009E0143">
        <w:rPr>
          <w:noProof w:val="0"/>
          <w:sz w:val="22"/>
          <w:szCs w:val="22"/>
          <w:lang w:val="lt-LT"/>
        </w:rPr>
        <w:t>500</w:t>
      </w:r>
      <w:r w:rsidR="0043582A" w:rsidRPr="009E0143">
        <w:rPr>
          <w:noProof w:val="0"/>
          <w:sz w:val="22"/>
          <w:szCs w:val="22"/>
          <w:lang w:val="lt-LT"/>
        </w:rPr>
        <w:t> mg</w:t>
      </w:r>
      <w:r w:rsidR="005A1F5B" w:rsidRPr="009E0143">
        <w:rPr>
          <w:noProof w:val="0"/>
          <w:sz w:val="22"/>
          <w:szCs w:val="22"/>
          <w:lang w:val="lt-LT"/>
        </w:rPr>
        <w:t xml:space="preserve"> paracetamol</w:t>
      </w:r>
      <w:r w:rsidRPr="009E0143">
        <w:rPr>
          <w:noProof w:val="0"/>
          <w:sz w:val="22"/>
          <w:szCs w:val="22"/>
          <w:lang w:val="lt-LT"/>
        </w:rPr>
        <w:t>io</w:t>
      </w:r>
      <w:r w:rsidR="005A1F5B" w:rsidRPr="009E0143">
        <w:rPr>
          <w:noProof w:val="0"/>
          <w:sz w:val="22"/>
          <w:szCs w:val="22"/>
          <w:lang w:val="lt-LT"/>
        </w:rPr>
        <w:t>.</w:t>
      </w:r>
    </w:p>
    <w:p w14:paraId="0DB273C7" w14:textId="77777777" w:rsidR="005B411F" w:rsidRPr="009E0143" w:rsidRDefault="005B411F" w:rsidP="00F56562">
      <w:pPr>
        <w:jc w:val="both"/>
        <w:rPr>
          <w:noProof w:val="0"/>
          <w:sz w:val="22"/>
          <w:szCs w:val="22"/>
          <w:lang w:val="lt-LT"/>
        </w:rPr>
      </w:pPr>
    </w:p>
    <w:p w14:paraId="12105D55" w14:textId="77777777" w:rsidR="005A1F5B" w:rsidRPr="009E0143" w:rsidRDefault="002E66CB" w:rsidP="00F56562">
      <w:pPr>
        <w:jc w:val="both"/>
        <w:rPr>
          <w:b/>
          <w:noProof w:val="0"/>
          <w:sz w:val="22"/>
          <w:szCs w:val="22"/>
          <w:lang w:val="lt-LT"/>
        </w:rPr>
      </w:pPr>
      <w:r w:rsidRPr="009E0143">
        <w:rPr>
          <w:noProof w:val="0"/>
          <w:sz w:val="22"/>
          <w:szCs w:val="22"/>
          <w:lang w:val="lt-LT"/>
        </w:rPr>
        <w:t>Visos pagalbinės medžiagos išvardytos 6.1 skyriuje.</w:t>
      </w:r>
    </w:p>
    <w:p w14:paraId="18D936A9" w14:textId="77777777" w:rsidR="005A1F5B" w:rsidRPr="009E0143" w:rsidRDefault="005A1F5B" w:rsidP="00F56562">
      <w:pPr>
        <w:jc w:val="both"/>
        <w:rPr>
          <w:noProof w:val="0"/>
          <w:sz w:val="22"/>
          <w:szCs w:val="22"/>
          <w:lang w:val="lt-LT"/>
        </w:rPr>
      </w:pPr>
    </w:p>
    <w:p w14:paraId="6012AE62" w14:textId="77777777" w:rsidR="002E66CB" w:rsidRPr="009E0143" w:rsidRDefault="002E66CB" w:rsidP="00F56562">
      <w:pPr>
        <w:jc w:val="both"/>
        <w:rPr>
          <w:noProof w:val="0"/>
          <w:sz w:val="22"/>
          <w:szCs w:val="22"/>
          <w:lang w:val="lt-LT"/>
        </w:rPr>
      </w:pPr>
    </w:p>
    <w:p w14:paraId="47B8E042" w14:textId="77777777" w:rsidR="002E66CB" w:rsidRPr="009E0143" w:rsidRDefault="002E66CB" w:rsidP="00F56562">
      <w:pPr>
        <w:keepNext/>
        <w:keepLines/>
        <w:tabs>
          <w:tab w:val="left" w:pos="567"/>
        </w:tabs>
        <w:outlineLvl w:val="2"/>
        <w:rPr>
          <w:sz w:val="22"/>
          <w:szCs w:val="22"/>
          <w:lang w:val="lt-LT"/>
        </w:rPr>
      </w:pPr>
      <w:r w:rsidRPr="009E0143">
        <w:rPr>
          <w:b/>
          <w:sz w:val="22"/>
          <w:szCs w:val="22"/>
          <w:lang w:val="lt-LT"/>
        </w:rPr>
        <w:t>3.</w:t>
      </w:r>
      <w:r w:rsidRPr="009E0143">
        <w:rPr>
          <w:b/>
          <w:sz w:val="22"/>
          <w:szCs w:val="22"/>
          <w:lang w:val="lt-LT"/>
        </w:rPr>
        <w:tab/>
        <w:t>FARMACINĖ FORMA</w:t>
      </w:r>
    </w:p>
    <w:p w14:paraId="1A802B15" w14:textId="77777777" w:rsidR="002E66CB" w:rsidRPr="009E0143" w:rsidRDefault="002E66CB" w:rsidP="00F56562">
      <w:pPr>
        <w:jc w:val="both"/>
        <w:rPr>
          <w:noProof w:val="0"/>
          <w:sz w:val="22"/>
          <w:szCs w:val="22"/>
          <w:lang w:val="lt-LT"/>
        </w:rPr>
      </w:pPr>
    </w:p>
    <w:p w14:paraId="420175B5" w14:textId="77777777" w:rsidR="00F347F3" w:rsidRPr="009E0143" w:rsidRDefault="00F347F3" w:rsidP="00F56562">
      <w:pPr>
        <w:jc w:val="both"/>
        <w:rPr>
          <w:noProof w:val="0"/>
          <w:sz w:val="22"/>
          <w:szCs w:val="22"/>
          <w:lang w:val="lt-LT"/>
        </w:rPr>
      </w:pPr>
      <w:r w:rsidRPr="009E0143">
        <w:rPr>
          <w:noProof w:val="0"/>
          <w:sz w:val="22"/>
          <w:szCs w:val="22"/>
          <w:lang w:val="lt-LT"/>
        </w:rPr>
        <w:t>Tablet</w:t>
      </w:r>
      <w:r w:rsidR="002E66CB" w:rsidRPr="009E0143">
        <w:rPr>
          <w:noProof w:val="0"/>
          <w:sz w:val="22"/>
          <w:szCs w:val="22"/>
          <w:lang w:val="lt-LT"/>
        </w:rPr>
        <w:t>ė</w:t>
      </w:r>
      <w:r w:rsidRPr="009E0143">
        <w:rPr>
          <w:noProof w:val="0"/>
          <w:sz w:val="22"/>
          <w:szCs w:val="22"/>
          <w:lang w:val="lt-LT"/>
        </w:rPr>
        <w:t>.</w:t>
      </w:r>
    </w:p>
    <w:p w14:paraId="4D0D799E" w14:textId="77777777" w:rsidR="00461D91" w:rsidRPr="009E0143" w:rsidRDefault="00461D91" w:rsidP="00355FCF">
      <w:pPr>
        <w:tabs>
          <w:tab w:val="left" w:pos="567"/>
        </w:tabs>
        <w:rPr>
          <w:sz w:val="22"/>
          <w:szCs w:val="22"/>
          <w:lang w:val="lt-LT" w:eastAsia="en-US"/>
        </w:rPr>
      </w:pPr>
      <w:r w:rsidRPr="009E0143">
        <w:rPr>
          <w:noProof w:val="0"/>
          <w:sz w:val="22"/>
          <w:szCs w:val="22"/>
          <w:lang w:val="lt-LT"/>
        </w:rPr>
        <w:t xml:space="preserve">Balta kapsulės formos tabletė </w:t>
      </w:r>
      <w:r w:rsidR="004620D8" w:rsidRPr="009E0143">
        <w:rPr>
          <w:noProof w:val="0"/>
          <w:sz w:val="22"/>
          <w:szCs w:val="22"/>
          <w:lang w:val="lt-LT"/>
        </w:rPr>
        <w:t xml:space="preserve">nuožulniais </w:t>
      </w:r>
      <w:r w:rsidRPr="009E0143">
        <w:rPr>
          <w:noProof w:val="0"/>
          <w:sz w:val="22"/>
          <w:szCs w:val="22"/>
          <w:lang w:val="lt-LT"/>
        </w:rPr>
        <w:t>kraštais, kurios matmenys</w:t>
      </w:r>
      <w:r w:rsidR="004620D8" w:rsidRPr="009E0143">
        <w:rPr>
          <w:noProof w:val="0"/>
          <w:sz w:val="22"/>
          <w:szCs w:val="22"/>
          <w:lang w:val="lt-LT"/>
        </w:rPr>
        <w:t xml:space="preserve"> yra </w:t>
      </w:r>
      <w:r w:rsidR="008E56AF" w:rsidRPr="009E0143">
        <w:rPr>
          <w:noProof w:val="0"/>
          <w:sz w:val="22"/>
          <w:szCs w:val="22"/>
          <w:lang w:val="lt-LT"/>
        </w:rPr>
        <w:t xml:space="preserve">maždaug </w:t>
      </w:r>
      <w:r w:rsidRPr="009E0143">
        <w:rPr>
          <w:noProof w:val="0"/>
          <w:sz w:val="22"/>
          <w:szCs w:val="22"/>
          <w:lang w:val="lt-LT"/>
        </w:rPr>
        <w:t xml:space="preserve">17×7 mm, </w:t>
      </w:r>
      <w:r w:rsidR="00C33F60" w:rsidRPr="009E0143">
        <w:rPr>
          <w:noProof w:val="0"/>
          <w:sz w:val="22"/>
          <w:szCs w:val="22"/>
          <w:lang w:val="lt-LT"/>
        </w:rPr>
        <w:t xml:space="preserve">su </w:t>
      </w:r>
      <w:r w:rsidR="004620D8" w:rsidRPr="009E0143">
        <w:rPr>
          <w:noProof w:val="0"/>
          <w:sz w:val="22"/>
          <w:szCs w:val="22"/>
          <w:lang w:val="lt-LT"/>
        </w:rPr>
        <w:t>vagele vienoje pusėje</w:t>
      </w:r>
      <w:r w:rsidR="00465954" w:rsidRPr="009E0143">
        <w:rPr>
          <w:noProof w:val="0"/>
          <w:sz w:val="22"/>
          <w:szCs w:val="22"/>
          <w:lang w:val="lt-LT"/>
        </w:rPr>
        <w:t xml:space="preserve">, kuri skiria </w:t>
      </w:r>
      <w:r w:rsidR="00C33F60" w:rsidRPr="009E0143">
        <w:rPr>
          <w:noProof w:val="0"/>
          <w:sz w:val="22"/>
          <w:szCs w:val="22"/>
          <w:lang w:val="lt-LT"/>
        </w:rPr>
        <w:t xml:space="preserve">„S“ ir „1“ </w:t>
      </w:r>
      <w:r w:rsidR="00465954" w:rsidRPr="009E0143">
        <w:rPr>
          <w:noProof w:val="0"/>
          <w:sz w:val="22"/>
          <w:szCs w:val="22"/>
          <w:lang w:val="lt-LT"/>
        </w:rPr>
        <w:t xml:space="preserve">žymenis </w:t>
      </w:r>
      <w:r w:rsidR="00C33F60" w:rsidRPr="009E0143">
        <w:rPr>
          <w:noProof w:val="0"/>
          <w:sz w:val="22"/>
          <w:szCs w:val="22"/>
          <w:lang w:val="lt-LT"/>
        </w:rPr>
        <w:t>(S|1)</w:t>
      </w:r>
      <w:r w:rsidRPr="009E0143">
        <w:rPr>
          <w:noProof w:val="0"/>
          <w:sz w:val="22"/>
          <w:szCs w:val="22"/>
          <w:lang w:val="lt-LT"/>
        </w:rPr>
        <w:t>.</w:t>
      </w:r>
      <w:r w:rsidR="00F347F3" w:rsidRPr="009E0143">
        <w:rPr>
          <w:noProof w:val="0"/>
          <w:sz w:val="22"/>
          <w:szCs w:val="22"/>
          <w:lang w:val="lt-LT"/>
        </w:rPr>
        <w:t xml:space="preserve"> </w:t>
      </w:r>
      <w:r w:rsidRPr="009E0143">
        <w:rPr>
          <w:sz w:val="22"/>
          <w:szCs w:val="22"/>
          <w:lang w:val="lt-LT" w:eastAsia="en-US"/>
        </w:rPr>
        <w:t>Tabletę galima padalyti į lygias dozes.</w:t>
      </w:r>
    </w:p>
    <w:p w14:paraId="18FF8C93" w14:textId="77777777" w:rsidR="00B12389" w:rsidRPr="009E0143" w:rsidRDefault="00B12389" w:rsidP="00F56562">
      <w:pPr>
        <w:jc w:val="both"/>
        <w:rPr>
          <w:noProof w:val="0"/>
          <w:sz w:val="22"/>
          <w:szCs w:val="22"/>
          <w:lang w:val="lt-LT"/>
        </w:rPr>
      </w:pPr>
    </w:p>
    <w:p w14:paraId="1EC0A5A4" w14:textId="77777777" w:rsidR="00A7259F" w:rsidRPr="009E0143" w:rsidRDefault="00A7259F" w:rsidP="00F56562">
      <w:pPr>
        <w:jc w:val="both"/>
        <w:rPr>
          <w:noProof w:val="0"/>
          <w:sz w:val="22"/>
          <w:szCs w:val="22"/>
          <w:lang w:val="lt-LT"/>
        </w:rPr>
      </w:pPr>
    </w:p>
    <w:p w14:paraId="5F9F4DEE" w14:textId="77777777" w:rsidR="00D03DA1" w:rsidRPr="009E0143" w:rsidRDefault="00D03DA1" w:rsidP="00F56562">
      <w:pPr>
        <w:keepNext/>
        <w:keepLines/>
        <w:tabs>
          <w:tab w:val="left" w:pos="567"/>
        </w:tabs>
        <w:outlineLvl w:val="2"/>
        <w:rPr>
          <w:sz w:val="22"/>
          <w:szCs w:val="22"/>
          <w:lang w:val="lt-LT"/>
        </w:rPr>
      </w:pPr>
      <w:r w:rsidRPr="009E0143">
        <w:rPr>
          <w:b/>
          <w:sz w:val="22"/>
          <w:szCs w:val="22"/>
          <w:lang w:val="lt-LT"/>
        </w:rPr>
        <w:t>4.</w:t>
      </w:r>
      <w:r w:rsidRPr="009E0143">
        <w:rPr>
          <w:b/>
          <w:sz w:val="22"/>
          <w:szCs w:val="22"/>
          <w:lang w:val="lt-LT"/>
        </w:rPr>
        <w:tab/>
        <w:t>KLINIKINĖ INFORMACIJA</w:t>
      </w:r>
    </w:p>
    <w:p w14:paraId="7D7D9CFE" w14:textId="77777777" w:rsidR="00D03DA1" w:rsidRPr="009E0143" w:rsidRDefault="00D03DA1" w:rsidP="00F56562">
      <w:pPr>
        <w:tabs>
          <w:tab w:val="left" w:pos="567"/>
        </w:tabs>
        <w:rPr>
          <w:sz w:val="22"/>
          <w:szCs w:val="22"/>
          <w:lang w:val="lt-LT"/>
        </w:rPr>
      </w:pPr>
    </w:p>
    <w:p w14:paraId="56FCADF0" w14:textId="77777777" w:rsidR="00D03DA1" w:rsidRPr="009E0143" w:rsidRDefault="00D03DA1" w:rsidP="00F56562">
      <w:pPr>
        <w:keepNext/>
        <w:tabs>
          <w:tab w:val="left" w:pos="567"/>
        </w:tabs>
        <w:jc w:val="both"/>
        <w:outlineLvl w:val="3"/>
        <w:rPr>
          <w:sz w:val="22"/>
          <w:szCs w:val="22"/>
          <w:lang w:val="lt-LT"/>
        </w:rPr>
      </w:pPr>
      <w:r w:rsidRPr="009E0143">
        <w:rPr>
          <w:b/>
          <w:sz w:val="22"/>
          <w:szCs w:val="22"/>
          <w:lang w:val="lt-LT"/>
        </w:rPr>
        <w:t>4.1</w:t>
      </w:r>
      <w:r w:rsidRPr="009E0143">
        <w:rPr>
          <w:b/>
          <w:sz w:val="22"/>
          <w:szCs w:val="22"/>
          <w:lang w:val="lt-LT"/>
        </w:rPr>
        <w:tab/>
        <w:t>Terapinės indikacijos</w:t>
      </w:r>
    </w:p>
    <w:p w14:paraId="36A9BF28" w14:textId="77777777" w:rsidR="000850E3" w:rsidRPr="009E0143" w:rsidRDefault="000850E3" w:rsidP="00F56562">
      <w:pPr>
        <w:jc w:val="both"/>
        <w:rPr>
          <w:noProof w:val="0"/>
          <w:sz w:val="22"/>
          <w:szCs w:val="22"/>
          <w:lang w:val="lt-LT"/>
        </w:rPr>
      </w:pPr>
    </w:p>
    <w:p w14:paraId="29173BBF" w14:textId="77777777" w:rsidR="00172DC2" w:rsidRPr="009E0143" w:rsidRDefault="00172DC2" w:rsidP="00F56562">
      <w:pPr>
        <w:jc w:val="both"/>
        <w:rPr>
          <w:noProof w:val="0"/>
          <w:sz w:val="22"/>
          <w:szCs w:val="22"/>
          <w:lang w:val="lt-LT"/>
        </w:rPr>
      </w:pPr>
      <w:r w:rsidRPr="009E0143">
        <w:rPr>
          <w:noProof w:val="0"/>
          <w:sz w:val="22"/>
          <w:szCs w:val="22"/>
          <w:lang w:val="lt-LT"/>
        </w:rPr>
        <w:t>Trumpalaikis simptominis lengvo ar vidutinio stiprumo skausmo ir (arba) karščiavimo</w:t>
      </w:r>
      <w:r w:rsidR="00BA3F6E" w:rsidRPr="009E0143">
        <w:rPr>
          <w:noProof w:val="0"/>
          <w:sz w:val="22"/>
          <w:szCs w:val="22"/>
          <w:lang w:val="lt-LT"/>
        </w:rPr>
        <w:t xml:space="preserve"> </w:t>
      </w:r>
      <w:r w:rsidR="005960F0" w:rsidRPr="009E0143">
        <w:rPr>
          <w:noProof w:val="0"/>
          <w:sz w:val="22"/>
          <w:szCs w:val="22"/>
          <w:lang w:val="lt-LT"/>
        </w:rPr>
        <w:t>malšinimas</w:t>
      </w:r>
      <w:r w:rsidRPr="009E0143">
        <w:rPr>
          <w:noProof w:val="0"/>
          <w:sz w:val="22"/>
          <w:szCs w:val="22"/>
          <w:lang w:val="lt-LT"/>
        </w:rPr>
        <w:t>.</w:t>
      </w:r>
    </w:p>
    <w:p w14:paraId="7B5BDC89" w14:textId="77777777" w:rsidR="00172DC2" w:rsidRPr="009E0143" w:rsidRDefault="00172DC2" w:rsidP="00F56562">
      <w:pPr>
        <w:jc w:val="both"/>
        <w:rPr>
          <w:noProof w:val="0"/>
          <w:sz w:val="22"/>
          <w:szCs w:val="22"/>
          <w:lang w:val="lt-LT"/>
        </w:rPr>
      </w:pPr>
      <w:r w:rsidRPr="009E0143">
        <w:rPr>
          <w:noProof w:val="0"/>
          <w:sz w:val="22"/>
          <w:szCs w:val="22"/>
          <w:lang w:val="lt-LT"/>
        </w:rPr>
        <w:t xml:space="preserve">Paracetamol Zentiva 500 mg tabletės skirtos suaugusiesiems, paaugliams ir </w:t>
      </w:r>
      <w:r w:rsidR="000064EA" w:rsidRPr="009E0143">
        <w:rPr>
          <w:noProof w:val="0"/>
          <w:sz w:val="22"/>
          <w:szCs w:val="22"/>
          <w:lang w:val="lt-LT"/>
        </w:rPr>
        <w:t xml:space="preserve">6 metų bei vyresniems </w:t>
      </w:r>
      <w:r w:rsidRPr="009E0143">
        <w:rPr>
          <w:noProof w:val="0"/>
          <w:sz w:val="22"/>
          <w:szCs w:val="22"/>
          <w:lang w:val="lt-LT"/>
        </w:rPr>
        <w:t xml:space="preserve">vaikams, sveriantiems </w:t>
      </w:r>
      <w:r w:rsidR="005763E4" w:rsidRPr="009E0143">
        <w:rPr>
          <w:noProof w:val="0"/>
          <w:sz w:val="22"/>
          <w:szCs w:val="22"/>
          <w:lang w:val="lt-LT"/>
        </w:rPr>
        <w:t>daugiau kaip</w:t>
      </w:r>
      <w:r w:rsidRPr="009E0143">
        <w:rPr>
          <w:noProof w:val="0"/>
          <w:sz w:val="22"/>
          <w:szCs w:val="22"/>
          <w:lang w:val="lt-LT"/>
        </w:rPr>
        <w:t xml:space="preserve"> 21</w:t>
      </w:r>
      <w:r w:rsidR="005763E4" w:rsidRPr="009E0143">
        <w:rPr>
          <w:noProof w:val="0"/>
          <w:sz w:val="22"/>
          <w:szCs w:val="22"/>
          <w:lang w:val="lt-LT"/>
        </w:rPr>
        <w:t> </w:t>
      </w:r>
      <w:r w:rsidRPr="009E0143">
        <w:rPr>
          <w:noProof w:val="0"/>
          <w:sz w:val="22"/>
          <w:szCs w:val="22"/>
          <w:lang w:val="lt-LT"/>
        </w:rPr>
        <w:t>kg.</w:t>
      </w:r>
    </w:p>
    <w:p w14:paraId="0E285EEC" w14:textId="77777777" w:rsidR="00723204" w:rsidRPr="009E0143" w:rsidRDefault="00723204" w:rsidP="00F56562">
      <w:pPr>
        <w:jc w:val="both"/>
        <w:rPr>
          <w:b/>
          <w:noProof w:val="0"/>
          <w:sz w:val="22"/>
          <w:szCs w:val="22"/>
          <w:lang w:val="lt-LT"/>
        </w:rPr>
      </w:pPr>
    </w:p>
    <w:p w14:paraId="3DCE2D9F" w14:textId="77777777" w:rsidR="00D03DA1" w:rsidRPr="009E0143" w:rsidRDefault="00D03DA1" w:rsidP="00F56562">
      <w:pPr>
        <w:keepNext/>
        <w:tabs>
          <w:tab w:val="left" w:pos="567"/>
        </w:tabs>
        <w:jc w:val="both"/>
        <w:outlineLvl w:val="3"/>
        <w:rPr>
          <w:sz w:val="22"/>
          <w:szCs w:val="22"/>
          <w:lang w:val="lt-LT"/>
        </w:rPr>
      </w:pPr>
      <w:bookmarkStart w:id="0" w:name="_Hlk40884229"/>
      <w:r w:rsidRPr="009E0143">
        <w:rPr>
          <w:b/>
          <w:sz w:val="22"/>
          <w:szCs w:val="22"/>
          <w:lang w:val="lt-LT"/>
        </w:rPr>
        <w:t>4.2</w:t>
      </w:r>
      <w:r w:rsidRPr="009E0143">
        <w:rPr>
          <w:b/>
          <w:sz w:val="22"/>
          <w:szCs w:val="22"/>
          <w:lang w:val="lt-LT"/>
        </w:rPr>
        <w:tab/>
        <w:t>Dozavimas ir vartojimo metodas</w:t>
      </w:r>
    </w:p>
    <w:p w14:paraId="29B8F4D8" w14:textId="77777777" w:rsidR="00D03DA1" w:rsidRPr="009E0143" w:rsidRDefault="00D03DA1" w:rsidP="00F56562">
      <w:pPr>
        <w:tabs>
          <w:tab w:val="left" w:pos="567"/>
        </w:tabs>
        <w:rPr>
          <w:sz w:val="22"/>
          <w:szCs w:val="22"/>
          <w:lang w:val="lt-LT"/>
        </w:rPr>
      </w:pPr>
    </w:p>
    <w:p w14:paraId="3795D245" w14:textId="77777777" w:rsidR="00D03DA1" w:rsidRPr="009E0143" w:rsidRDefault="00D03DA1" w:rsidP="007F555B">
      <w:pPr>
        <w:tabs>
          <w:tab w:val="left" w:pos="567"/>
        </w:tabs>
        <w:rPr>
          <w:sz w:val="22"/>
          <w:szCs w:val="22"/>
          <w:u w:val="single"/>
          <w:lang w:val="lt-LT"/>
        </w:rPr>
      </w:pPr>
      <w:r w:rsidRPr="009E0143">
        <w:rPr>
          <w:sz w:val="22"/>
          <w:szCs w:val="22"/>
          <w:u w:val="single"/>
          <w:lang w:val="lt-LT"/>
        </w:rPr>
        <w:t>Dozavimas</w:t>
      </w:r>
    </w:p>
    <w:p w14:paraId="09B065B4" w14:textId="77777777" w:rsidR="00E05419" w:rsidRPr="009E0143" w:rsidRDefault="00E05419" w:rsidP="007F555B">
      <w:pPr>
        <w:rPr>
          <w:noProof w:val="0"/>
          <w:sz w:val="22"/>
          <w:szCs w:val="22"/>
          <w:lang w:val="lt-LT"/>
        </w:rPr>
      </w:pPr>
      <w:r w:rsidRPr="009E0143">
        <w:rPr>
          <w:noProof w:val="0"/>
          <w:sz w:val="22"/>
          <w:szCs w:val="22"/>
          <w:lang w:val="lt-LT"/>
        </w:rPr>
        <w:t>Reikia vartoti mažiausią veiksmingą dozę kiek galima trump</w:t>
      </w:r>
      <w:r w:rsidR="00465954" w:rsidRPr="009E0143">
        <w:rPr>
          <w:noProof w:val="0"/>
          <w:sz w:val="22"/>
          <w:szCs w:val="22"/>
          <w:lang w:val="lt-LT"/>
        </w:rPr>
        <w:t>esnį laiką</w:t>
      </w:r>
      <w:r w:rsidRPr="009E0143">
        <w:rPr>
          <w:noProof w:val="0"/>
          <w:sz w:val="22"/>
          <w:szCs w:val="22"/>
          <w:lang w:val="lt-LT"/>
        </w:rPr>
        <w:t>. Didžiausios paros dozės viršyti negalima.</w:t>
      </w:r>
    </w:p>
    <w:p w14:paraId="4F3A6C8D" w14:textId="77777777" w:rsidR="00E05419" w:rsidRPr="009E0143" w:rsidRDefault="00E05419" w:rsidP="007F555B">
      <w:pPr>
        <w:rPr>
          <w:noProof w:val="0"/>
          <w:sz w:val="22"/>
          <w:szCs w:val="22"/>
          <w:lang w:val="lt-LT"/>
        </w:rPr>
      </w:pPr>
      <w:r w:rsidRPr="009E0143">
        <w:rPr>
          <w:noProof w:val="0"/>
          <w:sz w:val="22"/>
          <w:szCs w:val="22"/>
          <w:lang w:val="lt-LT"/>
        </w:rPr>
        <w:t xml:space="preserve">Paracetamolis dozuojamas atsižvelgiant į kūno svorį ir amžių, paprastai </w:t>
      </w:r>
      <w:r w:rsidR="00A62D11" w:rsidRPr="009E0143">
        <w:rPr>
          <w:noProof w:val="0"/>
          <w:sz w:val="22"/>
          <w:szCs w:val="22"/>
          <w:lang w:val="lt-LT"/>
        </w:rPr>
        <w:t xml:space="preserve">skiriant vienkartinę </w:t>
      </w:r>
      <w:r w:rsidRPr="009E0143">
        <w:rPr>
          <w:noProof w:val="0"/>
          <w:sz w:val="22"/>
          <w:szCs w:val="22"/>
          <w:lang w:val="lt-LT"/>
        </w:rPr>
        <w:t>10</w:t>
      </w:r>
      <w:r w:rsidR="007F555B" w:rsidRPr="009E0143">
        <w:rPr>
          <w:noProof w:val="0"/>
          <w:sz w:val="22"/>
          <w:szCs w:val="22"/>
          <w:lang w:val="lt-LT"/>
        </w:rPr>
        <w:noBreakHyphen/>
      </w:r>
      <w:r w:rsidRPr="009E0143">
        <w:rPr>
          <w:noProof w:val="0"/>
          <w:sz w:val="22"/>
          <w:szCs w:val="22"/>
          <w:lang w:val="lt-LT"/>
        </w:rPr>
        <w:t>15 mg/kg kūno svorio</w:t>
      </w:r>
      <w:r w:rsidR="00A62D11" w:rsidRPr="009E0143">
        <w:rPr>
          <w:noProof w:val="0"/>
          <w:sz w:val="22"/>
          <w:szCs w:val="22"/>
          <w:lang w:val="lt-LT"/>
        </w:rPr>
        <w:t xml:space="preserve"> doz</w:t>
      </w:r>
      <w:r w:rsidR="00EF7CD1" w:rsidRPr="009E0143">
        <w:rPr>
          <w:noProof w:val="0"/>
          <w:sz w:val="22"/>
          <w:szCs w:val="22"/>
          <w:lang w:val="lt-LT"/>
        </w:rPr>
        <w:t>ę</w:t>
      </w:r>
      <w:r w:rsidRPr="009E0143">
        <w:rPr>
          <w:noProof w:val="0"/>
          <w:sz w:val="22"/>
          <w:szCs w:val="22"/>
          <w:lang w:val="lt-LT"/>
        </w:rPr>
        <w:t xml:space="preserve">, </w:t>
      </w:r>
      <w:r w:rsidR="00A33B14" w:rsidRPr="009E0143">
        <w:rPr>
          <w:noProof w:val="0"/>
          <w:sz w:val="22"/>
          <w:szCs w:val="22"/>
          <w:lang w:val="lt-LT"/>
        </w:rPr>
        <w:t xml:space="preserve">neviršijant </w:t>
      </w:r>
      <w:r w:rsidRPr="009E0143">
        <w:rPr>
          <w:noProof w:val="0"/>
          <w:sz w:val="22"/>
          <w:szCs w:val="22"/>
          <w:lang w:val="lt-LT"/>
        </w:rPr>
        <w:t>didžiausios paros dozės – 60 mg/kg kūno svorio. Dozavimas pagal kūno svorį ir amžių pateiktas lentelėje.</w:t>
      </w:r>
    </w:p>
    <w:p w14:paraId="0F6345FA" w14:textId="77777777" w:rsidR="00E05419" w:rsidRPr="009E0143" w:rsidRDefault="00E05419" w:rsidP="007F555B">
      <w:pPr>
        <w:rPr>
          <w:noProof w:val="0"/>
          <w:sz w:val="22"/>
          <w:szCs w:val="22"/>
          <w:lang w:val="lt-LT"/>
        </w:rPr>
      </w:pPr>
    </w:p>
    <w:p w14:paraId="6E8038BF" w14:textId="77777777" w:rsidR="00B8699E" w:rsidRPr="009E0143" w:rsidRDefault="00045BEC" w:rsidP="007F555B">
      <w:pPr>
        <w:rPr>
          <w:noProof w:val="0"/>
          <w:sz w:val="22"/>
          <w:szCs w:val="22"/>
          <w:lang w:val="lt-LT"/>
        </w:rPr>
      </w:pPr>
      <w:r w:rsidRPr="009E0143">
        <w:rPr>
          <w:noProof w:val="0"/>
          <w:sz w:val="22"/>
          <w:szCs w:val="22"/>
          <w:lang w:val="lt-LT"/>
        </w:rPr>
        <w:t>Paracetamol Zentiva 500 mg tabletės nėra skirtos jaunesniems kaip 6</w:t>
      </w:r>
      <w:r w:rsidR="00953553" w:rsidRPr="009E0143">
        <w:rPr>
          <w:noProof w:val="0"/>
          <w:sz w:val="22"/>
          <w:szCs w:val="22"/>
          <w:lang w:val="lt-LT"/>
        </w:rPr>
        <w:t xml:space="preserve"> </w:t>
      </w:r>
      <w:r w:rsidRPr="009E0143">
        <w:rPr>
          <w:noProof w:val="0"/>
          <w:sz w:val="22"/>
          <w:szCs w:val="22"/>
          <w:lang w:val="lt-LT"/>
        </w:rPr>
        <w:t xml:space="preserve">metų vaikams, </w:t>
      </w:r>
      <w:r w:rsidR="00EF7CD1" w:rsidRPr="009E0143">
        <w:rPr>
          <w:noProof w:val="0"/>
          <w:sz w:val="22"/>
          <w:szCs w:val="22"/>
          <w:lang w:val="lt-LT"/>
        </w:rPr>
        <w:t>sveriantiems mažiau</w:t>
      </w:r>
      <w:r w:rsidRPr="009E0143">
        <w:rPr>
          <w:noProof w:val="0"/>
          <w:sz w:val="22"/>
          <w:szCs w:val="22"/>
          <w:lang w:val="lt-LT"/>
        </w:rPr>
        <w:t xml:space="preserve"> kaip 21 kg.</w:t>
      </w:r>
    </w:p>
    <w:tbl>
      <w:tblPr>
        <w:tblW w:w="85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10"/>
        <w:gridCol w:w="1393"/>
        <w:gridCol w:w="2552"/>
        <w:gridCol w:w="2551"/>
      </w:tblGrid>
      <w:tr w:rsidR="00A13969" w:rsidRPr="009E0143" w14:paraId="2C410D6B" w14:textId="77777777" w:rsidTr="000665A4">
        <w:trPr>
          <w:trHeight w:val="283"/>
          <w:jc w:val="center"/>
        </w:trPr>
        <w:tc>
          <w:tcPr>
            <w:tcW w:w="2010" w:type="dxa"/>
          </w:tcPr>
          <w:p w14:paraId="480DE8AE" w14:textId="5AE251FD" w:rsidR="00A13969" w:rsidRPr="009E0143" w:rsidRDefault="00A13969" w:rsidP="00F56562">
            <w:pPr>
              <w:pStyle w:val="TableParagraph"/>
              <w:spacing w:line="240" w:lineRule="auto"/>
              <w:ind w:left="113" w:right="113"/>
              <w:rPr>
                <w:rFonts w:eastAsia="Calibri"/>
                <w:b/>
                <w:bCs/>
                <w:lang w:val="lt-LT"/>
              </w:rPr>
            </w:pPr>
            <w:bookmarkStart w:id="1" w:name="_Hlk89846263"/>
            <w:r w:rsidRPr="009E0143">
              <w:rPr>
                <w:rFonts w:eastAsia="Calibri"/>
                <w:b/>
                <w:bCs/>
                <w:lang w:val="lt-LT"/>
              </w:rPr>
              <w:t>Apytikslis amžius</w:t>
            </w:r>
          </w:p>
        </w:tc>
        <w:tc>
          <w:tcPr>
            <w:tcW w:w="1393" w:type="dxa"/>
          </w:tcPr>
          <w:p w14:paraId="58A42743" w14:textId="77777777" w:rsidR="00A13969" w:rsidRPr="009E0143" w:rsidRDefault="00A13969" w:rsidP="00F56562">
            <w:pPr>
              <w:pStyle w:val="TableParagraph"/>
              <w:spacing w:line="240" w:lineRule="auto"/>
              <w:ind w:left="113" w:right="113"/>
              <w:rPr>
                <w:rFonts w:eastAsia="Calibri"/>
                <w:b/>
                <w:bCs/>
                <w:lang w:val="lt-LT"/>
              </w:rPr>
            </w:pPr>
            <w:r w:rsidRPr="009E0143">
              <w:rPr>
                <w:rFonts w:eastAsia="Calibri"/>
                <w:b/>
                <w:bCs/>
                <w:lang w:val="lt-LT"/>
              </w:rPr>
              <w:t>Kūno svoris</w:t>
            </w:r>
          </w:p>
        </w:tc>
        <w:tc>
          <w:tcPr>
            <w:tcW w:w="2552" w:type="dxa"/>
          </w:tcPr>
          <w:p w14:paraId="2C831D31" w14:textId="77777777" w:rsidR="00A13969" w:rsidRPr="009E0143" w:rsidRDefault="00A13969" w:rsidP="00F56562">
            <w:pPr>
              <w:pStyle w:val="TableParagraph"/>
              <w:spacing w:line="240" w:lineRule="auto"/>
              <w:ind w:left="113" w:right="113"/>
              <w:rPr>
                <w:rFonts w:eastAsia="Calibri"/>
                <w:b/>
                <w:bCs/>
                <w:lang w:val="lt-LT"/>
              </w:rPr>
            </w:pPr>
            <w:r w:rsidRPr="009E0143">
              <w:rPr>
                <w:rFonts w:eastAsia="Calibri"/>
                <w:b/>
                <w:bCs/>
                <w:lang w:val="lt-LT"/>
              </w:rPr>
              <w:t>Vienkartinė dozė</w:t>
            </w:r>
          </w:p>
        </w:tc>
        <w:tc>
          <w:tcPr>
            <w:tcW w:w="2551" w:type="dxa"/>
          </w:tcPr>
          <w:p w14:paraId="3D03B133" w14:textId="77777777" w:rsidR="00A13969" w:rsidRPr="009E0143" w:rsidRDefault="00A13969" w:rsidP="00F56562">
            <w:pPr>
              <w:pStyle w:val="TableParagraph"/>
              <w:spacing w:line="240" w:lineRule="auto"/>
              <w:ind w:left="113" w:right="113"/>
              <w:rPr>
                <w:rFonts w:eastAsia="Calibri"/>
                <w:b/>
                <w:bCs/>
                <w:lang w:val="lt-LT"/>
              </w:rPr>
            </w:pPr>
            <w:r w:rsidRPr="009E0143">
              <w:rPr>
                <w:rFonts w:eastAsia="Calibri"/>
                <w:b/>
                <w:bCs/>
                <w:lang w:val="lt-LT"/>
              </w:rPr>
              <w:t>Didžiausia paros dozė</w:t>
            </w:r>
          </w:p>
        </w:tc>
      </w:tr>
      <w:tr w:rsidR="00A13969" w:rsidRPr="009E0143" w14:paraId="342B4AE9" w14:textId="77777777" w:rsidTr="000665A4">
        <w:trPr>
          <w:trHeight w:val="283"/>
          <w:jc w:val="center"/>
        </w:trPr>
        <w:tc>
          <w:tcPr>
            <w:tcW w:w="2010" w:type="dxa"/>
          </w:tcPr>
          <w:p w14:paraId="56AC8741" w14:textId="77777777" w:rsidR="00A13969" w:rsidRPr="009E0143" w:rsidRDefault="00A13969" w:rsidP="00F56562">
            <w:pPr>
              <w:pStyle w:val="TableParagraph"/>
              <w:spacing w:line="240" w:lineRule="auto"/>
              <w:ind w:left="113" w:right="113"/>
              <w:rPr>
                <w:rFonts w:eastAsia="Calibri"/>
                <w:lang w:val="lt-LT"/>
              </w:rPr>
            </w:pPr>
            <w:r w:rsidRPr="009E0143">
              <w:rPr>
                <w:lang w:val="lt-LT"/>
              </w:rPr>
              <w:t>6</w:t>
            </w:r>
            <w:r w:rsidRPr="009E0143">
              <w:rPr>
                <w:lang w:val="lt-LT"/>
              </w:rPr>
              <w:noBreakHyphen/>
              <w:t>8 metai</w:t>
            </w:r>
          </w:p>
        </w:tc>
        <w:tc>
          <w:tcPr>
            <w:tcW w:w="1393" w:type="dxa"/>
          </w:tcPr>
          <w:p w14:paraId="33CDAA19" w14:textId="77777777" w:rsidR="00A13969" w:rsidRPr="009E0143" w:rsidRDefault="00A13969" w:rsidP="00F56562">
            <w:pPr>
              <w:pStyle w:val="TableParagraph"/>
              <w:spacing w:line="240" w:lineRule="auto"/>
              <w:ind w:left="113" w:right="113"/>
              <w:rPr>
                <w:rFonts w:eastAsia="Calibri"/>
                <w:lang w:val="lt-LT"/>
              </w:rPr>
            </w:pPr>
            <w:r w:rsidRPr="009E0143">
              <w:rPr>
                <w:rFonts w:eastAsia="Calibri"/>
                <w:lang w:val="lt-LT"/>
              </w:rPr>
              <w:t>21</w:t>
            </w:r>
            <w:r w:rsidRPr="009E0143">
              <w:rPr>
                <w:rFonts w:eastAsia="Calibri"/>
                <w:lang w:val="lt-LT"/>
              </w:rPr>
              <w:noBreakHyphen/>
              <w:t>24 kg</w:t>
            </w:r>
          </w:p>
        </w:tc>
        <w:tc>
          <w:tcPr>
            <w:tcW w:w="2552" w:type="dxa"/>
          </w:tcPr>
          <w:p w14:paraId="7403409E" w14:textId="1BB9DECB" w:rsidR="00A13969" w:rsidRPr="009E0143" w:rsidRDefault="00A13969" w:rsidP="00F56562">
            <w:pPr>
              <w:pStyle w:val="TableParagraph"/>
              <w:spacing w:line="240" w:lineRule="auto"/>
              <w:ind w:left="0" w:right="-150"/>
              <w:rPr>
                <w:rFonts w:eastAsia="Calibri"/>
                <w:lang w:val="lt-LT"/>
              </w:rPr>
            </w:pPr>
            <w:r w:rsidRPr="009E0143">
              <w:rPr>
                <w:rFonts w:eastAsia="Calibri"/>
                <w:lang w:val="lt-LT"/>
              </w:rPr>
              <w:t>250 mg (½ tabletės)</w:t>
            </w:r>
          </w:p>
        </w:tc>
        <w:tc>
          <w:tcPr>
            <w:tcW w:w="2551" w:type="dxa"/>
          </w:tcPr>
          <w:p w14:paraId="3BD2EECD" w14:textId="2C4D67B2" w:rsidR="00A13969" w:rsidRPr="009E0143" w:rsidRDefault="00A13969" w:rsidP="00F56562">
            <w:pPr>
              <w:widowControl w:val="0"/>
              <w:autoSpaceDE w:val="0"/>
              <w:autoSpaceDN w:val="0"/>
              <w:ind w:left="113" w:right="113"/>
              <w:rPr>
                <w:rFonts w:eastAsia="Calibri"/>
                <w:noProof w:val="0"/>
                <w:sz w:val="22"/>
                <w:szCs w:val="22"/>
                <w:lang w:val="lt-LT"/>
              </w:rPr>
            </w:pPr>
            <w:r w:rsidRPr="009E0143">
              <w:rPr>
                <w:rFonts w:eastAsia="Calibri"/>
                <w:noProof w:val="0"/>
                <w:sz w:val="22"/>
                <w:szCs w:val="22"/>
                <w:lang w:val="lt-LT"/>
              </w:rPr>
              <w:t>1 g</w:t>
            </w:r>
            <w:r w:rsidR="00A22558" w:rsidRPr="009E0143">
              <w:rPr>
                <w:rFonts w:eastAsia="Calibri"/>
                <w:noProof w:val="0"/>
                <w:sz w:val="22"/>
                <w:szCs w:val="22"/>
                <w:lang w:val="lt-LT"/>
              </w:rPr>
              <w:t xml:space="preserve"> (2 tabletės)</w:t>
            </w:r>
          </w:p>
        </w:tc>
      </w:tr>
      <w:tr w:rsidR="00A13969" w:rsidRPr="009E0143" w14:paraId="17942BF8" w14:textId="77777777" w:rsidTr="000665A4">
        <w:trPr>
          <w:trHeight w:val="283"/>
          <w:jc w:val="center"/>
        </w:trPr>
        <w:tc>
          <w:tcPr>
            <w:tcW w:w="2010" w:type="dxa"/>
          </w:tcPr>
          <w:p w14:paraId="7BE59CBD" w14:textId="77777777" w:rsidR="00A13969" w:rsidRPr="009E0143" w:rsidRDefault="00A13969" w:rsidP="00F56562">
            <w:pPr>
              <w:pStyle w:val="TableParagraph"/>
              <w:spacing w:line="240" w:lineRule="auto"/>
              <w:ind w:left="113" w:right="113"/>
              <w:rPr>
                <w:lang w:val="lt-LT"/>
              </w:rPr>
            </w:pPr>
            <w:r w:rsidRPr="009E0143">
              <w:rPr>
                <w:lang w:val="lt-LT"/>
              </w:rPr>
              <w:t>9</w:t>
            </w:r>
            <w:r w:rsidRPr="009E0143">
              <w:rPr>
                <w:lang w:val="lt-LT"/>
              </w:rPr>
              <w:noBreakHyphen/>
              <w:t>10 metų</w:t>
            </w:r>
          </w:p>
        </w:tc>
        <w:tc>
          <w:tcPr>
            <w:tcW w:w="1393" w:type="dxa"/>
          </w:tcPr>
          <w:p w14:paraId="32BB0588" w14:textId="308FEE0F" w:rsidR="00A13969" w:rsidRPr="009E0143" w:rsidRDefault="00A13969" w:rsidP="00F56562">
            <w:pPr>
              <w:pStyle w:val="TableParagraph"/>
              <w:spacing w:line="240" w:lineRule="auto"/>
              <w:ind w:left="113" w:right="113"/>
              <w:rPr>
                <w:rFonts w:eastAsia="Calibri"/>
                <w:lang w:val="lt-LT"/>
              </w:rPr>
            </w:pPr>
            <w:r w:rsidRPr="009E0143">
              <w:rPr>
                <w:rFonts w:eastAsia="Calibri"/>
                <w:lang w:val="lt-LT"/>
              </w:rPr>
              <w:t>25</w:t>
            </w:r>
            <w:r w:rsidRPr="009E0143">
              <w:rPr>
                <w:rFonts w:eastAsia="Calibri"/>
                <w:lang w:val="lt-LT"/>
              </w:rPr>
              <w:noBreakHyphen/>
              <w:t>3</w:t>
            </w:r>
            <w:r w:rsidR="00A22558" w:rsidRPr="009E0143">
              <w:rPr>
                <w:rFonts w:eastAsia="Calibri"/>
                <w:lang w:val="lt-LT"/>
              </w:rPr>
              <w:t>3</w:t>
            </w:r>
            <w:r w:rsidRPr="009E0143">
              <w:rPr>
                <w:rFonts w:eastAsia="Calibri"/>
                <w:lang w:val="lt-LT"/>
              </w:rPr>
              <w:t> kg</w:t>
            </w:r>
          </w:p>
        </w:tc>
        <w:tc>
          <w:tcPr>
            <w:tcW w:w="2552" w:type="dxa"/>
          </w:tcPr>
          <w:p w14:paraId="4BD00A72" w14:textId="48E63662" w:rsidR="00A13969" w:rsidRPr="009E0143" w:rsidRDefault="00A13969" w:rsidP="00F56562">
            <w:pPr>
              <w:pStyle w:val="TableParagraph"/>
              <w:spacing w:line="240" w:lineRule="auto"/>
              <w:ind w:left="0" w:right="-150"/>
              <w:rPr>
                <w:rFonts w:eastAsia="Calibri"/>
                <w:lang w:val="lt-LT"/>
              </w:rPr>
            </w:pPr>
            <w:r w:rsidRPr="009E0143">
              <w:rPr>
                <w:rFonts w:eastAsia="Calibri"/>
                <w:lang w:val="lt-LT"/>
              </w:rPr>
              <w:t>250 mg</w:t>
            </w:r>
            <w:r w:rsidR="00A22558" w:rsidRPr="009E0143">
              <w:rPr>
                <w:rFonts w:eastAsia="Calibri"/>
                <w:lang w:val="lt-LT"/>
              </w:rPr>
              <w:t xml:space="preserve"> (½ tabletės)</w:t>
            </w:r>
          </w:p>
        </w:tc>
        <w:tc>
          <w:tcPr>
            <w:tcW w:w="2551" w:type="dxa"/>
          </w:tcPr>
          <w:p w14:paraId="072DA1AB" w14:textId="54629084" w:rsidR="00A13969" w:rsidRPr="009E0143" w:rsidRDefault="00A13969" w:rsidP="00F56562">
            <w:pPr>
              <w:widowControl w:val="0"/>
              <w:autoSpaceDE w:val="0"/>
              <w:autoSpaceDN w:val="0"/>
              <w:ind w:left="113" w:right="113"/>
              <w:rPr>
                <w:rFonts w:eastAsia="Calibri"/>
                <w:noProof w:val="0"/>
                <w:sz w:val="22"/>
                <w:szCs w:val="22"/>
                <w:lang w:val="lt-LT"/>
              </w:rPr>
            </w:pPr>
            <w:r w:rsidRPr="009E0143">
              <w:rPr>
                <w:noProof w:val="0"/>
                <w:sz w:val="22"/>
                <w:szCs w:val="22"/>
                <w:lang w:val="lt-LT"/>
              </w:rPr>
              <w:t>1,5 g</w:t>
            </w:r>
            <w:r w:rsidR="00A22558" w:rsidRPr="009E0143">
              <w:rPr>
                <w:noProof w:val="0"/>
                <w:sz w:val="22"/>
                <w:szCs w:val="22"/>
                <w:lang w:val="lt-LT"/>
              </w:rPr>
              <w:t xml:space="preserve"> (3 tabletės)</w:t>
            </w:r>
          </w:p>
        </w:tc>
      </w:tr>
      <w:tr w:rsidR="00A13969" w:rsidRPr="009E0143" w14:paraId="1A538C1B" w14:textId="77777777" w:rsidTr="000665A4">
        <w:trPr>
          <w:trHeight w:val="283"/>
          <w:jc w:val="center"/>
        </w:trPr>
        <w:tc>
          <w:tcPr>
            <w:tcW w:w="2010" w:type="dxa"/>
          </w:tcPr>
          <w:p w14:paraId="2A677647" w14:textId="77777777" w:rsidR="00A13969" w:rsidRPr="009E0143" w:rsidRDefault="00A13969" w:rsidP="00F56562">
            <w:pPr>
              <w:pStyle w:val="TableParagraph"/>
              <w:spacing w:line="240" w:lineRule="auto"/>
              <w:ind w:left="113" w:right="113"/>
              <w:rPr>
                <w:lang w:val="lt-LT"/>
              </w:rPr>
            </w:pPr>
            <w:r w:rsidRPr="009E0143">
              <w:rPr>
                <w:lang w:val="lt-LT"/>
              </w:rPr>
              <w:t>10</w:t>
            </w:r>
            <w:r w:rsidRPr="009E0143">
              <w:rPr>
                <w:lang w:val="lt-LT"/>
              </w:rPr>
              <w:noBreakHyphen/>
              <w:t>12 metų</w:t>
            </w:r>
          </w:p>
        </w:tc>
        <w:tc>
          <w:tcPr>
            <w:tcW w:w="1393" w:type="dxa"/>
          </w:tcPr>
          <w:p w14:paraId="5E314993" w14:textId="1FBD6131" w:rsidR="00A13969" w:rsidRPr="009E0143" w:rsidRDefault="00A13969" w:rsidP="00F56562">
            <w:pPr>
              <w:pStyle w:val="TableParagraph"/>
              <w:spacing w:line="240" w:lineRule="auto"/>
              <w:ind w:left="113" w:right="113"/>
              <w:rPr>
                <w:rFonts w:eastAsia="Calibri"/>
                <w:lang w:val="lt-LT"/>
              </w:rPr>
            </w:pPr>
            <w:r w:rsidRPr="009E0143">
              <w:rPr>
                <w:lang w:val="lt-LT"/>
              </w:rPr>
              <w:t>3</w:t>
            </w:r>
            <w:r w:rsidR="00A22558" w:rsidRPr="009E0143">
              <w:rPr>
                <w:lang w:val="lt-LT"/>
              </w:rPr>
              <w:t>4</w:t>
            </w:r>
            <w:r w:rsidR="00A22558" w:rsidRPr="009E0143">
              <w:rPr>
                <w:lang w:val="lt-LT"/>
              </w:rPr>
              <w:noBreakHyphen/>
              <w:t>41</w:t>
            </w:r>
            <w:r w:rsidRPr="009E0143">
              <w:rPr>
                <w:lang w:val="lt-LT"/>
              </w:rPr>
              <w:t> kg</w:t>
            </w:r>
          </w:p>
        </w:tc>
        <w:tc>
          <w:tcPr>
            <w:tcW w:w="2552" w:type="dxa"/>
          </w:tcPr>
          <w:p w14:paraId="23E066B1" w14:textId="18A6BE10" w:rsidR="00A13969" w:rsidRPr="009E0143" w:rsidRDefault="00A13969" w:rsidP="00F56562">
            <w:pPr>
              <w:pStyle w:val="TableParagraph"/>
              <w:spacing w:line="240" w:lineRule="auto"/>
              <w:ind w:left="0" w:right="-150"/>
              <w:rPr>
                <w:rFonts w:eastAsia="Calibri"/>
                <w:lang w:val="lt-LT"/>
              </w:rPr>
            </w:pPr>
            <w:r w:rsidRPr="009E0143">
              <w:rPr>
                <w:rFonts w:eastAsia="Calibri"/>
                <w:lang w:val="lt-LT"/>
              </w:rPr>
              <w:t>500 mg</w:t>
            </w:r>
            <w:r w:rsidR="00A22558" w:rsidRPr="009E0143">
              <w:rPr>
                <w:rFonts w:eastAsia="Calibri"/>
                <w:lang w:val="lt-LT"/>
              </w:rPr>
              <w:t xml:space="preserve"> (1 tabletė)</w:t>
            </w:r>
          </w:p>
        </w:tc>
        <w:tc>
          <w:tcPr>
            <w:tcW w:w="2551" w:type="dxa"/>
          </w:tcPr>
          <w:p w14:paraId="72D0696B" w14:textId="5EF08DD4" w:rsidR="00A13969" w:rsidRPr="009E0143" w:rsidRDefault="00A13969" w:rsidP="00F56562">
            <w:pPr>
              <w:widowControl w:val="0"/>
              <w:autoSpaceDE w:val="0"/>
              <w:autoSpaceDN w:val="0"/>
              <w:ind w:left="113" w:right="113"/>
              <w:rPr>
                <w:rFonts w:eastAsia="Calibri"/>
                <w:noProof w:val="0"/>
                <w:sz w:val="22"/>
                <w:szCs w:val="22"/>
                <w:lang w:val="lt-LT"/>
              </w:rPr>
            </w:pPr>
            <w:r w:rsidRPr="009E0143">
              <w:rPr>
                <w:noProof w:val="0"/>
                <w:sz w:val="22"/>
                <w:szCs w:val="22"/>
                <w:lang w:val="lt-LT"/>
              </w:rPr>
              <w:t>2 g</w:t>
            </w:r>
            <w:r w:rsidR="00A22558" w:rsidRPr="009E0143">
              <w:rPr>
                <w:noProof w:val="0"/>
                <w:sz w:val="22"/>
                <w:szCs w:val="22"/>
                <w:lang w:val="lt-LT"/>
              </w:rPr>
              <w:t xml:space="preserve"> (4 tabletės)</w:t>
            </w:r>
          </w:p>
        </w:tc>
      </w:tr>
      <w:tr w:rsidR="00A13969" w:rsidRPr="009E0143" w14:paraId="22CD7BD4" w14:textId="77777777" w:rsidTr="000665A4">
        <w:trPr>
          <w:trHeight w:val="283"/>
          <w:jc w:val="center"/>
        </w:trPr>
        <w:tc>
          <w:tcPr>
            <w:tcW w:w="2010" w:type="dxa"/>
          </w:tcPr>
          <w:p w14:paraId="1232A567" w14:textId="77777777" w:rsidR="00A13969" w:rsidRPr="009E0143" w:rsidRDefault="00A13969" w:rsidP="00F56562">
            <w:pPr>
              <w:pStyle w:val="TableParagraph"/>
              <w:spacing w:line="240" w:lineRule="auto"/>
              <w:ind w:left="113" w:right="113"/>
              <w:rPr>
                <w:rFonts w:eastAsia="Calibri"/>
                <w:lang w:val="lt-LT"/>
              </w:rPr>
            </w:pPr>
            <w:r w:rsidRPr="009E0143">
              <w:rPr>
                <w:lang w:val="lt-LT"/>
              </w:rPr>
              <w:t>12</w:t>
            </w:r>
            <w:r w:rsidRPr="009E0143">
              <w:rPr>
                <w:lang w:val="lt-LT"/>
              </w:rPr>
              <w:noBreakHyphen/>
              <w:t>15 metų</w:t>
            </w:r>
          </w:p>
        </w:tc>
        <w:tc>
          <w:tcPr>
            <w:tcW w:w="1393" w:type="dxa"/>
          </w:tcPr>
          <w:p w14:paraId="3C001FBC" w14:textId="07BCAD0B" w:rsidR="00A13969" w:rsidRPr="009E0143" w:rsidRDefault="00A13969" w:rsidP="00F56562">
            <w:pPr>
              <w:pStyle w:val="TableParagraph"/>
              <w:spacing w:line="240" w:lineRule="auto"/>
              <w:ind w:left="113" w:right="113"/>
              <w:rPr>
                <w:rFonts w:eastAsia="Calibri"/>
                <w:lang w:val="lt-LT"/>
              </w:rPr>
            </w:pPr>
            <w:r w:rsidRPr="009E0143">
              <w:rPr>
                <w:lang w:val="lt-LT"/>
              </w:rPr>
              <w:t>4</w:t>
            </w:r>
            <w:r w:rsidR="00A22558" w:rsidRPr="009E0143">
              <w:rPr>
                <w:lang w:val="lt-LT"/>
              </w:rPr>
              <w:t>2</w:t>
            </w:r>
            <w:r w:rsidRPr="009E0143">
              <w:rPr>
                <w:lang w:val="lt-LT"/>
              </w:rPr>
              <w:noBreakHyphen/>
            </w:r>
            <w:r w:rsidR="00A22558" w:rsidRPr="009E0143">
              <w:rPr>
                <w:lang w:val="lt-LT"/>
              </w:rPr>
              <w:t>49</w:t>
            </w:r>
            <w:r w:rsidRPr="009E0143">
              <w:rPr>
                <w:lang w:val="lt-LT"/>
              </w:rPr>
              <w:t> kg</w:t>
            </w:r>
          </w:p>
        </w:tc>
        <w:tc>
          <w:tcPr>
            <w:tcW w:w="2552" w:type="dxa"/>
          </w:tcPr>
          <w:p w14:paraId="6BCE356D" w14:textId="11A28B4B" w:rsidR="00A13969" w:rsidRPr="009E0143" w:rsidRDefault="00A13969" w:rsidP="00F56562">
            <w:pPr>
              <w:ind w:right="-150"/>
              <w:rPr>
                <w:rFonts w:eastAsia="Calibri"/>
                <w:noProof w:val="0"/>
                <w:sz w:val="22"/>
                <w:szCs w:val="22"/>
                <w:lang w:val="lt-LT"/>
              </w:rPr>
            </w:pPr>
            <w:r w:rsidRPr="009E0143">
              <w:rPr>
                <w:rFonts w:eastAsia="Calibri"/>
                <w:noProof w:val="0"/>
                <w:sz w:val="22"/>
                <w:szCs w:val="22"/>
                <w:lang w:val="lt-LT"/>
              </w:rPr>
              <w:t>500 mg</w:t>
            </w:r>
            <w:r w:rsidR="00A22558" w:rsidRPr="009E0143">
              <w:rPr>
                <w:rFonts w:eastAsia="Calibri"/>
                <w:noProof w:val="0"/>
                <w:sz w:val="22"/>
                <w:szCs w:val="22"/>
                <w:lang w:val="lt-LT"/>
              </w:rPr>
              <w:t xml:space="preserve"> (1 tabletė)</w:t>
            </w:r>
          </w:p>
        </w:tc>
        <w:tc>
          <w:tcPr>
            <w:tcW w:w="2551" w:type="dxa"/>
          </w:tcPr>
          <w:p w14:paraId="60E49766" w14:textId="6C473FBB" w:rsidR="00A13969" w:rsidRPr="009E0143" w:rsidRDefault="00A22558" w:rsidP="00F56562">
            <w:pPr>
              <w:pStyle w:val="TableParagraph"/>
              <w:spacing w:line="240" w:lineRule="auto"/>
              <w:ind w:left="113" w:right="113"/>
              <w:rPr>
                <w:rFonts w:eastAsia="Calibri"/>
                <w:lang w:val="lt-LT"/>
              </w:rPr>
            </w:pPr>
            <w:r w:rsidRPr="009E0143">
              <w:rPr>
                <w:rFonts w:eastAsia="Calibri"/>
                <w:lang w:val="lt-LT"/>
              </w:rPr>
              <w:t>2,5</w:t>
            </w:r>
            <w:r w:rsidR="00A13969" w:rsidRPr="009E0143">
              <w:rPr>
                <w:rFonts w:eastAsia="Calibri"/>
                <w:lang w:val="lt-LT"/>
              </w:rPr>
              <w:t> g</w:t>
            </w:r>
            <w:r w:rsidRPr="009E0143">
              <w:rPr>
                <w:rFonts w:eastAsia="Calibri"/>
                <w:lang w:val="lt-LT"/>
              </w:rPr>
              <w:t xml:space="preserve"> (5 tabletės)</w:t>
            </w:r>
          </w:p>
        </w:tc>
      </w:tr>
      <w:tr w:rsidR="00A13969" w:rsidRPr="009E0143" w14:paraId="0B466EA9" w14:textId="77777777" w:rsidTr="000665A4">
        <w:trPr>
          <w:trHeight w:val="283"/>
          <w:jc w:val="center"/>
        </w:trPr>
        <w:tc>
          <w:tcPr>
            <w:tcW w:w="2010" w:type="dxa"/>
            <w:vMerge w:val="restart"/>
          </w:tcPr>
          <w:p w14:paraId="4014411E" w14:textId="77777777" w:rsidR="00A13969" w:rsidRPr="009E0143" w:rsidRDefault="00A13969" w:rsidP="00F56562">
            <w:pPr>
              <w:pStyle w:val="TableParagraph"/>
              <w:spacing w:line="240" w:lineRule="auto"/>
              <w:ind w:left="113" w:right="113"/>
              <w:rPr>
                <w:rFonts w:eastAsia="Calibri"/>
                <w:lang w:val="lt-LT"/>
              </w:rPr>
            </w:pPr>
            <w:r w:rsidRPr="009E0143">
              <w:rPr>
                <w:rFonts w:eastAsia="Calibri"/>
                <w:lang w:val="lt-LT"/>
              </w:rPr>
              <w:t>&gt; 15 metų</w:t>
            </w:r>
          </w:p>
        </w:tc>
        <w:tc>
          <w:tcPr>
            <w:tcW w:w="1393" w:type="dxa"/>
          </w:tcPr>
          <w:p w14:paraId="6412F237" w14:textId="0464E6BE" w:rsidR="00A13969" w:rsidRPr="009E0143" w:rsidRDefault="00A22558" w:rsidP="00F56562">
            <w:pPr>
              <w:pStyle w:val="TableParagraph"/>
              <w:spacing w:line="240" w:lineRule="auto"/>
              <w:ind w:left="113" w:right="113"/>
              <w:rPr>
                <w:rFonts w:eastAsia="Calibri"/>
                <w:lang w:val="lt-LT"/>
              </w:rPr>
            </w:pPr>
            <w:r w:rsidRPr="009E0143">
              <w:rPr>
                <w:lang w:val="lt-LT"/>
              </w:rPr>
              <w:t>50</w:t>
            </w:r>
            <w:r w:rsidR="00A13969" w:rsidRPr="009E0143">
              <w:rPr>
                <w:lang w:val="lt-LT"/>
              </w:rPr>
              <w:noBreakHyphen/>
              <w:t>60 kg</w:t>
            </w:r>
          </w:p>
        </w:tc>
        <w:tc>
          <w:tcPr>
            <w:tcW w:w="2552" w:type="dxa"/>
          </w:tcPr>
          <w:p w14:paraId="45E30B69" w14:textId="5972920A" w:rsidR="00A13969" w:rsidRPr="009E0143" w:rsidRDefault="00A13969" w:rsidP="00F56562">
            <w:pPr>
              <w:pStyle w:val="TableParagraph"/>
              <w:spacing w:line="240" w:lineRule="auto"/>
              <w:ind w:left="0" w:right="-150"/>
              <w:rPr>
                <w:rFonts w:eastAsia="Calibri"/>
                <w:lang w:val="lt-LT"/>
              </w:rPr>
            </w:pPr>
            <w:r w:rsidRPr="009E0143">
              <w:rPr>
                <w:rFonts w:eastAsia="Calibri"/>
                <w:lang w:val="lt-LT"/>
              </w:rPr>
              <w:t>500 mg</w:t>
            </w:r>
            <w:r w:rsidR="00A22558" w:rsidRPr="009E0143">
              <w:rPr>
                <w:rFonts w:eastAsia="Calibri"/>
                <w:lang w:val="lt-LT"/>
              </w:rPr>
              <w:t xml:space="preserve"> (1 tabletė)</w:t>
            </w:r>
          </w:p>
        </w:tc>
        <w:tc>
          <w:tcPr>
            <w:tcW w:w="2551" w:type="dxa"/>
          </w:tcPr>
          <w:p w14:paraId="32399669" w14:textId="0AE0DAA7" w:rsidR="00A13969" w:rsidRPr="009E0143" w:rsidRDefault="00A13969" w:rsidP="000665A4">
            <w:pPr>
              <w:tabs>
                <w:tab w:val="center" w:pos="1112"/>
              </w:tabs>
              <w:ind w:left="113"/>
              <w:rPr>
                <w:noProof w:val="0"/>
                <w:sz w:val="22"/>
                <w:szCs w:val="22"/>
                <w:lang w:val="lt-LT"/>
              </w:rPr>
            </w:pPr>
            <w:r w:rsidRPr="009E0143">
              <w:rPr>
                <w:rFonts w:eastAsia="Calibri"/>
                <w:noProof w:val="0"/>
                <w:sz w:val="22"/>
                <w:szCs w:val="22"/>
                <w:lang w:val="lt-LT"/>
              </w:rPr>
              <w:t>3 g</w:t>
            </w:r>
            <w:r w:rsidR="00A22558" w:rsidRPr="009E0143">
              <w:rPr>
                <w:rFonts w:eastAsia="Calibri"/>
                <w:noProof w:val="0"/>
                <w:sz w:val="22"/>
                <w:szCs w:val="22"/>
                <w:lang w:val="lt-LT"/>
              </w:rPr>
              <w:t xml:space="preserve"> (6 tabletės)</w:t>
            </w:r>
          </w:p>
        </w:tc>
      </w:tr>
      <w:tr w:rsidR="00A13969" w:rsidRPr="009E0143" w14:paraId="38772511" w14:textId="77777777" w:rsidTr="000665A4">
        <w:trPr>
          <w:trHeight w:val="283"/>
          <w:jc w:val="center"/>
        </w:trPr>
        <w:tc>
          <w:tcPr>
            <w:tcW w:w="2010" w:type="dxa"/>
            <w:vMerge/>
          </w:tcPr>
          <w:p w14:paraId="280FF860" w14:textId="77777777" w:rsidR="00A13969" w:rsidRPr="009E0143" w:rsidRDefault="00A13969" w:rsidP="00F56562">
            <w:pPr>
              <w:pStyle w:val="TableParagraph"/>
              <w:spacing w:line="240" w:lineRule="auto"/>
              <w:ind w:left="113" w:right="113"/>
              <w:rPr>
                <w:rFonts w:eastAsia="Calibri"/>
                <w:bCs/>
                <w:lang w:val="lt-LT"/>
              </w:rPr>
            </w:pPr>
          </w:p>
        </w:tc>
        <w:tc>
          <w:tcPr>
            <w:tcW w:w="1393" w:type="dxa"/>
          </w:tcPr>
          <w:p w14:paraId="07B85072" w14:textId="77777777" w:rsidR="00A13969" w:rsidRPr="009E0143" w:rsidRDefault="00A13969" w:rsidP="00F56562">
            <w:pPr>
              <w:pStyle w:val="TableParagraph"/>
              <w:spacing w:line="240" w:lineRule="auto"/>
              <w:ind w:left="113" w:right="113"/>
              <w:rPr>
                <w:lang w:val="lt-LT"/>
              </w:rPr>
            </w:pPr>
            <w:r w:rsidRPr="009E0143">
              <w:rPr>
                <w:lang w:val="lt-LT"/>
              </w:rPr>
              <w:t>&gt; 60 kg</w:t>
            </w:r>
          </w:p>
        </w:tc>
        <w:tc>
          <w:tcPr>
            <w:tcW w:w="2552" w:type="dxa"/>
          </w:tcPr>
          <w:p w14:paraId="44F2E986" w14:textId="1C494DCE" w:rsidR="00A13969" w:rsidRPr="009E0143" w:rsidRDefault="00A13969" w:rsidP="00F56562">
            <w:pPr>
              <w:pStyle w:val="TableParagraph"/>
              <w:spacing w:line="240" w:lineRule="auto"/>
              <w:ind w:left="0" w:right="-147"/>
              <w:rPr>
                <w:rFonts w:eastAsia="Calibri"/>
                <w:lang w:val="lt-LT"/>
              </w:rPr>
            </w:pPr>
            <w:r w:rsidRPr="009E0143">
              <w:rPr>
                <w:rFonts w:eastAsia="Calibri"/>
                <w:lang w:val="lt-LT"/>
              </w:rPr>
              <w:t>500</w:t>
            </w:r>
            <w:r w:rsidRPr="009E0143">
              <w:rPr>
                <w:rFonts w:eastAsia="Calibri"/>
                <w:lang w:val="lt-LT"/>
              </w:rPr>
              <w:noBreakHyphen/>
              <w:t>1 000 mg</w:t>
            </w:r>
            <w:r w:rsidR="00A22558" w:rsidRPr="009E0143">
              <w:rPr>
                <w:rFonts w:eastAsia="Calibri"/>
                <w:lang w:val="lt-LT"/>
              </w:rPr>
              <w:t xml:space="preserve"> (1</w:t>
            </w:r>
            <w:r w:rsidR="00A22558" w:rsidRPr="009E0143">
              <w:rPr>
                <w:rFonts w:eastAsia="Calibri"/>
                <w:lang w:val="lt-LT"/>
              </w:rPr>
              <w:noBreakHyphen/>
              <w:t>2 tabletės)</w:t>
            </w:r>
          </w:p>
        </w:tc>
        <w:tc>
          <w:tcPr>
            <w:tcW w:w="2551" w:type="dxa"/>
          </w:tcPr>
          <w:p w14:paraId="35F597CA" w14:textId="12DE84B0" w:rsidR="00A13969" w:rsidRPr="009E0143" w:rsidRDefault="00A13969" w:rsidP="00F56562">
            <w:pPr>
              <w:ind w:left="113"/>
              <w:rPr>
                <w:noProof w:val="0"/>
                <w:sz w:val="22"/>
                <w:szCs w:val="22"/>
                <w:lang w:val="lt-LT"/>
              </w:rPr>
            </w:pPr>
            <w:r w:rsidRPr="009E0143">
              <w:rPr>
                <w:noProof w:val="0"/>
                <w:sz w:val="22"/>
                <w:szCs w:val="22"/>
                <w:lang w:val="lt-LT"/>
              </w:rPr>
              <w:t>3 g</w:t>
            </w:r>
            <w:r w:rsidR="00A22558" w:rsidRPr="009E0143">
              <w:rPr>
                <w:noProof w:val="0"/>
                <w:sz w:val="22"/>
                <w:szCs w:val="22"/>
                <w:lang w:val="lt-LT"/>
              </w:rPr>
              <w:t xml:space="preserve"> (6 tabletės)</w:t>
            </w:r>
            <w:r w:rsidR="00157F32" w:rsidRPr="009E0143">
              <w:rPr>
                <w:noProof w:val="0"/>
                <w:sz w:val="22"/>
                <w:szCs w:val="22"/>
                <w:lang w:val="lt-LT"/>
              </w:rPr>
              <w:t>*</w:t>
            </w:r>
          </w:p>
        </w:tc>
      </w:tr>
    </w:tbl>
    <w:bookmarkEnd w:id="1"/>
    <w:p w14:paraId="4DD5E0C1" w14:textId="588635C5" w:rsidR="00D243FA" w:rsidRPr="009E0143" w:rsidRDefault="001272BD" w:rsidP="00F56562">
      <w:pPr>
        <w:jc w:val="both"/>
        <w:rPr>
          <w:noProof w:val="0"/>
          <w:sz w:val="22"/>
          <w:szCs w:val="22"/>
          <w:lang w:val="lt-LT"/>
        </w:rPr>
      </w:pPr>
      <w:r w:rsidRPr="009E0143">
        <w:rPr>
          <w:noProof w:val="0"/>
          <w:sz w:val="22"/>
          <w:szCs w:val="22"/>
          <w:lang w:val="lt-LT"/>
        </w:rPr>
        <w:t>*</w:t>
      </w:r>
      <w:r w:rsidR="00790E91" w:rsidRPr="009E0143">
        <w:rPr>
          <w:sz w:val="22"/>
          <w:szCs w:val="22"/>
          <w:lang w:val="lt-LT"/>
        </w:rPr>
        <w:tab/>
      </w:r>
      <w:r w:rsidR="00EF7CD1" w:rsidRPr="009E0143">
        <w:rPr>
          <w:noProof w:val="0"/>
          <w:sz w:val="22"/>
          <w:szCs w:val="22"/>
          <w:lang w:val="lt-LT"/>
        </w:rPr>
        <w:t>D</w:t>
      </w:r>
      <w:r w:rsidRPr="009E0143">
        <w:rPr>
          <w:noProof w:val="0"/>
          <w:sz w:val="22"/>
          <w:szCs w:val="22"/>
          <w:lang w:val="lt-LT"/>
        </w:rPr>
        <w:t>idžiausia paros dozė pacientams, sveriantiems &gt; 60 kg, gali būti padidinta iki 4 g paracetamolio</w:t>
      </w:r>
      <w:r w:rsidR="00EF7CD1" w:rsidRPr="009E0143">
        <w:rPr>
          <w:noProof w:val="0"/>
          <w:sz w:val="22"/>
          <w:szCs w:val="22"/>
          <w:lang w:val="lt-LT"/>
        </w:rPr>
        <w:t xml:space="preserve"> tik pasikonsultavus su gydytoju</w:t>
      </w:r>
      <w:r w:rsidRPr="009E0143">
        <w:rPr>
          <w:noProof w:val="0"/>
          <w:sz w:val="22"/>
          <w:szCs w:val="22"/>
          <w:lang w:val="lt-LT"/>
        </w:rPr>
        <w:t>.</w:t>
      </w:r>
    </w:p>
    <w:p w14:paraId="2FC99F6F" w14:textId="0DFBF337" w:rsidR="00157F32" w:rsidRPr="009E0143" w:rsidRDefault="00157F32" w:rsidP="00F56562">
      <w:pPr>
        <w:jc w:val="both"/>
        <w:rPr>
          <w:noProof w:val="0"/>
          <w:sz w:val="22"/>
          <w:szCs w:val="22"/>
          <w:lang w:val="lt-LT"/>
        </w:rPr>
      </w:pPr>
      <w:r w:rsidRPr="009E0143">
        <w:rPr>
          <w:noProof w:val="0"/>
          <w:sz w:val="22"/>
          <w:szCs w:val="22"/>
          <w:lang w:val="lt-LT"/>
        </w:rPr>
        <w:t>Vienkartinė dozė, esant poreikiui, gali būti kartojama mažiausiai 4</w:t>
      </w:r>
      <w:r w:rsidRPr="009E0143">
        <w:rPr>
          <w:noProof w:val="0"/>
          <w:sz w:val="22"/>
          <w:szCs w:val="22"/>
          <w:lang w:val="lt-LT"/>
        </w:rPr>
        <w:noBreakHyphen/>
        <w:t>6 valandų intervalu.</w:t>
      </w:r>
    </w:p>
    <w:p w14:paraId="211C3551" w14:textId="77777777" w:rsidR="00D243FA" w:rsidRPr="009E0143" w:rsidRDefault="00D243FA" w:rsidP="00F56562">
      <w:pPr>
        <w:jc w:val="both"/>
        <w:rPr>
          <w:noProof w:val="0"/>
          <w:sz w:val="22"/>
          <w:szCs w:val="22"/>
          <w:lang w:val="lt-LT"/>
        </w:rPr>
      </w:pPr>
    </w:p>
    <w:bookmarkEnd w:id="0"/>
    <w:p w14:paraId="523618CD" w14:textId="77777777" w:rsidR="002D51B9" w:rsidRPr="009E0143" w:rsidRDefault="00D03DA1" w:rsidP="00F56562">
      <w:pPr>
        <w:keepNext/>
        <w:keepLines/>
        <w:jc w:val="both"/>
        <w:rPr>
          <w:i/>
          <w:noProof w:val="0"/>
          <w:sz w:val="22"/>
          <w:szCs w:val="22"/>
          <w:lang w:val="lt-LT"/>
        </w:rPr>
      </w:pPr>
      <w:r w:rsidRPr="009E0143">
        <w:rPr>
          <w:i/>
          <w:color w:val="000000"/>
          <w:sz w:val="22"/>
          <w:szCs w:val="22"/>
          <w:lang w:val="lt-LT"/>
        </w:rPr>
        <w:t>Pacientams, kurių inkstų funkcija sutrikusi</w:t>
      </w:r>
    </w:p>
    <w:p w14:paraId="0062490B" w14:textId="77777777" w:rsidR="000D47D1" w:rsidRPr="009E0143" w:rsidRDefault="000D47D1" w:rsidP="00F56562">
      <w:pPr>
        <w:keepNext/>
        <w:keepLines/>
        <w:jc w:val="both"/>
        <w:rPr>
          <w:noProof w:val="0"/>
          <w:sz w:val="22"/>
          <w:szCs w:val="22"/>
          <w:lang w:val="lt-LT"/>
        </w:rPr>
      </w:pPr>
      <w:r w:rsidRPr="009E0143">
        <w:rPr>
          <w:rFonts w:eastAsia="Calibri"/>
          <w:noProof w:val="0"/>
          <w:sz w:val="22"/>
          <w:szCs w:val="22"/>
          <w:lang w:val="lt-LT"/>
        </w:rPr>
        <w:t>Paracetamol</w:t>
      </w:r>
      <w:r w:rsidR="007F3518" w:rsidRPr="009E0143">
        <w:rPr>
          <w:rFonts w:eastAsia="Calibri"/>
          <w:noProof w:val="0"/>
          <w:sz w:val="22"/>
          <w:szCs w:val="22"/>
          <w:lang w:val="lt-LT"/>
        </w:rPr>
        <w:t>io</w:t>
      </w:r>
      <w:r w:rsidRPr="009E0143">
        <w:rPr>
          <w:rFonts w:eastAsia="Calibri"/>
          <w:noProof w:val="0"/>
          <w:sz w:val="22"/>
          <w:szCs w:val="22"/>
          <w:lang w:val="lt-LT"/>
        </w:rPr>
        <w:t xml:space="preserve"> pacientams, kurių inkstų funkcija sutrikusi, būtina vartoti atsargiai, nes reikia mažinti dozę ir (arba) ilginti intervalą tarp dozių vartojimo</w:t>
      </w:r>
      <w:r w:rsidRPr="009E0143">
        <w:rPr>
          <w:noProof w:val="0"/>
          <w:sz w:val="22"/>
          <w:szCs w:val="22"/>
          <w:lang w:val="lt-LT"/>
        </w:rPr>
        <w:t xml:space="preserve"> (žr. 4.4</w:t>
      </w:r>
      <w:r w:rsidR="00793A26" w:rsidRPr="009E0143">
        <w:rPr>
          <w:noProof w:val="0"/>
          <w:sz w:val="22"/>
          <w:szCs w:val="22"/>
          <w:lang w:val="lt-LT"/>
        </w:rPr>
        <w:t xml:space="preserve"> </w:t>
      </w:r>
      <w:r w:rsidRPr="009E0143">
        <w:rPr>
          <w:noProof w:val="0"/>
          <w:sz w:val="22"/>
          <w:szCs w:val="22"/>
          <w:lang w:val="lt-LT"/>
        </w:rPr>
        <w:t>skyrių)</w:t>
      </w:r>
      <w:r w:rsidR="00953553" w:rsidRPr="009E0143">
        <w:rPr>
          <w:noProof w:val="0"/>
          <w:sz w:val="22"/>
          <w:szCs w:val="22"/>
          <w:lang w:val="lt-LT"/>
        </w:rPr>
        <w:t>. Vienkartinė dozė neturi viršyti 500</w:t>
      </w:r>
      <w:r w:rsidR="000064EA" w:rsidRPr="009E0143">
        <w:rPr>
          <w:noProof w:val="0"/>
          <w:sz w:val="22"/>
          <w:szCs w:val="22"/>
          <w:lang w:val="lt-LT"/>
        </w:rPr>
        <w:t> </w:t>
      </w:r>
      <w:r w:rsidR="00953553" w:rsidRPr="009E0143">
        <w:rPr>
          <w:noProof w:val="0"/>
          <w:sz w:val="22"/>
          <w:szCs w:val="22"/>
          <w:lang w:val="lt-LT"/>
        </w:rPr>
        <w:t>mg.</w:t>
      </w:r>
    </w:p>
    <w:p w14:paraId="5598D2EF" w14:textId="77777777" w:rsidR="000D47D1" w:rsidRPr="009E0143" w:rsidRDefault="00953553" w:rsidP="00F56562">
      <w:pPr>
        <w:pStyle w:val="Sraopastraipa"/>
        <w:numPr>
          <w:ilvl w:val="0"/>
          <w:numId w:val="20"/>
        </w:numPr>
        <w:ind w:left="567" w:hanging="567"/>
        <w:contextualSpacing w:val="0"/>
        <w:jc w:val="both"/>
        <w:rPr>
          <w:noProof w:val="0"/>
          <w:sz w:val="22"/>
          <w:szCs w:val="22"/>
          <w:lang w:val="lt-LT"/>
        </w:rPr>
      </w:pPr>
      <w:r w:rsidRPr="009E0143">
        <w:rPr>
          <w:noProof w:val="0"/>
          <w:sz w:val="22"/>
          <w:szCs w:val="22"/>
          <w:lang w:val="lt-LT"/>
        </w:rPr>
        <w:t>K</w:t>
      </w:r>
      <w:r w:rsidR="000D47D1" w:rsidRPr="009E0143">
        <w:rPr>
          <w:noProof w:val="0"/>
          <w:sz w:val="22"/>
          <w:szCs w:val="22"/>
          <w:lang w:val="lt-LT"/>
        </w:rPr>
        <w:t>ai glomerulų filtracijos greitis yra 50</w:t>
      </w:r>
      <w:r w:rsidR="007F3518" w:rsidRPr="009E0143">
        <w:rPr>
          <w:noProof w:val="0"/>
          <w:sz w:val="22"/>
          <w:szCs w:val="22"/>
          <w:lang w:val="lt-LT"/>
        </w:rPr>
        <w:noBreakHyphen/>
      </w:r>
      <w:r w:rsidR="000D47D1" w:rsidRPr="009E0143">
        <w:rPr>
          <w:noProof w:val="0"/>
          <w:sz w:val="22"/>
          <w:szCs w:val="22"/>
          <w:lang w:val="lt-LT"/>
        </w:rPr>
        <w:t>10 ml/min., rekomenduojamas 6</w:t>
      </w:r>
      <w:r w:rsidR="00793A26" w:rsidRPr="009E0143">
        <w:rPr>
          <w:noProof w:val="0"/>
          <w:sz w:val="22"/>
          <w:szCs w:val="22"/>
          <w:lang w:val="lt-LT"/>
        </w:rPr>
        <w:t xml:space="preserve"> </w:t>
      </w:r>
      <w:r w:rsidR="000D47D1" w:rsidRPr="009E0143">
        <w:rPr>
          <w:noProof w:val="0"/>
          <w:sz w:val="22"/>
          <w:szCs w:val="22"/>
          <w:lang w:val="lt-LT"/>
        </w:rPr>
        <w:t>valandų intervalas tarp dozių,</w:t>
      </w:r>
    </w:p>
    <w:p w14:paraId="62E0ED8B" w14:textId="77777777" w:rsidR="000D47D1" w:rsidRPr="009E0143" w:rsidRDefault="00953553" w:rsidP="00F56562">
      <w:pPr>
        <w:pStyle w:val="Sraopastraipa"/>
        <w:numPr>
          <w:ilvl w:val="0"/>
          <w:numId w:val="20"/>
        </w:numPr>
        <w:ind w:left="567" w:hanging="567"/>
        <w:contextualSpacing w:val="0"/>
        <w:jc w:val="both"/>
        <w:rPr>
          <w:noProof w:val="0"/>
          <w:sz w:val="22"/>
          <w:szCs w:val="22"/>
          <w:lang w:val="lt-LT"/>
        </w:rPr>
      </w:pPr>
      <w:r w:rsidRPr="009E0143">
        <w:rPr>
          <w:noProof w:val="0"/>
          <w:sz w:val="22"/>
          <w:szCs w:val="22"/>
          <w:lang w:val="lt-LT"/>
        </w:rPr>
        <w:lastRenderedPageBreak/>
        <w:t>K</w:t>
      </w:r>
      <w:r w:rsidR="000D47D1" w:rsidRPr="009E0143">
        <w:rPr>
          <w:noProof w:val="0"/>
          <w:sz w:val="22"/>
          <w:szCs w:val="22"/>
          <w:lang w:val="lt-LT"/>
        </w:rPr>
        <w:t>ai glomerulų filtracijos greitis yra mažesnis nei 10 ml/min., rekomenduojamas 8</w:t>
      </w:r>
      <w:r w:rsidRPr="009E0143">
        <w:rPr>
          <w:noProof w:val="0"/>
          <w:sz w:val="22"/>
          <w:szCs w:val="22"/>
          <w:lang w:val="lt-LT"/>
        </w:rPr>
        <w:t xml:space="preserve"> </w:t>
      </w:r>
      <w:r w:rsidR="000D47D1" w:rsidRPr="009E0143">
        <w:rPr>
          <w:noProof w:val="0"/>
          <w:sz w:val="22"/>
          <w:szCs w:val="22"/>
          <w:lang w:val="lt-LT"/>
        </w:rPr>
        <w:t>valandų intervalas tarp dozių.</w:t>
      </w:r>
    </w:p>
    <w:p w14:paraId="6A05EA19" w14:textId="77777777" w:rsidR="002D51B9" w:rsidRPr="009E0143" w:rsidRDefault="002D51B9" w:rsidP="00F56562">
      <w:pPr>
        <w:jc w:val="both"/>
        <w:rPr>
          <w:noProof w:val="0"/>
          <w:sz w:val="22"/>
          <w:szCs w:val="22"/>
          <w:u w:val="single"/>
          <w:lang w:val="lt-LT"/>
        </w:rPr>
      </w:pPr>
    </w:p>
    <w:p w14:paraId="7FF2C3E7" w14:textId="77777777" w:rsidR="00511832" w:rsidRPr="009E0143" w:rsidRDefault="00D03DA1" w:rsidP="00F56562">
      <w:pPr>
        <w:jc w:val="both"/>
        <w:rPr>
          <w:i/>
          <w:noProof w:val="0"/>
          <w:sz w:val="22"/>
          <w:szCs w:val="22"/>
          <w:lang w:val="lt-LT"/>
        </w:rPr>
      </w:pPr>
      <w:r w:rsidRPr="009E0143">
        <w:rPr>
          <w:i/>
          <w:color w:val="000000"/>
          <w:sz w:val="22"/>
          <w:szCs w:val="22"/>
          <w:lang w:val="lt-LT"/>
        </w:rPr>
        <w:t>Pacientams, kurių kepenų funkcija sutrikusi</w:t>
      </w:r>
    </w:p>
    <w:p w14:paraId="1F527AAB" w14:textId="3E52305A" w:rsidR="000D47D1" w:rsidRPr="009E0143" w:rsidRDefault="000D47D1" w:rsidP="007F3518">
      <w:pPr>
        <w:rPr>
          <w:rFonts w:eastAsia="Calibri"/>
          <w:noProof w:val="0"/>
          <w:sz w:val="22"/>
          <w:szCs w:val="22"/>
          <w:lang w:val="lt-LT"/>
        </w:rPr>
      </w:pPr>
      <w:r w:rsidRPr="009E0143">
        <w:rPr>
          <w:rFonts w:eastAsia="Calibri"/>
          <w:noProof w:val="0"/>
          <w:sz w:val="22"/>
          <w:szCs w:val="22"/>
          <w:lang w:val="lt-LT"/>
        </w:rPr>
        <w:t xml:space="preserve">Pacientams, kuriems yra lengvas ar vidutinio sunkumo kepenų funkcijos sutrikimas arba </w:t>
      </w:r>
      <w:r w:rsidR="00953553" w:rsidRPr="009E0143">
        <w:rPr>
          <w:rFonts w:eastAsia="Calibri"/>
          <w:noProof w:val="0"/>
          <w:sz w:val="22"/>
          <w:szCs w:val="22"/>
          <w:lang w:val="lt-LT"/>
        </w:rPr>
        <w:t>G</w:t>
      </w:r>
      <w:r w:rsidRPr="009E0143">
        <w:rPr>
          <w:rFonts w:eastAsia="Calibri"/>
          <w:noProof w:val="0"/>
          <w:sz w:val="22"/>
          <w:szCs w:val="22"/>
          <w:lang w:val="lt-LT"/>
        </w:rPr>
        <w:t>ilberto (</w:t>
      </w:r>
      <w:r w:rsidRPr="009E0143">
        <w:rPr>
          <w:rFonts w:eastAsia="Calibri"/>
          <w:i/>
          <w:iCs/>
          <w:noProof w:val="0"/>
          <w:sz w:val="22"/>
          <w:szCs w:val="22"/>
          <w:lang w:val="lt-LT"/>
        </w:rPr>
        <w:t>Gilbert</w:t>
      </w:r>
      <w:r w:rsidRPr="009E0143">
        <w:rPr>
          <w:rFonts w:eastAsia="Calibri"/>
          <w:noProof w:val="0"/>
          <w:sz w:val="22"/>
          <w:szCs w:val="22"/>
          <w:lang w:val="lt-LT"/>
        </w:rPr>
        <w:t>) sindromas, paracetamol</w:t>
      </w:r>
      <w:r w:rsidR="007F3518" w:rsidRPr="009E0143">
        <w:rPr>
          <w:rFonts w:eastAsia="Calibri"/>
          <w:noProof w:val="0"/>
          <w:sz w:val="22"/>
          <w:szCs w:val="22"/>
          <w:lang w:val="lt-LT"/>
        </w:rPr>
        <w:t>io</w:t>
      </w:r>
      <w:r w:rsidRPr="009E0143">
        <w:rPr>
          <w:rFonts w:eastAsia="Calibri"/>
          <w:noProof w:val="0"/>
          <w:sz w:val="22"/>
          <w:szCs w:val="22"/>
          <w:lang w:val="lt-LT"/>
        </w:rPr>
        <w:t xml:space="preserve"> būtina vartoti atsargiai, nes reikia mažinti dozę arba ilginti intervalą tarp dozių vartojimo</w:t>
      </w:r>
      <w:r w:rsidRPr="009E0143">
        <w:rPr>
          <w:noProof w:val="0"/>
          <w:sz w:val="22"/>
          <w:szCs w:val="22"/>
          <w:lang w:val="lt-LT"/>
        </w:rPr>
        <w:t xml:space="preserve"> </w:t>
      </w:r>
      <w:r w:rsidRPr="009E0143">
        <w:rPr>
          <w:rFonts w:eastAsia="Calibri"/>
          <w:noProof w:val="0"/>
          <w:sz w:val="22"/>
          <w:szCs w:val="22"/>
          <w:lang w:val="lt-LT"/>
        </w:rPr>
        <w:t>(žr. 4.4</w:t>
      </w:r>
      <w:r w:rsidR="00953553" w:rsidRPr="009E0143">
        <w:rPr>
          <w:rFonts w:eastAsia="Calibri"/>
          <w:noProof w:val="0"/>
          <w:sz w:val="22"/>
          <w:szCs w:val="22"/>
          <w:lang w:val="lt-LT"/>
        </w:rPr>
        <w:t xml:space="preserve"> </w:t>
      </w:r>
      <w:r w:rsidRPr="009E0143">
        <w:rPr>
          <w:rFonts w:eastAsia="Calibri"/>
          <w:noProof w:val="0"/>
          <w:sz w:val="22"/>
          <w:szCs w:val="22"/>
          <w:lang w:val="lt-LT"/>
        </w:rPr>
        <w:t>skyrių). Tokiems pacientams paros dozė neturi būti didesnė nei 60 mg/kg (didžiausia paros dozė yra 2 g). Pacientams, kuriems yra sunkus kepenų nepakankamumas, šio vaistinio preparato vartoti draudžiama (žr. 4.3</w:t>
      </w:r>
      <w:r w:rsidR="00953553" w:rsidRPr="009E0143">
        <w:rPr>
          <w:rFonts w:eastAsia="Calibri"/>
          <w:noProof w:val="0"/>
          <w:sz w:val="22"/>
          <w:szCs w:val="22"/>
          <w:lang w:val="lt-LT"/>
        </w:rPr>
        <w:t xml:space="preserve"> </w:t>
      </w:r>
      <w:r w:rsidRPr="009E0143">
        <w:rPr>
          <w:rFonts w:eastAsia="Calibri"/>
          <w:noProof w:val="0"/>
          <w:sz w:val="22"/>
          <w:szCs w:val="22"/>
          <w:lang w:val="lt-LT"/>
        </w:rPr>
        <w:t>skyrių).</w:t>
      </w:r>
    </w:p>
    <w:p w14:paraId="3A38AE70" w14:textId="77777777" w:rsidR="00EB40A7" w:rsidRPr="009E0143" w:rsidRDefault="00EB40A7" w:rsidP="007F3518">
      <w:pPr>
        <w:tabs>
          <w:tab w:val="left" w:pos="2268"/>
          <w:tab w:val="left" w:pos="2835"/>
        </w:tabs>
        <w:ind w:left="57"/>
        <w:rPr>
          <w:noProof w:val="0"/>
          <w:sz w:val="22"/>
          <w:szCs w:val="22"/>
          <w:lang w:val="lt-LT"/>
        </w:rPr>
      </w:pPr>
    </w:p>
    <w:p w14:paraId="2B88E0FF" w14:textId="77777777" w:rsidR="00D03DA1" w:rsidRPr="009E0143" w:rsidRDefault="00D03DA1" w:rsidP="007F3518">
      <w:pPr>
        <w:rPr>
          <w:i/>
          <w:color w:val="000000"/>
          <w:sz w:val="22"/>
          <w:szCs w:val="22"/>
          <w:lang w:val="lt-LT"/>
        </w:rPr>
      </w:pPr>
      <w:r w:rsidRPr="009E0143">
        <w:rPr>
          <w:i/>
          <w:color w:val="000000"/>
          <w:sz w:val="22"/>
          <w:szCs w:val="22"/>
          <w:lang w:val="lt-LT"/>
        </w:rPr>
        <w:t>Senyviems pacientams</w:t>
      </w:r>
    </w:p>
    <w:p w14:paraId="3D2C561A" w14:textId="77777777" w:rsidR="000D47D1" w:rsidRPr="009E0143" w:rsidRDefault="000D47D1" w:rsidP="007F3518">
      <w:pPr>
        <w:rPr>
          <w:rFonts w:eastAsia="Calibri"/>
          <w:noProof w:val="0"/>
          <w:sz w:val="22"/>
          <w:szCs w:val="22"/>
          <w:lang w:val="lt-LT"/>
        </w:rPr>
      </w:pPr>
      <w:r w:rsidRPr="009E0143">
        <w:rPr>
          <w:rFonts w:eastAsia="Calibri"/>
          <w:noProof w:val="0"/>
          <w:sz w:val="22"/>
          <w:szCs w:val="22"/>
          <w:lang w:val="lt-LT"/>
        </w:rPr>
        <w:t>Patirtis rodo, kad paprastai tinka vartoti įprastą suaugusiesiems skiriamą paracetamolio dozę. Vis dėlto nusilpusiems, nejudantiems senyviems asmenims arba senyviems pacientams, kurių inkstų ar kepenų funkcija sutrikusi, gali reikėti sumažinti dozę arba dozavimo dažnį (žr. 4.4</w:t>
      </w:r>
      <w:r w:rsidR="00953553" w:rsidRPr="009E0143">
        <w:rPr>
          <w:rFonts w:eastAsia="Calibri"/>
          <w:noProof w:val="0"/>
          <w:sz w:val="22"/>
          <w:szCs w:val="22"/>
          <w:lang w:val="lt-LT"/>
        </w:rPr>
        <w:t xml:space="preserve"> </w:t>
      </w:r>
      <w:r w:rsidRPr="009E0143">
        <w:rPr>
          <w:rFonts w:eastAsia="Calibri"/>
          <w:noProof w:val="0"/>
          <w:sz w:val="22"/>
          <w:szCs w:val="22"/>
          <w:lang w:val="lt-LT"/>
        </w:rPr>
        <w:t>skyrių).</w:t>
      </w:r>
    </w:p>
    <w:p w14:paraId="68EFF783" w14:textId="77777777" w:rsidR="00F347F3" w:rsidRPr="009E0143" w:rsidRDefault="00F347F3" w:rsidP="007F3518">
      <w:pPr>
        <w:rPr>
          <w:noProof w:val="0"/>
          <w:sz w:val="22"/>
          <w:szCs w:val="22"/>
          <w:lang w:val="lt-LT"/>
        </w:rPr>
      </w:pPr>
    </w:p>
    <w:p w14:paraId="58F75526" w14:textId="77777777" w:rsidR="00D03DA1" w:rsidRPr="009E0143" w:rsidRDefault="00D03DA1" w:rsidP="007F3518">
      <w:pPr>
        <w:tabs>
          <w:tab w:val="left" w:pos="567"/>
        </w:tabs>
        <w:rPr>
          <w:sz w:val="22"/>
          <w:szCs w:val="22"/>
          <w:u w:val="single"/>
          <w:lang w:val="lt-LT"/>
        </w:rPr>
      </w:pPr>
      <w:r w:rsidRPr="009E0143">
        <w:rPr>
          <w:sz w:val="22"/>
          <w:szCs w:val="22"/>
          <w:u w:val="single"/>
          <w:lang w:val="lt-LT"/>
        </w:rPr>
        <w:t xml:space="preserve">Vartojimo metodas </w:t>
      </w:r>
    </w:p>
    <w:p w14:paraId="238A769C" w14:textId="77777777" w:rsidR="00F347F3" w:rsidRPr="009E0143" w:rsidRDefault="008744B9" w:rsidP="007F3518">
      <w:pPr>
        <w:rPr>
          <w:noProof w:val="0"/>
          <w:sz w:val="22"/>
          <w:szCs w:val="22"/>
          <w:lang w:val="lt-LT"/>
        </w:rPr>
      </w:pPr>
      <w:r w:rsidRPr="009E0143">
        <w:rPr>
          <w:noProof w:val="0"/>
          <w:sz w:val="22"/>
          <w:szCs w:val="22"/>
          <w:lang w:val="lt-LT"/>
        </w:rPr>
        <w:t>Vartoti per burną</w:t>
      </w:r>
      <w:r w:rsidR="00F347F3" w:rsidRPr="009E0143">
        <w:rPr>
          <w:noProof w:val="0"/>
          <w:sz w:val="22"/>
          <w:szCs w:val="22"/>
          <w:lang w:val="lt-LT"/>
        </w:rPr>
        <w:t>.</w:t>
      </w:r>
    </w:p>
    <w:p w14:paraId="11F5166B" w14:textId="77777777" w:rsidR="002D51B9" w:rsidRPr="009E0143" w:rsidRDefault="008744B9" w:rsidP="007F3518">
      <w:pPr>
        <w:rPr>
          <w:noProof w:val="0"/>
          <w:sz w:val="22"/>
          <w:szCs w:val="22"/>
          <w:lang w:val="lt-LT"/>
        </w:rPr>
      </w:pPr>
      <w:r w:rsidRPr="009E0143">
        <w:rPr>
          <w:noProof w:val="0"/>
          <w:sz w:val="22"/>
          <w:szCs w:val="22"/>
          <w:lang w:val="lt-LT"/>
        </w:rPr>
        <w:t>Tabletes reikia nuryti užsigeriant pakankamu kiekiu skysčio.</w:t>
      </w:r>
    </w:p>
    <w:p w14:paraId="0269AEE3" w14:textId="77777777" w:rsidR="008744B9" w:rsidRPr="009E0143" w:rsidRDefault="008744B9" w:rsidP="007F3518">
      <w:pPr>
        <w:rPr>
          <w:b/>
          <w:noProof w:val="0"/>
          <w:sz w:val="22"/>
          <w:szCs w:val="22"/>
          <w:lang w:val="lt-LT"/>
        </w:rPr>
      </w:pPr>
    </w:p>
    <w:p w14:paraId="2B66EDCB" w14:textId="77777777" w:rsidR="00D03DA1" w:rsidRPr="009E0143" w:rsidRDefault="00D03DA1" w:rsidP="007F3518">
      <w:pPr>
        <w:keepNext/>
        <w:tabs>
          <w:tab w:val="left" w:pos="567"/>
        </w:tabs>
        <w:outlineLvl w:val="3"/>
        <w:rPr>
          <w:sz w:val="22"/>
          <w:szCs w:val="22"/>
          <w:lang w:val="lt-LT"/>
        </w:rPr>
      </w:pPr>
      <w:r w:rsidRPr="009E0143">
        <w:rPr>
          <w:b/>
          <w:sz w:val="22"/>
          <w:szCs w:val="22"/>
          <w:lang w:val="lt-LT"/>
        </w:rPr>
        <w:t>4.3</w:t>
      </w:r>
      <w:r w:rsidRPr="009E0143">
        <w:rPr>
          <w:b/>
          <w:sz w:val="22"/>
          <w:szCs w:val="22"/>
          <w:lang w:val="lt-LT"/>
        </w:rPr>
        <w:tab/>
        <w:t>Kontraindikacijos</w:t>
      </w:r>
    </w:p>
    <w:p w14:paraId="26BD487C" w14:textId="77777777" w:rsidR="00B91366" w:rsidRPr="009E0143" w:rsidRDefault="00B91366" w:rsidP="007F3518">
      <w:pPr>
        <w:rPr>
          <w:noProof w:val="0"/>
          <w:sz w:val="22"/>
          <w:szCs w:val="22"/>
          <w:lang w:val="lt-LT"/>
        </w:rPr>
      </w:pPr>
    </w:p>
    <w:p w14:paraId="46928F51" w14:textId="77777777" w:rsidR="005A1F5B" w:rsidRPr="009E0143" w:rsidRDefault="00D03DA1" w:rsidP="007F3518">
      <w:pPr>
        <w:numPr>
          <w:ilvl w:val="0"/>
          <w:numId w:val="3"/>
        </w:numPr>
        <w:tabs>
          <w:tab w:val="left" w:pos="567"/>
        </w:tabs>
        <w:ind w:left="426" w:hanging="426"/>
        <w:rPr>
          <w:noProof w:val="0"/>
          <w:sz w:val="22"/>
          <w:szCs w:val="22"/>
          <w:lang w:val="lt-LT"/>
        </w:rPr>
      </w:pPr>
      <w:r w:rsidRPr="009E0143">
        <w:rPr>
          <w:noProof w:val="0"/>
          <w:sz w:val="22"/>
          <w:szCs w:val="22"/>
          <w:lang w:val="lt-LT"/>
        </w:rPr>
        <w:t>Padidėjęs jautrumas veikliajai arba bet kuriai 6.1</w:t>
      </w:r>
      <w:r w:rsidR="00953553" w:rsidRPr="009E0143">
        <w:rPr>
          <w:noProof w:val="0"/>
          <w:sz w:val="22"/>
          <w:szCs w:val="22"/>
          <w:lang w:val="lt-LT"/>
        </w:rPr>
        <w:t xml:space="preserve"> </w:t>
      </w:r>
      <w:r w:rsidRPr="009E0143">
        <w:rPr>
          <w:noProof w:val="0"/>
          <w:sz w:val="22"/>
          <w:szCs w:val="22"/>
          <w:lang w:val="lt-LT"/>
        </w:rPr>
        <w:t>skyriuje nurodytai pagalbinei medžiagai</w:t>
      </w:r>
      <w:r w:rsidR="004D2149" w:rsidRPr="009E0143">
        <w:rPr>
          <w:noProof w:val="0"/>
          <w:sz w:val="22"/>
          <w:szCs w:val="22"/>
          <w:lang w:val="lt-LT"/>
        </w:rPr>
        <w:t>.</w:t>
      </w:r>
    </w:p>
    <w:p w14:paraId="7F910132" w14:textId="77777777" w:rsidR="005A1F5B" w:rsidRPr="009E0143" w:rsidRDefault="000E0C18" w:rsidP="007F3518">
      <w:pPr>
        <w:numPr>
          <w:ilvl w:val="0"/>
          <w:numId w:val="3"/>
        </w:numPr>
        <w:tabs>
          <w:tab w:val="left" w:pos="567"/>
        </w:tabs>
        <w:ind w:left="426" w:hanging="426"/>
        <w:rPr>
          <w:noProof w:val="0"/>
          <w:sz w:val="22"/>
          <w:szCs w:val="22"/>
          <w:lang w:val="lt-LT"/>
        </w:rPr>
      </w:pPr>
      <w:r w:rsidRPr="009E0143">
        <w:rPr>
          <w:noProof w:val="0"/>
          <w:sz w:val="22"/>
          <w:szCs w:val="22"/>
          <w:lang w:val="lt-LT"/>
        </w:rPr>
        <w:t>Sunkus kepenų funkcijos nepakankamumas</w:t>
      </w:r>
      <w:r w:rsidR="004D2149" w:rsidRPr="009E0143">
        <w:rPr>
          <w:noProof w:val="0"/>
          <w:sz w:val="22"/>
          <w:szCs w:val="22"/>
          <w:lang w:val="lt-LT"/>
        </w:rPr>
        <w:t>.</w:t>
      </w:r>
    </w:p>
    <w:p w14:paraId="78E7D525" w14:textId="77777777" w:rsidR="0078361F" w:rsidRPr="009E0143" w:rsidRDefault="000E0C18" w:rsidP="007F3518">
      <w:pPr>
        <w:numPr>
          <w:ilvl w:val="0"/>
          <w:numId w:val="3"/>
        </w:numPr>
        <w:tabs>
          <w:tab w:val="left" w:pos="567"/>
        </w:tabs>
        <w:ind w:left="426" w:hanging="426"/>
        <w:rPr>
          <w:noProof w:val="0"/>
          <w:sz w:val="22"/>
          <w:szCs w:val="22"/>
          <w:lang w:val="lt-LT"/>
        </w:rPr>
      </w:pPr>
      <w:r w:rsidRPr="009E0143">
        <w:rPr>
          <w:noProof w:val="0"/>
          <w:sz w:val="22"/>
          <w:szCs w:val="22"/>
          <w:lang w:val="lt-LT"/>
        </w:rPr>
        <w:t>Ūminis hepatitas</w:t>
      </w:r>
      <w:r w:rsidR="0078361F" w:rsidRPr="009E0143">
        <w:rPr>
          <w:noProof w:val="0"/>
          <w:sz w:val="22"/>
          <w:szCs w:val="22"/>
          <w:lang w:val="lt-LT"/>
        </w:rPr>
        <w:t>.</w:t>
      </w:r>
    </w:p>
    <w:p w14:paraId="70E8E18D" w14:textId="77777777" w:rsidR="00B91366" w:rsidRPr="009E0143" w:rsidRDefault="00B91366" w:rsidP="007F3518">
      <w:pPr>
        <w:rPr>
          <w:noProof w:val="0"/>
          <w:sz w:val="22"/>
          <w:szCs w:val="22"/>
          <w:lang w:val="lt-LT"/>
        </w:rPr>
      </w:pPr>
    </w:p>
    <w:p w14:paraId="3121DAD4" w14:textId="77777777" w:rsidR="00B91366" w:rsidRPr="009E0143" w:rsidRDefault="00D03DA1" w:rsidP="007F3518">
      <w:pPr>
        <w:rPr>
          <w:noProof w:val="0"/>
          <w:sz w:val="22"/>
          <w:szCs w:val="22"/>
          <w:lang w:val="lt-LT"/>
        </w:rPr>
      </w:pPr>
      <w:r w:rsidRPr="009E0143">
        <w:rPr>
          <w:b/>
          <w:sz w:val="22"/>
          <w:szCs w:val="22"/>
          <w:lang w:val="lt-LT"/>
        </w:rPr>
        <w:t>4.4</w:t>
      </w:r>
      <w:r w:rsidRPr="009E0143">
        <w:rPr>
          <w:b/>
          <w:sz w:val="22"/>
          <w:szCs w:val="22"/>
          <w:lang w:val="lt-LT"/>
        </w:rPr>
        <w:tab/>
        <w:t>Specialūs įspėjimai ir atsargumo priemonės</w:t>
      </w:r>
    </w:p>
    <w:p w14:paraId="7AD4D38C" w14:textId="77777777" w:rsidR="000F09CB" w:rsidRPr="009E0143" w:rsidRDefault="000F09CB" w:rsidP="007F3518">
      <w:pPr>
        <w:rPr>
          <w:noProof w:val="0"/>
          <w:sz w:val="22"/>
          <w:szCs w:val="22"/>
          <w:lang w:val="lt-LT"/>
        </w:rPr>
      </w:pPr>
    </w:p>
    <w:p w14:paraId="51C4AE93" w14:textId="77777777" w:rsidR="000D47D1" w:rsidRPr="009E0143" w:rsidRDefault="000D47D1" w:rsidP="007F3518">
      <w:pPr>
        <w:rPr>
          <w:noProof w:val="0"/>
          <w:sz w:val="22"/>
          <w:szCs w:val="22"/>
          <w:lang w:val="lt-LT"/>
        </w:rPr>
      </w:pPr>
      <w:r w:rsidRPr="009E0143">
        <w:rPr>
          <w:noProof w:val="0"/>
          <w:sz w:val="22"/>
          <w:szCs w:val="22"/>
          <w:lang w:val="lt-LT"/>
        </w:rPr>
        <w:t>Pacientus reikia įspėti, kad kartu nevartotų kitų vaistinių preparatų, kurių sudėtyje yra paracetamolio.</w:t>
      </w:r>
    </w:p>
    <w:p w14:paraId="6DC70326" w14:textId="77777777" w:rsidR="009E0143" w:rsidRPr="009E0143" w:rsidRDefault="009E0143" w:rsidP="007F3518">
      <w:pPr>
        <w:rPr>
          <w:noProof w:val="0"/>
          <w:sz w:val="22"/>
          <w:szCs w:val="22"/>
          <w:lang w:val="lt-LT"/>
        </w:rPr>
      </w:pPr>
    </w:p>
    <w:p w14:paraId="016A1C0A" w14:textId="67602060" w:rsidR="000D47D1" w:rsidRPr="009E0143" w:rsidRDefault="000D47D1" w:rsidP="007F3518">
      <w:pPr>
        <w:rPr>
          <w:noProof w:val="0"/>
          <w:sz w:val="22"/>
          <w:szCs w:val="22"/>
          <w:lang w:val="lt-LT"/>
        </w:rPr>
      </w:pPr>
      <w:r w:rsidRPr="009E0143">
        <w:rPr>
          <w:noProof w:val="0"/>
          <w:sz w:val="22"/>
          <w:szCs w:val="22"/>
          <w:lang w:val="lt-LT"/>
        </w:rPr>
        <w:t>Buvo pranešta apie paracetamolio sukelto hepatotoksinio poveikio atvejus (įskaitant mirtinus), kai pacientai vartojo paracetamolio terapinėmis dozėmis. Apie tokius atvejus pranešta pacientams, kurie turėjo vieną ar daugiau hepatotoksinio poveikio rizikos veiksnių, įskaitant mažą kūno svorį (&lt; 50 kg), inkstų ir kepenų funkcijos sutrikimą, lėtinį alkoholizmą, kartu vartojamus hepatotoksinį poveikį sukeliančius vaistinius preparatus ir ūminį bei lėtinį mitybos nepakankamumą (mažas glutationo atsargas kepenyse).</w:t>
      </w:r>
    </w:p>
    <w:p w14:paraId="04F2F3C5" w14:textId="77777777" w:rsidR="009E0143" w:rsidRPr="009E0143" w:rsidRDefault="009E0143" w:rsidP="007F3518">
      <w:pPr>
        <w:rPr>
          <w:noProof w:val="0"/>
          <w:sz w:val="22"/>
          <w:szCs w:val="22"/>
          <w:lang w:val="lt-LT"/>
        </w:rPr>
      </w:pPr>
    </w:p>
    <w:p w14:paraId="5EC26EEB" w14:textId="21DF0C98" w:rsidR="000D47D1" w:rsidRPr="009E0143" w:rsidRDefault="000D47D1" w:rsidP="007F3518">
      <w:pPr>
        <w:rPr>
          <w:noProof w:val="0"/>
          <w:sz w:val="22"/>
          <w:szCs w:val="22"/>
          <w:lang w:val="lt-LT"/>
        </w:rPr>
      </w:pPr>
      <w:r w:rsidRPr="009E0143">
        <w:rPr>
          <w:noProof w:val="0"/>
          <w:sz w:val="22"/>
          <w:szCs w:val="22"/>
          <w:lang w:val="lt-LT"/>
        </w:rPr>
        <w:t>Paracetamol</w:t>
      </w:r>
      <w:r w:rsidR="007F3518" w:rsidRPr="009E0143">
        <w:rPr>
          <w:noProof w:val="0"/>
          <w:sz w:val="22"/>
          <w:szCs w:val="22"/>
          <w:lang w:val="lt-LT"/>
        </w:rPr>
        <w:t>io</w:t>
      </w:r>
      <w:r w:rsidRPr="009E0143">
        <w:rPr>
          <w:noProof w:val="0"/>
          <w:sz w:val="22"/>
          <w:szCs w:val="22"/>
          <w:lang w:val="lt-LT"/>
        </w:rPr>
        <w:t xml:space="preserve"> reikia atsargiai vartoti pacientams, kuriems yra gliukozės-6-fosfato dehidrogenazės trūkumas, hemolizinė anemija, glutationo trūkumas, lėtinis mitybos nepakankamumas, lėtinis alkoholizmas, dehidratacija, senyviems </w:t>
      </w:r>
      <w:r w:rsidR="00B152BF" w:rsidRPr="009E0143">
        <w:rPr>
          <w:noProof w:val="0"/>
          <w:sz w:val="22"/>
          <w:szCs w:val="22"/>
          <w:lang w:val="lt-LT"/>
        </w:rPr>
        <w:t>pacientams</w:t>
      </w:r>
      <w:r w:rsidRPr="009E0143">
        <w:rPr>
          <w:noProof w:val="0"/>
          <w:sz w:val="22"/>
          <w:szCs w:val="22"/>
          <w:lang w:val="lt-LT"/>
        </w:rPr>
        <w:t xml:space="preserve"> ir pacientams, kuriems yra lengvas ar vidutinio sunkumo kepenų ir (arba) inkstų funkcijos sutrikimas (žr. 4.2</w:t>
      </w:r>
      <w:r w:rsidR="00953553" w:rsidRPr="009E0143">
        <w:rPr>
          <w:noProof w:val="0"/>
          <w:sz w:val="22"/>
          <w:szCs w:val="22"/>
          <w:lang w:val="lt-LT"/>
        </w:rPr>
        <w:t xml:space="preserve"> </w:t>
      </w:r>
      <w:r w:rsidRPr="009E0143">
        <w:rPr>
          <w:noProof w:val="0"/>
          <w:sz w:val="22"/>
          <w:szCs w:val="22"/>
          <w:lang w:val="lt-LT"/>
        </w:rPr>
        <w:t>skyrių).</w:t>
      </w:r>
    </w:p>
    <w:p w14:paraId="577FA58A" w14:textId="77777777" w:rsidR="009E0143" w:rsidRPr="009E0143" w:rsidRDefault="009E0143" w:rsidP="007F3518">
      <w:pPr>
        <w:rPr>
          <w:noProof w:val="0"/>
          <w:sz w:val="22"/>
          <w:szCs w:val="22"/>
          <w:lang w:val="lt-LT"/>
        </w:rPr>
      </w:pPr>
    </w:p>
    <w:p w14:paraId="64260B8E" w14:textId="67342BC2" w:rsidR="000D47D1" w:rsidRPr="009E0143" w:rsidRDefault="000D47D1" w:rsidP="007F3518">
      <w:pPr>
        <w:rPr>
          <w:noProof w:val="0"/>
          <w:sz w:val="22"/>
          <w:szCs w:val="22"/>
          <w:lang w:val="lt-LT"/>
        </w:rPr>
      </w:pPr>
      <w:r w:rsidRPr="009E0143">
        <w:rPr>
          <w:noProof w:val="0"/>
          <w:sz w:val="22"/>
          <w:szCs w:val="22"/>
          <w:lang w:val="lt-LT"/>
        </w:rPr>
        <w:t>Pacientams, kurių kepenų funkcija sutrikusi ir kurie ilgą laiką vartoja dideles paracetamolio dozes, rekomenduojama reguliariai atlikinėti kepenų funkcijos tyrimus. Sunkaus hepatotoksinio poveikio rizika reikšmingai padidėja didinant dozę ir ilginant gydymo trukmę. Jau esanti kepenų liga padidina su paracetamolio susijusio kepenų pažeidimo riziką. Perdozavimo rizika yra didesnė pacientams, kuriems yra alkoholio sukeltas kepenų pažeidimas be cirozės.</w:t>
      </w:r>
    </w:p>
    <w:p w14:paraId="2AEBA58B" w14:textId="77777777" w:rsidR="009E0143" w:rsidRPr="009E0143" w:rsidRDefault="009E0143" w:rsidP="007F3518">
      <w:pPr>
        <w:rPr>
          <w:noProof w:val="0"/>
          <w:sz w:val="22"/>
          <w:szCs w:val="22"/>
          <w:lang w:val="lt-LT"/>
        </w:rPr>
      </w:pPr>
    </w:p>
    <w:p w14:paraId="22963841" w14:textId="6879FCFF" w:rsidR="000D47D1" w:rsidRPr="009E0143" w:rsidRDefault="000D47D1" w:rsidP="007F3518">
      <w:pPr>
        <w:rPr>
          <w:noProof w:val="0"/>
          <w:sz w:val="22"/>
          <w:szCs w:val="22"/>
          <w:lang w:val="lt-LT"/>
        </w:rPr>
      </w:pPr>
      <w:r w:rsidRPr="009E0143">
        <w:rPr>
          <w:noProof w:val="0"/>
          <w:sz w:val="22"/>
          <w:szCs w:val="22"/>
          <w:lang w:val="lt-LT"/>
        </w:rPr>
        <w:t>Gydymo metu būtina vengti vartoti alkoholį. Ilgalaikis alkoholio vartojimas reikšmingai padidina paracetamolio hepatotoksinio poveikio riziką.</w:t>
      </w:r>
    </w:p>
    <w:p w14:paraId="55F6651C" w14:textId="77777777" w:rsidR="009E0143" w:rsidRPr="009E0143" w:rsidRDefault="009E0143" w:rsidP="007F3518">
      <w:pPr>
        <w:rPr>
          <w:noProof w:val="0"/>
          <w:sz w:val="22"/>
          <w:szCs w:val="22"/>
          <w:lang w:val="lt-LT"/>
        </w:rPr>
      </w:pPr>
    </w:p>
    <w:p w14:paraId="77F8DE24" w14:textId="7C2942D8" w:rsidR="000D47D1" w:rsidRPr="009E0143" w:rsidRDefault="000D47D1" w:rsidP="007F3518">
      <w:pPr>
        <w:rPr>
          <w:noProof w:val="0"/>
          <w:sz w:val="22"/>
          <w:szCs w:val="22"/>
          <w:lang w:val="lt-LT"/>
        </w:rPr>
      </w:pPr>
      <w:r w:rsidRPr="009E0143">
        <w:rPr>
          <w:noProof w:val="0"/>
          <w:sz w:val="22"/>
          <w:szCs w:val="22"/>
          <w:lang w:val="lt-LT"/>
        </w:rPr>
        <w:t xml:space="preserve">Kartu vartojant geriamuosius antikoaguliantus ir </w:t>
      </w:r>
      <w:r w:rsidR="00115D93" w:rsidRPr="009E0143">
        <w:rPr>
          <w:noProof w:val="0"/>
          <w:sz w:val="22"/>
          <w:szCs w:val="22"/>
          <w:lang w:val="lt-LT"/>
        </w:rPr>
        <w:t xml:space="preserve">ilgą laiką </w:t>
      </w:r>
      <w:r w:rsidRPr="009E0143">
        <w:rPr>
          <w:noProof w:val="0"/>
          <w:sz w:val="22"/>
          <w:szCs w:val="22"/>
          <w:lang w:val="lt-LT"/>
        </w:rPr>
        <w:t>reguliariai kasdien vartojant paracetamol</w:t>
      </w:r>
      <w:r w:rsidR="007F3518" w:rsidRPr="009E0143">
        <w:rPr>
          <w:noProof w:val="0"/>
          <w:sz w:val="22"/>
          <w:szCs w:val="22"/>
          <w:lang w:val="lt-LT"/>
        </w:rPr>
        <w:t>io</w:t>
      </w:r>
      <w:r w:rsidRPr="009E0143">
        <w:rPr>
          <w:noProof w:val="0"/>
          <w:sz w:val="22"/>
          <w:szCs w:val="22"/>
          <w:lang w:val="lt-LT"/>
        </w:rPr>
        <w:t>, būtina matuoti protrombino laiką.</w:t>
      </w:r>
    </w:p>
    <w:p w14:paraId="75C168E7" w14:textId="77777777" w:rsidR="009E0143" w:rsidRPr="009E0143" w:rsidRDefault="009E0143" w:rsidP="007F3518">
      <w:pPr>
        <w:rPr>
          <w:noProof w:val="0"/>
          <w:sz w:val="22"/>
          <w:szCs w:val="22"/>
          <w:lang w:val="lt-LT"/>
        </w:rPr>
      </w:pPr>
    </w:p>
    <w:p w14:paraId="216F04B0" w14:textId="72244D96" w:rsidR="000D47D1" w:rsidRPr="009E0143" w:rsidRDefault="000D47D1" w:rsidP="007F3518">
      <w:pPr>
        <w:rPr>
          <w:noProof w:val="0"/>
          <w:sz w:val="22"/>
          <w:szCs w:val="22"/>
          <w:lang w:val="lt-LT"/>
        </w:rPr>
      </w:pPr>
      <w:r w:rsidRPr="009E0143">
        <w:rPr>
          <w:noProof w:val="0"/>
          <w:sz w:val="22"/>
          <w:szCs w:val="22"/>
          <w:lang w:val="lt-LT"/>
        </w:rPr>
        <w:t>Ilgalaikio gydymo metu negalima atmesti inkstų funkcijos sutrikimo galimybės.</w:t>
      </w:r>
    </w:p>
    <w:p w14:paraId="3B13A649" w14:textId="30205731" w:rsidR="000D47D1" w:rsidRPr="009E0143" w:rsidRDefault="000D47D1" w:rsidP="007F3518">
      <w:pPr>
        <w:rPr>
          <w:noProof w:val="0"/>
          <w:sz w:val="22"/>
          <w:szCs w:val="22"/>
          <w:lang w:val="lt-LT"/>
        </w:rPr>
      </w:pPr>
    </w:p>
    <w:p w14:paraId="0BE388FE" w14:textId="054493D5" w:rsidR="009E0143" w:rsidRPr="009E0143" w:rsidRDefault="009E0143" w:rsidP="007F3518">
      <w:pPr>
        <w:rPr>
          <w:noProof w:val="0"/>
          <w:sz w:val="22"/>
          <w:szCs w:val="22"/>
          <w:lang w:val="lt-LT"/>
        </w:rPr>
      </w:pPr>
      <w:bookmarkStart w:id="2" w:name="_Hlk188379811"/>
      <w:r w:rsidRPr="009E0143">
        <w:rPr>
          <w:noProof w:val="0"/>
          <w:sz w:val="22"/>
          <w:szCs w:val="22"/>
          <w:lang w:val="lt-LT"/>
        </w:rPr>
        <w:t xml:space="preserve">Gauta pranešimų apie padidėjusį anijoninį tarpą esant metabolinei acidozei (PATMA) dėl piroglutamato acidozės pacientams, sergantiems sunkia liga, pvz., sunkiu inkstų funkcijos sutrikimu ir </w:t>
      </w:r>
      <w:r w:rsidRPr="009E0143">
        <w:rPr>
          <w:noProof w:val="0"/>
          <w:sz w:val="22"/>
          <w:szCs w:val="22"/>
          <w:lang w:val="lt-LT"/>
        </w:rPr>
        <w:lastRenderedPageBreak/>
        <w:t>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Nustatytas 5</w:t>
      </w:r>
      <w:r w:rsidRPr="009E0143">
        <w:rPr>
          <w:noProof w:val="0"/>
          <w:sz w:val="22"/>
          <w:szCs w:val="22"/>
          <w:lang w:val="lt-LT"/>
        </w:rPr>
        <w:noBreakHyphen/>
        <w:t>oksoprolino kiekis šlapime gali padėti nustatyti, ar piroglutamato acidozė yra pagrindinė PATMA priežastis pacientams, kuriems nustatyti keli rizikos veiksniai.</w:t>
      </w:r>
      <w:bookmarkEnd w:id="2"/>
    </w:p>
    <w:p w14:paraId="7BDF09E5" w14:textId="77777777" w:rsidR="006D1A57" w:rsidRPr="009E0143" w:rsidRDefault="006D1A57" w:rsidP="007F3518">
      <w:pPr>
        <w:rPr>
          <w:noProof w:val="0"/>
          <w:sz w:val="22"/>
          <w:szCs w:val="22"/>
          <w:highlight w:val="lightGray"/>
          <w:lang w:val="lt-LT"/>
        </w:rPr>
      </w:pPr>
    </w:p>
    <w:p w14:paraId="368B8C0E" w14:textId="77777777" w:rsidR="00D03DA1" w:rsidRPr="009E0143" w:rsidRDefault="00D03DA1" w:rsidP="00405BE4">
      <w:pPr>
        <w:keepNext/>
        <w:tabs>
          <w:tab w:val="left" w:pos="567"/>
        </w:tabs>
        <w:outlineLvl w:val="3"/>
        <w:rPr>
          <w:sz w:val="22"/>
          <w:szCs w:val="22"/>
          <w:lang w:val="lt-LT"/>
        </w:rPr>
      </w:pPr>
      <w:r w:rsidRPr="009E0143">
        <w:rPr>
          <w:b/>
          <w:sz w:val="22"/>
          <w:szCs w:val="22"/>
          <w:lang w:val="lt-LT"/>
        </w:rPr>
        <w:t>4.5</w:t>
      </w:r>
      <w:r w:rsidRPr="009E0143">
        <w:rPr>
          <w:b/>
          <w:sz w:val="22"/>
          <w:szCs w:val="22"/>
          <w:lang w:val="lt-LT"/>
        </w:rPr>
        <w:tab/>
        <w:t>Sąveika su kitais vaistiniais preparatais ir kitokia sąveika</w:t>
      </w:r>
    </w:p>
    <w:p w14:paraId="2288C44A" w14:textId="77777777" w:rsidR="00B91366" w:rsidRPr="009E0143" w:rsidRDefault="00B91366" w:rsidP="00C757BC">
      <w:pPr>
        <w:keepNext/>
        <w:rPr>
          <w:noProof w:val="0"/>
          <w:sz w:val="22"/>
          <w:szCs w:val="22"/>
          <w:lang w:val="lt-LT"/>
        </w:rPr>
      </w:pPr>
    </w:p>
    <w:p w14:paraId="73DEFE22" w14:textId="77777777" w:rsidR="000D47D1" w:rsidRPr="009E0143" w:rsidRDefault="000D47D1" w:rsidP="007F3518">
      <w:pPr>
        <w:rPr>
          <w:noProof w:val="0"/>
          <w:sz w:val="22"/>
          <w:szCs w:val="22"/>
          <w:lang w:val="lt-LT"/>
        </w:rPr>
      </w:pPr>
      <w:r w:rsidRPr="009E0143">
        <w:rPr>
          <w:noProof w:val="0"/>
          <w:sz w:val="22"/>
          <w:szCs w:val="22"/>
          <w:lang w:val="lt-LT"/>
        </w:rPr>
        <w:t>Metoklopramidas arba domperidonas gali padidinti paracetamolio absorbcijos greitį. Vis dėlto šių vaistinių preparatų vartojimo kartu vengti nereikia.</w:t>
      </w:r>
    </w:p>
    <w:p w14:paraId="4CC8417B" w14:textId="77777777" w:rsidR="000D47D1" w:rsidRPr="009E0143" w:rsidRDefault="000D47D1" w:rsidP="007F3518">
      <w:pPr>
        <w:rPr>
          <w:noProof w:val="0"/>
          <w:sz w:val="22"/>
          <w:szCs w:val="22"/>
          <w:lang w:val="lt-LT"/>
        </w:rPr>
      </w:pPr>
      <w:r w:rsidRPr="009E0143">
        <w:rPr>
          <w:noProof w:val="0"/>
          <w:sz w:val="22"/>
          <w:szCs w:val="22"/>
          <w:lang w:val="lt-LT"/>
        </w:rPr>
        <w:t>Kolestiraminas sumažina paracetamolio absorbciją. Paracetamolis turi būti vartojamas likus bent 1 valandai iki kolestiramino vartojimo arba praėjus 4</w:t>
      </w:r>
      <w:r w:rsidR="007F3518" w:rsidRPr="009E0143">
        <w:rPr>
          <w:noProof w:val="0"/>
          <w:sz w:val="22"/>
          <w:szCs w:val="22"/>
          <w:lang w:val="lt-LT"/>
        </w:rPr>
        <w:noBreakHyphen/>
      </w:r>
      <w:r w:rsidRPr="009E0143">
        <w:rPr>
          <w:noProof w:val="0"/>
          <w:sz w:val="22"/>
          <w:szCs w:val="22"/>
          <w:lang w:val="lt-LT"/>
        </w:rPr>
        <w:t>6</w:t>
      </w:r>
      <w:r w:rsidR="00953553" w:rsidRPr="009E0143">
        <w:rPr>
          <w:noProof w:val="0"/>
          <w:sz w:val="22"/>
          <w:szCs w:val="22"/>
          <w:lang w:val="lt-LT"/>
        </w:rPr>
        <w:t xml:space="preserve"> </w:t>
      </w:r>
      <w:r w:rsidRPr="009E0143">
        <w:rPr>
          <w:noProof w:val="0"/>
          <w:sz w:val="22"/>
          <w:szCs w:val="22"/>
          <w:lang w:val="lt-LT"/>
        </w:rPr>
        <w:t>valandoms po jo.</w:t>
      </w:r>
    </w:p>
    <w:p w14:paraId="3984F183" w14:textId="77777777" w:rsidR="000D47D1" w:rsidRPr="009E0143" w:rsidRDefault="000D47D1" w:rsidP="007F3518">
      <w:pPr>
        <w:rPr>
          <w:noProof w:val="0"/>
          <w:sz w:val="22"/>
          <w:szCs w:val="22"/>
          <w:lang w:val="lt-LT"/>
        </w:rPr>
      </w:pPr>
      <w:r w:rsidRPr="009E0143">
        <w:rPr>
          <w:noProof w:val="0"/>
          <w:sz w:val="22"/>
          <w:szCs w:val="22"/>
          <w:lang w:val="lt-LT"/>
        </w:rPr>
        <w:t>Ilgai vartojant kartu su acetilsalicilo rūgštimi ar kitais nesteroidiniais vaistiniais preparatais nuo uždegimo (NVNU), gali būti pažeisti inkstai.</w:t>
      </w:r>
    </w:p>
    <w:p w14:paraId="3C3202A9" w14:textId="77777777" w:rsidR="000D47D1" w:rsidRPr="009E0143" w:rsidRDefault="000D47D1" w:rsidP="007F3518">
      <w:pPr>
        <w:rPr>
          <w:noProof w:val="0"/>
          <w:sz w:val="22"/>
          <w:szCs w:val="22"/>
          <w:lang w:val="lt-LT"/>
        </w:rPr>
      </w:pPr>
      <w:r w:rsidRPr="009E0143">
        <w:rPr>
          <w:noProof w:val="0"/>
          <w:sz w:val="22"/>
          <w:szCs w:val="22"/>
          <w:lang w:val="lt-LT"/>
        </w:rPr>
        <w:t>Jei paracetamolis ilgai ir reguliariai vartojamas kasdien, gali sustiprėti varfarino ar kitų kumarino vaistinių preparatų antikoaguliacinis poveikis ir padidėti kraujavimo rizika. Protarpinis vartojimas reikšmingo poveikio nesukelia.</w:t>
      </w:r>
    </w:p>
    <w:p w14:paraId="659CDF97" w14:textId="77777777" w:rsidR="000D47D1" w:rsidRPr="009E0143" w:rsidRDefault="000D47D1" w:rsidP="007F3518">
      <w:pPr>
        <w:rPr>
          <w:noProof w:val="0"/>
          <w:sz w:val="22"/>
          <w:szCs w:val="22"/>
          <w:lang w:val="lt-LT"/>
        </w:rPr>
      </w:pPr>
      <w:r w:rsidRPr="009E0143">
        <w:rPr>
          <w:noProof w:val="0"/>
          <w:sz w:val="22"/>
          <w:szCs w:val="22"/>
          <w:lang w:val="lt-LT"/>
        </w:rPr>
        <w:t>Hepatotoksinės medžiagos gali padidinti galimą paracetamolio kaupimąsi ir perdozavimą.</w:t>
      </w:r>
    </w:p>
    <w:p w14:paraId="4E3A87A9" w14:textId="77777777" w:rsidR="000D47D1" w:rsidRPr="009E0143" w:rsidRDefault="000D47D1" w:rsidP="007F3518">
      <w:pPr>
        <w:rPr>
          <w:noProof w:val="0"/>
          <w:sz w:val="22"/>
          <w:szCs w:val="22"/>
          <w:lang w:val="lt-LT"/>
        </w:rPr>
      </w:pPr>
      <w:r w:rsidRPr="009E0143">
        <w:rPr>
          <w:noProof w:val="0"/>
          <w:sz w:val="22"/>
          <w:szCs w:val="22"/>
          <w:lang w:val="lt-LT"/>
        </w:rPr>
        <w:t>Paracetamolis gali paveikti chloramfenikolio farmakokinetiką. Todėl kartu su paracetamoliu vartojant injekcinio chloramfenikolio, rekomenduojama ištirti chloramfenikolio koncentraciją kraujo plazmoje.</w:t>
      </w:r>
    </w:p>
    <w:p w14:paraId="36733623" w14:textId="77777777" w:rsidR="000D47D1" w:rsidRPr="009E0143" w:rsidRDefault="000D47D1" w:rsidP="007F3518">
      <w:pPr>
        <w:rPr>
          <w:noProof w:val="0"/>
          <w:sz w:val="22"/>
          <w:szCs w:val="22"/>
          <w:lang w:val="lt-LT"/>
        </w:rPr>
      </w:pPr>
      <w:r w:rsidRPr="009E0143">
        <w:rPr>
          <w:noProof w:val="0"/>
          <w:sz w:val="22"/>
          <w:szCs w:val="22"/>
          <w:lang w:val="lt-LT"/>
        </w:rPr>
        <w:t>Probenecidas sumažina paracetamolio klirensą beveik 50 %. Dėl to kartu vartojamo paracetamolio dozę galima sumažinti perpus.</w:t>
      </w:r>
    </w:p>
    <w:p w14:paraId="7CF0AB16" w14:textId="77777777" w:rsidR="000D47D1" w:rsidRPr="009E0143" w:rsidRDefault="000D47D1" w:rsidP="007F3518">
      <w:pPr>
        <w:rPr>
          <w:noProof w:val="0"/>
          <w:sz w:val="22"/>
          <w:szCs w:val="22"/>
          <w:lang w:val="lt-LT"/>
        </w:rPr>
      </w:pPr>
      <w:r w:rsidRPr="009E0143">
        <w:rPr>
          <w:noProof w:val="0"/>
          <w:sz w:val="22"/>
          <w:szCs w:val="22"/>
          <w:lang w:val="lt-LT"/>
        </w:rPr>
        <w:t>Mikrosomų fermentų induktoriai (rifampicinas, fenobarbitalis, fenitoinas, karbamazepinas, jonažolė) sumažina paracetamolio biologinį prieinamumą, padidindami gliukuronizaciją, todėl padidėja toksinio poveikio kepenims rizika. Tokių derinių reikia vengti.</w:t>
      </w:r>
    </w:p>
    <w:p w14:paraId="37E06B0C" w14:textId="77777777" w:rsidR="000D47D1" w:rsidRPr="009E0143" w:rsidRDefault="000D47D1" w:rsidP="007F3518">
      <w:pPr>
        <w:rPr>
          <w:noProof w:val="0"/>
          <w:sz w:val="22"/>
          <w:szCs w:val="22"/>
          <w:lang w:val="lt-LT"/>
        </w:rPr>
      </w:pPr>
      <w:r w:rsidRPr="009E0143">
        <w:rPr>
          <w:noProof w:val="0"/>
          <w:sz w:val="22"/>
          <w:szCs w:val="22"/>
          <w:lang w:val="lt-LT"/>
        </w:rPr>
        <w:t>Kartu vartojant paracetamol</w:t>
      </w:r>
      <w:r w:rsidR="007F3518" w:rsidRPr="009E0143">
        <w:rPr>
          <w:noProof w:val="0"/>
          <w:sz w:val="22"/>
          <w:szCs w:val="22"/>
          <w:lang w:val="lt-LT"/>
        </w:rPr>
        <w:t>io</w:t>
      </w:r>
      <w:r w:rsidRPr="009E0143">
        <w:rPr>
          <w:noProof w:val="0"/>
          <w:sz w:val="22"/>
          <w:szCs w:val="22"/>
          <w:lang w:val="lt-LT"/>
        </w:rPr>
        <w:t xml:space="preserve"> ir zidovudin</w:t>
      </w:r>
      <w:r w:rsidR="007F555B" w:rsidRPr="009E0143">
        <w:rPr>
          <w:noProof w:val="0"/>
          <w:sz w:val="22"/>
          <w:szCs w:val="22"/>
          <w:lang w:val="lt-LT"/>
        </w:rPr>
        <w:t>o</w:t>
      </w:r>
      <w:r w:rsidRPr="009E0143">
        <w:rPr>
          <w:noProof w:val="0"/>
          <w:sz w:val="22"/>
          <w:szCs w:val="22"/>
          <w:lang w:val="lt-LT"/>
        </w:rPr>
        <w:t>, gali padidėti neutropenijos pasireiškimo rizika.</w:t>
      </w:r>
    </w:p>
    <w:p w14:paraId="37776F2C" w14:textId="77777777" w:rsidR="000D47D1" w:rsidRPr="009E0143" w:rsidRDefault="000D47D1" w:rsidP="007F3518">
      <w:pPr>
        <w:rPr>
          <w:noProof w:val="0"/>
          <w:sz w:val="22"/>
          <w:szCs w:val="22"/>
          <w:lang w:val="lt-LT"/>
        </w:rPr>
      </w:pPr>
      <w:r w:rsidRPr="009E0143">
        <w:rPr>
          <w:noProof w:val="0"/>
          <w:sz w:val="22"/>
          <w:szCs w:val="22"/>
          <w:lang w:val="lt-LT"/>
        </w:rPr>
        <w:t>Kartu vartojant paracetamol</w:t>
      </w:r>
      <w:r w:rsidR="007F3518" w:rsidRPr="009E0143">
        <w:rPr>
          <w:noProof w:val="0"/>
          <w:sz w:val="22"/>
          <w:szCs w:val="22"/>
          <w:lang w:val="lt-LT"/>
        </w:rPr>
        <w:t>io</w:t>
      </w:r>
      <w:r w:rsidRPr="009E0143">
        <w:rPr>
          <w:noProof w:val="0"/>
          <w:sz w:val="22"/>
          <w:szCs w:val="22"/>
          <w:lang w:val="lt-LT"/>
        </w:rPr>
        <w:t xml:space="preserve"> ir izoniazid</w:t>
      </w:r>
      <w:r w:rsidR="007F3518" w:rsidRPr="009E0143">
        <w:rPr>
          <w:noProof w:val="0"/>
          <w:sz w:val="22"/>
          <w:szCs w:val="22"/>
          <w:lang w:val="lt-LT"/>
        </w:rPr>
        <w:t>o</w:t>
      </w:r>
      <w:r w:rsidRPr="009E0143">
        <w:rPr>
          <w:noProof w:val="0"/>
          <w:sz w:val="22"/>
          <w:szCs w:val="22"/>
          <w:lang w:val="lt-LT"/>
        </w:rPr>
        <w:t>, gali padidėti hepatotoksinio poveikio pasireiškimo rizika.</w:t>
      </w:r>
    </w:p>
    <w:p w14:paraId="7BF0AD38" w14:textId="6EF4C0BF" w:rsidR="00F852EC" w:rsidRPr="009E0143" w:rsidRDefault="004B02DA" w:rsidP="007F3518">
      <w:pPr>
        <w:rPr>
          <w:noProof w:val="0"/>
          <w:sz w:val="22"/>
          <w:szCs w:val="22"/>
          <w:lang w:val="lt-LT"/>
        </w:rPr>
      </w:pPr>
      <w:r w:rsidRPr="004B02DA">
        <w:rPr>
          <w:noProof w:val="0"/>
          <w:sz w:val="22"/>
          <w:szCs w:val="22"/>
          <w:lang w:val="lt-LT"/>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289A1239" w14:textId="77777777" w:rsidR="00405BE4" w:rsidRPr="009E0143" w:rsidRDefault="00405BE4" w:rsidP="007F3518">
      <w:pPr>
        <w:rPr>
          <w:noProof w:val="0"/>
          <w:sz w:val="22"/>
          <w:szCs w:val="22"/>
          <w:lang w:val="lt-LT"/>
        </w:rPr>
      </w:pPr>
    </w:p>
    <w:p w14:paraId="5B322D0F" w14:textId="77777777" w:rsidR="00D03DA1" w:rsidRPr="009E0143" w:rsidRDefault="00D03DA1" w:rsidP="007F3518">
      <w:pPr>
        <w:keepNext/>
        <w:tabs>
          <w:tab w:val="left" w:pos="567"/>
        </w:tabs>
        <w:outlineLvl w:val="3"/>
        <w:rPr>
          <w:sz w:val="22"/>
          <w:szCs w:val="22"/>
          <w:lang w:val="lt-LT"/>
        </w:rPr>
      </w:pPr>
      <w:r w:rsidRPr="009E0143">
        <w:rPr>
          <w:b/>
          <w:sz w:val="22"/>
          <w:szCs w:val="22"/>
          <w:lang w:val="lt-LT"/>
        </w:rPr>
        <w:t>4.6</w:t>
      </w:r>
      <w:r w:rsidRPr="009E0143">
        <w:rPr>
          <w:b/>
          <w:sz w:val="22"/>
          <w:szCs w:val="22"/>
          <w:lang w:val="lt-LT"/>
        </w:rPr>
        <w:tab/>
        <w:t>Vaisingumas, nėštumo ir žindymo laikotarpis</w:t>
      </w:r>
    </w:p>
    <w:p w14:paraId="2EF7920F" w14:textId="77777777" w:rsidR="00AC0814" w:rsidRPr="009E0143" w:rsidRDefault="00AC0814" w:rsidP="007F3518">
      <w:pPr>
        <w:rPr>
          <w:noProof w:val="0"/>
          <w:sz w:val="22"/>
          <w:szCs w:val="22"/>
          <w:lang w:val="lt-LT"/>
        </w:rPr>
      </w:pPr>
    </w:p>
    <w:p w14:paraId="6AAB1BB8" w14:textId="77777777" w:rsidR="00D03DA1" w:rsidRPr="009E0143" w:rsidRDefault="00D03DA1" w:rsidP="007F3518">
      <w:pPr>
        <w:rPr>
          <w:color w:val="0D0D0D"/>
          <w:sz w:val="22"/>
          <w:szCs w:val="22"/>
          <w:u w:val="single"/>
          <w:lang w:val="lt-LT"/>
        </w:rPr>
      </w:pPr>
      <w:r w:rsidRPr="009E0143">
        <w:rPr>
          <w:color w:val="0D0D0D"/>
          <w:sz w:val="22"/>
          <w:szCs w:val="22"/>
          <w:u w:val="single"/>
          <w:lang w:val="lt-LT"/>
        </w:rPr>
        <w:t>Nėštumas</w:t>
      </w:r>
    </w:p>
    <w:p w14:paraId="41534C9E" w14:textId="77777777" w:rsidR="00D52BBB" w:rsidRPr="009E0143" w:rsidRDefault="00691B7F" w:rsidP="007F3518">
      <w:pPr>
        <w:autoSpaceDE w:val="0"/>
        <w:autoSpaceDN w:val="0"/>
        <w:adjustRightInd w:val="0"/>
        <w:rPr>
          <w:sz w:val="22"/>
          <w:szCs w:val="22"/>
          <w:lang w:val="lt-LT"/>
        </w:rPr>
      </w:pPr>
      <w:r w:rsidRPr="009E0143">
        <w:rPr>
          <w:bCs/>
          <w:iCs/>
          <w:sz w:val="22"/>
          <w:szCs w:val="22"/>
          <w:lang w:val="lt-LT"/>
        </w:rPr>
        <w:t>Didelis</w:t>
      </w:r>
      <w:r w:rsidR="00D52BBB" w:rsidRPr="009E0143">
        <w:rPr>
          <w:bCs/>
          <w:iCs/>
          <w:sz w:val="22"/>
          <w:szCs w:val="22"/>
          <w:lang w:val="lt-LT"/>
        </w:rPr>
        <w:t xml:space="preserve"> </w:t>
      </w:r>
      <w:r w:rsidR="00847A01" w:rsidRPr="009E0143">
        <w:rPr>
          <w:bCs/>
          <w:iCs/>
          <w:sz w:val="22"/>
          <w:szCs w:val="22"/>
          <w:lang w:val="lt-LT"/>
        </w:rPr>
        <w:t xml:space="preserve">kiekis nėščių moterų </w:t>
      </w:r>
      <w:r w:rsidR="002F5201" w:rsidRPr="009E0143">
        <w:rPr>
          <w:bCs/>
          <w:iCs/>
          <w:sz w:val="22"/>
          <w:szCs w:val="22"/>
          <w:lang w:val="lt-LT"/>
        </w:rPr>
        <w:t xml:space="preserve">tyrimų duomenų </w:t>
      </w:r>
      <w:r w:rsidR="00847A01" w:rsidRPr="009E0143">
        <w:rPr>
          <w:bCs/>
          <w:iCs/>
          <w:sz w:val="22"/>
          <w:szCs w:val="22"/>
          <w:lang w:val="lt-LT"/>
        </w:rPr>
        <w:t>ne</w:t>
      </w:r>
      <w:r w:rsidR="00C97C4A" w:rsidRPr="009E0143">
        <w:rPr>
          <w:bCs/>
          <w:iCs/>
          <w:sz w:val="22"/>
          <w:szCs w:val="22"/>
          <w:lang w:val="lt-LT"/>
        </w:rPr>
        <w:t>rodo</w:t>
      </w:r>
      <w:r w:rsidR="002F5201" w:rsidRPr="009E0143">
        <w:rPr>
          <w:bCs/>
          <w:iCs/>
          <w:sz w:val="22"/>
          <w:szCs w:val="22"/>
          <w:lang w:val="lt-LT"/>
        </w:rPr>
        <w:t xml:space="preserve"> paracetamolio poveikio įgimtoms formavimosi ydoms ar toksinio poveikio vaisiui (ar) naujagimiui. </w:t>
      </w:r>
      <w:r w:rsidR="00D52BBB" w:rsidRPr="009E0143">
        <w:rPr>
          <w:bCs/>
          <w:iCs/>
          <w:sz w:val="22"/>
          <w:szCs w:val="22"/>
          <w:lang w:val="lt-LT"/>
        </w:rPr>
        <w:t xml:space="preserve">Vaikų, kurių motinos nėštumo laikotarpiu vartojo paracetamolį, nervų sistemos vystymosi epidemiologinių tyrimų rezultatų nepakanka išvadoms padaryti. </w:t>
      </w:r>
      <w:r w:rsidR="000471AC" w:rsidRPr="009E0143">
        <w:rPr>
          <w:bCs/>
          <w:iCs/>
          <w:sz w:val="22"/>
          <w:szCs w:val="22"/>
          <w:lang w:val="lt-LT"/>
        </w:rPr>
        <w:t xml:space="preserve">Jei kliniškai reikalinga, </w:t>
      </w:r>
      <w:r w:rsidR="00D52BBB" w:rsidRPr="009E0143">
        <w:rPr>
          <w:bCs/>
          <w:iCs/>
          <w:sz w:val="22"/>
          <w:szCs w:val="22"/>
          <w:lang w:val="lt-LT"/>
        </w:rPr>
        <w:t>paracetamol</w:t>
      </w:r>
      <w:r w:rsidR="000471AC" w:rsidRPr="009E0143">
        <w:rPr>
          <w:bCs/>
          <w:iCs/>
          <w:sz w:val="22"/>
          <w:szCs w:val="22"/>
          <w:lang w:val="lt-LT"/>
        </w:rPr>
        <w:t>is</w:t>
      </w:r>
      <w:r w:rsidR="00D52BBB" w:rsidRPr="009E0143">
        <w:rPr>
          <w:bCs/>
          <w:iCs/>
          <w:sz w:val="22"/>
          <w:szCs w:val="22"/>
          <w:lang w:val="lt-LT"/>
        </w:rPr>
        <w:t xml:space="preserve"> gali</w:t>
      </w:r>
      <w:r w:rsidR="000471AC" w:rsidRPr="009E0143">
        <w:rPr>
          <w:bCs/>
          <w:iCs/>
          <w:sz w:val="22"/>
          <w:szCs w:val="22"/>
          <w:lang w:val="lt-LT"/>
        </w:rPr>
        <w:t xml:space="preserve"> būti vartojamas </w:t>
      </w:r>
      <w:r w:rsidR="00D52BBB" w:rsidRPr="009E0143">
        <w:rPr>
          <w:bCs/>
          <w:iCs/>
          <w:sz w:val="22"/>
          <w:szCs w:val="22"/>
          <w:lang w:val="lt-LT"/>
        </w:rPr>
        <w:t xml:space="preserve">nėštumo </w:t>
      </w:r>
      <w:r w:rsidR="000471AC" w:rsidRPr="009E0143">
        <w:rPr>
          <w:bCs/>
          <w:iCs/>
          <w:sz w:val="22"/>
          <w:szCs w:val="22"/>
          <w:lang w:val="lt-LT"/>
        </w:rPr>
        <w:t>metu</w:t>
      </w:r>
      <w:r w:rsidR="00D52BBB" w:rsidRPr="009E0143">
        <w:rPr>
          <w:bCs/>
          <w:iCs/>
          <w:sz w:val="22"/>
          <w:szCs w:val="22"/>
          <w:lang w:val="lt-LT"/>
        </w:rPr>
        <w:t xml:space="preserve">, tačiau </w:t>
      </w:r>
      <w:r w:rsidR="002F6896" w:rsidRPr="009E0143">
        <w:rPr>
          <w:bCs/>
          <w:iCs/>
          <w:sz w:val="22"/>
          <w:szCs w:val="22"/>
          <w:lang w:val="lt-LT"/>
        </w:rPr>
        <w:t>jį</w:t>
      </w:r>
      <w:r w:rsidR="00D52BBB" w:rsidRPr="009E0143">
        <w:rPr>
          <w:bCs/>
          <w:iCs/>
          <w:sz w:val="22"/>
          <w:szCs w:val="22"/>
          <w:lang w:val="lt-LT"/>
        </w:rPr>
        <w:t xml:space="preserve"> reikėtų vartoti mažiausiomis veiksmingomis dozėmis, kuo trumpesnį laiką ir kuo rečiau.</w:t>
      </w:r>
    </w:p>
    <w:p w14:paraId="33AF1D05" w14:textId="77777777" w:rsidR="00747FCA" w:rsidRPr="009E0143" w:rsidRDefault="00747FCA" w:rsidP="007F3518">
      <w:pPr>
        <w:rPr>
          <w:noProof w:val="0"/>
          <w:sz w:val="22"/>
          <w:szCs w:val="22"/>
          <w:lang w:val="lt-LT"/>
        </w:rPr>
      </w:pPr>
    </w:p>
    <w:p w14:paraId="5FF91790" w14:textId="77777777" w:rsidR="00A23570" w:rsidRPr="009E0143" w:rsidRDefault="00D03DA1" w:rsidP="007F3518">
      <w:pPr>
        <w:rPr>
          <w:noProof w:val="0"/>
          <w:sz w:val="22"/>
          <w:szCs w:val="22"/>
          <w:u w:val="single"/>
          <w:lang w:val="lt-LT"/>
        </w:rPr>
      </w:pPr>
      <w:r w:rsidRPr="009E0143">
        <w:rPr>
          <w:color w:val="0D0D0D"/>
          <w:sz w:val="22"/>
          <w:szCs w:val="22"/>
          <w:u w:val="single"/>
          <w:lang w:val="lt-LT"/>
        </w:rPr>
        <w:t>Žindymas</w:t>
      </w:r>
    </w:p>
    <w:p w14:paraId="7209EBD7" w14:textId="77777777" w:rsidR="00526F65" w:rsidRPr="009E0143" w:rsidRDefault="00526F65" w:rsidP="007F3518">
      <w:pPr>
        <w:autoSpaceDE w:val="0"/>
        <w:autoSpaceDN w:val="0"/>
        <w:adjustRightInd w:val="0"/>
        <w:rPr>
          <w:noProof w:val="0"/>
          <w:color w:val="000000"/>
          <w:sz w:val="22"/>
          <w:szCs w:val="22"/>
          <w:lang w:val="lt-LT"/>
        </w:rPr>
      </w:pPr>
      <w:r w:rsidRPr="009E0143">
        <w:rPr>
          <w:color w:val="000000"/>
          <w:sz w:val="22"/>
          <w:szCs w:val="22"/>
          <w:lang w:val="lt-LT"/>
        </w:rPr>
        <w:t xml:space="preserve">Paracetamolio išsiskiria į </w:t>
      </w:r>
      <w:r w:rsidR="002F5201" w:rsidRPr="009E0143">
        <w:rPr>
          <w:color w:val="000000"/>
          <w:sz w:val="22"/>
          <w:szCs w:val="22"/>
          <w:lang w:val="lt-LT"/>
        </w:rPr>
        <w:t>gydytų m</w:t>
      </w:r>
      <w:r w:rsidR="000471AC" w:rsidRPr="009E0143">
        <w:rPr>
          <w:color w:val="000000"/>
          <w:sz w:val="22"/>
          <w:szCs w:val="22"/>
          <w:lang w:val="lt-LT"/>
        </w:rPr>
        <w:t>o</w:t>
      </w:r>
      <w:r w:rsidR="002F5201" w:rsidRPr="009E0143">
        <w:rPr>
          <w:color w:val="000000"/>
          <w:sz w:val="22"/>
          <w:szCs w:val="22"/>
          <w:lang w:val="lt-LT"/>
        </w:rPr>
        <w:t xml:space="preserve">terų </w:t>
      </w:r>
      <w:r w:rsidRPr="009E0143">
        <w:rPr>
          <w:color w:val="000000"/>
          <w:sz w:val="22"/>
          <w:szCs w:val="22"/>
          <w:lang w:val="lt-LT"/>
        </w:rPr>
        <w:t xml:space="preserve">pieną, bet </w:t>
      </w:r>
      <w:r w:rsidR="002F5201" w:rsidRPr="009E0143">
        <w:rPr>
          <w:color w:val="000000"/>
          <w:sz w:val="22"/>
          <w:szCs w:val="22"/>
          <w:lang w:val="lt-LT"/>
        </w:rPr>
        <w:t xml:space="preserve">vartojant gydomąsias </w:t>
      </w:r>
      <w:r w:rsidRPr="009E0143">
        <w:rPr>
          <w:color w:val="000000"/>
          <w:sz w:val="22"/>
          <w:szCs w:val="22"/>
          <w:lang w:val="lt-LT"/>
        </w:rPr>
        <w:t xml:space="preserve">dozes, </w:t>
      </w:r>
      <w:r w:rsidR="002F5201" w:rsidRPr="009E0143">
        <w:rPr>
          <w:color w:val="000000"/>
          <w:sz w:val="22"/>
          <w:szCs w:val="22"/>
          <w:lang w:val="lt-LT"/>
        </w:rPr>
        <w:t xml:space="preserve">kokio nors </w:t>
      </w:r>
      <w:r w:rsidRPr="009E0143">
        <w:rPr>
          <w:color w:val="000000"/>
          <w:sz w:val="22"/>
          <w:szCs w:val="22"/>
          <w:lang w:val="lt-LT"/>
        </w:rPr>
        <w:t xml:space="preserve">poveikio </w:t>
      </w:r>
      <w:r w:rsidR="002F5201" w:rsidRPr="009E0143">
        <w:rPr>
          <w:color w:val="000000"/>
          <w:sz w:val="22"/>
          <w:szCs w:val="22"/>
          <w:lang w:val="lt-LT"/>
        </w:rPr>
        <w:t xml:space="preserve">kūdikiams </w:t>
      </w:r>
      <w:r w:rsidRPr="009E0143">
        <w:rPr>
          <w:color w:val="000000"/>
          <w:sz w:val="22"/>
          <w:szCs w:val="22"/>
          <w:lang w:val="lt-LT"/>
        </w:rPr>
        <w:t>nesitikima. Trumpalaikio gydymo rekomenduojamomis šio vaistinio preparato dozėmis metu žindymo nutraukti nebūtina.</w:t>
      </w:r>
    </w:p>
    <w:p w14:paraId="01A992F7" w14:textId="77777777" w:rsidR="00247DD1" w:rsidRPr="009E0143" w:rsidRDefault="00247DD1" w:rsidP="007F3518">
      <w:pPr>
        <w:rPr>
          <w:noProof w:val="0"/>
          <w:sz w:val="22"/>
          <w:szCs w:val="22"/>
          <w:lang w:val="lt-LT"/>
        </w:rPr>
      </w:pPr>
    </w:p>
    <w:p w14:paraId="6177CAF2" w14:textId="77777777" w:rsidR="00034B4E" w:rsidRPr="009E0143" w:rsidRDefault="00D03DA1" w:rsidP="007F3518">
      <w:pPr>
        <w:widowControl w:val="0"/>
        <w:autoSpaceDE w:val="0"/>
        <w:autoSpaceDN w:val="0"/>
        <w:adjustRightInd w:val="0"/>
        <w:rPr>
          <w:noProof w:val="0"/>
          <w:sz w:val="22"/>
          <w:szCs w:val="22"/>
          <w:lang w:val="lt-LT"/>
        </w:rPr>
      </w:pPr>
      <w:r w:rsidRPr="009E0143">
        <w:rPr>
          <w:color w:val="0D0D0D"/>
          <w:sz w:val="22"/>
          <w:szCs w:val="22"/>
          <w:u w:val="single"/>
          <w:lang w:val="lt-LT"/>
        </w:rPr>
        <w:t>Vaisingumas</w:t>
      </w:r>
    </w:p>
    <w:p w14:paraId="4BB18F1D" w14:textId="77777777" w:rsidR="00034B4E" w:rsidRPr="009E0143" w:rsidRDefault="00526F65" w:rsidP="007F3518">
      <w:pPr>
        <w:rPr>
          <w:noProof w:val="0"/>
          <w:sz w:val="22"/>
          <w:szCs w:val="22"/>
          <w:lang w:val="lt-LT"/>
        </w:rPr>
      </w:pPr>
      <w:r w:rsidRPr="009E0143">
        <w:rPr>
          <w:noProof w:val="0"/>
          <w:sz w:val="22"/>
          <w:szCs w:val="22"/>
          <w:lang w:val="lt-LT"/>
        </w:rPr>
        <w:t>Klinikinių duomenų nėra.</w:t>
      </w:r>
    </w:p>
    <w:p w14:paraId="75CC31BC" w14:textId="77777777" w:rsidR="00526F65" w:rsidRPr="009E0143" w:rsidRDefault="00526F65" w:rsidP="007F3518">
      <w:pPr>
        <w:rPr>
          <w:noProof w:val="0"/>
          <w:sz w:val="22"/>
          <w:szCs w:val="22"/>
          <w:lang w:val="lt-LT"/>
        </w:rPr>
      </w:pPr>
    </w:p>
    <w:p w14:paraId="359CF036" w14:textId="77777777" w:rsidR="00D03DA1" w:rsidRPr="009E0143" w:rsidRDefault="00D03DA1" w:rsidP="007F3518">
      <w:pPr>
        <w:keepNext/>
        <w:tabs>
          <w:tab w:val="left" w:pos="567"/>
        </w:tabs>
        <w:outlineLvl w:val="3"/>
        <w:rPr>
          <w:sz w:val="22"/>
          <w:szCs w:val="22"/>
          <w:lang w:val="lt-LT"/>
        </w:rPr>
      </w:pPr>
      <w:r w:rsidRPr="009E0143">
        <w:rPr>
          <w:b/>
          <w:sz w:val="22"/>
          <w:szCs w:val="22"/>
          <w:lang w:val="lt-LT"/>
        </w:rPr>
        <w:t>4.7</w:t>
      </w:r>
      <w:r w:rsidRPr="009E0143">
        <w:rPr>
          <w:b/>
          <w:sz w:val="22"/>
          <w:szCs w:val="22"/>
          <w:lang w:val="lt-LT"/>
        </w:rPr>
        <w:tab/>
        <w:t>Poveikis gebėjimui vairuoti ir valdyti mechanizmus</w:t>
      </w:r>
    </w:p>
    <w:p w14:paraId="60B80548" w14:textId="77777777" w:rsidR="00B91366" w:rsidRPr="009E0143" w:rsidRDefault="00B91366" w:rsidP="007F3518">
      <w:pPr>
        <w:rPr>
          <w:noProof w:val="0"/>
          <w:sz w:val="22"/>
          <w:szCs w:val="22"/>
          <w:lang w:val="lt-LT"/>
        </w:rPr>
      </w:pPr>
    </w:p>
    <w:p w14:paraId="0EAF87CE" w14:textId="77777777" w:rsidR="00A23570" w:rsidRPr="009E0143" w:rsidRDefault="00941A19" w:rsidP="007F3518">
      <w:pPr>
        <w:rPr>
          <w:noProof w:val="0"/>
          <w:sz w:val="22"/>
          <w:szCs w:val="22"/>
          <w:lang w:val="lt-LT"/>
        </w:rPr>
      </w:pPr>
      <w:r w:rsidRPr="009E0143">
        <w:rPr>
          <w:noProof w:val="0"/>
          <w:sz w:val="22"/>
          <w:szCs w:val="22"/>
          <w:lang w:val="lt-LT"/>
        </w:rPr>
        <w:t>Paracetamol Zentiva</w:t>
      </w:r>
      <w:r w:rsidR="005848DA" w:rsidRPr="009E0143">
        <w:rPr>
          <w:noProof w:val="0"/>
          <w:sz w:val="22"/>
          <w:szCs w:val="22"/>
          <w:lang w:val="lt-LT"/>
        </w:rPr>
        <w:t xml:space="preserve"> </w:t>
      </w:r>
      <w:r w:rsidR="00D22625" w:rsidRPr="009E0143">
        <w:rPr>
          <w:sz w:val="22"/>
          <w:szCs w:val="22"/>
          <w:lang w:val="lt-LT"/>
        </w:rPr>
        <w:t>gebėjimo vairuoti ir valdyti mechanizmus neveikia</w:t>
      </w:r>
      <w:r w:rsidR="00A23570" w:rsidRPr="009E0143">
        <w:rPr>
          <w:noProof w:val="0"/>
          <w:sz w:val="22"/>
          <w:szCs w:val="22"/>
          <w:lang w:val="lt-LT"/>
        </w:rPr>
        <w:t>.</w:t>
      </w:r>
    </w:p>
    <w:p w14:paraId="7EF9ABD8" w14:textId="77777777" w:rsidR="00B91366" w:rsidRPr="009E0143" w:rsidRDefault="00B91366" w:rsidP="007F3518">
      <w:pPr>
        <w:rPr>
          <w:b/>
          <w:bCs/>
          <w:noProof w:val="0"/>
          <w:sz w:val="22"/>
          <w:szCs w:val="22"/>
          <w:lang w:val="lt-LT"/>
        </w:rPr>
      </w:pPr>
    </w:p>
    <w:p w14:paraId="4B427EA5" w14:textId="77777777" w:rsidR="00D03DA1" w:rsidRPr="009E0143" w:rsidRDefault="00D03DA1" w:rsidP="001E2631">
      <w:pPr>
        <w:keepNext/>
        <w:tabs>
          <w:tab w:val="left" w:pos="567"/>
        </w:tabs>
        <w:rPr>
          <w:sz w:val="22"/>
          <w:szCs w:val="22"/>
          <w:u w:val="single"/>
          <w:lang w:val="lt-LT"/>
        </w:rPr>
      </w:pPr>
      <w:r w:rsidRPr="009E0143">
        <w:rPr>
          <w:b/>
          <w:sz w:val="22"/>
          <w:szCs w:val="22"/>
          <w:lang w:val="lt-LT"/>
        </w:rPr>
        <w:t>4.8</w:t>
      </w:r>
      <w:r w:rsidRPr="009E0143">
        <w:rPr>
          <w:b/>
          <w:sz w:val="22"/>
          <w:szCs w:val="22"/>
          <w:lang w:val="lt-LT"/>
        </w:rPr>
        <w:tab/>
        <w:t>Nepageidaujamas poveikis</w:t>
      </w:r>
    </w:p>
    <w:p w14:paraId="51015F79" w14:textId="77777777" w:rsidR="00B91366" w:rsidRPr="009E0143" w:rsidRDefault="00B91366" w:rsidP="001E2631">
      <w:pPr>
        <w:keepNext/>
        <w:rPr>
          <w:noProof w:val="0"/>
          <w:sz w:val="22"/>
          <w:szCs w:val="22"/>
          <w:lang w:val="lt-LT"/>
        </w:rPr>
      </w:pPr>
    </w:p>
    <w:p w14:paraId="3CB89580" w14:textId="77777777" w:rsidR="00B91366" w:rsidRPr="009E0143" w:rsidRDefault="003D4AA8" w:rsidP="007F3518">
      <w:pPr>
        <w:rPr>
          <w:noProof w:val="0"/>
          <w:sz w:val="22"/>
          <w:szCs w:val="22"/>
          <w:lang w:val="lt-LT"/>
        </w:rPr>
      </w:pPr>
      <w:r w:rsidRPr="009E0143">
        <w:rPr>
          <w:noProof w:val="0"/>
          <w:sz w:val="22"/>
          <w:szCs w:val="22"/>
          <w:lang w:val="lt-LT"/>
        </w:rPr>
        <w:t>Vartojant paracetamol</w:t>
      </w:r>
      <w:r w:rsidR="007F555B" w:rsidRPr="009E0143">
        <w:rPr>
          <w:noProof w:val="0"/>
          <w:sz w:val="22"/>
          <w:szCs w:val="22"/>
          <w:lang w:val="lt-LT"/>
        </w:rPr>
        <w:t>io</w:t>
      </w:r>
      <w:r w:rsidRPr="009E0143">
        <w:rPr>
          <w:noProof w:val="0"/>
          <w:sz w:val="22"/>
          <w:szCs w:val="22"/>
          <w:lang w:val="lt-LT"/>
        </w:rPr>
        <w:t>, gali atsirasti t</w:t>
      </w:r>
      <w:r w:rsidR="00594B2C" w:rsidRPr="009E0143">
        <w:rPr>
          <w:noProof w:val="0"/>
          <w:sz w:val="22"/>
          <w:szCs w:val="22"/>
          <w:lang w:val="lt-LT"/>
        </w:rPr>
        <w:t xml:space="preserve">oliau išvardytas </w:t>
      </w:r>
      <w:r w:rsidRPr="009E0143">
        <w:rPr>
          <w:noProof w:val="0"/>
          <w:sz w:val="22"/>
          <w:szCs w:val="22"/>
          <w:lang w:val="lt-LT"/>
        </w:rPr>
        <w:t>nepageidaujamas poveikis (suskirstytas į grupes pagal MedDRA terminologiją</w:t>
      </w:r>
      <w:r w:rsidR="00C555B2" w:rsidRPr="009E0143">
        <w:rPr>
          <w:noProof w:val="0"/>
          <w:sz w:val="22"/>
          <w:szCs w:val="22"/>
          <w:lang w:val="lt-LT"/>
        </w:rPr>
        <w:t>)</w:t>
      </w:r>
      <w:r w:rsidRPr="009E0143">
        <w:rPr>
          <w:noProof w:val="0"/>
          <w:sz w:val="22"/>
          <w:szCs w:val="22"/>
          <w:lang w:val="lt-LT"/>
        </w:rPr>
        <w:t>,</w:t>
      </w:r>
      <w:r w:rsidR="00C555B2" w:rsidRPr="009E0143">
        <w:rPr>
          <w:noProof w:val="0"/>
          <w:sz w:val="22"/>
          <w:szCs w:val="22"/>
          <w:lang w:val="lt-LT"/>
        </w:rPr>
        <w:t xml:space="preserve"> kurio</w:t>
      </w:r>
      <w:r w:rsidRPr="009E0143">
        <w:rPr>
          <w:noProof w:val="0"/>
          <w:sz w:val="22"/>
          <w:szCs w:val="22"/>
          <w:lang w:val="lt-LT"/>
        </w:rPr>
        <w:t xml:space="preserve"> pasireiškimo </w:t>
      </w:r>
      <w:r w:rsidR="00594B2C" w:rsidRPr="009E0143">
        <w:rPr>
          <w:noProof w:val="0"/>
          <w:sz w:val="22"/>
          <w:szCs w:val="22"/>
          <w:lang w:val="lt-LT"/>
        </w:rPr>
        <w:t>dažnis apibūdinamas taip</w:t>
      </w:r>
      <w:r w:rsidRPr="009E0143">
        <w:rPr>
          <w:noProof w:val="0"/>
          <w:sz w:val="22"/>
          <w:szCs w:val="22"/>
          <w:lang w:val="lt-LT"/>
        </w:rPr>
        <w:t>:</w:t>
      </w:r>
      <w:r w:rsidR="00B91366" w:rsidRPr="009E0143">
        <w:rPr>
          <w:noProof w:val="0"/>
          <w:sz w:val="22"/>
          <w:szCs w:val="22"/>
          <w:lang w:val="lt-LT"/>
        </w:rPr>
        <w:t xml:space="preserve"> </w:t>
      </w:r>
      <w:r w:rsidR="00D03DA1" w:rsidRPr="009E0143">
        <w:rPr>
          <w:noProof w:val="0"/>
          <w:sz w:val="22"/>
          <w:szCs w:val="22"/>
          <w:lang w:val="lt-LT"/>
        </w:rPr>
        <w:t xml:space="preserve">labai dažnas </w:t>
      </w:r>
      <w:r w:rsidR="00D03DA1" w:rsidRPr="009E0143">
        <w:rPr>
          <w:noProof w:val="0"/>
          <w:sz w:val="22"/>
          <w:szCs w:val="22"/>
          <w:lang w:val="lt-LT"/>
        </w:rPr>
        <w:lastRenderedPageBreak/>
        <w:t>(≥ 1/10), dažnas (nuo ≥ 1/100 iki &lt; 1/10), nedažnas (nuo ≥ 1/1</w:t>
      </w:r>
      <w:r w:rsidR="002F6896" w:rsidRPr="009E0143">
        <w:rPr>
          <w:noProof w:val="0"/>
          <w:sz w:val="22"/>
          <w:szCs w:val="22"/>
          <w:lang w:val="lt-LT"/>
        </w:rPr>
        <w:t> </w:t>
      </w:r>
      <w:r w:rsidR="00D03DA1" w:rsidRPr="009E0143">
        <w:rPr>
          <w:noProof w:val="0"/>
          <w:sz w:val="22"/>
          <w:szCs w:val="22"/>
          <w:lang w:val="lt-LT"/>
        </w:rPr>
        <w:t>000 iki &lt; 1/100), retas (nuo ≥ 1/10 000 iki &lt; 1/1 000), labai retas (&lt; 1/10 000) ir nežinomas (negali būti apskaičiuotas pagal turimus duomenis).</w:t>
      </w:r>
    </w:p>
    <w:tbl>
      <w:tblPr>
        <w:tblpPr w:leftFromText="141" w:rightFromText="141" w:vertAnchor="text" w:horzAnchor="margin" w:tblpX="65" w:tblpY="102"/>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2"/>
        <w:gridCol w:w="1232"/>
        <w:gridCol w:w="5029"/>
      </w:tblGrid>
      <w:tr w:rsidR="00933168" w:rsidRPr="009E0143" w14:paraId="25D6D00D" w14:textId="77777777" w:rsidTr="009E0143">
        <w:tc>
          <w:tcPr>
            <w:tcW w:w="1519" w:type="pct"/>
            <w:vAlign w:val="center"/>
          </w:tcPr>
          <w:p w14:paraId="104C2299" w14:textId="77777777" w:rsidR="00657A6B" w:rsidRPr="009E0143" w:rsidRDefault="00657A6B" w:rsidP="00F56562">
            <w:pPr>
              <w:pStyle w:val="Normln"/>
              <w:spacing w:after="0" w:line="240" w:lineRule="auto"/>
              <w:rPr>
                <w:b/>
                <w:lang w:val="lt-LT"/>
              </w:rPr>
            </w:pPr>
            <w:r w:rsidRPr="009E0143">
              <w:rPr>
                <w:b/>
                <w:lang w:val="lt-LT"/>
              </w:rPr>
              <w:t>MedDRA</w:t>
            </w:r>
            <w:r w:rsidR="003D4AA8" w:rsidRPr="009E0143">
              <w:rPr>
                <w:b/>
                <w:lang w:val="lt-LT"/>
              </w:rPr>
              <w:t xml:space="preserve"> organų sistemos klasė</w:t>
            </w:r>
          </w:p>
        </w:tc>
        <w:tc>
          <w:tcPr>
            <w:tcW w:w="685" w:type="pct"/>
          </w:tcPr>
          <w:p w14:paraId="53D80BEA" w14:textId="77777777" w:rsidR="00657A6B" w:rsidRPr="009E0143" w:rsidRDefault="003D4AA8" w:rsidP="00F56562">
            <w:pPr>
              <w:pStyle w:val="Normln"/>
              <w:spacing w:after="0" w:line="240" w:lineRule="auto"/>
              <w:rPr>
                <w:b/>
                <w:lang w:val="lt-LT"/>
              </w:rPr>
            </w:pPr>
            <w:r w:rsidRPr="009E0143">
              <w:rPr>
                <w:b/>
                <w:lang w:val="lt-LT"/>
              </w:rPr>
              <w:t>Dažnis</w:t>
            </w:r>
          </w:p>
        </w:tc>
        <w:tc>
          <w:tcPr>
            <w:tcW w:w="2796" w:type="pct"/>
          </w:tcPr>
          <w:p w14:paraId="224E0306" w14:textId="77777777" w:rsidR="00657A6B" w:rsidRPr="009E0143" w:rsidRDefault="003D4AA8" w:rsidP="00F56562">
            <w:pPr>
              <w:pStyle w:val="Normln"/>
              <w:spacing w:after="0" w:line="240" w:lineRule="auto"/>
              <w:rPr>
                <w:b/>
                <w:lang w:val="lt-LT"/>
              </w:rPr>
            </w:pPr>
            <w:r w:rsidRPr="009E0143">
              <w:rPr>
                <w:b/>
                <w:lang w:val="lt-LT"/>
              </w:rPr>
              <w:t>Nepageidaujamas poveikis</w:t>
            </w:r>
          </w:p>
        </w:tc>
      </w:tr>
      <w:tr w:rsidR="00933168" w:rsidRPr="009E0143" w14:paraId="67EE9F76" w14:textId="77777777" w:rsidTr="009E0143">
        <w:trPr>
          <w:trHeight w:val="567"/>
        </w:trPr>
        <w:tc>
          <w:tcPr>
            <w:tcW w:w="1519" w:type="pct"/>
          </w:tcPr>
          <w:p w14:paraId="3CF85884" w14:textId="77777777" w:rsidR="00657A6B" w:rsidRPr="009E0143" w:rsidRDefault="003D4AA8" w:rsidP="00F56562">
            <w:pPr>
              <w:pStyle w:val="Normln"/>
              <w:spacing w:after="0" w:line="240" w:lineRule="auto"/>
              <w:rPr>
                <w:lang w:val="lt-LT"/>
              </w:rPr>
            </w:pPr>
            <w:r w:rsidRPr="009E0143">
              <w:rPr>
                <w:lang w:val="lt-LT"/>
              </w:rPr>
              <w:t>Kraujo ir limfinės sistemos sutrikimai</w:t>
            </w:r>
          </w:p>
        </w:tc>
        <w:tc>
          <w:tcPr>
            <w:tcW w:w="685" w:type="pct"/>
          </w:tcPr>
          <w:p w14:paraId="1E6898F8" w14:textId="77777777" w:rsidR="00657A6B" w:rsidRPr="009E0143" w:rsidRDefault="003D4AA8" w:rsidP="00F56562">
            <w:pPr>
              <w:pStyle w:val="Normln"/>
              <w:spacing w:after="0" w:line="240" w:lineRule="auto"/>
              <w:rPr>
                <w:lang w:val="lt-LT"/>
              </w:rPr>
            </w:pPr>
            <w:r w:rsidRPr="009E0143">
              <w:rPr>
                <w:lang w:val="lt-LT"/>
              </w:rPr>
              <w:t>Labai retas</w:t>
            </w:r>
          </w:p>
        </w:tc>
        <w:tc>
          <w:tcPr>
            <w:tcW w:w="2796" w:type="pct"/>
          </w:tcPr>
          <w:p w14:paraId="2DC133D8" w14:textId="77777777" w:rsidR="00657A6B" w:rsidRPr="009E0143" w:rsidRDefault="00657A6B" w:rsidP="00F56562">
            <w:pPr>
              <w:autoSpaceDE w:val="0"/>
              <w:autoSpaceDN w:val="0"/>
              <w:adjustRightInd w:val="0"/>
              <w:rPr>
                <w:noProof w:val="0"/>
                <w:sz w:val="22"/>
                <w:szCs w:val="22"/>
                <w:lang w:val="lt-LT"/>
              </w:rPr>
            </w:pPr>
            <w:r w:rsidRPr="009E0143">
              <w:rPr>
                <w:noProof w:val="0"/>
                <w:sz w:val="22"/>
                <w:szCs w:val="22"/>
                <w:lang w:val="lt-LT"/>
              </w:rPr>
              <w:t>T</w:t>
            </w:r>
            <w:r w:rsidR="003D4AA8" w:rsidRPr="009E0143">
              <w:rPr>
                <w:noProof w:val="0"/>
                <w:sz w:val="22"/>
                <w:szCs w:val="22"/>
                <w:lang w:val="lt-LT"/>
              </w:rPr>
              <w:t>rombocitopenija</w:t>
            </w:r>
          </w:p>
        </w:tc>
      </w:tr>
      <w:tr w:rsidR="00933168" w:rsidRPr="001E2631" w14:paraId="0191BB60" w14:textId="77777777" w:rsidTr="009E0143">
        <w:trPr>
          <w:trHeight w:val="283"/>
        </w:trPr>
        <w:tc>
          <w:tcPr>
            <w:tcW w:w="1519" w:type="pct"/>
            <w:vMerge w:val="restart"/>
          </w:tcPr>
          <w:p w14:paraId="48686256" w14:textId="77777777" w:rsidR="004C5AAA" w:rsidRPr="009E0143" w:rsidRDefault="003D4AA8" w:rsidP="00F56562">
            <w:pPr>
              <w:pStyle w:val="Normln"/>
              <w:spacing w:after="0" w:line="240" w:lineRule="auto"/>
              <w:rPr>
                <w:lang w:val="lt-LT"/>
              </w:rPr>
            </w:pPr>
            <w:r w:rsidRPr="009E0143">
              <w:rPr>
                <w:lang w:val="lt-LT"/>
              </w:rPr>
              <w:t>Imuninės sistemos sutrikimai</w:t>
            </w:r>
          </w:p>
        </w:tc>
        <w:tc>
          <w:tcPr>
            <w:tcW w:w="685" w:type="pct"/>
          </w:tcPr>
          <w:p w14:paraId="6791495E" w14:textId="77777777" w:rsidR="004C5AAA" w:rsidRPr="009E0143" w:rsidRDefault="003D4AA8" w:rsidP="00F56562">
            <w:pPr>
              <w:pStyle w:val="Normln"/>
              <w:spacing w:after="0" w:line="240" w:lineRule="auto"/>
              <w:rPr>
                <w:lang w:val="lt-LT"/>
              </w:rPr>
            </w:pPr>
            <w:r w:rsidRPr="009E0143">
              <w:rPr>
                <w:lang w:val="lt-LT"/>
              </w:rPr>
              <w:t>Retas</w:t>
            </w:r>
          </w:p>
        </w:tc>
        <w:tc>
          <w:tcPr>
            <w:tcW w:w="2796" w:type="pct"/>
          </w:tcPr>
          <w:p w14:paraId="4BB889F8" w14:textId="77777777" w:rsidR="004C5AAA" w:rsidRPr="009E0143" w:rsidRDefault="00CB3AD2" w:rsidP="00F56562">
            <w:pPr>
              <w:pStyle w:val="Normln"/>
              <w:spacing w:after="0" w:line="240" w:lineRule="auto"/>
              <w:rPr>
                <w:bCs/>
                <w:lang w:val="lt-LT"/>
              </w:rPr>
            </w:pPr>
            <w:r w:rsidRPr="009E0143">
              <w:rPr>
                <w:bCs/>
                <w:lang w:val="lt-LT"/>
              </w:rPr>
              <w:t>Odos padidėjusio jautrumo reakcija,</w:t>
            </w:r>
            <w:r w:rsidRPr="009E0143">
              <w:rPr>
                <w:rFonts w:eastAsia="Times New Roman"/>
                <w:noProof/>
                <w:lang w:val="lt-LT"/>
              </w:rPr>
              <w:t xml:space="preserve"> įskaitant išbėrimą</w:t>
            </w:r>
            <w:r w:rsidR="004C5AAA" w:rsidRPr="009E0143">
              <w:rPr>
                <w:bCs/>
                <w:lang w:val="lt-LT"/>
              </w:rPr>
              <w:t xml:space="preserve"> </w:t>
            </w:r>
            <w:r w:rsidRPr="009E0143">
              <w:rPr>
                <w:bCs/>
                <w:lang w:val="lt-LT"/>
              </w:rPr>
              <w:t>ir</w:t>
            </w:r>
            <w:r w:rsidRPr="009E0143">
              <w:rPr>
                <w:lang w:val="lt-LT"/>
              </w:rPr>
              <w:t xml:space="preserve"> </w:t>
            </w:r>
            <w:r w:rsidRPr="009E0143">
              <w:rPr>
                <w:bCs/>
                <w:lang w:val="lt-LT"/>
              </w:rPr>
              <w:t>angioneurozinę edemą</w:t>
            </w:r>
          </w:p>
        </w:tc>
      </w:tr>
      <w:tr w:rsidR="00933168" w:rsidRPr="009E0143" w14:paraId="5F91093E" w14:textId="77777777" w:rsidTr="009E0143">
        <w:trPr>
          <w:trHeight w:val="283"/>
        </w:trPr>
        <w:tc>
          <w:tcPr>
            <w:tcW w:w="1519" w:type="pct"/>
            <w:vMerge/>
          </w:tcPr>
          <w:p w14:paraId="4ECE01E7" w14:textId="77777777" w:rsidR="004C5AAA" w:rsidRPr="009E0143" w:rsidRDefault="004C5AAA" w:rsidP="00F56562">
            <w:pPr>
              <w:pStyle w:val="Normln"/>
              <w:spacing w:after="0" w:line="240" w:lineRule="auto"/>
              <w:rPr>
                <w:lang w:val="lt-LT"/>
              </w:rPr>
            </w:pPr>
          </w:p>
        </w:tc>
        <w:tc>
          <w:tcPr>
            <w:tcW w:w="685" w:type="pct"/>
          </w:tcPr>
          <w:p w14:paraId="502BE551" w14:textId="77777777" w:rsidR="004C5AAA" w:rsidRPr="009E0143" w:rsidRDefault="003D4AA8" w:rsidP="00F56562">
            <w:pPr>
              <w:pStyle w:val="Normln"/>
              <w:spacing w:after="0" w:line="240" w:lineRule="auto"/>
              <w:rPr>
                <w:lang w:val="lt-LT"/>
              </w:rPr>
            </w:pPr>
            <w:r w:rsidRPr="009E0143">
              <w:rPr>
                <w:lang w:val="lt-LT"/>
              </w:rPr>
              <w:t>Labai retas</w:t>
            </w:r>
          </w:p>
        </w:tc>
        <w:tc>
          <w:tcPr>
            <w:tcW w:w="2796" w:type="pct"/>
          </w:tcPr>
          <w:p w14:paraId="3F093708" w14:textId="77777777" w:rsidR="004C5AAA" w:rsidRPr="009E0143" w:rsidRDefault="003D4AA8" w:rsidP="00F56562">
            <w:pPr>
              <w:pStyle w:val="Normln"/>
              <w:spacing w:after="0" w:line="240" w:lineRule="auto"/>
              <w:rPr>
                <w:lang w:val="lt-LT"/>
              </w:rPr>
            </w:pPr>
            <w:r w:rsidRPr="009E0143">
              <w:rPr>
                <w:bCs/>
                <w:lang w:val="lt-LT"/>
              </w:rPr>
              <w:t>Anafilaksija</w:t>
            </w:r>
          </w:p>
        </w:tc>
      </w:tr>
      <w:tr w:rsidR="009E0143" w:rsidRPr="001E2631" w14:paraId="05D07EB1" w14:textId="77777777" w:rsidTr="009E0143">
        <w:trPr>
          <w:trHeight w:val="567"/>
        </w:trPr>
        <w:tc>
          <w:tcPr>
            <w:tcW w:w="1519" w:type="pct"/>
          </w:tcPr>
          <w:p w14:paraId="07F43140" w14:textId="74255163" w:rsidR="009E0143" w:rsidRPr="009E0143" w:rsidRDefault="009E0143" w:rsidP="009E0143">
            <w:pPr>
              <w:pStyle w:val="Normln"/>
              <w:spacing w:after="0" w:line="240" w:lineRule="auto"/>
              <w:rPr>
                <w:lang w:val="lt-LT"/>
              </w:rPr>
            </w:pPr>
            <w:r w:rsidRPr="009205EE">
              <w:t>Metabolizmo ir mitybos sutrikimai</w:t>
            </w:r>
          </w:p>
        </w:tc>
        <w:tc>
          <w:tcPr>
            <w:tcW w:w="685" w:type="pct"/>
          </w:tcPr>
          <w:p w14:paraId="3E122A62" w14:textId="56B047A9" w:rsidR="009E0143" w:rsidRPr="009E0143" w:rsidRDefault="009E0143" w:rsidP="009E0143">
            <w:pPr>
              <w:pStyle w:val="Normln"/>
              <w:spacing w:after="0" w:line="240" w:lineRule="auto"/>
              <w:rPr>
                <w:lang w:val="lt-LT"/>
              </w:rPr>
            </w:pPr>
            <w:r w:rsidRPr="009205EE">
              <w:t>Nežinomas</w:t>
            </w:r>
          </w:p>
        </w:tc>
        <w:tc>
          <w:tcPr>
            <w:tcW w:w="2796" w:type="pct"/>
          </w:tcPr>
          <w:p w14:paraId="59F0CC0A" w14:textId="43BA129C" w:rsidR="009E0143" w:rsidRPr="009E0143" w:rsidRDefault="009E0143" w:rsidP="009E0143">
            <w:pPr>
              <w:pStyle w:val="Normln"/>
              <w:spacing w:after="0" w:line="240" w:lineRule="auto"/>
              <w:rPr>
                <w:lang w:val="lt-LT"/>
              </w:rPr>
            </w:pPr>
            <w:r w:rsidRPr="009205EE">
              <w:t>Padidėjęs anijoninis tarpas esant metabolinei acidozei</w:t>
            </w:r>
          </w:p>
        </w:tc>
      </w:tr>
      <w:tr w:rsidR="00933168" w:rsidRPr="009E0143" w14:paraId="43CA4E03" w14:textId="77777777" w:rsidTr="009E0143">
        <w:trPr>
          <w:trHeight w:val="567"/>
        </w:trPr>
        <w:tc>
          <w:tcPr>
            <w:tcW w:w="1519" w:type="pct"/>
          </w:tcPr>
          <w:p w14:paraId="5A1C7979" w14:textId="77777777" w:rsidR="004C5AAA" w:rsidRPr="009E0143" w:rsidRDefault="003D4AA8" w:rsidP="00F56562">
            <w:pPr>
              <w:pStyle w:val="Normln"/>
              <w:spacing w:after="0" w:line="240" w:lineRule="auto"/>
              <w:rPr>
                <w:lang w:val="lt-LT"/>
              </w:rPr>
            </w:pPr>
            <w:r w:rsidRPr="009E0143">
              <w:rPr>
                <w:lang w:val="lt-LT"/>
              </w:rPr>
              <w:t>Kvėpavimo sistemos, krūtinės ląstos ir tarpuplaučio sutrikimai</w:t>
            </w:r>
          </w:p>
        </w:tc>
        <w:tc>
          <w:tcPr>
            <w:tcW w:w="685" w:type="pct"/>
          </w:tcPr>
          <w:p w14:paraId="116CEAA8" w14:textId="77777777" w:rsidR="004C5AAA" w:rsidRPr="009E0143" w:rsidRDefault="003D4AA8" w:rsidP="00F56562">
            <w:pPr>
              <w:pStyle w:val="Normln"/>
              <w:spacing w:after="0" w:line="240" w:lineRule="auto"/>
              <w:rPr>
                <w:lang w:val="lt-LT"/>
              </w:rPr>
            </w:pPr>
            <w:r w:rsidRPr="009E0143">
              <w:rPr>
                <w:lang w:val="lt-LT"/>
              </w:rPr>
              <w:t>Labai retas</w:t>
            </w:r>
          </w:p>
        </w:tc>
        <w:tc>
          <w:tcPr>
            <w:tcW w:w="2796" w:type="pct"/>
          </w:tcPr>
          <w:p w14:paraId="1A72DE63" w14:textId="77777777" w:rsidR="004C5AAA" w:rsidRPr="009E0143" w:rsidRDefault="00CB3AD2" w:rsidP="00F56562">
            <w:pPr>
              <w:pStyle w:val="Normln"/>
              <w:spacing w:after="0" w:line="240" w:lineRule="auto"/>
              <w:rPr>
                <w:lang w:val="lt-LT"/>
              </w:rPr>
            </w:pPr>
            <w:r w:rsidRPr="009E0143">
              <w:rPr>
                <w:lang w:val="lt-LT"/>
              </w:rPr>
              <w:t>Bronchų spazmas</w:t>
            </w:r>
            <w:r w:rsidR="004C5AAA" w:rsidRPr="009E0143">
              <w:rPr>
                <w:lang w:val="lt-LT"/>
              </w:rPr>
              <w:t>*</w:t>
            </w:r>
          </w:p>
        </w:tc>
      </w:tr>
      <w:tr w:rsidR="00933168" w:rsidRPr="009E0143" w14:paraId="2072BF81" w14:textId="77777777" w:rsidTr="009E0143">
        <w:trPr>
          <w:trHeight w:val="567"/>
        </w:trPr>
        <w:tc>
          <w:tcPr>
            <w:tcW w:w="1519" w:type="pct"/>
          </w:tcPr>
          <w:p w14:paraId="431F9EF5" w14:textId="77777777" w:rsidR="004C5AAA" w:rsidRPr="009E0143" w:rsidRDefault="003D4AA8" w:rsidP="00F56562">
            <w:pPr>
              <w:pStyle w:val="Normln"/>
              <w:spacing w:after="0" w:line="240" w:lineRule="auto"/>
              <w:rPr>
                <w:lang w:val="lt-LT"/>
              </w:rPr>
            </w:pPr>
            <w:r w:rsidRPr="009E0143">
              <w:rPr>
                <w:lang w:val="lt-LT"/>
              </w:rPr>
              <w:t>Kepenų, tulžies pūslės ir latakų sutrikimai</w:t>
            </w:r>
          </w:p>
        </w:tc>
        <w:tc>
          <w:tcPr>
            <w:tcW w:w="685" w:type="pct"/>
          </w:tcPr>
          <w:p w14:paraId="2F21FCFD" w14:textId="77777777" w:rsidR="004C5AAA" w:rsidRPr="009E0143" w:rsidRDefault="003D4AA8" w:rsidP="00F56562">
            <w:pPr>
              <w:pStyle w:val="Normln"/>
              <w:spacing w:after="0" w:line="240" w:lineRule="auto"/>
              <w:rPr>
                <w:lang w:val="lt-LT"/>
              </w:rPr>
            </w:pPr>
            <w:r w:rsidRPr="009E0143">
              <w:rPr>
                <w:lang w:val="lt-LT"/>
              </w:rPr>
              <w:t>Labai retas</w:t>
            </w:r>
          </w:p>
        </w:tc>
        <w:tc>
          <w:tcPr>
            <w:tcW w:w="2796" w:type="pct"/>
          </w:tcPr>
          <w:p w14:paraId="45F34389" w14:textId="77777777" w:rsidR="004C5AAA" w:rsidRPr="009E0143" w:rsidRDefault="00A5156F" w:rsidP="00F56562">
            <w:pPr>
              <w:pStyle w:val="Normln"/>
              <w:spacing w:after="0" w:line="240" w:lineRule="auto"/>
              <w:rPr>
                <w:b/>
                <w:lang w:val="lt-LT"/>
              </w:rPr>
            </w:pPr>
            <w:r w:rsidRPr="009E0143">
              <w:rPr>
                <w:lang w:val="lt-LT"/>
              </w:rPr>
              <w:t>Kepenų funkcijos sutrikimas</w:t>
            </w:r>
          </w:p>
        </w:tc>
      </w:tr>
      <w:tr w:rsidR="00933168" w:rsidRPr="009E0143" w14:paraId="29940FF4" w14:textId="77777777" w:rsidTr="009E0143">
        <w:trPr>
          <w:trHeight w:val="850"/>
        </w:trPr>
        <w:tc>
          <w:tcPr>
            <w:tcW w:w="1519" w:type="pct"/>
          </w:tcPr>
          <w:p w14:paraId="6D297E71" w14:textId="77777777" w:rsidR="004C5AAA" w:rsidRPr="009E0143" w:rsidRDefault="003D4AA8" w:rsidP="00F56562">
            <w:pPr>
              <w:pStyle w:val="Normln"/>
              <w:spacing w:after="0" w:line="240" w:lineRule="auto"/>
              <w:rPr>
                <w:lang w:val="lt-LT"/>
              </w:rPr>
            </w:pPr>
            <w:r w:rsidRPr="009E0143">
              <w:rPr>
                <w:lang w:val="lt-LT"/>
              </w:rPr>
              <w:t>Odos ir poodinio audinio sutrikimai</w:t>
            </w:r>
          </w:p>
        </w:tc>
        <w:tc>
          <w:tcPr>
            <w:tcW w:w="685" w:type="pct"/>
          </w:tcPr>
          <w:p w14:paraId="6BE4B94C" w14:textId="77777777" w:rsidR="004C5AAA" w:rsidRPr="009E0143" w:rsidRDefault="003D4AA8" w:rsidP="00F56562">
            <w:pPr>
              <w:pStyle w:val="Normln"/>
              <w:spacing w:after="0" w:line="240" w:lineRule="auto"/>
              <w:rPr>
                <w:lang w:val="lt-LT"/>
              </w:rPr>
            </w:pPr>
            <w:r w:rsidRPr="009E0143">
              <w:rPr>
                <w:lang w:val="lt-LT"/>
              </w:rPr>
              <w:t>Labai retas</w:t>
            </w:r>
          </w:p>
        </w:tc>
        <w:tc>
          <w:tcPr>
            <w:tcW w:w="2796" w:type="pct"/>
          </w:tcPr>
          <w:p w14:paraId="40A58960" w14:textId="77777777" w:rsidR="004C5AAA" w:rsidRPr="009E0143" w:rsidRDefault="00EA2B53" w:rsidP="00F56562">
            <w:pPr>
              <w:ind w:left="72" w:hanging="72"/>
              <w:rPr>
                <w:noProof w:val="0"/>
                <w:sz w:val="22"/>
                <w:szCs w:val="22"/>
                <w:lang w:val="lt-LT"/>
              </w:rPr>
            </w:pPr>
            <w:r w:rsidRPr="009E0143">
              <w:rPr>
                <w:noProof w:val="0"/>
                <w:sz w:val="22"/>
                <w:szCs w:val="22"/>
                <w:lang w:val="lt-LT"/>
              </w:rPr>
              <w:t>Sunkių odos reakcijų,</w:t>
            </w:r>
            <w:r w:rsidR="004C5AAA" w:rsidRPr="009E0143">
              <w:rPr>
                <w:noProof w:val="0"/>
                <w:sz w:val="22"/>
                <w:szCs w:val="22"/>
                <w:lang w:val="lt-LT"/>
              </w:rPr>
              <w:t xml:space="preserve"> </w:t>
            </w:r>
            <w:r w:rsidRPr="009E0143">
              <w:rPr>
                <w:noProof w:val="0"/>
                <w:sz w:val="22"/>
                <w:szCs w:val="22"/>
                <w:lang w:val="lt-LT"/>
              </w:rPr>
              <w:t>tokių kaip</w:t>
            </w:r>
            <w:r w:rsidRPr="009E0143">
              <w:rPr>
                <w:lang w:val="lt-LT"/>
              </w:rPr>
              <w:t xml:space="preserve"> </w:t>
            </w:r>
            <w:r w:rsidRPr="009E0143">
              <w:rPr>
                <w:noProof w:val="0"/>
                <w:sz w:val="22"/>
                <w:szCs w:val="22"/>
                <w:lang w:val="lt-LT"/>
              </w:rPr>
              <w:t>toksinė epidermio nekrolizė</w:t>
            </w:r>
            <w:r w:rsidR="004C5AAA" w:rsidRPr="009E0143">
              <w:rPr>
                <w:noProof w:val="0"/>
                <w:sz w:val="22"/>
                <w:szCs w:val="22"/>
                <w:lang w:val="lt-LT"/>
              </w:rPr>
              <w:t xml:space="preserve"> (TEN),</w:t>
            </w:r>
            <w:r w:rsidR="004C5AAA" w:rsidRPr="009E0143">
              <w:rPr>
                <w:bCs/>
                <w:noProof w:val="0"/>
                <w:sz w:val="22"/>
                <w:szCs w:val="22"/>
                <w:lang w:val="lt-LT"/>
              </w:rPr>
              <w:t xml:space="preserve"> </w:t>
            </w:r>
            <w:r w:rsidRPr="009E0143">
              <w:rPr>
                <w:noProof w:val="0"/>
                <w:sz w:val="22"/>
                <w:szCs w:val="22"/>
                <w:lang w:val="lt-LT"/>
              </w:rPr>
              <w:t xml:space="preserve">Stivenso-Džonsono (angl. </w:t>
            </w:r>
            <w:r w:rsidRPr="009E0143">
              <w:rPr>
                <w:i/>
                <w:iCs/>
                <w:noProof w:val="0"/>
                <w:sz w:val="22"/>
                <w:szCs w:val="22"/>
                <w:lang w:val="lt-LT"/>
              </w:rPr>
              <w:t>Stevens-Johnson</w:t>
            </w:r>
            <w:r w:rsidRPr="009E0143">
              <w:rPr>
                <w:noProof w:val="0"/>
                <w:sz w:val="22"/>
                <w:szCs w:val="22"/>
                <w:lang w:val="lt-LT"/>
              </w:rPr>
              <w:t>, SJS) sindromas</w:t>
            </w:r>
            <w:r w:rsidR="004C5AAA" w:rsidRPr="009E0143">
              <w:rPr>
                <w:noProof w:val="0"/>
                <w:sz w:val="22"/>
                <w:szCs w:val="22"/>
                <w:lang w:val="lt-LT"/>
              </w:rPr>
              <w:t xml:space="preserve">, </w:t>
            </w:r>
            <w:r w:rsidR="00CB3AD2" w:rsidRPr="009E0143">
              <w:rPr>
                <w:noProof w:val="0"/>
                <w:sz w:val="22"/>
                <w:szCs w:val="22"/>
                <w:lang w:val="lt-LT"/>
              </w:rPr>
              <w:t>ūminė generalizuota egzanteminė pustuliozė</w:t>
            </w:r>
            <w:r w:rsidRPr="009E0143">
              <w:rPr>
                <w:noProof w:val="0"/>
                <w:sz w:val="22"/>
                <w:szCs w:val="22"/>
                <w:lang w:val="lt-LT"/>
              </w:rPr>
              <w:t>, atvejai</w:t>
            </w:r>
          </w:p>
        </w:tc>
      </w:tr>
    </w:tbl>
    <w:p w14:paraId="3034C295" w14:textId="77777777" w:rsidR="00657A6B" w:rsidRPr="009E0143" w:rsidRDefault="00657A6B" w:rsidP="00F56562">
      <w:pPr>
        <w:pStyle w:val="Pagrindinistekstas"/>
        <w:jc w:val="both"/>
        <w:rPr>
          <w:sz w:val="22"/>
          <w:szCs w:val="22"/>
          <w:lang w:val="lt-LT"/>
        </w:rPr>
      </w:pPr>
      <w:r w:rsidRPr="009E0143">
        <w:rPr>
          <w:sz w:val="22"/>
          <w:szCs w:val="22"/>
          <w:lang w:val="lt-LT"/>
        </w:rPr>
        <w:t>*</w:t>
      </w:r>
      <w:r w:rsidRPr="009E0143">
        <w:rPr>
          <w:sz w:val="22"/>
          <w:szCs w:val="22"/>
          <w:lang w:val="lt-LT"/>
        </w:rPr>
        <w:tab/>
      </w:r>
      <w:r w:rsidR="00CB3AD2" w:rsidRPr="009E0143">
        <w:rPr>
          <w:sz w:val="22"/>
          <w:szCs w:val="22"/>
          <w:lang w:val="lt-LT"/>
        </w:rPr>
        <w:t>Pacientams, jautriems acetilsalicilo rūgščiai arba kitiems NVNU.</w:t>
      </w:r>
    </w:p>
    <w:p w14:paraId="570F1B73" w14:textId="77777777" w:rsidR="009E0143" w:rsidRPr="009E0143" w:rsidRDefault="009E0143" w:rsidP="009E0143">
      <w:pPr>
        <w:jc w:val="both"/>
        <w:rPr>
          <w:noProof w:val="0"/>
          <w:sz w:val="22"/>
          <w:szCs w:val="22"/>
          <w:lang w:val="lt-LT"/>
        </w:rPr>
      </w:pPr>
    </w:p>
    <w:p w14:paraId="799CDC99" w14:textId="77777777" w:rsidR="009E0143" w:rsidRPr="001E2631" w:rsidRDefault="009E0143" w:rsidP="009E0143">
      <w:pPr>
        <w:jc w:val="both"/>
        <w:rPr>
          <w:noProof w:val="0"/>
          <w:sz w:val="22"/>
          <w:szCs w:val="22"/>
          <w:u w:val="single"/>
          <w:lang w:val="lt-LT"/>
        </w:rPr>
      </w:pPr>
      <w:r w:rsidRPr="001E2631">
        <w:rPr>
          <w:noProof w:val="0"/>
          <w:sz w:val="22"/>
          <w:szCs w:val="22"/>
          <w:u w:val="single"/>
          <w:lang w:val="lt-LT"/>
        </w:rPr>
        <w:t>Atrinktų nepageidaujamų reakcijų apibūdinimas</w:t>
      </w:r>
    </w:p>
    <w:p w14:paraId="11C7C0E9" w14:textId="77777777" w:rsidR="009E0143" w:rsidRPr="009E0143" w:rsidRDefault="009E0143" w:rsidP="009E0143">
      <w:pPr>
        <w:jc w:val="both"/>
        <w:rPr>
          <w:noProof w:val="0"/>
          <w:sz w:val="22"/>
          <w:szCs w:val="22"/>
          <w:lang w:val="lt-LT"/>
        </w:rPr>
      </w:pPr>
    </w:p>
    <w:p w14:paraId="374070B4" w14:textId="77777777" w:rsidR="009E0143" w:rsidRPr="001E2631" w:rsidRDefault="009E0143" w:rsidP="009E0143">
      <w:pPr>
        <w:jc w:val="both"/>
        <w:rPr>
          <w:i/>
          <w:iCs/>
          <w:noProof w:val="0"/>
          <w:sz w:val="22"/>
          <w:szCs w:val="22"/>
          <w:lang w:val="lt-LT"/>
        </w:rPr>
      </w:pPr>
      <w:r w:rsidRPr="001E2631">
        <w:rPr>
          <w:i/>
          <w:iCs/>
          <w:noProof w:val="0"/>
          <w:sz w:val="22"/>
          <w:szCs w:val="22"/>
          <w:lang w:val="lt-LT"/>
        </w:rPr>
        <w:t>Padidėjęs anijoninis tarpas esant metabolinei acidozei</w:t>
      </w:r>
    </w:p>
    <w:p w14:paraId="288A74AB" w14:textId="3E307CDC" w:rsidR="009E0143" w:rsidRDefault="009E0143" w:rsidP="009E0143">
      <w:pPr>
        <w:jc w:val="both"/>
        <w:rPr>
          <w:noProof w:val="0"/>
          <w:sz w:val="22"/>
          <w:szCs w:val="22"/>
          <w:lang w:val="lt-LT"/>
        </w:rPr>
      </w:pPr>
      <w:r w:rsidRPr="009E0143">
        <w:rPr>
          <w:noProof w:val="0"/>
          <w:sz w:val="22"/>
          <w:szCs w:val="22"/>
          <w:lang w:val="lt-LT"/>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341F2C78" w14:textId="77777777" w:rsidR="009E0143" w:rsidRPr="009E0143" w:rsidRDefault="009E0143" w:rsidP="009E0143">
      <w:pPr>
        <w:jc w:val="both"/>
        <w:rPr>
          <w:noProof w:val="0"/>
          <w:sz w:val="22"/>
          <w:szCs w:val="22"/>
          <w:lang w:val="lt-LT"/>
        </w:rPr>
      </w:pPr>
    </w:p>
    <w:p w14:paraId="37E0C2B3" w14:textId="77777777" w:rsidR="002C11CE" w:rsidRPr="009E0143" w:rsidRDefault="002C11CE" w:rsidP="007F3518">
      <w:pPr>
        <w:tabs>
          <w:tab w:val="left" w:pos="567"/>
        </w:tabs>
        <w:rPr>
          <w:sz w:val="22"/>
          <w:szCs w:val="22"/>
          <w:u w:val="single"/>
          <w:lang w:val="lt-LT"/>
        </w:rPr>
      </w:pPr>
      <w:r w:rsidRPr="009E0143">
        <w:rPr>
          <w:sz w:val="22"/>
          <w:szCs w:val="22"/>
          <w:u w:val="single"/>
          <w:lang w:val="lt-LT"/>
        </w:rPr>
        <w:t>Pranešimas apie įtariamas nepageidaujamas reakcijas</w:t>
      </w:r>
    </w:p>
    <w:p w14:paraId="449A2E5C" w14:textId="3ADC7BFA" w:rsidR="002C11CE" w:rsidRPr="009E0143" w:rsidRDefault="002C11CE" w:rsidP="007F3518">
      <w:pPr>
        <w:tabs>
          <w:tab w:val="left" w:pos="567"/>
        </w:tabs>
        <w:rPr>
          <w:snapToGrid w:val="0"/>
          <w:sz w:val="22"/>
          <w:szCs w:val="22"/>
          <w:lang w:val="lt-LT"/>
        </w:rPr>
      </w:pPr>
      <w:r w:rsidRPr="009E0143">
        <w:rPr>
          <w:sz w:val="22"/>
          <w:szCs w:val="22"/>
          <w:lang w:val="lt-LT"/>
        </w:rPr>
        <w:t xml:space="preserve">Svarbu pranešti apie įtariamas nepageidaujamas reakcijas, pastebėtas po vaistinio preparato registracijos, nes tai leidžia nuolat stebėti vaistinio preparato naudos ir rizikos santykį. </w:t>
      </w:r>
      <w:bookmarkStart w:id="3" w:name="_Hlk174387194"/>
      <w:r w:rsidR="009E0143" w:rsidRPr="009E0143">
        <w:rPr>
          <w:rFonts w:eastAsia="Times New Roman"/>
          <w:noProof w:val="0"/>
          <w:sz w:val="22"/>
          <w:szCs w:val="22"/>
          <w:lang w:val="lt-LT" w:eastAsia="en-US"/>
        </w:rPr>
        <w:t xml:space="preserve">Sveikatos priežiūros ar farmacijos specialistai turi pranešti apie bet kokias įtariamas nepageidaujamas reakcijas, </w:t>
      </w:r>
      <w:r w:rsidR="009E0143" w:rsidRPr="009E0143">
        <w:rPr>
          <w:rFonts w:eastAsia="Times New Roman"/>
          <w:noProof w:val="0"/>
          <w:color w:val="000000"/>
          <w:sz w:val="22"/>
          <w:szCs w:val="22"/>
          <w:lang w:val="lt-LT" w:eastAsia="en-US"/>
        </w:rPr>
        <w:t xml:space="preserve">užpildę ir pateikę pranešimo formą Valstybinės vaistų kontrolės tarnybos prie Lietuvos Respublikos sveikatos apsaugos ministerijos tinklalapyje </w:t>
      </w:r>
      <w:r w:rsidR="009E0143" w:rsidRPr="009E0143">
        <w:rPr>
          <w:rFonts w:eastAsia="Times New Roman"/>
          <w:noProof w:val="0"/>
          <w:color w:val="0000EE"/>
          <w:sz w:val="22"/>
          <w:szCs w:val="22"/>
          <w:u w:val="single"/>
          <w:lang w:val="lt-LT" w:eastAsia="en-US"/>
        </w:rPr>
        <w:t>https://vvkt.lrv.lt/lt/</w:t>
      </w:r>
      <w:r w:rsidR="009E0143" w:rsidRPr="009E0143">
        <w:rPr>
          <w:rFonts w:eastAsia="Times New Roman"/>
          <w:noProof w:val="0"/>
          <w:color w:val="000000"/>
          <w:sz w:val="22"/>
          <w:szCs w:val="22"/>
          <w:lang w:val="lt-LT" w:eastAsia="en-US"/>
        </w:rPr>
        <w:t xml:space="preserve"> nurodytais būdais.</w:t>
      </w:r>
      <w:bookmarkEnd w:id="3"/>
    </w:p>
    <w:p w14:paraId="69F15763" w14:textId="77777777" w:rsidR="003860D5" w:rsidRPr="009E0143" w:rsidRDefault="003860D5" w:rsidP="00F56562">
      <w:pPr>
        <w:jc w:val="both"/>
        <w:rPr>
          <w:noProof w:val="0"/>
          <w:sz w:val="22"/>
          <w:szCs w:val="22"/>
          <w:lang w:val="lt-LT"/>
        </w:rPr>
      </w:pPr>
    </w:p>
    <w:p w14:paraId="6AB2543E" w14:textId="77777777" w:rsidR="002E66CB" w:rsidRPr="009E0143" w:rsidRDefault="002E66CB" w:rsidP="00F56562">
      <w:pPr>
        <w:keepNext/>
        <w:tabs>
          <w:tab w:val="left" w:pos="567"/>
        </w:tabs>
        <w:jc w:val="both"/>
        <w:outlineLvl w:val="3"/>
        <w:rPr>
          <w:sz w:val="22"/>
          <w:szCs w:val="22"/>
          <w:lang w:val="lt-LT"/>
        </w:rPr>
      </w:pPr>
      <w:r w:rsidRPr="009E0143">
        <w:rPr>
          <w:b/>
          <w:sz w:val="22"/>
          <w:szCs w:val="22"/>
          <w:lang w:val="lt-LT"/>
        </w:rPr>
        <w:t>4.9</w:t>
      </w:r>
      <w:r w:rsidRPr="009E0143">
        <w:rPr>
          <w:b/>
          <w:sz w:val="22"/>
          <w:szCs w:val="22"/>
          <w:lang w:val="lt-LT"/>
        </w:rPr>
        <w:tab/>
        <w:t>Perdozavimas</w:t>
      </w:r>
    </w:p>
    <w:p w14:paraId="5656C236" w14:textId="77777777" w:rsidR="00B91366" w:rsidRPr="009E0143" w:rsidRDefault="00B91366" w:rsidP="00F56562">
      <w:pPr>
        <w:jc w:val="both"/>
        <w:rPr>
          <w:noProof w:val="0"/>
          <w:sz w:val="22"/>
          <w:szCs w:val="22"/>
          <w:lang w:val="lt-LT"/>
        </w:rPr>
      </w:pPr>
    </w:p>
    <w:p w14:paraId="59657CD7" w14:textId="77777777" w:rsidR="000D47D1" w:rsidRPr="009E0143" w:rsidRDefault="000D47D1" w:rsidP="007F3518">
      <w:pPr>
        <w:rPr>
          <w:noProof w:val="0"/>
          <w:sz w:val="22"/>
          <w:szCs w:val="22"/>
          <w:lang w:val="lt-LT"/>
        </w:rPr>
      </w:pPr>
      <w:r w:rsidRPr="009E0143">
        <w:rPr>
          <w:noProof w:val="0"/>
          <w:sz w:val="22"/>
          <w:szCs w:val="22"/>
          <w:lang w:val="lt-LT"/>
        </w:rPr>
        <w:t>Perdozavus paracetamolio, būtina nedelsiant kreiptis į medikus, net jei perdozavimo simptomų nėra.</w:t>
      </w:r>
    </w:p>
    <w:p w14:paraId="25731B2D" w14:textId="77777777" w:rsidR="000D47D1" w:rsidRPr="009E0143" w:rsidRDefault="000D47D1" w:rsidP="007F3518">
      <w:pPr>
        <w:rPr>
          <w:noProof w:val="0"/>
          <w:sz w:val="22"/>
          <w:szCs w:val="22"/>
          <w:lang w:val="lt-LT"/>
        </w:rPr>
      </w:pPr>
    </w:p>
    <w:p w14:paraId="4BE6435F" w14:textId="77777777" w:rsidR="000D47D1" w:rsidRPr="009E0143" w:rsidRDefault="000D47D1" w:rsidP="007F3518">
      <w:pPr>
        <w:rPr>
          <w:noProof w:val="0"/>
          <w:sz w:val="22"/>
          <w:szCs w:val="22"/>
          <w:u w:val="single"/>
          <w:lang w:val="lt-LT"/>
        </w:rPr>
      </w:pPr>
      <w:r w:rsidRPr="009E0143">
        <w:rPr>
          <w:noProof w:val="0"/>
          <w:sz w:val="22"/>
          <w:szCs w:val="22"/>
          <w:u w:val="single"/>
          <w:lang w:val="lt-LT"/>
        </w:rPr>
        <w:t>Simptomai</w:t>
      </w:r>
    </w:p>
    <w:p w14:paraId="5BB36BED" w14:textId="77777777" w:rsidR="000D47D1" w:rsidRPr="009E0143" w:rsidRDefault="000D47D1" w:rsidP="007F3518">
      <w:pPr>
        <w:rPr>
          <w:noProof w:val="0"/>
          <w:sz w:val="22"/>
          <w:szCs w:val="22"/>
          <w:lang w:val="lt-LT"/>
        </w:rPr>
      </w:pPr>
      <w:r w:rsidRPr="009E0143">
        <w:rPr>
          <w:noProof w:val="0"/>
          <w:sz w:val="22"/>
          <w:szCs w:val="22"/>
          <w:lang w:val="lt-LT"/>
        </w:rPr>
        <w:t>Perdozavus net santykinai mažas paracetamolio dozes, gali pasireikšti sunkus kepenų pažeidimas ir kartais ūminė inkstų kanalėlių nekrozė.</w:t>
      </w:r>
    </w:p>
    <w:p w14:paraId="0D4049D4" w14:textId="77777777" w:rsidR="000D47D1" w:rsidRPr="009E0143" w:rsidRDefault="000D47D1" w:rsidP="007F3518">
      <w:pPr>
        <w:rPr>
          <w:rFonts w:eastAsia="Calibri"/>
          <w:noProof w:val="0"/>
          <w:sz w:val="22"/>
          <w:szCs w:val="22"/>
          <w:lang w:val="lt-LT" w:eastAsia="en-US"/>
        </w:rPr>
      </w:pPr>
      <w:r w:rsidRPr="009E0143">
        <w:rPr>
          <w:noProof w:val="0"/>
          <w:sz w:val="22"/>
          <w:szCs w:val="22"/>
          <w:lang w:val="lt-LT"/>
        </w:rPr>
        <w:t>Pykinimas, vėmimas, letargija, anoreksija, blyškumas ir prakaitavimas gali pasireikšti per 24</w:t>
      </w:r>
      <w:r w:rsidR="00C555B2" w:rsidRPr="009E0143">
        <w:rPr>
          <w:noProof w:val="0"/>
          <w:sz w:val="22"/>
          <w:szCs w:val="22"/>
          <w:lang w:val="lt-LT"/>
        </w:rPr>
        <w:t xml:space="preserve"> </w:t>
      </w:r>
      <w:r w:rsidRPr="009E0143">
        <w:rPr>
          <w:noProof w:val="0"/>
          <w:sz w:val="22"/>
          <w:szCs w:val="22"/>
          <w:lang w:val="lt-LT"/>
        </w:rPr>
        <w:t>valandas arba</w:t>
      </w:r>
      <w:r w:rsidR="00C555B2" w:rsidRPr="009E0143">
        <w:rPr>
          <w:noProof w:val="0"/>
          <w:sz w:val="22"/>
          <w:szCs w:val="22"/>
          <w:lang w:val="lt-LT"/>
        </w:rPr>
        <w:t xml:space="preserve"> simptomų </w:t>
      </w:r>
      <w:r w:rsidRPr="009E0143">
        <w:rPr>
          <w:noProof w:val="0"/>
          <w:sz w:val="22"/>
          <w:szCs w:val="22"/>
          <w:lang w:val="lt-LT"/>
        </w:rPr>
        <w:t>gali</w:t>
      </w:r>
      <w:r w:rsidR="00C555B2" w:rsidRPr="009E0143">
        <w:rPr>
          <w:noProof w:val="0"/>
          <w:sz w:val="22"/>
          <w:szCs w:val="22"/>
          <w:lang w:val="lt-LT"/>
        </w:rPr>
        <w:t xml:space="preserve"> nebūti</w:t>
      </w:r>
      <w:r w:rsidRPr="009E0143">
        <w:rPr>
          <w:noProof w:val="0"/>
          <w:sz w:val="22"/>
          <w:szCs w:val="22"/>
          <w:lang w:val="lt-LT"/>
        </w:rPr>
        <w:t>. Pilvo skausmas gali būti pirmasis kepenų pažeidimo simptomas, jis pasireiškia per 1</w:t>
      </w:r>
      <w:r w:rsidR="00CB333C" w:rsidRPr="009E0143">
        <w:rPr>
          <w:noProof w:val="0"/>
          <w:sz w:val="22"/>
          <w:szCs w:val="22"/>
          <w:lang w:val="lt-LT"/>
        </w:rPr>
        <w:t>–</w:t>
      </w:r>
      <w:r w:rsidRPr="009E0143">
        <w:rPr>
          <w:noProof w:val="0"/>
          <w:sz w:val="22"/>
          <w:szCs w:val="22"/>
          <w:lang w:val="lt-LT"/>
        </w:rPr>
        <w:t>2</w:t>
      </w:r>
      <w:r w:rsidR="00C555B2" w:rsidRPr="009E0143">
        <w:rPr>
          <w:noProof w:val="0"/>
          <w:sz w:val="22"/>
          <w:szCs w:val="22"/>
          <w:lang w:val="lt-LT"/>
        </w:rPr>
        <w:t xml:space="preserve"> </w:t>
      </w:r>
      <w:r w:rsidRPr="009E0143">
        <w:rPr>
          <w:noProof w:val="0"/>
          <w:sz w:val="22"/>
          <w:szCs w:val="22"/>
          <w:lang w:val="lt-LT"/>
        </w:rPr>
        <w:t>dienas. Paracetamolio perdozavimas gali sukelti kepenų ląstelių nekrozę: gali pasireikšti visiška ir negrįžtama nekrozė, dėl kurios gali išsivystyti kepenų ląstelių nepakankamumas, metabolinė acidozė ir encefalopatija, tokie sutrikimai gali sukelti komą ir mirtį. Tuo pat metu padidėja kepenų transaminazių (AST, ALT) ir laktatdehidrogenazės aktyvumas bei bilirubino kiekis ir pailgėja protrombino laikas (toks poveikis gali pasireikšti praėjus 12</w:t>
      </w:r>
      <w:r w:rsidR="007F555B" w:rsidRPr="009E0143">
        <w:rPr>
          <w:noProof w:val="0"/>
          <w:sz w:val="22"/>
          <w:szCs w:val="22"/>
          <w:lang w:val="lt-LT"/>
        </w:rPr>
        <w:noBreakHyphen/>
      </w:r>
      <w:r w:rsidRPr="009E0143">
        <w:rPr>
          <w:noProof w:val="0"/>
          <w:sz w:val="22"/>
          <w:szCs w:val="22"/>
          <w:lang w:val="lt-LT"/>
        </w:rPr>
        <w:t>48</w:t>
      </w:r>
      <w:r w:rsidR="00793A26" w:rsidRPr="009E0143">
        <w:rPr>
          <w:noProof w:val="0"/>
          <w:sz w:val="22"/>
          <w:szCs w:val="22"/>
          <w:lang w:val="lt-LT"/>
        </w:rPr>
        <w:t xml:space="preserve"> </w:t>
      </w:r>
      <w:r w:rsidRPr="009E0143">
        <w:rPr>
          <w:noProof w:val="0"/>
          <w:sz w:val="22"/>
          <w:szCs w:val="22"/>
          <w:lang w:val="lt-LT"/>
        </w:rPr>
        <w:t>valandoms po pavartojimo). Protrombino laiko pailgėjimas yra vienas iš kepenų funkcijos sutrikimo požymių, todėl rekomenduojama jį stebėti. Kepenų nepakankamumo komplikacijos yra smegenų edema, kraujavimas, hipoglikemija, hipotenzija, infekcijos ir inkstų nepakankamumas.</w:t>
      </w:r>
    </w:p>
    <w:p w14:paraId="765CFE9D" w14:textId="77777777" w:rsidR="000D47D1" w:rsidRPr="009E0143" w:rsidRDefault="000D47D1" w:rsidP="007F3518">
      <w:pPr>
        <w:rPr>
          <w:rFonts w:eastAsia="Calibri"/>
          <w:noProof w:val="0"/>
          <w:sz w:val="22"/>
          <w:szCs w:val="22"/>
          <w:lang w:val="lt-LT" w:eastAsia="en-US"/>
        </w:rPr>
      </w:pPr>
      <w:r w:rsidRPr="009E0143">
        <w:rPr>
          <w:rFonts w:eastAsia="Calibri"/>
          <w:noProof w:val="0"/>
          <w:sz w:val="22"/>
          <w:szCs w:val="22"/>
          <w:lang w:val="lt-LT" w:eastAsia="en-US"/>
        </w:rPr>
        <w:lastRenderedPageBreak/>
        <w:t>Kepenų pažeidimas yra tikėtinas pacientams, kurie išgėrė didesnę nei rekomenduojama paracetamolio dozę. Manoma, kad toksinio metabolito perteklius negrįžtamai prisijungia prie kepenų audinio. Kai kuriems pacientams toksinio paracetamolio poveikio sukelto kepenų pažeidimo rizika gali būti didesnė. Rizikos grupei priklauso:</w:t>
      </w:r>
    </w:p>
    <w:p w14:paraId="68A0BA81" w14:textId="77777777" w:rsidR="000D47D1" w:rsidRPr="009E0143" w:rsidRDefault="008F125A" w:rsidP="007F3518">
      <w:pPr>
        <w:numPr>
          <w:ilvl w:val="0"/>
          <w:numId w:val="3"/>
        </w:numPr>
        <w:ind w:left="567" w:hanging="567"/>
        <w:rPr>
          <w:noProof w:val="0"/>
          <w:sz w:val="22"/>
          <w:szCs w:val="22"/>
          <w:lang w:val="lt-LT"/>
        </w:rPr>
      </w:pPr>
      <w:r w:rsidRPr="009E0143">
        <w:rPr>
          <w:noProof w:val="0"/>
          <w:sz w:val="22"/>
          <w:szCs w:val="22"/>
          <w:lang w:val="lt-LT"/>
        </w:rPr>
        <w:t>p</w:t>
      </w:r>
      <w:r w:rsidR="000D47D1" w:rsidRPr="009E0143">
        <w:rPr>
          <w:noProof w:val="0"/>
          <w:sz w:val="22"/>
          <w:szCs w:val="22"/>
          <w:lang w:val="lt-LT"/>
        </w:rPr>
        <w:t>acientai, sergantys kepenų liga</w:t>
      </w:r>
      <w:r w:rsidRPr="009E0143">
        <w:rPr>
          <w:noProof w:val="0"/>
          <w:sz w:val="22"/>
          <w:szCs w:val="22"/>
          <w:lang w:val="lt-LT"/>
        </w:rPr>
        <w:t>;</w:t>
      </w:r>
    </w:p>
    <w:p w14:paraId="791FCF3C" w14:textId="77777777" w:rsidR="000D47D1" w:rsidRPr="009E0143" w:rsidRDefault="008F125A" w:rsidP="007F3518">
      <w:pPr>
        <w:numPr>
          <w:ilvl w:val="0"/>
          <w:numId w:val="3"/>
        </w:numPr>
        <w:ind w:left="567" w:hanging="567"/>
        <w:rPr>
          <w:noProof w:val="0"/>
          <w:sz w:val="22"/>
          <w:szCs w:val="22"/>
          <w:lang w:val="lt-LT"/>
        </w:rPr>
      </w:pPr>
      <w:r w:rsidRPr="009E0143">
        <w:rPr>
          <w:noProof w:val="0"/>
          <w:sz w:val="22"/>
          <w:szCs w:val="22"/>
          <w:lang w:val="lt-LT"/>
        </w:rPr>
        <w:t>se</w:t>
      </w:r>
      <w:r w:rsidR="000D47D1" w:rsidRPr="009E0143">
        <w:rPr>
          <w:noProof w:val="0"/>
          <w:sz w:val="22"/>
          <w:szCs w:val="22"/>
          <w:lang w:val="lt-LT"/>
        </w:rPr>
        <w:t>nyvi pacientai</w:t>
      </w:r>
      <w:r w:rsidRPr="009E0143">
        <w:rPr>
          <w:noProof w:val="0"/>
          <w:sz w:val="22"/>
          <w:szCs w:val="22"/>
          <w:lang w:val="lt-LT"/>
        </w:rPr>
        <w:t>;</w:t>
      </w:r>
    </w:p>
    <w:p w14:paraId="545E31F9" w14:textId="77777777" w:rsidR="000D47D1" w:rsidRPr="009E0143" w:rsidRDefault="00EF2FB8" w:rsidP="007F3518">
      <w:pPr>
        <w:numPr>
          <w:ilvl w:val="0"/>
          <w:numId w:val="3"/>
        </w:numPr>
        <w:ind w:left="567" w:hanging="567"/>
        <w:rPr>
          <w:noProof w:val="0"/>
          <w:sz w:val="22"/>
          <w:szCs w:val="22"/>
          <w:lang w:val="lt-LT"/>
        </w:rPr>
      </w:pPr>
      <w:r w:rsidRPr="009E0143">
        <w:rPr>
          <w:noProof w:val="0"/>
          <w:sz w:val="22"/>
          <w:szCs w:val="22"/>
          <w:lang w:val="lt-LT"/>
        </w:rPr>
        <w:t>m</w:t>
      </w:r>
      <w:r w:rsidR="000D47D1" w:rsidRPr="009E0143">
        <w:rPr>
          <w:noProof w:val="0"/>
          <w:sz w:val="22"/>
          <w:szCs w:val="22"/>
          <w:lang w:val="lt-LT"/>
        </w:rPr>
        <w:t>aži vaikai</w:t>
      </w:r>
      <w:r w:rsidRPr="009E0143">
        <w:rPr>
          <w:noProof w:val="0"/>
          <w:sz w:val="22"/>
          <w:szCs w:val="22"/>
          <w:lang w:val="lt-LT"/>
        </w:rPr>
        <w:t>;</w:t>
      </w:r>
    </w:p>
    <w:p w14:paraId="3CAFFCFE" w14:textId="77777777" w:rsidR="000D47D1" w:rsidRPr="009E0143" w:rsidRDefault="00EF2FB8" w:rsidP="007F3518">
      <w:pPr>
        <w:numPr>
          <w:ilvl w:val="0"/>
          <w:numId w:val="3"/>
        </w:numPr>
        <w:ind w:left="567" w:hanging="567"/>
        <w:rPr>
          <w:noProof w:val="0"/>
          <w:sz w:val="22"/>
          <w:szCs w:val="22"/>
          <w:lang w:val="lt-LT"/>
        </w:rPr>
      </w:pPr>
      <w:r w:rsidRPr="009E0143">
        <w:rPr>
          <w:noProof w:val="0"/>
          <w:sz w:val="22"/>
          <w:szCs w:val="22"/>
          <w:lang w:val="lt-LT"/>
        </w:rPr>
        <w:t>p</w:t>
      </w:r>
      <w:r w:rsidR="000D47D1" w:rsidRPr="009E0143">
        <w:rPr>
          <w:noProof w:val="0"/>
          <w:sz w:val="22"/>
          <w:szCs w:val="22"/>
          <w:lang w:val="lt-LT"/>
        </w:rPr>
        <w:t>acientai, kurie yra ilgai gydomi karbamazepinu, fenobarbitonu, fenitoinu, primidonu, rifampicinu, jonažolių preparatais ar kitais kepenų fermentus indukuojančiais vaistiniais preparatais</w:t>
      </w:r>
      <w:r w:rsidRPr="009E0143">
        <w:rPr>
          <w:noProof w:val="0"/>
          <w:sz w:val="22"/>
          <w:szCs w:val="22"/>
          <w:lang w:val="lt-LT"/>
        </w:rPr>
        <w:t>;</w:t>
      </w:r>
    </w:p>
    <w:p w14:paraId="46896674" w14:textId="77777777" w:rsidR="000D47D1" w:rsidRPr="009E0143" w:rsidRDefault="00EF2FB8" w:rsidP="007F3518">
      <w:pPr>
        <w:numPr>
          <w:ilvl w:val="0"/>
          <w:numId w:val="3"/>
        </w:numPr>
        <w:ind w:left="567" w:hanging="567"/>
        <w:rPr>
          <w:noProof w:val="0"/>
          <w:sz w:val="22"/>
          <w:szCs w:val="22"/>
          <w:lang w:val="lt-LT"/>
        </w:rPr>
      </w:pPr>
      <w:r w:rsidRPr="009E0143">
        <w:rPr>
          <w:noProof w:val="0"/>
          <w:sz w:val="22"/>
          <w:szCs w:val="22"/>
          <w:lang w:val="lt-LT"/>
        </w:rPr>
        <w:t>p</w:t>
      </w:r>
      <w:r w:rsidR="000D47D1" w:rsidRPr="009E0143">
        <w:rPr>
          <w:noProof w:val="0"/>
          <w:sz w:val="22"/>
          <w:szCs w:val="22"/>
          <w:lang w:val="lt-LT"/>
        </w:rPr>
        <w:t>acientai, kurie reguliariai vartoja alkoholį viršijant rekomenduojamą kiekį</w:t>
      </w:r>
      <w:r w:rsidRPr="009E0143">
        <w:rPr>
          <w:noProof w:val="0"/>
          <w:sz w:val="22"/>
          <w:szCs w:val="22"/>
          <w:lang w:val="lt-LT"/>
        </w:rPr>
        <w:t>;</w:t>
      </w:r>
    </w:p>
    <w:p w14:paraId="202C433D" w14:textId="77777777" w:rsidR="000D47D1" w:rsidRPr="009E0143" w:rsidRDefault="00EF2FB8" w:rsidP="007F3518">
      <w:pPr>
        <w:numPr>
          <w:ilvl w:val="0"/>
          <w:numId w:val="3"/>
        </w:numPr>
        <w:ind w:left="567" w:hanging="567"/>
        <w:rPr>
          <w:noProof w:val="0"/>
          <w:sz w:val="22"/>
          <w:szCs w:val="22"/>
          <w:lang w:val="lt-LT"/>
        </w:rPr>
      </w:pPr>
      <w:r w:rsidRPr="009E0143">
        <w:rPr>
          <w:noProof w:val="0"/>
          <w:sz w:val="22"/>
          <w:szCs w:val="22"/>
          <w:lang w:val="lt-LT"/>
        </w:rPr>
        <w:t>p</w:t>
      </w:r>
      <w:r w:rsidR="000D47D1" w:rsidRPr="009E0143">
        <w:rPr>
          <w:noProof w:val="0"/>
          <w:sz w:val="22"/>
          <w:szCs w:val="22"/>
          <w:lang w:val="lt-LT"/>
        </w:rPr>
        <w:t>acientai, kurių organizme yra glutationo stoka (pvz., dėl valgymo sutrikimo, cistinės fibrozės, ŽIV infekcijos, badavimo, kacheksijos).</w:t>
      </w:r>
    </w:p>
    <w:p w14:paraId="5D1C3F7E" w14:textId="77777777" w:rsidR="000D47D1" w:rsidRPr="009E0143" w:rsidRDefault="000D47D1" w:rsidP="007F3518">
      <w:pPr>
        <w:rPr>
          <w:noProof w:val="0"/>
          <w:sz w:val="22"/>
          <w:szCs w:val="22"/>
          <w:lang w:val="lt-LT"/>
        </w:rPr>
      </w:pPr>
      <w:r w:rsidRPr="009E0143">
        <w:rPr>
          <w:noProof w:val="0"/>
          <w:sz w:val="22"/>
          <w:szCs w:val="22"/>
          <w:lang w:val="lt-LT"/>
        </w:rPr>
        <w:t>Ūminis inkstų nepakankamumas gali pasireikšti be sunkaus kepenų funkcijos sutrikimo. Kitos intoksikacijos apraiškos yra miokardo pažeidimas, širdies aritmija ir pankreatitas.</w:t>
      </w:r>
    </w:p>
    <w:p w14:paraId="1FBCB7CA" w14:textId="77777777" w:rsidR="000D47D1" w:rsidRPr="009E0143" w:rsidRDefault="000D47D1" w:rsidP="007F3518">
      <w:pPr>
        <w:rPr>
          <w:noProof w:val="0"/>
          <w:sz w:val="22"/>
          <w:szCs w:val="22"/>
          <w:lang w:val="lt-LT"/>
        </w:rPr>
      </w:pPr>
    </w:p>
    <w:p w14:paraId="25E39341" w14:textId="77777777" w:rsidR="000D47D1" w:rsidRPr="009E0143" w:rsidRDefault="000D47D1" w:rsidP="007F3518">
      <w:pPr>
        <w:rPr>
          <w:noProof w:val="0"/>
          <w:sz w:val="22"/>
          <w:szCs w:val="22"/>
          <w:u w:val="single"/>
          <w:lang w:val="lt-LT"/>
        </w:rPr>
      </w:pPr>
      <w:r w:rsidRPr="009E0143">
        <w:rPr>
          <w:noProof w:val="0"/>
          <w:sz w:val="22"/>
          <w:szCs w:val="22"/>
          <w:u w:val="single"/>
          <w:lang w:val="lt-LT"/>
        </w:rPr>
        <w:t>Gydymas</w:t>
      </w:r>
    </w:p>
    <w:p w14:paraId="2694FA68" w14:textId="77777777" w:rsidR="000D47D1" w:rsidRPr="009E0143" w:rsidRDefault="000D47D1" w:rsidP="007F3518">
      <w:pPr>
        <w:rPr>
          <w:noProof w:val="0"/>
          <w:sz w:val="22"/>
          <w:szCs w:val="22"/>
          <w:lang w:val="lt-LT"/>
        </w:rPr>
      </w:pPr>
      <w:r w:rsidRPr="009E0143">
        <w:rPr>
          <w:noProof w:val="0"/>
          <w:sz w:val="22"/>
          <w:szCs w:val="22"/>
          <w:lang w:val="lt-LT"/>
        </w:rPr>
        <w:t>Pacientą būtina hospitalizuoti. Būtina paimti kraujo mėginius pradinei paracetamolio koncentracijai kraujo plazmoje nustatyti. Jei yra ūminis perdozavimas išgėrus vienkartinę dozę, paracetamolio koncentraciją kraujo plazmoje reikia nustatyti praėjus 4</w:t>
      </w:r>
      <w:r w:rsidR="0088142B" w:rsidRPr="009E0143">
        <w:rPr>
          <w:noProof w:val="0"/>
          <w:sz w:val="22"/>
          <w:szCs w:val="22"/>
          <w:lang w:val="lt-LT"/>
        </w:rPr>
        <w:t xml:space="preserve"> </w:t>
      </w:r>
      <w:r w:rsidRPr="009E0143">
        <w:rPr>
          <w:noProof w:val="0"/>
          <w:sz w:val="22"/>
          <w:szCs w:val="22"/>
          <w:lang w:val="lt-LT"/>
        </w:rPr>
        <w:t>valandoms nuo dozės išgėrimo. Būtina sukelti vėmimą ir plauti skrandį, ypač jei nuo paracetamolio išgėrimo praėjo mažiau kaip 4</w:t>
      </w:r>
      <w:r w:rsidR="0088142B" w:rsidRPr="009E0143">
        <w:rPr>
          <w:noProof w:val="0"/>
          <w:sz w:val="22"/>
          <w:szCs w:val="22"/>
          <w:lang w:val="lt-LT"/>
        </w:rPr>
        <w:t xml:space="preserve"> </w:t>
      </w:r>
      <w:r w:rsidRPr="009E0143">
        <w:rPr>
          <w:noProof w:val="0"/>
          <w:sz w:val="22"/>
          <w:szCs w:val="22"/>
          <w:lang w:val="lt-LT"/>
        </w:rPr>
        <w:t>valandos, po to reikia skirti metionino (2,5 g per burną) ir taikyti tinkamas palaikomąsias priemones. Duomenys apie aktyvintosios anglies skyrimą absorbcijai iš virškinimo trakto mažinti yra prieštaringi. Būtina kiek įmanoma greičiau (per 8</w:t>
      </w:r>
      <w:r w:rsidR="007F3518" w:rsidRPr="009E0143">
        <w:rPr>
          <w:noProof w:val="0"/>
          <w:sz w:val="22"/>
          <w:szCs w:val="22"/>
          <w:lang w:val="lt-LT"/>
        </w:rPr>
        <w:noBreakHyphen/>
      </w:r>
      <w:r w:rsidRPr="009E0143">
        <w:rPr>
          <w:noProof w:val="0"/>
          <w:sz w:val="22"/>
          <w:szCs w:val="22"/>
          <w:lang w:val="lt-LT"/>
        </w:rPr>
        <w:t>15</w:t>
      </w:r>
      <w:r w:rsidR="0088142B" w:rsidRPr="009E0143">
        <w:rPr>
          <w:noProof w:val="0"/>
          <w:sz w:val="22"/>
          <w:szCs w:val="22"/>
          <w:lang w:val="lt-LT"/>
        </w:rPr>
        <w:t xml:space="preserve"> </w:t>
      </w:r>
      <w:r w:rsidRPr="009E0143">
        <w:rPr>
          <w:noProof w:val="0"/>
          <w:sz w:val="22"/>
          <w:szCs w:val="22"/>
          <w:lang w:val="lt-LT"/>
        </w:rPr>
        <w:t>valandų nuo apsinuodijimo) skirti specifin</w:t>
      </w:r>
      <w:r w:rsidR="007F555B" w:rsidRPr="009E0143">
        <w:rPr>
          <w:noProof w:val="0"/>
          <w:sz w:val="22"/>
          <w:szCs w:val="22"/>
          <w:lang w:val="lt-LT"/>
        </w:rPr>
        <w:t>io</w:t>
      </w:r>
      <w:r w:rsidRPr="009E0143">
        <w:rPr>
          <w:noProof w:val="0"/>
          <w:sz w:val="22"/>
          <w:szCs w:val="22"/>
          <w:lang w:val="lt-LT"/>
        </w:rPr>
        <w:t xml:space="preserve"> antidot</w:t>
      </w:r>
      <w:r w:rsidR="007F555B" w:rsidRPr="009E0143">
        <w:rPr>
          <w:noProof w:val="0"/>
          <w:sz w:val="22"/>
          <w:szCs w:val="22"/>
          <w:lang w:val="lt-LT"/>
        </w:rPr>
        <w:t>o</w:t>
      </w:r>
      <w:r w:rsidRPr="009E0143">
        <w:rPr>
          <w:noProof w:val="0"/>
          <w:sz w:val="22"/>
          <w:szCs w:val="22"/>
          <w:lang w:val="lt-LT"/>
        </w:rPr>
        <w:t xml:space="preserve"> N-acetilcistein</w:t>
      </w:r>
      <w:r w:rsidR="007F555B" w:rsidRPr="009E0143">
        <w:rPr>
          <w:noProof w:val="0"/>
          <w:sz w:val="22"/>
          <w:szCs w:val="22"/>
          <w:lang w:val="lt-LT"/>
        </w:rPr>
        <w:t>o</w:t>
      </w:r>
      <w:r w:rsidRPr="009E0143">
        <w:rPr>
          <w:noProof w:val="0"/>
          <w:sz w:val="22"/>
          <w:szCs w:val="22"/>
          <w:lang w:val="lt-LT"/>
        </w:rPr>
        <w:t>, tačiau palankus poveikis stebėtas ir acetilcistein</w:t>
      </w:r>
      <w:r w:rsidR="007F3518" w:rsidRPr="009E0143">
        <w:rPr>
          <w:noProof w:val="0"/>
          <w:sz w:val="22"/>
          <w:szCs w:val="22"/>
          <w:lang w:val="lt-LT"/>
        </w:rPr>
        <w:t>o</w:t>
      </w:r>
      <w:r w:rsidRPr="009E0143">
        <w:rPr>
          <w:noProof w:val="0"/>
          <w:sz w:val="22"/>
          <w:szCs w:val="22"/>
          <w:lang w:val="lt-LT"/>
        </w:rPr>
        <w:t xml:space="preserve"> paskyrus vėliau. Acetilcistein</w:t>
      </w:r>
      <w:r w:rsidR="007F3518" w:rsidRPr="009E0143">
        <w:rPr>
          <w:noProof w:val="0"/>
          <w:sz w:val="22"/>
          <w:szCs w:val="22"/>
          <w:lang w:val="lt-LT"/>
        </w:rPr>
        <w:t>o</w:t>
      </w:r>
      <w:r w:rsidRPr="009E0143">
        <w:rPr>
          <w:noProof w:val="0"/>
          <w:sz w:val="22"/>
          <w:szCs w:val="22"/>
          <w:lang w:val="lt-LT"/>
        </w:rPr>
        <w:t xml:space="preserve"> būtina skirti remiantis nacionalinėmis gydymo gairėmis; paprastai suaugusiesiems, paaugliams ir vaikams jis vartojamas į veną</w:t>
      </w:r>
      <w:r w:rsidR="0088142B" w:rsidRPr="009E0143">
        <w:rPr>
          <w:noProof w:val="0"/>
          <w:sz w:val="22"/>
          <w:szCs w:val="22"/>
          <w:lang w:val="lt-LT"/>
        </w:rPr>
        <w:t xml:space="preserve"> kartu su</w:t>
      </w:r>
      <w:r w:rsidRPr="009E0143">
        <w:rPr>
          <w:noProof w:val="0"/>
          <w:sz w:val="22"/>
          <w:szCs w:val="22"/>
          <w:lang w:val="lt-LT"/>
        </w:rPr>
        <w:t xml:space="preserve"> 5 % gliukozė</w:t>
      </w:r>
      <w:r w:rsidR="0088142B" w:rsidRPr="009E0143">
        <w:rPr>
          <w:noProof w:val="0"/>
          <w:sz w:val="22"/>
          <w:szCs w:val="22"/>
          <w:lang w:val="lt-LT"/>
        </w:rPr>
        <w:t>s tirpalu</w:t>
      </w:r>
      <w:r w:rsidRPr="009E0143">
        <w:rPr>
          <w:noProof w:val="0"/>
          <w:sz w:val="22"/>
          <w:szCs w:val="22"/>
          <w:lang w:val="lt-LT"/>
        </w:rPr>
        <w:t>, pradinė dozė yra 150 mg/kg kūno svorio, ji suleidžiama per 15</w:t>
      </w:r>
      <w:r w:rsidR="0088142B" w:rsidRPr="009E0143">
        <w:rPr>
          <w:noProof w:val="0"/>
          <w:sz w:val="22"/>
          <w:szCs w:val="22"/>
          <w:lang w:val="lt-LT"/>
        </w:rPr>
        <w:t xml:space="preserve"> </w:t>
      </w:r>
      <w:r w:rsidRPr="009E0143">
        <w:rPr>
          <w:noProof w:val="0"/>
          <w:sz w:val="22"/>
          <w:szCs w:val="22"/>
          <w:lang w:val="lt-LT"/>
        </w:rPr>
        <w:t>minučių. Tada 50 mg/kg dozė 5 % gliukozė</w:t>
      </w:r>
      <w:r w:rsidR="0088142B" w:rsidRPr="009E0143">
        <w:rPr>
          <w:noProof w:val="0"/>
          <w:sz w:val="22"/>
          <w:szCs w:val="22"/>
          <w:lang w:val="lt-LT"/>
        </w:rPr>
        <w:t>s tirpale</w:t>
      </w:r>
      <w:r w:rsidRPr="009E0143">
        <w:rPr>
          <w:noProof w:val="0"/>
          <w:sz w:val="22"/>
          <w:szCs w:val="22"/>
          <w:lang w:val="lt-LT"/>
        </w:rPr>
        <w:t xml:space="preserve"> infuzuojama per 4</w:t>
      </w:r>
      <w:r w:rsidR="0088142B" w:rsidRPr="009E0143">
        <w:rPr>
          <w:noProof w:val="0"/>
          <w:sz w:val="22"/>
          <w:szCs w:val="22"/>
          <w:lang w:val="lt-LT"/>
        </w:rPr>
        <w:t xml:space="preserve"> </w:t>
      </w:r>
      <w:r w:rsidRPr="009E0143">
        <w:rPr>
          <w:noProof w:val="0"/>
          <w:sz w:val="22"/>
          <w:szCs w:val="22"/>
          <w:lang w:val="lt-LT"/>
        </w:rPr>
        <w:t>valandas ir po to skiriama 100 mg/kg dozė, kol nuo gydymo pradžios praeis 16</w:t>
      </w:r>
      <w:r w:rsidR="007F3518" w:rsidRPr="009E0143">
        <w:rPr>
          <w:noProof w:val="0"/>
          <w:sz w:val="22"/>
          <w:szCs w:val="22"/>
          <w:lang w:val="lt-LT"/>
        </w:rPr>
        <w:noBreakHyphen/>
      </w:r>
      <w:r w:rsidR="003F193E" w:rsidRPr="009E0143">
        <w:rPr>
          <w:noProof w:val="0"/>
          <w:sz w:val="22"/>
          <w:szCs w:val="22"/>
          <w:lang w:val="lt-LT"/>
        </w:rPr>
        <w:t>20</w:t>
      </w:r>
      <w:r w:rsidR="0088142B" w:rsidRPr="009E0143">
        <w:rPr>
          <w:noProof w:val="0"/>
          <w:sz w:val="22"/>
          <w:szCs w:val="22"/>
          <w:lang w:val="lt-LT"/>
        </w:rPr>
        <w:t xml:space="preserve"> </w:t>
      </w:r>
      <w:r w:rsidRPr="009E0143">
        <w:rPr>
          <w:noProof w:val="0"/>
          <w:sz w:val="22"/>
          <w:szCs w:val="22"/>
          <w:lang w:val="lt-LT"/>
        </w:rPr>
        <w:t>valandų. Acetilcistein</w:t>
      </w:r>
      <w:r w:rsidR="007F3518" w:rsidRPr="009E0143">
        <w:rPr>
          <w:noProof w:val="0"/>
          <w:sz w:val="22"/>
          <w:szCs w:val="22"/>
          <w:lang w:val="lt-LT"/>
        </w:rPr>
        <w:t>o</w:t>
      </w:r>
      <w:r w:rsidRPr="009E0143">
        <w:rPr>
          <w:noProof w:val="0"/>
          <w:sz w:val="22"/>
          <w:szCs w:val="22"/>
          <w:lang w:val="lt-LT"/>
        </w:rPr>
        <w:t xml:space="preserve"> galima vartoti per burną (70</w:t>
      </w:r>
      <w:r w:rsidR="007F3518" w:rsidRPr="009E0143">
        <w:rPr>
          <w:noProof w:val="0"/>
          <w:sz w:val="22"/>
          <w:szCs w:val="22"/>
          <w:lang w:val="lt-LT"/>
        </w:rPr>
        <w:noBreakHyphen/>
      </w:r>
      <w:r w:rsidRPr="009E0143">
        <w:rPr>
          <w:noProof w:val="0"/>
          <w:sz w:val="22"/>
          <w:szCs w:val="22"/>
          <w:lang w:val="lt-LT"/>
        </w:rPr>
        <w:t>140 mg/kg 3</w:t>
      </w:r>
      <w:r w:rsidR="0088142B" w:rsidRPr="009E0143">
        <w:rPr>
          <w:noProof w:val="0"/>
          <w:sz w:val="22"/>
          <w:szCs w:val="22"/>
          <w:lang w:val="lt-LT"/>
        </w:rPr>
        <w:t xml:space="preserve"> </w:t>
      </w:r>
      <w:r w:rsidRPr="009E0143">
        <w:rPr>
          <w:noProof w:val="0"/>
          <w:sz w:val="22"/>
          <w:szCs w:val="22"/>
          <w:lang w:val="lt-LT"/>
        </w:rPr>
        <w:t>kartus per parą) 10</w:t>
      </w:r>
      <w:r w:rsidR="0088142B" w:rsidRPr="009E0143">
        <w:rPr>
          <w:noProof w:val="0"/>
          <w:sz w:val="22"/>
          <w:szCs w:val="22"/>
          <w:lang w:val="lt-LT"/>
        </w:rPr>
        <w:t xml:space="preserve"> </w:t>
      </w:r>
      <w:r w:rsidRPr="009E0143">
        <w:rPr>
          <w:noProof w:val="0"/>
          <w:sz w:val="22"/>
          <w:szCs w:val="22"/>
          <w:lang w:val="lt-LT"/>
        </w:rPr>
        <w:t>valandų laikotarpiu po toksinės paracetamolio dozės išgėrimo. Jei apsinuodijimas yra labai sunkus, taikoma hemodializė arba hemoperfuzija. Būtina skirti simptominį gydymą.</w:t>
      </w:r>
    </w:p>
    <w:p w14:paraId="3C5740CC" w14:textId="77777777" w:rsidR="00EF1527" w:rsidRPr="009E0143" w:rsidRDefault="00EF1527" w:rsidP="007F3518">
      <w:pPr>
        <w:rPr>
          <w:noProof w:val="0"/>
          <w:sz w:val="22"/>
          <w:szCs w:val="22"/>
          <w:lang w:val="lt-LT"/>
        </w:rPr>
      </w:pPr>
    </w:p>
    <w:p w14:paraId="7A5DA3DA" w14:textId="77777777" w:rsidR="000850E3" w:rsidRPr="009E0143" w:rsidRDefault="000850E3" w:rsidP="007F3518">
      <w:pPr>
        <w:rPr>
          <w:noProof w:val="0"/>
          <w:sz w:val="22"/>
          <w:szCs w:val="22"/>
          <w:lang w:val="lt-LT"/>
        </w:rPr>
      </w:pPr>
    </w:p>
    <w:p w14:paraId="7563E8EA" w14:textId="77777777" w:rsidR="00D03DA1" w:rsidRPr="009E0143" w:rsidRDefault="00D03DA1" w:rsidP="007F3518">
      <w:pPr>
        <w:keepNext/>
        <w:keepLines/>
        <w:tabs>
          <w:tab w:val="left" w:pos="567"/>
        </w:tabs>
        <w:outlineLvl w:val="2"/>
        <w:rPr>
          <w:sz w:val="22"/>
          <w:szCs w:val="22"/>
          <w:lang w:val="lt-LT"/>
        </w:rPr>
      </w:pPr>
      <w:r w:rsidRPr="009E0143">
        <w:rPr>
          <w:b/>
          <w:sz w:val="22"/>
          <w:szCs w:val="22"/>
          <w:lang w:val="lt-LT"/>
        </w:rPr>
        <w:t>5.</w:t>
      </w:r>
      <w:r w:rsidRPr="009E0143">
        <w:rPr>
          <w:b/>
          <w:sz w:val="22"/>
          <w:szCs w:val="22"/>
          <w:lang w:val="lt-LT"/>
        </w:rPr>
        <w:tab/>
        <w:t>FARMAKOLOGINĖS SAVYBĖS</w:t>
      </w:r>
    </w:p>
    <w:p w14:paraId="14EB49A1" w14:textId="77777777" w:rsidR="00D03DA1" w:rsidRPr="009E0143" w:rsidRDefault="00D03DA1" w:rsidP="007F3518">
      <w:pPr>
        <w:tabs>
          <w:tab w:val="left" w:pos="567"/>
        </w:tabs>
        <w:rPr>
          <w:sz w:val="22"/>
          <w:szCs w:val="22"/>
          <w:lang w:val="lt-LT"/>
        </w:rPr>
      </w:pPr>
    </w:p>
    <w:p w14:paraId="21745944" w14:textId="77777777" w:rsidR="00D03DA1" w:rsidRPr="009E0143" w:rsidRDefault="00D03DA1" w:rsidP="007F3518">
      <w:pPr>
        <w:keepNext/>
        <w:tabs>
          <w:tab w:val="left" w:pos="567"/>
        </w:tabs>
        <w:outlineLvl w:val="3"/>
        <w:rPr>
          <w:sz w:val="22"/>
          <w:szCs w:val="22"/>
          <w:lang w:val="lt-LT"/>
        </w:rPr>
      </w:pPr>
      <w:r w:rsidRPr="009E0143">
        <w:rPr>
          <w:b/>
          <w:sz w:val="22"/>
          <w:szCs w:val="22"/>
          <w:lang w:val="lt-LT"/>
        </w:rPr>
        <w:t xml:space="preserve">5.1 </w:t>
      </w:r>
      <w:r w:rsidRPr="009E0143">
        <w:rPr>
          <w:b/>
          <w:sz w:val="22"/>
          <w:szCs w:val="22"/>
          <w:lang w:val="lt-LT"/>
        </w:rPr>
        <w:tab/>
        <w:t>Farmakodinaminės savybės</w:t>
      </w:r>
    </w:p>
    <w:p w14:paraId="07914CE4" w14:textId="77777777" w:rsidR="00B91366" w:rsidRPr="009E0143" w:rsidRDefault="00B91366" w:rsidP="007F3518">
      <w:pPr>
        <w:rPr>
          <w:noProof w:val="0"/>
          <w:sz w:val="22"/>
          <w:szCs w:val="22"/>
          <w:lang w:val="lt-LT"/>
        </w:rPr>
      </w:pPr>
    </w:p>
    <w:p w14:paraId="6C3F695E" w14:textId="77777777" w:rsidR="00A25DA0" w:rsidRPr="009E0143" w:rsidRDefault="00D03DA1" w:rsidP="007F3518">
      <w:pPr>
        <w:rPr>
          <w:noProof w:val="0"/>
          <w:sz w:val="22"/>
          <w:szCs w:val="22"/>
          <w:lang w:val="lt-LT"/>
        </w:rPr>
      </w:pPr>
      <w:r w:rsidRPr="009E0143">
        <w:rPr>
          <w:sz w:val="22"/>
          <w:szCs w:val="22"/>
          <w:lang w:val="lt-LT"/>
        </w:rPr>
        <w:t xml:space="preserve">Farmakoterapinė grupė – </w:t>
      </w:r>
      <w:r w:rsidR="00275935" w:rsidRPr="009E0143">
        <w:rPr>
          <w:noProof w:val="0"/>
          <w:sz w:val="22"/>
          <w:szCs w:val="22"/>
          <w:lang w:val="lt-LT"/>
        </w:rPr>
        <w:t>analgetikai</w:t>
      </w:r>
      <w:r w:rsidR="00A25DA0" w:rsidRPr="009E0143">
        <w:rPr>
          <w:noProof w:val="0"/>
          <w:sz w:val="22"/>
          <w:szCs w:val="22"/>
          <w:lang w:val="lt-LT"/>
        </w:rPr>
        <w:t xml:space="preserve">, </w:t>
      </w:r>
      <w:r w:rsidR="000233A1" w:rsidRPr="009E0143">
        <w:rPr>
          <w:noProof w:val="0"/>
          <w:sz w:val="22"/>
          <w:szCs w:val="22"/>
          <w:lang w:val="lt-LT"/>
        </w:rPr>
        <w:t>anilid</w:t>
      </w:r>
      <w:r w:rsidR="00275935" w:rsidRPr="009E0143">
        <w:rPr>
          <w:noProof w:val="0"/>
          <w:sz w:val="22"/>
          <w:szCs w:val="22"/>
          <w:lang w:val="lt-LT"/>
        </w:rPr>
        <w:t>ai,</w:t>
      </w:r>
      <w:r w:rsidR="007E2518" w:rsidRPr="009E0143">
        <w:rPr>
          <w:noProof w:val="0"/>
          <w:sz w:val="22"/>
          <w:szCs w:val="22"/>
          <w:lang w:val="lt-LT"/>
        </w:rPr>
        <w:t xml:space="preserve"> </w:t>
      </w:r>
      <w:r w:rsidRPr="009E0143">
        <w:rPr>
          <w:sz w:val="22"/>
          <w:szCs w:val="22"/>
          <w:lang w:val="lt-LT"/>
        </w:rPr>
        <w:t>ATC kodas –</w:t>
      </w:r>
      <w:r w:rsidR="00A25DA0" w:rsidRPr="009E0143">
        <w:rPr>
          <w:noProof w:val="0"/>
          <w:sz w:val="22"/>
          <w:szCs w:val="22"/>
          <w:lang w:val="lt-LT"/>
        </w:rPr>
        <w:t xml:space="preserve"> </w:t>
      </w:r>
      <w:r w:rsidR="000233A1" w:rsidRPr="009E0143">
        <w:rPr>
          <w:noProof w:val="0"/>
          <w:sz w:val="22"/>
          <w:szCs w:val="22"/>
          <w:lang w:val="lt-LT"/>
        </w:rPr>
        <w:t>N02BE01</w:t>
      </w:r>
      <w:r w:rsidR="000338DA" w:rsidRPr="009E0143">
        <w:rPr>
          <w:noProof w:val="0"/>
          <w:sz w:val="22"/>
          <w:szCs w:val="22"/>
          <w:lang w:val="lt-LT"/>
        </w:rPr>
        <w:t>.</w:t>
      </w:r>
    </w:p>
    <w:p w14:paraId="57BA313C" w14:textId="77777777" w:rsidR="005A1F5B" w:rsidRPr="009E0143" w:rsidRDefault="005A1F5B" w:rsidP="007F3518">
      <w:pPr>
        <w:rPr>
          <w:noProof w:val="0"/>
          <w:sz w:val="22"/>
          <w:szCs w:val="22"/>
          <w:lang w:val="lt-LT"/>
        </w:rPr>
      </w:pPr>
    </w:p>
    <w:p w14:paraId="1CFFAED4" w14:textId="77777777" w:rsidR="00275935" w:rsidRPr="009E0143" w:rsidRDefault="00074D03" w:rsidP="007F3518">
      <w:pPr>
        <w:rPr>
          <w:noProof w:val="0"/>
          <w:sz w:val="22"/>
          <w:szCs w:val="22"/>
          <w:lang w:val="lt-LT"/>
        </w:rPr>
      </w:pPr>
      <w:r w:rsidRPr="009E0143">
        <w:rPr>
          <w:sz w:val="22"/>
          <w:szCs w:val="22"/>
          <w:lang w:val="lt-LT"/>
        </w:rPr>
        <w:t>Paracetamolis yra analgetinė</w:t>
      </w:r>
      <w:r w:rsidR="004B6D96" w:rsidRPr="009E0143">
        <w:rPr>
          <w:sz w:val="22"/>
          <w:szCs w:val="22"/>
          <w:lang w:val="lt-LT"/>
        </w:rPr>
        <w:t>-</w:t>
      </w:r>
      <w:r w:rsidRPr="009E0143">
        <w:rPr>
          <w:sz w:val="22"/>
          <w:szCs w:val="22"/>
          <w:lang w:val="lt-LT"/>
        </w:rPr>
        <w:t>antipiretinė medžiaga, nesukelianti antiuždegiminio poveikio</w:t>
      </w:r>
      <w:r w:rsidR="008D421E" w:rsidRPr="009E0143">
        <w:rPr>
          <w:sz w:val="22"/>
          <w:szCs w:val="22"/>
          <w:lang w:val="lt-LT"/>
        </w:rPr>
        <w:t>.</w:t>
      </w:r>
      <w:r w:rsidR="00275935" w:rsidRPr="009E0143">
        <w:rPr>
          <w:noProof w:val="0"/>
          <w:sz w:val="22"/>
          <w:szCs w:val="22"/>
          <w:lang w:val="lt-LT"/>
        </w:rPr>
        <w:t xml:space="preserve"> Veikimo mechanizmas </w:t>
      </w:r>
      <w:r w:rsidR="004B6D96" w:rsidRPr="009E0143">
        <w:rPr>
          <w:noProof w:val="0"/>
          <w:sz w:val="22"/>
          <w:szCs w:val="22"/>
          <w:lang w:val="lt-LT"/>
        </w:rPr>
        <w:t>gali būti</w:t>
      </w:r>
      <w:r w:rsidR="00275935" w:rsidRPr="009E0143">
        <w:rPr>
          <w:noProof w:val="0"/>
          <w:sz w:val="22"/>
          <w:szCs w:val="22"/>
          <w:lang w:val="lt-LT"/>
        </w:rPr>
        <w:t xml:space="preserve"> panašus į acetilsalicilo rūgšties poveikį ir priklauso nuo prostaglandinų slopinimo centrinėje nervų sistemoje.</w:t>
      </w:r>
    </w:p>
    <w:p w14:paraId="17E2C14D" w14:textId="77777777" w:rsidR="00275935" w:rsidRPr="009E0143" w:rsidRDefault="004B6D96" w:rsidP="007F3518">
      <w:pPr>
        <w:rPr>
          <w:noProof w:val="0"/>
          <w:sz w:val="22"/>
          <w:szCs w:val="22"/>
          <w:lang w:val="lt-LT"/>
        </w:rPr>
      </w:pPr>
      <w:r w:rsidRPr="009E0143">
        <w:rPr>
          <w:noProof w:val="0"/>
          <w:sz w:val="22"/>
          <w:szCs w:val="22"/>
          <w:lang w:val="lt-LT"/>
        </w:rPr>
        <w:t>Analgetinis</w:t>
      </w:r>
      <w:r w:rsidR="00275935" w:rsidRPr="009E0143">
        <w:rPr>
          <w:noProof w:val="0"/>
          <w:sz w:val="22"/>
          <w:szCs w:val="22"/>
          <w:lang w:val="lt-LT"/>
        </w:rPr>
        <w:t xml:space="preserve"> paracetamolio poveikis po vienkartinės 0,5</w:t>
      </w:r>
      <w:r w:rsidR="007F3518" w:rsidRPr="009E0143">
        <w:rPr>
          <w:noProof w:val="0"/>
          <w:sz w:val="22"/>
          <w:szCs w:val="22"/>
          <w:lang w:val="lt-LT"/>
        </w:rPr>
        <w:noBreakHyphen/>
      </w:r>
      <w:r w:rsidR="00275935" w:rsidRPr="009E0143">
        <w:rPr>
          <w:noProof w:val="0"/>
          <w:sz w:val="22"/>
          <w:szCs w:val="22"/>
          <w:lang w:val="lt-LT"/>
        </w:rPr>
        <w:t>1</w:t>
      </w:r>
      <w:r w:rsidRPr="009E0143">
        <w:rPr>
          <w:noProof w:val="0"/>
          <w:sz w:val="22"/>
          <w:szCs w:val="22"/>
          <w:lang w:val="lt-LT"/>
        </w:rPr>
        <w:t> </w:t>
      </w:r>
      <w:r w:rsidR="00275935" w:rsidRPr="009E0143">
        <w:rPr>
          <w:noProof w:val="0"/>
          <w:sz w:val="22"/>
          <w:szCs w:val="22"/>
          <w:lang w:val="lt-LT"/>
        </w:rPr>
        <w:t>g dozės trunka 3</w:t>
      </w:r>
      <w:r w:rsidR="007F3518" w:rsidRPr="009E0143">
        <w:rPr>
          <w:noProof w:val="0"/>
          <w:sz w:val="22"/>
          <w:szCs w:val="22"/>
          <w:lang w:val="lt-LT"/>
        </w:rPr>
        <w:noBreakHyphen/>
      </w:r>
      <w:r w:rsidR="00275935" w:rsidRPr="009E0143">
        <w:rPr>
          <w:noProof w:val="0"/>
          <w:sz w:val="22"/>
          <w:szCs w:val="22"/>
          <w:lang w:val="lt-LT"/>
        </w:rPr>
        <w:t>6</w:t>
      </w:r>
      <w:r w:rsidR="00793A26" w:rsidRPr="009E0143">
        <w:rPr>
          <w:noProof w:val="0"/>
          <w:sz w:val="22"/>
          <w:szCs w:val="22"/>
          <w:lang w:val="lt-LT"/>
        </w:rPr>
        <w:t xml:space="preserve"> </w:t>
      </w:r>
      <w:r w:rsidR="00275935" w:rsidRPr="009E0143">
        <w:rPr>
          <w:noProof w:val="0"/>
          <w:sz w:val="22"/>
          <w:szCs w:val="22"/>
          <w:lang w:val="lt-LT"/>
        </w:rPr>
        <w:t xml:space="preserve">valandas, </w:t>
      </w:r>
      <w:r w:rsidRPr="009E0143">
        <w:rPr>
          <w:noProof w:val="0"/>
          <w:sz w:val="22"/>
          <w:szCs w:val="22"/>
          <w:lang w:val="lt-LT"/>
        </w:rPr>
        <w:t>antipiretinis poveikis</w:t>
      </w:r>
      <w:r w:rsidR="00275935" w:rsidRPr="009E0143">
        <w:rPr>
          <w:noProof w:val="0"/>
          <w:sz w:val="22"/>
          <w:szCs w:val="22"/>
          <w:lang w:val="lt-LT"/>
        </w:rPr>
        <w:t xml:space="preserve"> – 3</w:t>
      </w:r>
      <w:r w:rsidR="007F3518" w:rsidRPr="009E0143">
        <w:rPr>
          <w:noProof w:val="0"/>
          <w:sz w:val="22"/>
          <w:szCs w:val="22"/>
          <w:lang w:val="lt-LT"/>
        </w:rPr>
        <w:noBreakHyphen/>
      </w:r>
      <w:r w:rsidR="00275935" w:rsidRPr="009E0143">
        <w:rPr>
          <w:noProof w:val="0"/>
          <w:sz w:val="22"/>
          <w:szCs w:val="22"/>
          <w:lang w:val="lt-LT"/>
        </w:rPr>
        <w:t>4</w:t>
      </w:r>
      <w:r w:rsidR="00793A26" w:rsidRPr="009E0143">
        <w:rPr>
          <w:noProof w:val="0"/>
          <w:sz w:val="22"/>
          <w:szCs w:val="22"/>
          <w:lang w:val="lt-LT"/>
        </w:rPr>
        <w:t xml:space="preserve"> </w:t>
      </w:r>
      <w:r w:rsidR="00275935" w:rsidRPr="009E0143">
        <w:rPr>
          <w:noProof w:val="0"/>
          <w:sz w:val="22"/>
          <w:szCs w:val="22"/>
          <w:lang w:val="lt-LT"/>
        </w:rPr>
        <w:t>valandas.</w:t>
      </w:r>
    </w:p>
    <w:p w14:paraId="711E68FB" w14:textId="77777777" w:rsidR="000233A1" w:rsidRPr="009E0143" w:rsidRDefault="000233A1" w:rsidP="007F3518">
      <w:pPr>
        <w:rPr>
          <w:noProof w:val="0"/>
          <w:sz w:val="22"/>
          <w:szCs w:val="22"/>
          <w:lang w:val="lt-LT"/>
        </w:rPr>
      </w:pPr>
    </w:p>
    <w:p w14:paraId="36AE665C" w14:textId="77777777" w:rsidR="007E2518" w:rsidRPr="009E0143" w:rsidRDefault="007E2518" w:rsidP="007F3518">
      <w:pPr>
        <w:keepNext/>
        <w:tabs>
          <w:tab w:val="left" w:pos="567"/>
        </w:tabs>
        <w:outlineLvl w:val="3"/>
        <w:rPr>
          <w:sz w:val="22"/>
          <w:szCs w:val="22"/>
          <w:lang w:val="lt-LT"/>
        </w:rPr>
      </w:pPr>
      <w:r w:rsidRPr="009E0143">
        <w:rPr>
          <w:b/>
          <w:sz w:val="22"/>
          <w:szCs w:val="22"/>
          <w:lang w:val="lt-LT"/>
        </w:rPr>
        <w:t>5.2</w:t>
      </w:r>
      <w:r w:rsidRPr="009E0143">
        <w:rPr>
          <w:b/>
          <w:sz w:val="22"/>
          <w:szCs w:val="22"/>
          <w:lang w:val="lt-LT"/>
        </w:rPr>
        <w:tab/>
        <w:t>Farmakokinetinės savybės</w:t>
      </w:r>
    </w:p>
    <w:p w14:paraId="5B99B6F4" w14:textId="77777777" w:rsidR="00D40A6A" w:rsidRPr="009E0143" w:rsidRDefault="00D40A6A" w:rsidP="007F3518">
      <w:pPr>
        <w:rPr>
          <w:noProof w:val="0"/>
          <w:sz w:val="22"/>
          <w:szCs w:val="22"/>
          <w:lang w:val="lt-LT"/>
        </w:rPr>
      </w:pPr>
    </w:p>
    <w:p w14:paraId="330C9F2F" w14:textId="77777777" w:rsidR="00BD53B3" w:rsidRPr="009E0143" w:rsidRDefault="007E2518" w:rsidP="007F3518">
      <w:pPr>
        <w:ind w:right="50"/>
        <w:rPr>
          <w:noProof w:val="0"/>
          <w:sz w:val="22"/>
          <w:szCs w:val="22"/>
          <w:lang w:val="lt-LT" w:eastAsia="en-US"/>
        </w:rPr>
      </w:pPr>
      <w:r w:rsidRPr="009E0143">
        <w:rPr>
          <w:sz w:val="22"/>
          <w:szCs w:val="22"/>
          <w:u w:val="single"/>
          <w:lang w:val="lt-LT"/>
        </w:rPr>
        <w:t>Absorbcija</w:t>
      </w:r>
    </w:p>
    <w:p w14:paraId="0643A12C" w14:textId="77777777" w:rsidR="00275935" w:rsidRPr="009E0143" w:rsidRDefault="00F355AB" w:rsidP="007F3518">
      <w:pPr>
        <w:numPr>
          <w:ilvl w:val="12"/>
          <w:numId w:val="0"/>
        </w:numPr>
        <w:rPr>
          <w:rFonts w:eastAsia="Batang"/>
          <w:sz w:val="22"/>
          <w:szCs w:val="22"/>
          <w:lang w:val="lt-LT"/>
        </w:rPr>
      </w:pPr>
      <w:r w:rsidRPr="009E0143">
        <w:rPr>
          <w:rFonts w:eastAsia="Batang"/>
          <w:sz w:val="22"/>
          <w:szCs w:val="22"/>
          <w:lang w:val="lt-LT"/>
        </w:rPr>
        <w:t>Paracetamolis greitai ir beveik visiškai absorbuojamas virškinimo trakte.</w:t>
      </w:r>
      <w:r w:rsidR="00275935" w:rsidRPr="009E0143">
        <w:rPr>
          <w:rFonts w:eastAsia="Batang"/>
          <w:sz w:val="22"/>
          <w:szCs w:val="22"/>
          <w:lang w:val="lt-LT"/>
        </w:rPr>
        <w:t xml:space="preserve"> </w:t>
      </w:r>
      <w:r w:rsidRPr="009E0143">
        <w:rPr>
          <w:sz w:val="22"/>
          <w:szCs w:val="22"/>
          <w:lang w:val="lt-LT"/>
        </w:rPr>
        <w:t>Išgėrus šio vaistinio preparato, didžiausia jo koncentracija kraujo plazmoje susidaro po 30</w:t>
      </w:r>
      <w:r w:rsidR="007F3518" w:rsidRPr="009E0143">
        <w:rPr>
          <w:sz w:val="22"/>
          <w:szCs w:val="22"/>
          <w:lang w:val="lt-LT"/>
        </w:rPr>
        <w:noBreakHyphen/>
      </w:r>
      <w:r w:rsidRPr="009E0143">
        <w:rPr>
          <w:sz w:val="22"/>
          <w:szCs w:val="22"/>
          <w:lang w:val="lt-LT"/>
        </w:rPr>
        <w:t>60</w:t>
      </w:r>
      <w:r w:rsidR="0088142B" w:rsidRPr="009E0143">
        <w:rPr>
          <w:sz w:val="22"/>
          <w:szCs w:val="22"/>
          <w:lang w:val="lt-LT"/>
        </w:rPr>
        <w:t xml:space="preserve"> </w:t>
      </w:r>
      <w:r w:rsidRPr="009E0143">
        <w:rPr>
          <w:sz w:val="22"/>
          <w:szCs w:val="22"/>
          <w:lang w:val="lt-LT"/>
        </w:rPr>
        <w:t>minučių.</w:t>
      </w:r>
    </w:p>
    <w:p w14:paraId="6B8AD951" w14:textId="77777777" w:rsidR="00BD53B3" w:rsidRPr="009E0143" w:rsidRDefault="00BD53B3" w:rsidP="007F3518">
      <w:pPr>
        <w:rPr>
          <w:noProof w:val="0"/>
          <w:sz w:val="22"/>
          <w:szCs w:val="22"/>
          <w:lang w:val="lt-LT"/>
        </w:rPr>
      </w:pPr>
    </w:p>
    <w:p w14:paraId="48BFEB71" w14:textId="77777777" w:rsidR="00BD53B3" w:rsidRPr="009E0143" w:rsidRDefault="007E2518" w:rsidP="001E2631">
      <w:pPr>
        <w:keepNext/>
        <w:ind w:right="51"/>
        <w:rPr>
          <w:noProof w:val="0"/>
          <w:sz w:val="22"/>
          <w:szCs w:val="22"/>
          <w:lang w:val="lt-LT" w:eastAsia="en-US"/>
        </w:rPr>
      </w:pPr>
      <w:r w:rsidRPr="009E0143">
        <w:rPr>
          <w:sz w:val="22"/>
          <w:szCs w:val="22"/>
          <w:u w:val="single"/>
          <w:lang w:val="lt-LT"/>
        </w:rPr>
        <w:t>Pasiskirstymas</w:t>
      </w:r>
    </w:p>
    <w:p w14:paraId="05B82100" w14:textId="77777777" w:rsidR="00BE3593" w:rsidRPr="009E0143" w:rsidRDefault="00404305" w:rsidP="007F3518">
      <w:pPr>
        <w:rPr>
          <w:noProof w:val="0"/>
          <w:sz w:val="22"/>
          <w:szCs w:val="22"/>
          <w:lang w:val="lt-LT"/>
        </w:rPr>
      </w:pPr>
      <w:r w:rsidRPr="009E0143">
        <w:rPr>
          <w:noProof w:val="0"/>
          <w:sz w:val="22"/>
          <w:szCs w:val="22"/>
          <w:lang w:val="lt-LT"/>
        </w:rPr>
        <w:t>Paracetamolis beveik tolygiai pasiskirsto organizmo skysči</w:t>
      </w:r>
      <w:r w:rsidR="00B61B3B" w:rsidRPr="009E0143">
        <w:rPr>
          <w:noProof w:val="0"/>
          <w:sz w:val="22"/>
          <w:szCs w:val="22"/>
          <w:lang w:val="lt-LT"/>
        </w:rPr>
        <w:t>uose</w:t>
      </w:r>
      <w:r w:rsidRPr="009E0143">
        <w:rPr>
          <w:noProof w:val="0"/>
          <w:sz w:val="22"/>
          <w:szCs w:val="22"/>
          <w:lang w:val="lt-LT"/>
        </w:rPr>
        <w:t>. Jungimasis prie kraujo plazmos baltymų yra nevienodas</w:t>
      </w:r>
      <w:r w:rsidR="000233A1" w:rsidRPr="009E0143">
        <w:rPr>
          <w:noProof w:val="0"/>
          <w:sz w:val="22"/>
          <w:szCs w:val="22"/>
          <w:lang w:val="lt-LT"/>
        </w:rPr>
        <w:t xml:space="preserve">; </w:t>
      </w:r>
      <w:r w:rsidR="00501DDD" w:rsidRPr="009E0143">
        <w:rPr>
          <w:noProof w:val="0"/>
          <w:sz w:val="22"/>
          <w:szCs w:val="22"/>
          <w:lang w:val="lt-LT"/>
        </w:rPr>
        <w:t>20</w:t>
      </w:r>
      <w:r w:rsidR="007F3518" w:rsidRPr="009E0143">
        <w:rPr>
          <w:noProof w:val="0"/>
          <w:sz w:val="22"/>
          <w:szCs w:val="22"/>
          <w:lang w:val="lt-LT"/>
        </w:rPr>
        <w:noBreakHyphen/>
      </w:r>
      <w:r w:rsidR="00501DDD" w:rsidRPr="009E0143">
        <w:rPr>
          <w:noProof w:val="0"/>
          <w:sz w:val="22"/>
          <w:szCs w:val="22"/>
          <w:lang w:val="lt-LT"/>
        </w:rPr>
        <w:t>30 % gali jungtis esant koncentracijai, būdingai ūminiam apsinuodijimui.</w:t>
      </w:r>
      <w:r w:rsidR="00BE3593" w:rsidRPr="009E0143">
        <w:rPr>
          <w:noProof w:val="0"/>
          <w:sz w:val="22"/>
          <w:szCs w:val="22"/>
          <w:lang w:val="lt-LT"/>
        </w:rPr>
        <w:t xml:space="preserve"> Paracetamol</w:t>
      </w:r>
      <w:r w:rsidR="008D421E" w:rsidRPr="009E0143">
        <w:rPr>
          <w:noProof w:val="0"/>
          <w:sz w:val="22"/>
          <w:szCs w:val="22"/>
          <w:lang w:val="lt-LT"/>
        </w:rPr>
        <w:t>i</w:t>
      </w:r>
      <w:r w:rsidR="00B71B47" w:rsidRPr="009E0143">
        <w:rPr>
          <w:noProof w:val="0"/>
          <w:sz w:val="22"/>
          <w:szCs w:val="22"/>
          <w:lang w:val="lt-LT"/>
        </w:rPr>
        <w:t>o</w:t>
      </w:r>
      <w:r w:rsidR="00BE3593" w:rsidRPr="009E0143">
        <w:rPr>
          <w:noProof w:val="0"/>
          <w:sz w:val="22"/>
          <w:szCs w:val="22"/>
          <w:lang w:val="lt-LT"/>
        </w:rPr>
        <w:t xml:space="preserve"> </w:t>
      </w:r>
      <w:r w:rsidR="008D421E" w:rsidRPr="009E0143">
        <w:rPr>
          <w:rFonts w:eastAsia="Times New Roman"/>
          <w:sz w:val="22"/>
          <w:szCs w:val="22"/>
          <w:lang w:val="lt-LT"/>
        </w:rPr>
        <w:t>prasiskverbia p</w:t>
      </w:r>
      <w:r w:rsidR="00B71B47" w:rsidRPr="009E0143">
        <w:rPr>
          <w:rFonts w:eastAsia="Times New Roman"/>
          <w:sz w:val="22"/>
          <w:szCs w:val="22"/>
          <w:lang w:val="lt-LT"/>
        </w:rPr>
        <w:t>er</w:t>
      </w:r>
      <w:r w:rsidR="008D421E" w:rsidRPr="009E0143">
        <w:rPr>
          <w:rFonts w:eastAsia="Times New Roman"/>
          <w:sz w:val="22"/>
          <w:szCs w:val="22"/>
          <w:lang w:val="lt-LT"/>
        </w:rPr>
        <w:t xml:space="preserve"> placent</w:t>
      </w:r>
      <w:r w:rsidR="00B71B47" w:rsidRPr="009E0143">
        <w:rPr>
          <w:rFonts w:eastAsia="Times New Roman"/>
          <w:sz w:val="22"/>
          <w:szCs w:val="22"/>
          <w:lang w:val="lt-LT"/>
        </w:rPr>
        <w:t>os barjerą</w:t>
      </w:r>
      <w:r w:rsidR="008D421E" w:rsidRPr="009E0143">
        <w:rPr>
          <w:rFonts w:eastAsia="Times New Roman"/>
          <w:sz w:val="22"/>
          <w:szCs w:val="22"/>
          <w:lang w:val="lt-LT"/>
        </w:rPr>
        <w:t xml:space="preserve"> ir išsiskiria </w:t>
      </w:r>
      <w:r w:rsidR="00B71B47" w:rsidRPr="009E0143">
        <w:rPr>
          <w:rFonts w:eastAsia="Times New Roman"/>
          <w:sz w:val="22"/>
          <w:szCs w:val="22"/>
          <w:lang w:val="lt-LT"/>
        </w:rPr>
        <w:t>su</w:t>
      </w:r>
      <w:r w:rsidR="008D421E" w:rsidRPr="009E0143">
        <w:rPr>
          <w:rFonts w:eastAsia="Times New Roman"/>
          <w:sz w:val="22"/>
          <w:szCs w:val="22"/>
          <w:lang w:val="lt-LT"/>
        </w:rPr>
        <w:t xml:space="preserve"> motinos pien</w:t>
      </w:r>
      <w:r w:rsidR="00B71B47" w:rsidRPr="009E0143">
        <w:rPr>
          <w:rFonts w:eastAsia="Times New Roman"/>
          <w:sz w:val="22"/>
          <w:szCs w:val="22"/>
          <w:lang w:val="lt-LT"/>
        </w:rPr>
        <w:t>u</w:t>
      </w:r>
      <w:r w:rsidR="008D421E" w:rsidRPr="009E0143">
        <w:rPr>
          <w:rFonts w:eastAsia="Times New Roman"/>
          <w:sz w:val="22"/>
          <w:szCs w:val="22"/>
          <w:lang w:val="lt-LT"/>
        </w:rPr>
        <w:t>.</w:t>
      </w:r>
    </w:p>
    <w:p w14:paraId="03D6B367" w14:textId="77777777" w:rsidR="00BE3593" w:rsidRPr="009E0143" w:rsidRDefault="00BE3593" w:rsidP="007F3518">
      <w:pPr>
        <w:rPr>
          <w:noProof w:val="0"/>
          <w:sz w:val="22"/>
          <w:szCs w:val="22"/>
          <w:lang w:val="lt-LT"/>
        </w:rPr>
      </w:pPr>
    </w:p>
    <w:p w14:paraId="5EAD24F2" w14:textId="77777777" w:rsidR="00BE3593" w:rsidRPr="009E0143" w:rsidRDefault="007E2518" w:rsidP="007F3518">
      <w:pPr>
        <w:ind w:right="50"/>
        <w:rPr>
          <w:noProof w:val="0"/>
          <w:sz w:val="22"/>
          <w:szCs w:val="22"/>
          <w:lang w:val="lt-LT" w:eastAsia="en-US"/>
        </w:rPr>
      </w:pPr>
      <w:r w:rsidRPr="009E0143">
        <w:rPr>
          <w:rFonts w:eastAsia="Times New Roman"/>
          <w:noProof w:val="0"/>
          <w:sz w:val="22"/>
          <w:szCs w:val="22"/>
          <w:u w:val="single"/>
          <w:lang w:val="lt-LT"/>
        </w:rPr>
        <w:lastRenderedPageBreak/>
        <w:t>Biotransformacija ir</w:t>
      </w:r>
      <w:r w:rsidR="00BE3593" w:rsidRPr="009E0143">
        <w:rPr>
          <w:rFonts w:eastAsia="Times New Roman"/>
          <w:noProof w:val="0"/>
          <w:sz w:val="22"/>
          <w:szCs w:val="22"/>
          <w:u w:val="single"/>
          <w:lang w:val="lt-LT"/>
        </w:rPr>
        <w:t xml:space="preserve"> elimina</w:t>
      </w:r>
      <w:r w:rsidRPr="009E0143">
        <w:rPr>
          <w:rFonts w:eastAsia="Times New Roman"/>
          <w:noProof w:val="0"/>
          <w:sz w:val="22"/>
          <w:szCs w:val="22"/>
          <w:u w:val="single"/>
          <w:lang w:val="lt-LT"/>
        </w:rPr>
        <w:t>cija</w:t>
      </w:r>
    </w:p>
    <w:p w14:paraId="336F5066" w14:textId="77777777" w:rsidR="00BE3593" w:rsidRPr="009E0143" w:rsidRDefault="008D421E" w:rsidP="007F3518">
      <w:pPr>
        <w:rPr>
          <w:noProof w:val="0"/>
          <w:sz w:val="22"/>
          <w:szCs w:val="22"/>
          <w:lang w:val="lt-LT"/>
        </w:rPr>
      </w:pPr>
      <w:r w:rsidRPr="009E0143">
        <w:rPr>
          <w:noProof w:val="0"/>
          <w:sz w:val="22"/>
          <w:szCs w:val="22"/>
          <w:lang w:val="lt-LT"/>
        </w:rPr>
        <w:t xml:space="preserve">Vaistinis preparatas pašalinamas </w:t>
      </w:r>
      <w:r w:rsidR="00737B13" w:rsidRPr="009E0143">
        <w:rPr>
          <w:noProof w:val="0"/>
          <w:sz w:val="22"/>
          <w:szCs w:val="22"/>
          <w:lang w:val="lt-LT"/>
        </w:rPr>
        <w:t>beveik tik</w:t>
      </w:r>
      <w:r w:rsidRPr="009E0143">
        <w:rPr>
          <w:noProof w:val="0"/>
          <w:sz w:val="22"/>
          <w:szCs w:val="22"/>
          <w:lang w:val="lt-LT"/>
        </w:rPr>
        <w:t xml:space="preserve"> per inkstus, konjuguotų metabolitų forma.</w:t>
      </w:r>
      <w:r w:rsidR="000233A1" w:rsidRPr="009E0143">
        <w:rPr>
          <w:noProof w:val="0"/>
          <w:sz w:val="22"/>
          <w:szCs w:val="22"/>
          <w:lang w:val="lt-LT"/>
        </w:rPr>
        <w:t xml:space="preserve"> </w:t>
      </w:r>
      <w:r w:rsidR="00404305" w:rsidRPr="009E0143">
        <w:rPr>
          <w:noProof w:val="0"/>
          <w:sz w:val="22"/>
          <w:szCs w:val="22"/>
          <w:lang w:val="lt-LT"/>
        </w:rPr>
        <w:t>Maždaug 5 % paracetamolio išskiriama nepakitusio</w:t>
      </w:r>
      <w:r w:rsidR="000233A1" w:rsidRPr="009E0143">
        <w:rPr>
          <w:noProof w:val="0"/>
          <w:sz w:val="22"/>
          <w:szCs w:val="22"/>
          <w:lang w:val="lt-LT"/>
        </w:rPr>
        <w:t>.</w:t>
      </w:r>
      <w:r w:rsidR="005848DA" w:rsidRPr="009E0143">
        <w:rPr>
          <w:noProof w:val="0"/>
          <w:sz w:val="22"/>
          <w:szCs w:val="22"/>
          <w:lang w:val="lt-LT"/>
        </w:rPr>
        <w:t xml:space="preserve"> </w:t>
      </w:r>
      <w:r w:rsidR="006564E4" w:rsidRPr="009E0143">
        <w:rPr>
          <w:noProof w:val="0"/>
          <w:sz w:val="22"/>
          <w:szCs w:val="22"/>
          <w:lang w:val="lt-LT"/>
        </w:rPr>
        <w:t>Pusinės eliminacijos laikas po gydomųjų dozių yra 1</w:t>
      </w:r>
      <w:r w:rsidR="007F3518" w:rsidRPr="009E0143">
        <w:rPr>
          <w:noProof w:val="0"/>
          <w:sz w:val="22"/>
          <w:szCs w:val="22"/>
          <w:lang w:val="lt-LT"/>
        </w:rPr>
        <w:noBreakHyphen/>
      </w:r>
      <w:r w:rsidR="006564E4" w:rsidRPr="009E0143">
        <w:rPr>
          <w:noProof w:val="0"/>
          <w:sz w:val="22"/>
          <w:szCs w:val="22"/>
          <w:lang w:val="lt-LT"/>
        </w:rPr>
        <w:t>4</w:t>
      </w:r>
      <w:r w:rsidR="0088142B" w:rsidRPr="009E0143">
        <w:rPr>
          <w:noProof w:val="0"/>
          <w:sz w:val="22"/>
          <w:szCs w:val="22"/>
          <w:lang w:val="lt-LT"/>
        </w:rPr>
        <w:t xml:space="preserve"> </w:t>
      </w:r>
      <w:r w:rsidR="006564E4" w:rsidRPr="009E0143">
        <w:rPr>
          <w:noProof w:val="0"/>
          <w:sz w:val="22"/>
          <w:szCs w:val="22"/>
          <w:lang w:val="lt-LT"/>
        </w:rPr>
        <w:t>valandos. Esant sunkiam kepenų funkcijos nepakankamumui, jis pailgėja iki 5</w:t>
      </w:r>
      <w:r w:rsidR="0088142B" w:rsidRPr="009E0143">
        <w:rPr>
          <w:noProof w:val="0"/>
          <w:sz w:val="22"/>
          <w:szCs w:val="22"/>
          <w:lang w:val="lt-LT"/>
        </w:rPr>
        <w:t xml:space="preserve"> </w:t>
      </w:r>
      <w:r w:rsidR="006564E4" w:rsidRPr="009E0143">
        <w:rPr>
          <w:noProof w:val="0"/>
          <w:sz w:val="22"/>
          <w:szCs w:val="22"/>
          <w:lang w:val="lt-LT"/>
        </w:rPr>
        <w:t>valandų. Esant inkstų funkcijos nepakankamumui, pusinės eliminacijos laikas nepailgėja, tačiau dėl sulėtėjusios ekskrecijos per inkstus reikia mažinti paracetamolio dozę.</w:t>
      </w:r>
    </w:p>
    <w:p w14:paraId="506C35E4" w14:textId="77777777" w:rsidR="006564E4" w:rsidRPr="009E0143" w:rsidRDefault="006564E4" w:rsidP="007F3518">
      <w:pPr>
        <w:rPr>
          <w:noProof w:val="0"/>
          <w:sz w:val="22"/>
          <w:szCs w:val="22"/>
          <w:lang w:val="lt-LT"/>
        </w:rPr>
      </w:pPr>
    </w:p>
    <w:p w14:paraId="625C47B0" w14:textId="77777777" w:rsidR="007E2518" w:rsidRPr="009E0143" w:rsidRDefault="007E2518" w:rsidP="007F3518">
      <w:pPr>
        <w:keepNext/>
        <w:tabs>
          <w:tab w:val="left" w:pos="567"/>
        </w:tabs>
        <w:outlineLvl w:val="3"/>
        <w:rPr>
          <w:sz w:val="22"/>
          <w:szCs w:val="22"/>
          <w:lang w:val="lt-LT"/>
        </w:rPr>
      </w:pPr>
      <w:bookmarkStart w:id="4" w:name="_Hlk77077973"/>
      <w:r w:rsidRPr="009E0143">
        <w:rPr>
          <w:b/>
          <w:sz w:val="22"/>
          <w:szCs w:val="22"/>
          <w:lang w:val="lt-LT"/>
        </w:rPr>
        <w:t>5.3</w:t>
      </w:r>
      <w:r w:rsidRPr="009E0143">
        <w:rPr>
          <w:b/>
          <w:sz w:val="22"/>
          <w:szCs w:val="22"/>
          <w:lang w:val="lt-LT"/>
        </w:rPr>
        <w:tab/>
        <w:t>Ikiklinikinių saugumo tyrimų duomenys</w:t>
      </w:r>
    </w:p>
    <w:p w14:paraId="09371F4E" w14:textId="77777777" w:rsidR="00B91366" w:rsidRPr="009E0143" w:rsidRDefault="00B91366" w:rsidP="007F3518">
      <w:pPr>
        <w:rPr>
          <w:b/>
          <w:noProof w:val="0"/>
          <w:sz w:val="22"/>
          <w:szCs w:val="22"/>
          <w:lang w:val="lt-LT"/>
        </w:rPr>
      </w:pPr>
    </w:p>
    <w:p w14:paraId="22B8AA30" w14:textId="77777777" w:rsidR="00074D03" w:rsidRPr="009E0143" w:rsidRDefault="00074D03" w:rsidP="007F3518">
      <w:pPr>
        <w:pStyle w:val="BTEMEASMCA"/>
        <w:rPr>
          <w:lang w:eastAsia="en-US"/>
        </w:rPr>
      </w:pPr>
      <w:r w:rsidRPr="009E0143">
        <w:t>Įprastinių paracetamolio toksinio poveikio reprodukcijai ir vystymuisi tyrimų, kurių metu būtų taikomi šiuo metu patvirtinti standartai, neatlikta.</w:t>
      </w:r>
    </w:p>
    <w:p w14:paraId="2165A56B" w14:textId="77777777" w:rsidR="005A1F5B" w:rsidRPr="009E0143" w:rsidRDefault="005A1F5B" w:rsidP="007F3518">
      <w:pPr>
        <w:rPr>
          <w:noProof w:val="0"/>
          <w:sz w:val="22"/>
          <w:szCs w:val="22"/>
          <w:lang w:val="lt-LT"/>
        </w:rPr>
      </w:pPr>
    </w:p>
    <w:bookmarkEnd w:id="4"/>
    <w:p w14:paraId="5387B344" w14:textId="77777777" w:rsidR="000B5384" w:rsidRPr="009E0143" w:rsidRDefault="000B5384" w:rsidP="007F3518">
      <w:pPr>
        <w:rPr>
          <w:noProof w:val="0"/>
          <w:sz w:val="22"/>
          <w:szCs w:val="22"/>
          <w:lang w:val="lt-LT"/>
        </w:rPr>
      </w:pPr>
    </w:p>
    <w:p w14:paraId="17F516CA" w14:textId="77777777" w:rsidR="007E2518" w:rsidRPr="009E0143" w:rsidRDefault="007E2518" w:rsidP="007F3518">
      <w:pPr>
        <w:keepNext/>
        <w:keepLines/>
        <w:tabs>
          <w:tab w:val="left" w:pos="567"/>
        </w:tabs>
        <w:outlineLvl w:val="2"/>
        <w:rPr>
          <w:sz w:val="22"/>
          <w:szCs w:val="22"/>
          <w:lang w:val="lt-LT"/>
        </w:rPr>
      </w:pPr>
      <w:r w:rsidRPr="009E0143">
        <w:rPr>
          <w:b/>
          <w:sz w:val="22"/>
          <w:szCs w:val="22"/>
          <w:lang w:val="lt-LT"/>
        </w:rPr>
        <w:t>6.</w:t>
      </w:r>
      <w:r w:rsidRPr="009E0143">
        <w:rPr>
          <w:b/>
          <w:sz w:val="22"/>
          <w:szCs w:val="22"/>
          <w:lang w:val="lt-LT"/>
        </w:rPr>
        <w:tab/>
        <w:t>FARMACINĖ INFORMACIJA</w:t>
      </w:r>
    </w:p>
    <w:p w14:paraId="30780A1E" w14:textId="77777777" w:rsidR="007E2518" w:rsidRPr="009E0143" w:rsidRDefault="007E2518" w:rsidP="007F3518">
      <w:pPr>
        <w:rPr>
          <w:sz w:val="22"/>
          <w:szCs w:val="22"/>
          <w:lang w:val="lt-LT"/>
        </w:rPr>
      </w:pPr>
    </w:p>
    <w:p w14:paraId="0828E65C" w14:textId="77777777" w:rsidR="007E2518" w:rsidRPr="009E0143" w:rsidRDefault="007E2518" w:rsidP="007F3518">
      <w:pPr>
        <w:keepNext/>
        <w:tabs>
          <w:tab w:val="left" w:pos="567"/>
        </w:tabs>
        <w:outlineLvl w:val="3"/>
        <w:rPr>
          <w:sz w:val="22"/>
          <w:szCs w:val="22"/>
          <w:lang w:val="lt-LT"/>
        </w:rPr>
      </w:pPr>
      <w:r w:rsidRPr="009E0143">
        <w:rPr>
          <w:b/>
          <w:sz w:val="22"/>
          <w:szCs w:val="22"/>
          <w:lang w:val="lt-LT"/>
        </w:rPr>
        <w:t>6.1</w:t>
      </w:r>
      <w:r w:rsidRPr="009E0143">
        <w:rPr>
          <w:b/>
          <w:sz w:val="22"/>
          <w:szCs w:val="22"/>
          <w:lang w:val="lt-LT"/>
        </w:rPr>
        <w:tab/>
        <w:t>Pagalbinių medžiagų sąrašas</w:t>
      </w:r>
    </w:p>
    <w:p w14:paraId="241A1983" w14:textId="77777777" w:rsidR="00D40A6A" w:rsidRPr="009E0143" w:rsidRDefault="00D40A6A" w:rsidP="007F3518">
      <w:pPr>
        <w:rPr>
          <w:noProof w:val="0"/>
          <w:sz w:val="22"/>
          <w:szCs w:val="22"/>
          <w:lang w:val="lt-LT"/>
        </w:rPr>
      </w:pPr>
    </w:p>
    <w:p w14:paraId="18517203" w14:textId="77777777" w:rsidR="006564E4" w:rsidRPr="009E0143" w:rsidRDefault="006564E4" w:rsidP="007F3518">
      <w:pPr>
        <w:rPr>
          <w:noProof w:val="0"/>
          <w:sz w:val="22"/>
          <w:szCs w:val="22"/>
          <w:lang w:val="lt-LT"/>
        </w:rPr>
      </w:pPr>
      <w:r w:rsidRPr="009E0143">
        <w:rPr>
          <w:noProof w:val="0"/>
          <w:sz w:val="22"/>
          <w:szCs w:val="22"/>
          <w:lang w:val="lt-LT"/>
        </w:rPr>
        <w:t>Pregelifikuotas kukurūzų krakmolas</w:t>
      </w:r>
    </w:p>
    <w:p w14:paraId="078F9225" w14:textId="77777777" w:rsidR="00B81160" w:rsidRPr="009E0143" w:rsidRDefault="00F355AB" w:rsidP="007F3518">
      <w:pPr>
        <w:rPr>
          <w:noProof w:val="0"/>
          <w:sz w:val="22"/>
          <w:szCs w:val="22"/>
          <w:lang w:val="lt-LT"/>
        </w:rPr>
      </w:pPr>
      <w:r w:rsidRPr="009E0143">
        <w:rPr>
          <w:noProof w:val="0"/>
          <w:sz w:val="22"/>
          <w:szCs w:val="22"/>
          <w:lang w:val="lt-LT"/>
        </w:rPr>
        <w:t>Kukurūzų krakmolas</w:t>
      </w:r>
    </w:p>
    <w:p w14:paraId="29E639A2" w14:textId="77777777" w:rsidR="00B81160" w:rsidRPr="009E0143" w:rsidRDefault="00B81160" w:rsidP="007F3518">
      <w:pPr>
        <w:rPr>
          <w:noProof w:val="0"/>
          <w:sz w:val="22"/>
          <w:szCs w:val="22"/>
          <w:lang w:val="lt-LT"/>
        </w:rPr>
      </w:pPr>
      <w:r w:rsidRPr="009E0143">
        <w:rPr>
          <w:noProof w:val="0"/>
          <w:sz w:val="22"/>
          <w:szCs w:val="22"/>
          <w:lang w:val="lt-LT"/>
        </w:rPr>
        <w:t>Tal</w:t>
      </w:r>
      <w:r w:rsidR="008D421E" w:rsidRPr="009E0143">
        <w:rPr>
          <w:noProof w:val="0"/>
          <w:sz w:val="22"/>
          <w:szCs w:val="22"/>
          <w:lang w:val="lt-LT"/>
        </w:rPr>
        <w:t>kas</w:t>
      </w:r>
      <w:r w:rsidR="005B3E94" w:rsidRPr="009E0143">
        <w:rPr>
          <w:noProof w:val="0"/>
          <w:sz w:val="22"/>
          <w:szCs w:val="22"/>
          <w:lang w:val="lt-LT"/>
        </w:rPr>
        <w:t xml:space="preserve"> (E553)</w:t>
      </w:r>
    </w:p>
    <w:p w14:paraId="003DCB6E" w14:textId="77777777" w:rsidR="00B81160" w:rsidRPr="009E0143" w:rsidRDefault="00F355AB" w:rsidP="007F3518">
      <w:pPr>
        <w:rPr>
          <w:noProof w:val="0"/>
          <w:sz w:val="22"/>
          <w:szCs w:val="22"/>
          <w:lang w:val="lt-LT"/>
        </w:rPr>
      </w:pPr>
      <w:r w:rsidRPr="009E0143">
        <w:rPr>
          <w:noProof w:val="0"/>
          <w:sz w:val="22"/>
          <w:szCs w:val="22"/>
          <w:lang w:val="lt-LT"/>
        </w:rPr>
        <w:t>Stearino rūgštis</w:t>
      </w:r>
      <w:r w:rsidR="00E17C9D" w:rsidRPr="009E0143">
        <w:rPr>
          <w:noProof w:val="0"/>
          <w:sz w:val="22"/>
          <w:szCs w:val="22"/>
          <w:lang w:val="lt-LT"/>
        </w:rPr>
        <w:t xml:space="preserve"> </w:t>
      </w:r>
      <w:r w:rsidR="005B3E94" w:rsidRPr="009E0143">
        <w:rPr>
          <w:noProof w:val="0"/>
          <w:sz w:val="22"/>
          <w:szCs w:val="22"/>
          <w:lang w:val="lt-LT"/>
        </w:rPr>
        <w:t>(E570)</w:t>
      </w:r>
    </w:p>
    <w:p w14:paraId="5DB1EAB0" w14:textId="77777777" w:rsidR="00B81160" w:rsidRPr="009E0143" w:rsidRDefault="00B81160" w:rsidP="007F3518">
      <w:pPr>
        <w:rPr>
          <w:noProof w:val="0"/>
          <w:sz w:val="22"/>
          <w:szCs w:val="22"/>
          <w:lang w:val="lt-LT"/>
        </w:rPr>
      </w:pPr>
      <w:r w:rsidRPr="009E0143">
        <w:rPr>
          <w:noProof w:val="0"/>
          <w:sz w:val="22"/>
          <w:szCs w:val="22"/>
          <w:lang w:val="lt-LT"/>
        </w:rPr>
        <w:t>Povidon</w:t>
      </w:r>
      <w:r w:rsidR="00F355AB" w:rsidRPr="009E0143">
        <w:rPr>
          <w:noProof w:val="0"/>
          <w:sz w:val="22"/>
          <w:szCs w:val="22"/>
          <w:lang w:val="lt-LT"/>
        </w:rPr>
        <w:t>as</w:t>
      </w:r>
      <w:r w:rsidRPr="009E0143">
        <w:rPr>
          <w:noProof w:val="0"/>
          <w:sz w:val="22"/>
          <w:szCs w:val="22"/>
          <w:lang w:val="lt-LT"/>
        </w:rPr>
        <w:t xml:space="preserve"> </w:t>
      </w:r>
      <w:r w:rsidR="005B3E94" w:rsidRPr="009E0143">
        <w:rPr>
          <w:noProof w:val="0"/>
          <w:sz w:val="22"/>
          <w:szCs w:val="22"/>
          <w:lang w:val="lt-LT"/>
        </w:rPr>
        <w:t>(E1201)</w:t>
      </w:r>
    </w:p>
    <w:p w14:paraId="4F60D2AA" w14:textId="77777777" w:rsidR="00B81160" w:rsidRPr="009E0143" w:rsidRDefault="00B81160" w:rsidP="007F3518">
      <w:pPr>
        <w:rPr>
          <w:noProof w:val="0"/>
          <w:sz w:val="22"/>
          <w:szCs w:val="22"/>
          <w:lang w:val="lt-LT"/>
        </w:rPr>
      </w:pPr>
    </w:p>
    <w:p w14:paraId="507EA0D1" w14:textId="77777777" w:rsidR="007E2518" w:rsidRPr="009E0143" w:rsidRDefault="007E2518" w:rsidP="007F3518">
      <w:pPr>
        <w:keepNext/>
        <w:tabs>
          <w:tab w:val="left" w:pos="567"/>
        </w:tabs>
        <w:outlineLvl w:val="3"/>
        <w:rPr>
          <w:sz w:val="22"/>
          <w:szCs w:val="22"/>
          <w:lang w:val="lt-LT"/>
        </w:rPr>
      </w:pPr>
      <w:r w:rsidRPr="009E0143">
        <w:rPr>
          <w:b/>
          <w:sz w:val="22"/>
          <w:szCs w:val="22"/>
          <w:lang w:val="lt-LT"/>
        </w:rPr>
        <w:t>6.2</w:t>
      </w:r>
      <w:r w:rsidRPr="009E0143">
        <w:rPr>
          <w:b/>
          <w:sz w:val="22"/>
          <w:szCs w:val="22"/>
          <w:lang w:val="lt-LT"/>
        </w:rPr>
        <w:tab/>
        <w:t>Nesuderinamumas</w:t>
      </w:r>
    </w:p>
    <w:p w14:paraId="24EC62B2" w14:textId="77777777" w:rsidR="00D40A6A" w:rsidRPr="009E0143" w:rsidRDefault="00D40A6A" w:rsidP="007F3518">
      <w:pPr>
        <w:rPr>
          <w:noProof w:val="0"/>
          <w:sz w:val="22"/>
          <w:szCs w:val="22"/>
          <w:lang w:val="lt-LT"/>
        </w:rPr>
      </w:pPr>
    </w:p>
    <w:p w14:paraId="1B93084E" w14:textId="77777777" w:rsidR="00F355AB" w:rsidRPr="009E0143" w:rsidRDefault="00F355AB" w:rsidP="007F3518">
      <w:pPr>
        <w:rPr>
          <w:sz w:val="22"/>
          <w:szCs w:val="22"/>
          <w:lang w:val="lt-LT"/>
        </w:rPr>
      </w:pPr>
      <w:r w:rsidRPr="009E0143">
        <w:rPr>
          <w:sz w:val="22"/>
          <w:szCs w:val="22"/>
          <w:lang w:val="lt-LT"/>
        </w:rPr>
        <w:t>Duomenys nebūtini.</w:t>
      </w:r>
    </w:p>
    <w:p w14:paraId="72B2504E" w14:textId="77777777" w:rsidR="000F09CB" w:rsidRPr="009E0143" w:rsidRDefault="000F09CB" w:rsidP="007F3518">
      <w:pPr>
        <w:rPr>
          <w:b/>
          <w:noProof w:val="0"/>
          <w:sz w:val="22"/>
          <w:szCs w:val="22"/>
          <w:lang w:val="lt-LT"/>
        </w:rPr>
      </w:pPr>
    </w:p>
    <w:p w14:paraId="3DBFB47A" w14:textId="77777777" w:rsidR="007E2518" w:rsidRPr="009E0143" w:rsidRDefault="007E2518" w:rsidP="007F3518">
      <w:pPr>
        <w:keepNext/>
        <w:tabs>
          <w:tab w:val="left" w:pos="567"/>
        </w:tabs>
        <w:outlineLvl w:val="3"/>
        <w:rPr>
          <w:sz w:val="22"/>
          <w:szCs w:val="22"/>
          <w:lang w:val="lt-LT"/>
        </w:rPr>
      </w:pPr>
      <w:r w:rsidRPr="009E0143">
        <w:rPr>
          <w:b/>
          <w:sz w:val="22"/>
          <w:szCs w:val="22"/>
          <w:lang w:val="lt-LT"/>
        </w:rPr>
        <w:t>6.3</w:t>
      </w:r>
      <w:r w:rsidRPr="009E0143">
        <w:rPr>
          <w:b/>
          <w:sz w:val="22"/>
          <w:szCs w:val="22"/>
          <w:lang w:val="lt-LT"/>
        </w:rPr>
        <w:tab/>
        <w:t>Tinkamumo laikas</w:t>
      </w:r>
    </w:p>
    <w:p w14:paraId="7E7B74C6" w14:textId="77777777" w:rsidR="00D40A6A" w:rsidRPr="009E0143" w:rsidRDefault="00D40A6A" w:rsidP="007F3518">
      <w:pPr>
        <w:rPr>
          <w:noProof w:val="0"/>
          <w:sz w:val="22"/>
          <w:szCs w:val="22"/>
          <w:lang w:val="lt-LT"/>
        </w:rPr>
      </w:pPr>
    </w:p>
    <w:p w14:paraId="613BC291" w14:textId="0989EB8D" w:rsidR="005A1F5B" w:rsidRPr="009E0143" w:rsidRDefault="009A56FE" w:rsidP="007F3518">
      <w:pPr>
        <w:rPr>
          <w:noProof w:val="0"/>
          <w:sz w:val="22"/>
          <w:szCs w:val="22"/>
          <w:lang w:val="lt-LT"/>
        </w:rPr>
      </w:pPr>
      <w:r w:rsidRPr="009E0143">
        <w:rPr>
          <w:noProof w:val="0"/>
          <w:sz w:val="22"/>
          <w:szCs w:val="22"/>
          <w:lang w:val="lt-LT"/>
        </w:rPr>
        <w:t>3</w:t>
      </w:r>
      <w:r w:rsidR="007E2518" w:rsidRPr="009E0143">
        <w:rPr>
          <w:noProof w:val="0"/>
          <w:sz w:val="22"/>
          <w:szCs w:val="22"/>
          <w:lang w:val="lt-LT"/>
        </w:rPr>
        <w:t> metai</w:t>
      </w:r>
      <w:r w:rsidR="00D37A30" w:rsidRPr="009E0143">
        <w:rPr>
          <w:noProof w:val="0"/>
          <w:sz w:val="22"/>
          <w:szCs w:val="22"/>
          <w:lang w:val="lt-LT"/>
        </w:rPr>
        <w:t>.</w:t>
      </w:r>
    </w:p>
    <w:p w14:paraId="4CA43195" w14:textId="77777777" w:rsidR="005A1F5B" w:rsidRPr="009E0143" w:rsidRDefault="005A1F5B" w:rsidP="007F3518">
      <w:pPr>
        <w:rPr>
          <w:b/>
          <w:noProof w:val="0"/>
          <w:sz w:val="22"/>
          <w:szCs w:val="22"/>
          <w:lang w:val="lt-LT"/>
        </w:rPr>
      </w:pPr>
    </w:p>
    <w:p w14:paraId="520EF31A" w14:textId="77777777" w:rsidR="007E2518" w:rsidRPr="009E0143" w:rsidRDefault="007E2518" w:rsidP="007F3518">
      <w:pPr>
        <w:keepNext/>
        <w:tabs>
          <w:tab w:val="left" w:pos="567"/>
        </w:tabs>
        <w:outlineLvl w:val="3"/>
        <w:rPr>
          <w:sz w:val="22"/>
          <w:szCs w:val="22"/>
          <w:lang w:val="lt-LT"/>
        </w:rPr>
      </w:pPr>
      <w:r w:rsidRPr="009E0143">
        <w:rPr>
          <w:b/>
          <w:sz w:val="22"/>
          <w:szCs w:val="22"/>
          <w:lang w:val="lt-LT"/>
        </w:rPr>
        <w:t>6.4</w:t>
      </w:r>
      <w:r w:rsidRPr="009E0143">
        <w:rPr>
          <w:b/>
          <w:sz w:val="22"/>
          <w:szCs w:val="22"/>
          <w:lang w:val="lt-LT"/>
        </w:rPr>
        <w:tab/>
        <w:t>Specialios laikymo sąlygos</w:t>
      </w:r>
    </w:p>
    <w:p w14:paraId="2290FB59" w14:textId="77777777" w:rsidR="00D40A6A" w:rsidRPr="009E0143" w:rsidRDefault="00D40A6A" w:rsidP="007F3518">
      <w:pPr>
        <w:rPr>
          <w:noProof w:val="0"/>
          <w:sz w:val="22"/>
          <w:szCs w:val="22"/>
          <w:lang w:val="lt-LT"/>
        </w:rPr>
      </w:pPr>
    </w:p>
    <w:p w14:paraId="2F074313" w14:textId="77777777" w:rsidR="00404305" w:rsidRPr="009E0143" w:rsidRDefault="00404305" w:rsidP="007F3518">
      <w:pPr>
        <w:tabs>
          <w:tab w:val="left" w:pos="567"/>
        </w:tabs>
        <w:rPr>
          <w:sz w:val="22"/>
          <w:szCs w:val="22"/>
          <w:lang w:val="lt-LT" w:eastAsia="en-US"/>
        </w:rPr>
      </w:pPr>
      <w:r w:rsidRPr="009E0143">
        <w:rPr>
          <w:sz w:val="22"/>
          <w:szCs w:val="22"/>
          <w:lang w:val="lt-LT" w:eastAsia="en-US"/>
        </w:rPr>
        <w:t>Šiam vaistiniam preparatui specialių laikymo sąlygų nereikia.</w:t>
      </w:r>
    </w:p>
    <w:p w14:paraId="44A4FD27" w14:textId="77777777" w:rsidR="005A1F5B" w:rsidRPr="009E0143" w:rsidRDefault="005A1F5B" w:rsidP="007F3518">
      <w:pPr>
        <w:rPr>
          <w:noProof w:val="0"/>
          <w:sz w:val="22"/>
          <w:szCs w:val="22"/>
          <w:lang w:val="lt-LT"/>
        </w:rPr>
      </w:pPr>
    </w:p>
    <w:p w14:paraId="0890A56D" w14:textId="77777777" w:rsidR="005A1F5B" w:rsidRPr="009E0143" w:rsidRDefault="007E2518" w:rsidP="007F3518">
      <w:pPr>
        <w:tabs>
          <w:tab w:val="left" w:pos="567"/>
        </w:tabs>
        <w:rPr>
          <w:b/>
          <w:noProof w:val="0"/>
          <w:sz w:val="22"/>
          <w:szCs w:val="22"/>
          <w:lang w:val="lt-LT"/>
        </w:rPr>
      </w:pPr>
      <w:r w:rsidRPr="009E0143">
        <w:rPr>
          <w:b/>
          <w:sz w:val="22"/>
          <w:szCs w:val="22"/>
          <w:lang w:val="lt-LT"/>
        </w:rPr>
        <w:t>6.5</w:t>
      </w:r>
      <w:r w:rsidRPr="009E0143">
        <w:rPr>
          <w:b/>
          <w:sz w:val="22"/>
          <w:szCs w:val="22"/>
          <w:lang w:val="lt-LT"/>
        </w:rPr>
        <w:tab/>
        <w:t>Talpyklės pobūdis ir jos turinys</w:t>
      </w:r>
    </w:p>
    <w:p w14:paraId="3026FB6C" w14:textId="77777777" w:rsidR="00D40A6A" w:rsidRPr="009E0143" w:rsidRDefault="00D40A6A" w:rsidP="007F3518">
      <w:pPr>
        <w:rPr>
          <w:noProof w:val="0"/>
          <w:sz w:val="22"/>
          <w:szCs w:val="22"/>
          <w:lang w:val="lt-LT"/>
        </w:rPr>
      </w:pPr>
    </w:p>
    <w:p w14:paraId="62883A3F" w14:textId="77777777" w:rsidR="005A1F5B" w:rsidRPr="009E0143" w:rsidRDefault="00BB69CE" w:rsidP="007F3518">
      <w:pPr>
        <w:rPr>
          <w:noProof w:val="0"/>
          <w:sz w:val="22"/>
          <w:szCs w:val="22"/>
          <w:lang w:val="lt-LT"/>
        </w:rPr>
      </w:pPr>
      <w:r w:rsidRPr="009E0143">
        <w:rPr>
          <w:noProof w:val="0"/>
          <w:sz w:val="22"/>
          <w:szCs w:val="22"/>
          <w:lang w:val="lt-LT"/>
        </w:rPr>
        <w:t>PVC</w:t>
      </w:r>
      <w:r w:rsidR="00B81160" w:rsidRPr="009E0143">
        <w:rPr>
          <w:noProof w:val="0"/>
          <w:sz w:val="22"/>
          <w:szCs w:val="22"/>
          <w:lang w:val="lt-LT"/>
        </w:rPr>
        <w:t>/Al</w:t>
      </w:r>
      <w:r w:rsidR="00F355AB" w:rsidRPr="009E0143">
        <w:rPr>
          <w:noProof w:val="0"/>
          <w:sz w:val="22"/>
          <w:szCs w:val="22"/>
          <w:lang w:val="lt-LT"/>
        </w:rPr>
        <w:t>iuminio lizdinė plokštelė</w:t>
      </w:r>
      <w:r w:rsidR="000338DA" w:rsidRPr="009E0143">
        <w:rPr>
          <w:noProof w:val="0"/>
          <w:sz w:val="22"/>
          <w:szCs w:val="22"/>
          <w:lang w:val="lt-LT"/>
        </w:rPr>
        <w:t>.</w:t>
      </w:r>
    </w:p>
    <w:p w14:paraId="1F2F5ED3" w14:textId="77777777" w:rsidR="00252C2F" w:rsidRPr="009E0143" w:rsidRDefault="00F355AB" w:rsidP="007F3518">
      <w:pPr>
        <w:rPr>
          <w:noProof w:val="0"/>
          <w:sz w:val="22"/>
          <w:szCs w:val="22"/>
          <w:lang w:val="lt-LT"/>
        </w:rPr>
      </w:pPr>
      <w:r w:rsidRPr="009E0143">
        <w:rPr>
          <w:noProof w:val="0"/>
          <w:sz w:val="22"/>
          <w:szCs w:val="22"/>
          <w:lang w:val="lt-LT"/>
        </w:rPr>
        <w:t>Pakuotės dydžiai</w:t>
      </w:r>
      <w:r w:rsidR="00252C2F" w:rsidRPr="009E0143">
        <w:rPr>
          <w:noProof w:val="0"/>
          <w:sz w:val="22"/>
          <w:szCs w:val="22"/>
          <w:lang w:val="lt-LT"/>
        </w:rPr>
        <w:t>:</w:t>
      </w:r>
    </w:p>
    <w:p w14:paraId="7755999E" w14:textId="77777777" w:rsidR="00701403" w:rsidRPr="009E0143" w:rsidRDefault="00056E56" w:rsidP="007F3518">
      <w:pPr>
        <w:rPr>
          <w:bCs/>
          <w:noProof w:val="0"/>
          <w:sz w:val="22"/>
          <w:szCs w:val="22"/>
          <w:lang w:val="lt-LT"/>
        </w:rPr>
      </w:pPr>
      <w:r w:rsidRPr="009E0143">
        <w:rPr>
          <w:noProof w:val="0"/>
          <w:sz w:val="22"/>
          <w:szCs w:val="22"/>
          <w:lang w:val="lt-LT"/>
        </w:rPr>
        <w:t>50</w:t>
      </w:r>
      <w:r w:rsidRPr="009E0143">
        <w:rPr>
          <w:noProof w:val="0"/>
          <w:sz w:val="22"/>
          <w:szCs w:val="22"/>
          <w:highlight w:val="lightGray"/>
          <w:lang w:val="lt-LT"/>
        </w:rPr>
        <w:t>, 100</w:t>
      </w:r>
      <w:r w:rsidR="001D3595" w:rsidRPr="009E0143">
        <w:rPr>
          <w:noProof w:val="0"/>
          <w:sz w:val="22"/>
          <w:szCs w:val="22"/>
          <w:highlight w:val="lightGray"/>
          <w:lang w:val="lt-LT"/>
        </w:rPr>
        <w:t>, 120, 300</w:t>
      </w:r>
      <w:r w:rsidR="009F2DCE" w:rsidRPr="009E0143">
        <w:rPr>
          <w:noProof w:val="0"/>
          <w:sz w:val="22"/>
          <w:szCs w:val="22"/>
          <w:lang w:val="lt-LT"/>
        </w:rPr>
        <w:t> </w:t>
      </w:r>
      <w:r w:rsidRPr="009E0143">
        <w:rPr>
          <w:noProof w:val="0"/>
          <w:sz w:val="22"/>
          <w:szCs w:val="22"/>
          <w:lang w:val="lt-LT"/>
        </w:rPr>
        <w:t>table</w:t>
      </w:r>
      <w:r w:rsidR="00F355AB" w:rsidRPr="009E0143">
        <w:rPr>
          <w:noProof w:val="0"/>
          <w:sz w:val="22"/>
          <w:szCs w:val="22"/>
          <w:lang w:val="lt-LT"/>
        </w:rPr>
        <w:t>čių</w:t>
      </w:r>
      <w:r w:rsidRPr="009E0143">
        <w:rPr>
          <w:noProof w:val="0"/>
          <w:sz w:val="22"/>
          <w:szCs w:val="22"/>
          <w:lang w:val="lt-LT"/>
        </w:rPr>
        <w:t>.</w:t>
      </w:r>
    </w:p>
    <w:p w14:paraId="29F341DA" w14:textId="77777777" w:rsidR="00F355AB" w:rsidRPr="009E0143" w:rsidRDefault="00F355AB" w:rsidP="007F3518">
      <w:pPr>
        <w:rPr>
          <w:sz w:val="22"/>
          <w:szCs w:val="22"/>
          <w:lang w:val="lt-LT"/>
        </w:rPr>
      </w:pPr>
      <w:r w:rsidRPr="009E0143">
        <w:rPr>
          <w:sz w:val="22"/>
          <w:szCs w:val="22"/>
          <w:lang w:val="lt-LT"/>
        </w:rPr>
        <w:t>Gali būti tiekiamos ne visų dydžių pakuotės.</w:t>
      </w:r>
    </w:p>
    <w:p w14:paraId="743220FC" w14:textId="77777777" w:rsidR="00AA5C19" w:rsidRPr="009E0143" w:rsidRDefault="00AA5C19" w:rsidP="007F3518">
      <w:pPr>
        <w:rPr>
          <w:b/>
          <w:noProof w:val="0"/>
          <w:sz w:val="22"/>
          <w:szCs w:val="22"/>
          <w:lang w:val="lt-LT"/>
        </w:rPr>
      </w:pPr>
    </w:p>
    <w:p w14:paraId="422846C1" w14:textId="77777777" w:rsidR="00D40A6A" w:rsidRPr="009E0143" w:rsidRDefault="007E2518" w:rsidP="007F3518">
      <w:pPr>
        <w:rPr>
          <w:b/>
          <w:sz w:val="22"/>
          <w:szCs w:val="22"/>
          <w:lang w:val="lt-LT"/>
        </w:rPr>
      </w:pPr>
      <w:r w:rsidRPr="009E0143">
        <w:rPr>
          <w:b/>
          <w:sz w:val="22"/>
          <w:szCs w:val="22"/>
          <w:lang w:val="lt-LT"/>
        </w:rPr>
        <w:t>6.6</w:t>
      </w:r>
      <w:r w:rsidRPr="009E0143">
        <w:rPr>
          <w:b/>
          <w:sz w:val="22"/>
          <w:szCs w:val="22"/>
          <w:lang w:val="lt-LT"/>
        </w:rPr>
        <w:tab/>
        <w:t>Specialūs reikalavimai atliekoms tvarkyti</w:t>
      </w:r>
    </w:p>
    <w:p w14:paraId="1E2F2079" w14:textId="77777777" w:rsidR="007E2518" w:rsidRPr="009E0143" w:rsidRDefault="007E2518" w:rsidP="007F3518">
      <w:pPr>
        <w:rPr>
          <w:noProof w:val="0"/>
          <w:sz w:val="22"/>
          <w:szCs w:val="22"/>
          <w:lang w:val="lt-LT"/>
        </w:rPr>
      </w:pPr>
    </w:p>
    <w:p w14:paraId="10FD8AF1" w14:textId="77777777" w:rsidR="005A1F5B" w:rsidRPr="009E0143" w:rsidRDefault="007E2518" w:rsidP="007F3518">
      <w:pPr>
        <w:rPr>
          <w:noProof w:val="0"/>
          <w:sz w:val="22"/>
          <w:szCs w:val="22"/>
          <w:lang w:val="lt-LT"/>
        </w:rPr>
      </w:pPr>
      <w:r w:rsidRPr="009E0143">
        <w:rPr>
          <w:noProof w:val="0"/>
          <w:sz w:val="22"/>
          <w:szCs w:val="22"/>
          <w:lang w:val="lt-LT"/>
        </w:rPr>
        <w:t>Specialių reikalavimų nėra.</w:t>
      </w:r>
    </w:p>
    <w:p w14:paraId="69C7EFE1" w14:textId="77777777" w:rsidR="003D6FE2" w:rsidRPr="009E0143" w:rsidRDefault="003D6FE2" w:rsidP="007F3518">
      <w:pPr>
        <w:rPr>
          <w:noProof w:val="0"/>
          <w:sz w:val="22"/>
          <w:szCs w:val="22"/>
          <w:lang w:val="lt-LT"/>
        </w:rPr>
      </w:pPr>
    </w:p>
    <w:p w14:paraId="364A6AA6" w14:textId="77777777" w:rsidR="003D6FE2" w:rsidRPr="009E0143" w:rsidRDefault="003D6FE2" w:rsidP="007F3518">
      <w:pPr>
        <w:rPr>
          <w:noProof w:val="0"/>
          <w:sz w:val="22"/>
          <w:szCs w:val="22"/>
          <w:lang w:val="lt-LT"/>
        </w:rPr>
      </w:pPr>
    </w:p>
    <w:p w14:paraId="5FEA28F6" w14:textId="77777777" w:rsidR="007E2518" w:rsidRPr="009E0143" w:rsidRDefault="007E2518" w:rsidP="007F3518">
      <w:pPr>
        <w:keepNext/>
        <w:keepLines/>
        <w:tabs>
          <w:tab w:val="left" w:pos="567"/>
        </w:tabs>
        <w:outlineLvl w:val="2"/>
        <w:rPr>
          <w:sz w:val="22"/>
          <w:szCs w:val="22"/>
          <w:lang w:val="lt-LT"/>
        </w:rPr>
      </w:pPr>
      <w:r w:rsidRPr="009E0143">
        <w:rPr>
          <w:b/>
          <w:sz w:val="22"/>
          <w:szCs w:val="22"/>
          <w:lang w:val="lt-LT"/>
        </w:rPr>
        <w:t>7.</w:t>
      </w:r>
      <w:r w:rsidRPr="009E0143">
        <w:rPr>
          <w:b/>
          <w:sz w:val="22"/>
          <w:szCs w:val="22"/>
          <w:lang w:val="lt-LT"/>
        </w:rPr>
        <w:tab/>
        <w:t>REGISTRUOTOJAS</w:t>
      </w:r>
    </w:p>
    <w:p w14:paraId="35324A39" w14:textId="77777777" w:rsidR="007E2518" w:rsidRPr="009E0143" w:rsidRDefault="007E2518" w:rsidP="007F3518">
      <w:pPr>
        <w:rPr>
          <w:sz w:val="22"/>
          <w:szCs w:val="22"/>
          <w:lang w:val="lt-LT"/>
        </w:rPr>
      </w:pPr>
    </w:p>
    <w:p w14:paraId="655632EA" w14:textId="77777777" w:rsidR="009843C8" w:rsidRPr="009E0143" w:rsidRDefault="009843C8" w:rsidP="007F3518">
      <w:pPr>
        <w:rPr>
          <w:noProof w:val="0"/>
          <w:sz w:val="22"/>
          <w:szCs w:val="22"/>
          <w:lang w:val="lt-LT" w:eastAsia="lt-LT"/>
        </w:rPr>
      </w:pPr>
      <w:bookmarkStart w:id="5" w:name="_Hlk58931515"/>
      <w:r w:rsidRPr="009E0143">
        <w:rPr>
          <w:sz w:val="22"/>
          <w:szCs w:val="22"/>
          <w:lang w:val="lt-LT"/>
        </w:rPr>
        <w:t>Zentiva, k.s.</w:t>
      </w:r>
    </w:p>
    <w:p w14:paraId="36EC1C6A" w14:textId="77777777" w:rsidR="009843C8" w:rsidRPr="009E0143" w:rsidRDefault="009843C8" w:rsidP="007F3518">
      <w:pPr>
        <w:rPr>
          <w:sz w:val="22"/>
          <w:szCs w:val="22"/>
          <w:lang w:val="lt-LT"/>
        </w:rPr>
      </w:pPr>
      <w:r w:rsidRPr="009E0143">
        <w:rPr>
          <w:sz w:val="22"/>
          <w:szCs w:val="22"/>
          <w:lang w:val="lt-LT"/>
        </w:rPr>
        <w:t>U kabelovny 130</w:t>
      </w:r>
    </w:p>
    <w:p w14:paraId="1B0AED72" w14:textId="77777777" w:rsidR="009843C8" w:rsidRPr="009E0143" w:rsidRDefault="009843C8" w:rsidP="007F3518">
      <w:pPr>
        <w:rPr>
          <w:sz w:val="22"/>
          <w:szCs w:val="22"/>
          <w:lang w:val="lt-LT"/>
        </w:rPr>
      </w:pPr>
      <w:r w:rsidRPr="009E0143">
        <w:rPr>
          <w:sz w:val="22"/>
          <w:szCs w:val="22"/>
          <w:lang w:val="lt-LT"/>
        </w:rPr>
        <w:t>Dolní Měcholupy</w:t>
      </w:r>
    </w:p>
    <w:p w14:paraId="0D43E737" w14:textId="77777777" w:rsidR="009843C8" w:rsidRPr="009E0143" w:rsidRDefault="009843C8" w:rsidP="007F3518">
      <w:pPr>
        <w:rPr>
          <w:sz w:val="22"/>
          <w:szCs w:val="22"/>
          <w:lang w:val="lt-LT"/>
        </w:rPr>
      </w:pPr>
      <w:r w:rsidRPr="009E0143">
        <w:rPr>
          <w:sz w:val="22"/>
          <w:szCs w:val="22"/>
          <w:lang w:val="lt-LT"/>
        </w:rPr>
        <w:t>102 37 Praha 10</w:t>
      </w:r>
    </w:p>
    <w:p w14:paraId="0109D052" w14:textId="77777777" w:rsidR="009843C8" w:rsidRPr="009E0143" w:rsidRDefault="009843C8" w:rsidP="007F3518">
      <w:pPr>
        <w:rPr>
          <w:sz w:val="22"/>
          <w:szCs w:val="22"/>
          <w:lang w:val="lt-LT"/>
        </w:rPr>
      </w:pPr>
      <w:r w:rsidRPr="009E0143">
        <w:rPr>
          <w:sz w:val="22"/>
          <w:szCs w:val="22"/>
          <w:lang w:val="lt-LT"/>
        </w:rPr>
        <w:t>Čekija</w:t>
      </w:r>
      <w:bookmarkEnd w:id="5"/>
    </w:p>
    <w:p w14:paraId="70899B20" w14:textId="77777777" w:rsidR="00B93DD4" w:rsidRPr="009E0143" w:rsidRDefault="00B93DD4" w:rsidP="007F3518">
      <w:pPr>
        <w:rPr>
          <w:noProof w:val="0"/>
          <w:sz w:val="22"/>
          <w:szCs w:val="22"/>
          <w:lang w:val="lt-LT"/>
        </w:rPr>
      </w:pPr>
    </w:p>
    <w:p w14:paraId="6A110373" w14:textId="77777777" w:rsidR="00316C57" w:rsidRPr="009E0143" w:rsidRDefault="00316C57" w:rsidP="007F3518">
      <w:pPr>
        <w:rPr>
          <w:noProof w:val="0"/>
          <w:sz w:val="22"/>
          <w:szCs w:val="22"/>
          <w:lang w:val="lt-LT"/>
        </w:rPr>
      </w:pPr>
    </w:p>
    <w:p w14:paraId="29BE3CA7" w14:textId="77777777" w:rsidR="007E2518" w:rsidRPr="009E0143" w:rsidRDefault="007E2518" w:rsidP="007F3518">
      <w:pPr>
        <w:keepNext/>
        <w:keepLines/>
        <w:tabs>
          <w:tab w:val="left" w:pos="567"/>
        </w:tabs>
        <w:outlineLvl w:val="2"/>
        <w:rPr>
          <w:sz w:val="22"/>
          <w:szCs w:val="22"/>
          <w:lang w:val="lt-LT"/>
        </w:rPr>
      </w:pPr>
      <w:r w:rsidRPr="009E0143">
        <w:rPr>
          <w:b/>
          <w:sz w:val="22"/>
          <w:szCs w:val="22"/>
          <w:lang w:val="lt-LT"/>
        </w:rPr>
        <w:lastRenderedPageBreak/>
        <w:t>8.</w:t>
      </w:r>
      <w:r w:rsidRPr="009E0143">
        <w:rPr>
          <w:b/>
          <w:sz w:val="22"/>
          <w:szCs w:val="22"/>
          <w:lang w:val="lt-LT"/>
        </w:rPr>
        <w:tab/>
        <w:t xml:space="preserve">REGISTRACIJOS PAŽYMĖJIMO NUMERIS (-IAI) </w:t>
      </w:r>
    </w:p>
    <w:p w14:paraId="02299F66" w14:textId="77777777" w:rsidR="000850E3" w:rsidRPr="009E0143" w:rsidRDefault="000850E3" w:rsidP="007F3518">
      <w:pPr>
        <w:rPr>
          <w:noProof w:val="0"/>
          <w:sz w:val="22"/>
          <w:szCs w:val="22"/>
          <w:lang w:val="lt-LT"/>
        </w:rPr>
      </w:pPr>
    </w:p>
    <w:p w14:paraId="46ECE4A6" w14:textId="77777777" w:rsidR="00267263" w:rsidRPr="009E0143" w:rsidRDefault="00267263" w:rsidP="00267263">
      <w:pPr>
        <w:rPr>
          <w:noProof w:val="0"/>
          <w:sz w:val="22"/>
          <w:szCs w:val="22"/>
          <w:lang w:val="lt-LT"/>
        </w:rPr>
      </w:pPr>
      <w:r w:rsidRPr="009E0143">
        <w:rPr>
          <w:noProof w:val="0"/>
          <w:sz w:val="22"/>
          <w:szCs w:val="22"/>
          <w:lang w:val="lt-LT"/>
        </w:rPr>
        <w:t>LT/1/22/4921/006 – N50</w:t>
      </w:r>
    </w:p>
    <w:p w14:paraId="090C9963" w14:textId="77777777" w:rsidR="00267263" w:rsidRPr="009E0143" w:rsidRDefault="00267263" w:rsidP="00267263">
      <w:pPr>
        <w:rPr>
          <w:noProof w:val="0"/>
          <w:sz w:val="22"/>
          <w:szCs w:val="22"/>
          <w:lang w:val="lt-LT"/>
        </w:rPr>
      </w:pPr>
      <w:r w:rsidRPr="009E0143">
        <w:rPr>
          <w:noProof w:val="0"/>
          <w:sz w:val="22"/>
          <w:szCs w:val="22"/>
          <w:lang w:val="lt-LT"/>
        </w:rPr>
        <w:t>LT/1/22/4921/007 – N100</w:t>
      </w:r>
    </w:p>
    <w:p w14:paraId="43651FB7" w14:textId="77777777" w:rsidR="00267263" w:rsidRPr="009E0143" w:rsidRDefault="00267263" w:rsidP="00267263">
      <w:pPr>
        <w:rPr>
          <w:noProof w:val="0"/>
          <w:sz w:val="22"/>
          <w:szCs w:val="22"/>
          <w:lang w:val="lt-LT"/>
        </w:rPr>
      </w:pPr>
      <w:r w:rsidRPr="009E0143">
        <w:rPr>
          <w:noProof w:val="0"/>
          <w:sz w:val="22"/>
          <w:szCs w:val="22"/>
          <w:lang w:val="lt-LT"/>
        </w:rPr>
        <w:t>LT/1/22/4921/008 – N120</w:t>
      </w:r>
    </w:p>
    <w:p w14:paraId="11D4BF89" w14:textId="197E8487" w:rsidR="000850E3" w:rsidRPr="009E0143" w:rsidRDefault="00267263" w:rsidP="00267263">
      <w:pPr>
        <w:rPr>
          <w:noProof w:val="0"/>
          <w:sz w:val="22"/>
          <w:szCs w:val="22"/>
          <w:lang w:val="lt-LT"/>
        </w:rPr>
      </w:pPr>
      <w:r w:rsidRPr="009E0143">
        <w:rPr>
          <w:noProof w:val="0"/>
          <w:sz w:val="22"/>
          <w:szCs w:val="22"/>
          <w:lang w:val="lt-LT"/>
        </w:rPr>
        <w:t>LT/1/22/4921/009 – N300</w:t>
      </w:r>
    </w:p>
    <w:p w14:paraId="25AEE8BD" w14:textId="77777777" w:rsidR="00267263" w:rsidRPr="009E0143" w:rsidRDefault="00267263" w:rsidP="00267263">
      <w:pPr>
        <w:rPr>
          <w:noProof w:val="0"/>
          <w:sz w:val="22"/>
          <w:szCs w:val="22"/>
          <w:lang w:val="lt-LT"/>
        </w:rPr>
      </w:pPr>
    </w:p>
    <w:p w14:paraId="42236F41" w14:textId="77777777" w:rsidR="00267263" w:rsidRPr="009E0143" w:rsidRDefault="00267263" w:rsidP="00267263">
      <w:pPr>
        <w:rPr>
          <w:noProof w:val="0"/>
          <w:sz w:val="22"/>
          <w:szCs w:val="22"/>
          <w:lang w:val="lt-LT"/>
        </w:rPr>
      </w:pPr>
    </w:p>
    <w:p w14:paraId="29C49615" w14:textId="77777777" w:rsidR="007E2518" w:rsidRPr="009E0143" w:rsidRDefault="007E2518" w:rsidP="007F3518">
      <w:pPr>
        <w:keepNext/>
        <w:keepLines/>
        <w:tabs>
          <w:tab w:val="left" w:pos="567"/>
        </w:tabs>
        <w:outlineLvl w:val="2"/>
        <w:rPr>
          <w:sz w:val="22"/>
          <w:szCs w:val="22"/>
          <w:lang w:val="lt-LT"/>
        </w:rPr>
      </w:pPr>
      <w:r w:rsidRPr="009E0143">
        <w:rPr>
          <w:b/>
          <w:sz w:val="22"/>
          <w:szCs w:val="22"/>
          <w:lang w:val="lt-LT"/>
        </w:rPr>
        <w:t>9.</w:t>
      </w:r>
      <w:r w:rsidRPr="009E0143">
        <w:rPr>
          <w:b/>
          <w:sz w:val="22"/>
          <w:szCs w:val="22"/>
          <w:lang w:val="lt-LT"/>
        </w:rPr>
        <w:tab/>
        <w:t>REGISTRAVIMO / PERREGISTRAVIMO DATA</w:t>
      </w:r>
    </w:p>
    <w:p w14:paraId="75BE6DA8" w14:textId="77777777" w:rsidR="007E2518" w:rsidRPr="009E0143" w:rsidRDefault="007E2518" w:rsidP="007F3518">
      <w:pPr>
        <w:rPr>
          <w:sz w:val="22"/>
          <w:szCs w:val="22"/>
          <w:lang w:val="lt-LT"/>
        </w:rPr>
      </w:pPr>
    </w:p>
    <w:p w14:paraId="2581B18E" w14:textId="728493E7" w:rsidR="007E2518" w:rsidRPr="009E0143" w:rsidRDefault="007E2518" w:rsidP="007F3518">
      <w:pPr>
        <w:rPr>
          <w:sz w:val="22"/>
          <w:szCs w:val="22"/>
          <w:lang w:val="lt-LT"/>
        </w:rPr>
      </w:pPr>
      <w:r w:rsidRPr="009E0143">
        <w:rPr>
          <w:sz w:val="22"/>
          <w:szCs w:val="22"/>
          <w:lang w:val="lt-LT"/>
        </w:rPr>
        <w:t xml:space="preserve">Registravimo data </w:t>
      </w:r>
      <w:r w:rsidR="00267263" w:rsidRPr="009E0143">
        <w:rPr>
          <w:sz w:val="22"/>
          <w:szCs w:val="22"/>
          <w:lang w:val="lt-LT"/>
        </w:rPr>
        <w:t>2022 m. kovo 17 d.</w:t>
      </w:r>
    </w:p>
    <w:p w14:paraId="7B85613C" w14:textId="77777777" w:rsidR="00B93DD4" w:rsidRPr="009E0143" w:rsidRDefault="00B93DD4" w:rsidP="007F3518">
      <w:pPr>
        <w:rPr>
          <w:noProof w:val="0"/>
          <w:sz w:val="22"/>
          <w:szCs w:val="22"/>
          <w:lang w:val="lt-LT"/>
        </w:rPr>
      </w:pPr>
    </w:p>
    <w:p w14:paraId="46F03408" w14:textId="77777777" w:rsidR="000850E3" w:rsidRPr="009E0143" w:rsidRDefault="000850E3" w:rsidP="007F3518">
      <w:pPr>
        <w:rPr>
          <w:noProof w:val="0"/>
          <w:sz w:val="22"/>
          <w:szCs w:val="22"/>
          <w:lang w:val="lt-LT"/>
        </w:rPr>
      </w:pPr>
    </w:p>
    <w:p w14:paraId="0808ECDA" w14:textId="77777777" w:rsidR="007E2518" w:rsidRPr="009E0143" w:rsidRDefault="007E2518" w:rsidP="007F3518">
      <w:pPr>
        <w:keepNext/>
        <w:keepLines/>
        <w:tabs>
          <w:tab w:val="left" w:pos="567"/>
        </w:tabs>
        <w:outlineLvl w:val="2"/>
        <w:rPr>
          <w:sz w:val="22"/>
          <w:szCs w:val="22"/>
          <w:lang w:val="lt-LT"/>
        </w:rPr>
      </w:pPr>
      <w:r w:rsidRPr="009E0143">
        <w:rPr>
          <w:b/>
          <w:sz w:val="22"/>
          <w:szCs w:val="22"/>
          <w:lang w:val="lt-LT"/>
        </w:rPr>
        <w:t>10.</w:t>
      </w:r>
      <w:r w:rsidRPr="009E0143">
        <w:rPr>
          <w:b/>
          <w:sz w:val="22"/>
          <w:szCs w:val="22"/>
          <w:lang w:val="lt-LT"/>
        </w:rPr>
        <w:tab/>
        <w:t>TEKSTO PERŽIŪROS DATA</w:t>
      </w:r>
    </w:p>
    <w:p w14:paraId="597327C8" w14:textId="0D9A08E0" w:rsidR="007E2518" w:rsidRPr="009E0143" w:rsidRDefault="007E2518" w:rsidP="007F3518">
      <w:pPr>
        <w:rPr>
          <w:sz w:val="22"/>
          <w:szCs w:val="22"/>
          <w:lang w:val="lt-LT"/>
        </w:rPr>
      </w:pPr>
    </w:p>
    <w:p w14:paraId="632B075E" w14:textId="35A0B16F" w:rsidR="00267263" w:rsidRPr="009E0143" w:rsidRDefault="00267263" w:rsidP="007F3518">
      <w:pPr>
        <w:rPr>
          <w:sz w:val="22"/>
          <w:szCs w:val="22"/>
          <w:lang w:val="lt-LT"/>
        </w:rPr>
      </w:pPr>
      <w:r w:rsidRPr="009E0143">
        <w:rPr>
          <w:sz w:val="22"/>
          <w:szCs w:val="22"/>
          <w:lang w:val="lt-LT"/>
        </w:rPr>
        <w:t>202</w:t>
      </w:r>
      <w:r w:rsidR="006802C8">
        <w:rPr>
          <w:sz w:val="22"/>
          <w:szCs w:val="22"/>
          <w:lang w:val="lt-LT"/>
        </w:rPr>
        <w:t>5</w:t>
      </w:r>
      <w:r w:rsidRPr="009E0143">
        <w:rPr>
          <w:sz w:val="22"/>
          <w:szCs w:val="22"/>
          <w:lang w:val="lt-LT"/>
        </w:rPr>
        <w:t xml:space="preserve"> m. </w:t>
      </w:r>
      <w:r w:rsidR="006802C8">
        <w:rPr>
          <w:sz w:val="22"/>
          <w:szCs w:val="22"/>
          <w:lang w:val="lt-LT"/>
        </w:rPr>
        <w:t>sausio 24</w:t>
      </w:r>
      <w:r w:rsidR="00C757BC" w:rsidRPr="009E0143">
        <w:rPr>
          <w:sz w:val="22"/>
          <w:szCs w:val="22"/>
          <w:lang w:val="lt-LT"/>
        </w:rPr>
        <w:t> </w:t>
      </w:r>
      <w:r w:rsidRPr="009E0143">
        <w:rPr>
          <w:sz w:val="22"/>
          <w:szCs w:val="22"/>
          <w:lang w:val="lt-LT"/>
        </w:rPr>
        <w:t>d.</w:t>
      </w:r>
    </w:p>
    <w:p w14:paraId="69532B33" w14:textId="77777777" w:rsidR="0008298C" w:rsidRPr="009E0143" w:rsidRDefault="0008298C" w:rsidP="007F3518">
      <w:pPr>
        <w:rPr>
          <w:sz w:val="22"/>
          <w:szCs w:val="22"/>
          <w:lang w:val="lt-LT"/>
        </w:rPr>
      </w:pPr>
    </w:p>
    <w:p w14:paraId="7DC6419C" w14:textId="3514E52E" w:rsidR="0008298C" w:rsidRPr="009E0143" w:rsidRDefault="0008298C" w:rsidP="0008298C">
      <w:pPr>
        <w:tabs>
          <w:tab w:val="left" w:pos="5954"/>
          <w:tab w:val="left" w:pos="6237"/>
          <w:tab w:val="left" w:pos="6663"/>
          <w:tab w:val="left" w:pos="6946"/>
        </w:tabs>
        <w:rPr>
          <w:sz w:val="22"/>
          <w:szCs w:val="22"/>
          <w:lang w:val="lt-LT"/>
        </w:rPr>
      </w:pPr>
      <w:r w:rsidRPr="009E0143">
        <w:rPr>
          <w:sz w:val="22"/>
          <w:szCs w:val="22"/>
          <w:lang w:val="lt-LT"/>
        </w:rPr>
        <w:t>Išsami informacija apie šį vaistinį preparatą pateikiama Valstybinės vaistų kontrolės tarnybos prie Lietuvos Respublikos sveikatos apsaugos ministerijos tinklalapyje</w:t>
      </w:r>
      <w:r w:rsidRPr="009E0143">
        <w:rPr>
          <w:i/>
          <w:sz w:val="22"/>
          <w:szCs w:val="22"/>
          <w:lang w:val="lt-LT"/>
        </w:rPr>
        <w:t xml:space="preserve"> </w:t>
      </w:r>
      <w:bookmarkStart w:id="6" w:name="_Hlk174387399"/>
      <w:r w:rsidR="006802C8" w:rsidRPr="006802C8">
        <w:rPr>
          <w:rFonts w:eastAsia="Times New Roman"/>
          <w:noProof w:val="0"/>
          <w:szCs w:val="20"/>
          <w:lang w:val="lt-LT" w:eastAsia="en-US"/>
        </w:rPr>
        <w:fldChar w:fldCharType="begin"/>
      </w:r>
      <w:r w:rsidR="006802C8" w:rsidRPr="006802C8">
        <w:rPr>
          <w:rFonts w:eastAsia="Times New Roman"/>
          <w:noProof w:val="0"/>
          <w:szCs w:val="20"/>
          <w:lang w:val="lt-LT" w:eastAsia="en-US"/>
        </w:rPr>
        <w:instrText>HYPERLINK "https://vvkt.lrv.lt/lt/"</w:instrText>
      </w:r>
      <w:r w:rsidR="006802C8" w:rsidRPr="006802C8">
        <w:rPr>
          <w:rFonts w:eastAsia="Times New Roman"/>
          <w:noProof w:val="0"/>
          <w:szCs w:val="20"/>
          <w:lang w:val="lt-LT" w:eastAsia="en-US"/>
        </w:rPr>
      </w:r>
      <w:r w:rsidR="006802C8" w:rsidRPr="006802C8">
        <w:rPr>
          <w:rFonts w:eastAsia="Times New Roman"/>
          <w:noProof w:val="0"/>
          <w:szCs w:val="20"/>
          <w:lang w:val="lt-LT" w:eastAsia="en-US"/>
        </w:rPr>
        <w:fldChar w:fldCharType="separate"/>
      </w:r>
      <w:r w:rsidR="006802C8" w:rsidRPr="006802C8">
        <w:rPr>
          <w:noProof w:val="0"/>
          <w:color w:val="0000FF"/>
          <w:sz w:val="22"/>
          <w:szCs w:val="22"/>
          <w:u w:val="single"/>
          <w:lang w:val="lt-LT" w:eastAsia="en-US"/>
        </w:rPr>
        <w:t>https://vvkt.lrv.lt/lt/</w:t>
      </w:r>
      <w:r w:rsidR="006802C8" w:rsidRPr="006802C8">
        <w:rPr>
          <w:noProof w:val="0"/>
          <w:color w:val="0000FF"/>
          <w:sz w:val="22"/>
          <w:szCs w:val="22"/>
          <w:u w:val="single"/>
          <w:lang w:val="lt-LT" w:eastAsia="en-US"/>
        </w:rPr>
        <w:fldChar w:fldCharType="end"/>
      </w:r>
      <w:r w:rsidR="006802C8" w:rsidRPr="006802C8">
        <w:rPr>
          <w:noProof w:val="0"/>
          <w:sz w:val="22"/>
          <w:szCs w:val="22"/>
          <w:lang w:val="lt-LT" w:eastAsia="en-US"/>
        </w:rPr>
        <w:t>.</w:t>
      </w:r>
      <w:bookmarkEnd w:id="6"/>
    </w:p>
    <w:p w14:paraId="30C1B8FA" w14:textId="77777777" w:rsidR="0008298C" w:rsidRPr="009E0143" w:rsidRDefault="0008298C" w:rsidP="007F3518">
      <w:pPr>
        <w:rPr>
          <w:sz w:val="22"/>
          <w:szCs w:val="22"/>
          <w:lang w:val="lt-LT"/>
        </w:rPr>
      </w:pPr>
    </w:p>
    <w:p w14:paraId="31CA1386" w14:textId="77777777" w:rsidR="007E2518" w:rsidRPr="009E0143" w:rsidRDefault="00157A1F" w:rsidP="007F3518">
      <w:pPr>
        <w:tabs>
          <w:tab w:val="left" w:pos="567"/>
        </w:tabs>
        <w:rPr>
          <w:sz w:val="22"/>
          <w:szCs w:val="22"/>
          <w:lang w:val="lt-LT"/>
        </w:rPr>
      </w:pPr>
      <w:r w:rsidRPr="009E0143">
        <w:rPr>
          <w:iCs/>
          <w:noProof w:val="0"/>
          <w:sz w:val="22"/>
          <w:szCs w:val="22"/>
          <w:lang w:val="lt-LT"/>
        </w:rPr>
        <w:br w:type="page"/>
      </w:r>
    </w:p>
    <w:p w14:paraId="305BDCCA" w14:textId="77777777" w:rsidR="007E2518" w:rsidRPr="009E0143" w:rsidRDefault="007E2518" w:rsidP="00F56562">
      <w:pPr>
        <w:tabs>
          <w:tab w:val="left" w:pos="567"/>
        </w:tabs>
        <w:rPr>
          <w:sz w:val="22"/>
          <w:szCs w:val="22"/>
          <w:lang w:val="lt-LT"/>
        </w:rPr>
      </w:pPr>
    </w:p>
    <w:p w14:paraId="4F31F471" w14:textId="77777777" w:rsidR="007E2518" w:rsidRPr="009E0143" w:rsidRDefault="007E2518" w:rsidP="00F56562">
      <w:pPr>
        <w:tabs>
          <w:tab w:val="left" w:pos="567"/>
        </w:tabs>
        <w:rPr>
          <w:sz w:val="22"/>
          <w:szCs w:val="22"/>
          <w:lang w:val="lt-LT"/>
        </w:rPr>
      </w:pPr>
    </w:p>
    <w:p w14:paraId="4A7B82B2" w14:textId="77777777" w:rsidR="007E2518" w:rsidRPr="009E0143" w:rsidRDefault="007E2518" w:rsidP="00F56562">
      <w:pPr>
        <w:tabs>
          <w:tab w:val="left" w:pos="567"/>
        </w:tabs>
        <w:rPr>
          <w:sz w:val="22"/>
          <w:szCs w:val="22"/>
          <w:lang w:val="lt-LT"/>
        </w:rPr>
      </w:pPr>
    </w:p>
    <w:p w14:paraId="7F51B2DD" w14:textId="77777777" w:rsidR="007E2518" w:rsidRPr="009E0143" w:rsidRDefault="007E2518" w:rsidP="00F56562">
      <w:pPr>
        <w:tabs>
          <w:tab w:val="left" w:pos="567"/>
        </w:tabs>
        <w:rPr>
          <w:sz w:val="22"/>
          <w:szCs w:val="22"/>
          <w:lang w:val="lt-LT"/>
        </w:rPr>
      </w:pPr>
    </w:p>
    <w:p w14:paraId="7C47BE12" w14:textId="77777777" w:rsidR="007E2518" w:rsidRPr="009E0143" w:rsidRDefault="007E2518" w:rsidP="00F56562">
      <w:pPr>
        <w:tabs>
          <w:tab w:val="left" w:pos="567"/>
        </w:tabs>
        <w:rPr>
          <w:sz w:val="22"/>
          <w:szCs w:val="22"/>
          <w:lang w:val="lt-LT"/>
        </w:rPr>
      </w:pPr>
    </w:p>
    <w:p w14:paraId="6753A70E" w14:textId="77777777" w:rsidR="007E2518" w:rsidRPr="009E0143" w:rsidRDefault="007E2518" w:rsidP="00F56562">
      <w:pPr>
        <w:tabs>
          <w:tab w:val="left" w:pos="567"/>
        </w:tabs>
        <w:rPr>
          <w:sz w:val="22"/>
          <w:szCs w:val="22"/>
          <w:lang w:val="lt-LT"/>
        </w:rPr>
      </w:pPr>
    </w:p>
    <w:p w14:paraId="0F3CC14B" w14:textId="77777777" w:rsidR="007E2518" w:rsidRPr="009E0143" w:rsidRDefault="007E2518" w:rsidP="00F56562">
      <w:pPr>
        <w:tabs>
          <w:tab w:val="left" w:pos="567"/>
        </w:tabs>
        <w:rPr>
          <w:sz w:val="22"/>
          <w:szCs w:val="22"/>
          <w:lang w:val="lt-LT"/>
        </w:rPr>
      </w:pPr>
    </w:p>
    <w:p w14:paraId="28D021BB" w14:textId="77777777" w:rsidR="007E2518" w:rsidRPr="009E0143" w:rsidRDefault="007E2518" w:rsidP="00F56562">
      <w:pPr>
        <w:tabs>
          <w:tab w:val="left" w:pos="567"/>
        </w:tabs>
        <w:rPr>
          <w:sz w:val="22"/>
          <w:szCs w:val="22"/>
          <w:lang w:val="lt-LT"/>
        </w:rPr>
      </w:pPr>
    </w:p>
    <w:p w14:paraId="53AAC159" w14:textId="77777777" w:rsidR="007E2518" w:rsidRPr="009E0143" w:rsidRDefault="007E2518" w:rsidP="00F56562">
      <w:pPr>
        <w:tabs>
          <w:tab w:val="left" w:pos="567"/>
        </w:tabs>
        <w:rPr>
          <w:sz w:val="22"/>
          <w:szCs w:val="22"/>
          <w:lang w:val="lt-LT"/>
        </w:rPr>
      </w:pPr>
    </w:p>
    <w:p w14:paraId="58C858EF" w14:textId="77777777" w:rsidR="007E2518" w:rsidRPr="009E0143" w:rsidRDefault="007E2518" w:rsidP="00F56562">
      <w:pPr>
        <w:tabs>
          <w:tab w:val="left" w:pos="567"/>
        </w:tabs>
        <w:rPr>
          <w:sz w:val="22"/>
          <w:szCs w:val="22"/>
          <w:lang w:val="lt-LT"/>
        </w:rPr>
      </w:pPr>
    </w:p>
    <w:p w14:paraId="1908AE5B" w14:textId="77777777" w:rsidR="007E2518" w:rsidRPr="009E0143" w:rsidRDefault="007E2518" w:rsidP="00F56562">
      <w:pPr>
        <w:tabs>
          <w:tab w:val="left" w:pos="567"/>
        </w:tabs>
        <w:rPr>
          <w:sz w:val="22"/>
          <w:szCs w:val="22"/>
          <w:lang w:val="lt-LT"/>
        </w:rPr>
      </w:pPr>
    </w:p>
    <w:p w14:paraId="7D159140" w14:textId="77777777" w:rsidR="007E2518" w:rsidRPr="009E0143" w:rsidRDefault="007E2518" w:rsidP="00F56562">
      <w:pPr>
        <w:tabs>
          <w:tab w:val="left" w:pos="567"/>
        </w:tabs>
        <w:rPr>
          <w:sz w:val="22"/>
          <w:szCs w:val="22"/>
          <w:lang w:val="lt-LT"/>
        </w:rPr>
      </w:pPr>
    </w:p>
    <w:p w14:paraId="3F724D4B" w14:textId="77777777" w:rsidR="00A32F9C" w:rsidRPr="009E0143" w:rsidRDefault="00A32F9C" w:rsidP="00F56562">
      <w:pPr>
        <w:tabs>
          <w:tab w:val="left" w:pos="567"/>
        </w:tabs>
        <w:jc w:val="center"/>
        <w:rPr>
          <w:b/>
          <w:sz w:val="22"/>
          <w:szCs w:val="22"/>
          <w:lang w:val="lt-LT"/>
        </w:rPr>
      </w:pPr>
    </w:p>
    <w:p w14:paraId="1F0C18A1" w14:textId="77777777" w:rsidR="00A32F9C" w:rsidRPr="009E0143" w:rsidRDefault="00A32F9C" w:rsidP="00F56562">
      <w:pPr>
        <w:tabs>
          <w:tab w:val="left" w:pos="567"/>
        </w:tabs>
        <w:jc w:val="center"/>
        <w:rPr>
          <w:b/>
          <w:sz w:val="22"/>
          <w:szCs w:val="22"/>
          <w:lang w:val="lt-LT"/>
        </w:rPr>
      </w:pPr>
    </w:p>
    <w:p w14:paraId="2E199EEC" w14:textId="77777777" w:rsidR="00A32F9C" w:rsidRPr="009E0143" w:rsidRDefault="00A32F9C" w:rsidP="00F56562">
      <w:pPr>
        <w:tabs>
          <w:tab w:val="left" w:pos="567"/>
        </w:tabs>
        <w:jc w:val="center"/>
        <w:rPr>
          <w:b/>
          <w:sz w:val="22"/>
          <w:szCs w:val="22"/>
          <w:lang w:val="lt-LT"/>
        </w:rPr>
      </w:pPr>
    </w:p>
    <w:p w14:paraId="27F293AF" w14:textId="77777777" w:rsidR="00A32F9C" w:rsidRPr="009E0143" w:rsidRDefault="00A32F9C" w:rsidP="00F56562">
      <w:pPr>
        <w:tabs>
          <w:tab w:val="left" w:pos="567"/>
        </w:tabs>
        <w:jc w:val="center"/>
        <w:rPr>
          <w:b/>
          <w:sz w:val="22"/>
          <w:szCs w:val="22"/>
          <w:lang w:val="lt-LT"/>
        </w:rPr>
      </w:pPr>
    </w:p>
    <w:p w14:paraId="20187326" w14:textId="77777777" w:rsidR="00A32F9C" w:rsidRPr="009E0143" w:rsidRDefault="00A32F9C" w:rsidP="00F56562">
      <w:pPr>
        <w:tabs>
          <w:tab w:val="left" w:pos="567"/>
        </w:tabs>
        <w:jc w:val="center"/>
        <w:rPr>
          <w:b/>
          <w:sz w:val="22"/>
          <w:szCs w:val="22"/>
          <w:lang w:val="lt-LT"/>
        </w:rPr>
      </w:pPr>
    </w:p>
    <w:p w14:paraId="650632B9" w14:textId="77777777" w:rsidR="00A32F9C" w:rsidRPr="009E0143" w:rsidRDefault="00A32F9C" w:rsidP="00F56562">
      <w:pPr>
        <w:tabs>
          <w:tab w:val="left" w:pos="567"/>
        </w:tabs>
        <w:jc w:val="center"/>
        <w:rPr>
          <w:b/>
          <w:sz w:val="22"/>
          <w:szCs w:val="22"/>
          <w:lang w:val="lt-LT"/>
        </w:rPr>
      </w:pPr>
    </w:p>
    <w:p w14:paraId="39D4CCB5" w14:textId="77777777" w:rsidR="00A32F9C" w:rsidRPr="009E0143" w:rsidRDefault="00A32F9C" w:rsidP="00F56562">
      <w:pPr>
        <w:tabs>
          <w:tab w:val="left" w:pos="567"/>
        </w:tabs>
        <w:jc w:val="center"/>
        <w:rPr>
          <w:b/>
          <w:sz w:val="22"/>
          <w:szCs w:val="22"/>
          <w:lang w:val="lt-LT"/>
        </w:rPr>
      </w:pPr>
    </w:p>
    <w:p w14:paraId="33BE0C01" w14:textId="77777777" w:rsidR="00A32F9C" w:rsidRPr="009E0143" w:rsidRDefault="00A32F9C" w:rsidP="00F56562">
      <w:pPr>
        <w:tabs>
          <w:tab w:val="left" w:pos="567"/>
        </w:tabs>
        <w:jc w:val="center"/>
        <w:rPr>
          <w:b/>
          <w:sz w:val="22"/>
          <w:szCs w:val="22"/>
          <w:lang w:val="lt-LT"/>
        </w:rPr>
      </w:pPr>
    </w:p>
    <w:p w14:paraId="1CDF4A72" w14:textId="77777777" w:rsidR="00A32F9C" w:rsidRPr="009E0143" w:rsidRDefault="00A32F9C" w:rsidP="00F56562">
      <w:pPr>
        <w:tabs>
          <w:tab w:val="left" w:pos="567"/>
        </w:tabs>
        <w:jc w:val="center"/>
        <w:rPr>
          <w:b/>
          <w:sz w:val="22"/>
          <w:szCs w:val="22"/>
          <w:lang w:val="lt-LT"/>
        </w:rPr>
      </w:pPr>
    </w:p>
    <w:p w14:paraId="3D37C737" w14:textId="77777777" w:rsidR="00A32F9C" w:rsidRPr="009E0143" w:rsidRDefault="00A32F9C" w:rsidP="00F56562">
      <w:pPr>
        <w:tabs>
          <w:tab w:val="left" w:pos="567"/>
        </w:tabs>
        <w:jc w:val="center"/>
        <w:rPr>
          <w:b/>
          <w:sz w:val="22"/>
          <w:szCs w:val="22"/>
          <w:lang w:val="lt-LT"/>
        </w:rPr>
      </w:pPr>
    </w:p>
    <w:p w14:paraId="1FE24D9E" w14:textId="77777777" w:rsidR="007E2518" w:rsidRPr="009E0143" w:rsidRDefault="007E2518" w:rsidP="00F56562">
      <w:pPr>
        <w:tabs>
          <w:tab w:val="left" w:pos="567"/>
        </w:tabs>
        <w:jc w:val="center"/>
        <w:rPr>
          <w:b/>
          <w:sz w:val="22"/>
          <w:szCs w:val="22"/>
          <w:lang w:val="lt-LT"/>
        </w:rPr>
      </w:pPr>
      <w:r w:rsidRPr="009E0143">
        <w:rPr>
          <w:b/>
          <w:sz w:val="22"/>
          <w:szCs w:val="22"/>
          <w:lang w:val="lt-LT"/>
        </w:rPr>
        <w:t>II PRIEDAS</w:t>
      </w:r>
    </w:p>
    <w:p w14:paraId="47C8688F" w14:textId="77777777" w:rsidR="007E2518" w:rsidRPr="009E0143" w:rsidRDefault="007E2518" w:rsidP="00F56562">
      <w:pPr>
        <w:tabs>
          <w:tab w:val="left" w:pos="567"/>
        </w:tabs>
        <w:ind w:left="1701" w:right="1416" w:hanging="567"/>
        <w:rPr>
          <w:sz w:val="22"/>
          <w:szCs w:val="22"/>
          <w:lang w:val="lt-LT"/>
        </w:rPr>
      </w:pPr>
    </w:p>
    <w:p w14:paraId="6E601EB2" w14:textId="77777777" w:rsidR="007E2518" w:rsidRPr="009E0143" w:rsidRDefault="007E2518" w:rsidP="00F56562">
      <w:pPr>
        <w:tabs>
          <w:tab w:val="left" w:pos="567"/>
        </w:tabs>
        <w:jc w:val="center"/>
        <w:rPr>
          <w:i/>
          <w:sz w:val="22"/>
          <w:szCs w:val="22"/>
          <w:lang w:val="lt-LT"/>
        </w:rPr>
      </w:pPr>
      <w:r w:rsidRPr="009E0143">
        <w:rPr>
          <w:b/>
          <w:sz w:val="22"/>
          <w:szCs w:val="22"/>
          <w:lang w:val="lt-LT"/>
        </w:rPr>
        <w:t>REGISTRACIJOS SĄLYGOS</w:t>
      </w:r>
    </w:p>
    <w:p w14:paraId="78869051" w14:textId="77777777" w:rsidR="007E2518" w:rsidRPr="009E0143" w:rsidRDefault="007E2518" w:rsidP="00F56562">
      <w:pPr>
        <w:tabs>
          <w:tab w:val="left" w:pos="567"/>
        </w:tabs>
        <w:rPr>
          <w:sz w:val="22"/>
          <w:szCs w:val="22"/>
          <w:lang w:val="lt-LT"/>
        </w:rPr>
      </w:pPr>
    </w:p>
    <w:p w14:paraId="5D5B64CA" w14:textId="77777777" w:rsidR="007E2518" w:rsidRPr="009E0143" w:rsidRDefault="007E2518" w:rsidP="00F56562">
      <w:pPr>
        <w:tabs>
          <w:tab w:val="left" w:pos="1701"/>
        </w:tabs>
        <w:ind w:left="1701" w:right="567" w:hanging="567"/>
        <w:rPr>
          <w:b/>
          <w:sz w:val="22"/>
          <w:szCs w:val="22"/>
          <w:lang w:val="lt-LT"/>
        </w:rPr>
      </w:pPr>
      <w:r w:rsidRPr="009E0143">
        <w:rPr>
          <w:b/>
          <w:sz w:val="22"/>
          <w:szCs w:val="22"/>
          <w:lang w:val="lt-LT"/>
        </w:rPr>
        <w:t>A.</w:t>
      </w:r>
      <w:r w:rsidRPr="009E0143">
        <w:rPr>
          <w:b/>
          <w:sz w:val="22"/>
          <w:szCs w:val="22"/>
          <w:lang w:val="lt-LT"/>
        </w:rPr>
        <w:tab/>
        <w:t>GAMINTOJAS (-AI), ATSAKINGAS (-I) UŽ SERIJŲ IŠLEIDIMĄ</w:t>
      </w:r>
    </w:p>
    <w:p w14:paraId="163692D8" w14:textId="77777777" w:rsidR="007E2518" w:rsidRPr="009E0143" w:rsidRDefault="007E2518" w:rsidP="00F56562">
      <w:pPr>
        <w:tabs>
          <w:tab w:val="left" w:pos="1701"/>
        </w:tabs>
        <w:ind w:left="567" w:right="567" w:hanging="567"/>
        <w:rPr>
          <w:sz w:val="22"/>
          <w:szCs w:val="22"/>
          <w:lang w:val="lt-LT"/>
        </w:rPr>
      </w:pPr>
    </w:p>
    <w:p w14:paraId="46AC2CCE" w14:textId="77777777" w:rsidR="007E2518" w:rsidRPr="009E0143" w:rsidRDefault="007E2518" w:rsidP="00F56562">
      <w:pPr>
        <w:tabs>
          <w:tab w:val="left" w:pos="1701"/>
        </w:tabs>
        <w:ind w:left="1701" w:right="567" w:hanging="567"/>
        <w:rPr>
          <w:b/>
          <w:sz w:val="22"/>
          <w:szCs w:val="22"/>
          <w:lang w:val="lt-LT"/>
        </w:rPr>
      </w:pPr>
      <w:r w:rsidRPr="009E0143">
        <w:rPr>
          <w:b/>
          <w:sz w:val="22"/>
          <w:szCs w:val="22"/>
          <w:lang w:val="lt-LT"/>
        </w:rPr>
        <w:t>B.</w:t>
      </w:r>
      <w:r w:rsidRPr="009E0143">
        <w:rPr>
          <w:b/>
          <w:sz w:val="22"/>
          <w:szCs w:val="22"/>
          <w:lang w:val="lt-LT"/>
        </w:rPr>
        <w:tab/>
        <w:t>TIEKIMO IR VARTOJIMO SĄLYGOS AR APRIBOJIMAI</w:t>
      </w:r>
    </w:p>
    <w:p w14:paraId="563FA77D" w14:textId="77777777" w:rsidR="007E2518" w:rsidRPr="009E0143" w:rsidRDefault="007E2518" w:rsidP="00F56562">
      <w:pPr>
        <w:tabs>
          <w:tab w:val="left" w:pos="1701"/>
        </w:tabs>
        <w:ind w:left="567" w:right="567" w:hanging="567"/>
        <w:rPr>
          <w:sz w:val="22"/>
          <w:szCs w:val="22"/>
          <w:lang w:val="lt-LT"/>
        </w:rPr>
      </w:pPr>
    </w:p>
    <w:p w14:paraId="63093947" w14:textId="77777777" w:rsidR="007E2518" w:rsidRPr="009E0143" w:rsidRDefault="007E2518" w:rsidP="00F56562">
      <w:pPr>
        <w:tabs>
          <w:tab w:val="left" w:pos="567"/>
        </w:tabs>
        <w:ind w:left="567" w:hanging="567"/>
        <w:rPr>
          <w:b/>
          <w:sz w:val="22"/>
          <w:szCs w:val="22"/>
          <w:lang w:val="lt-LT"/>
        </w:rPr>
      </w:pPr>
      <w:r w:rsidRPr="009E0143">
        <w:rPr>
          <w:sz w:val="22"/>
          <w:szCs w:val="22"/>
          <w:lang w:val="lt-LT"/>
        </w:rPr>
        <w:br w:type="page"/>
      </w:r>
      <w:r w:rsidRPr="009E0143">
        <w:rPr>
          <w:b/>
          <w:sz w:val="22"/>
          <w:szCs w:val="22"/>
          <w:lang w:val="lt-LT"/>
        </w:rPr>
        <w:lastRenderedPageBreak/>
        <w:t>A.</w:t>
      </w:r>
      <w:r w:rsidRPr="009E0143">
        <w:rPr>
          <w:b/>
          <w:sz w:val="22"/>
          <w:szCs w:val="22"/>
          <w:lang w:val="lt-LT"/>
        </w:rPr>
        <w:tab/>
        <w:t>GAMINTOJAS (-AI), ATSAKINGAS (-I) UŽ SERIJŲ IŠLEIDIMĄ</w:t>
      </w:r>
    </w:p>
    <w:p w14:paraId="73E754F2" w14:textId="77777777" w:rsidR="007E2518" w:rsidRPr="009E0143" w:rsidRDefault="007E2518" w:rsidP="00F56562">
      <w:pPr>
        <w:tabs>
          <w:tab w:val="left" w:pos="567"/>
        </w:tabs>
        <w:rPr>
          <w:sz w:val="22"/>
          <w:szCs w:val="22"/>
          <w:lang w:val="lt-LT"/>
        </w:rPr>
      </w:pPr>
    </w:p>
    <w:p w14:paraId="0CB2C74C" w14:textId="77777777" w:rsidR="007E2518" w:rsidRPr="009E0143" w:rsidRDefault="007E2518" w:rsidP="00F56562">
      <w:pPr>
        <w:tabs>
          <w:tab w:val="left" w:pos="567"/>
        </w:tabs>
        <w:jc w:val="both"/>
        <w:rPr>
          <w:sz w:val="22"/>
          <w:szCs w:val="22"/>
          <w:lang w:val="lt-LT"/>
        </w:rPr>
      </w:pPr>
      <w:r w:rsidRPr="009E0143">
        <w:rPr>
          <w:sz w:val="22"/>
          <w:szCs w:val="22"/>
          <w:u w:val="single"/>
          <w:lang w:val="lt-LT"/>
        </w:rPr>
        <w:t>Gamintojo (-ų), atsakingo (-ų) už serijų išleidimą, pavadinimas (-ai) ir adresas (-ai)</w:t>
      </w:r>
    </w:p>
    <w:p w14:paraId="419459FE" w14:textId="77777777" w:rsidR="007E2518" w:rsidRPr="009E0143" w:rsidRDefault="007E2518" w:rsidP="00F56562">
      <w:pPr>
        <w:tabs>
          <w:tab w:val="left" w:pos="567"/>
        </w:tabs>
        <w:rPr>
          <w:sz w:val="22"/>
          <w:szCs w:val="22"/>
          <w:lang w:val="lt-LT"/>
        </w:rPr>
      </w:pPr>
    </w:p>
    <w:p w14:paraId="734D45A1" w14:textId="77777777" w:rsidR="007F3518" w:rsidRPr="009E0143" w:rsidRDefault="007F3518" w:rsidP="007F3518">
      <w:pPr>
        <w:tabs>
          <w:tab w:val="left" w:pos="567"/>
        </w:tabs>
        <w:rPr>
          <w:sz w:val="22"/>
          <w:szCs w:val="22"/>
          <w:lang w:val="lt-LT"/>
        </w:rPr>
      </w:pPr>
      <w:r w:rsidRPr="009E0143">
        <w:rPr>
          <w:sz w:val="22"/>
          <w:szCs w:val="22"/>
          <w:lang w:val="lt-LT"/>
        </w:rPr>
        <w:t>Zentiva S.A.</w:t>
      </w:r>
    </w:p>
    <w:p w14:paraId="767521F4" w14:textId="77777777" w:rsidR="007F3518" w:rsidRPr="009E0143" w:rsidRDefault="007F3518" w:rsidP="007F3518">
      <w:pPr>
        <w:tabs>
          <w:tab w:val="left" w:pos="567"/>
        </w:tabs>
        <w:rPr>
          <w:sz w:val="22"/>
          <w:szCs w:val="22"/>
          <w:lang w:val="lt-LT"/>
        </w:rPr>
      </w:pPr>
      <w:r w:rsidRPr="009E0143">
        <w:rPr>
          <w:sz w:val="22"/>
          <w:szCs w:val="22"/>
          <w:lang w:val="lt-LT"/>
        </w:rPr>
        <w:t>Bulevardul Pallady Theodor  Nr. 50, Sector 3</w:t>
      </w:r>
    </w:p>
    <w:p w14:paraId="06A48036" w14:textId="77777777" w:rsidR="007F3518" w:rsidRPr="009E0143" w:rsidRDefault="008656A1" w:rsidP="007F3518">
      <w:pPr>
        <w:tabs>
          <w:tab w:val="left" w:pos="567"/>
        </w:tabs>
        <w:rPr>
          <w:sz w:val="22"/>
          <w:szCs w:val="22"/>
          <w:lang w:val="lt-LT"/>
        </w:rPr>
      </w:pPr>
      <w:r w:rsidRPr="009E0143">
        <w:rPr>
          <w:sz w:val="22"/>
          <w:szCs w:val="22"/>
          <w:lang w:val="lt-LT"/>
        </w:rPr>
        <w:t xml:space="preserve">032266 </w:t>
      </w:r>
      <w:r w:rsidR="007F3518" w:rsidRPr="009E0143">
        <w:rPr>
          <w:sz w:val="22"/>
          <w:szCs w:val="22"/>
          <w:lang w:val="lt-LT"/>
        </w:rPr>
        <w:t xml:space="preserve">Bucharest </w:t>
      </w:r>
    </w:p>
    <w:p w14:paraId="6FD740C0" w14:textId="77777777" w:rsidR="007F3518" w:rsidRPr="009E0143" w:rsidRDefault="007F3518" w:rsidP="007F3518">
      <w:pPr>
        <w:tabs>
          <w:tab w:val="left" w:pos="567"/>
        </w:tabs>
        <w:rPr>
          <w:sz w:val="22"/>
          <w:szCs w:val="22"/>
          <w:lang w:val="lt-LT"/>
        </w:rPr>
      </w:pPr>
      <w:r w:rsidRPr="009E0143">
        <w:rPr>
          <w:sz w:val="22"/>
          <w:szCs w:val="22"/>
          <w:lang w:val="lt-LT"/>
        </w:rPr>
        <w:t>Rumunija</w:t>
      </w:r>
    </w:p>
    <w:p w14:paraId="2FDBFB3D" w14:textId="77777777" w:rsidR="007E2518" w:rsidRPr="009E0143" w:rsidRDefault="007E2518" w:rsidP="00F56562">
      <w:pPr>
        <w:tabs>
          <w:tab w:val="left" w:pos="567"/>
        </w:tabs>
        <w:rPr>
          <w:sz w:val="22"/>
          <w:szCs w:val="22"/>
          <w:lang w:val="lt-LT"/>
        </w:rPr>
      </w:pPr>
    </w:p>
    <w:p w14:paraId="254225CF" w14:textId="77777777" w:rsidR="007E2518" w:rsidRPr="009E0143" w:rsidRDefault="007E2518" w:rsidP="00F56562">
      <w:pPr>
        <w:tabs>
          <w:tab w:val="left" w:pos="567"/>
        </w:tabs>
        <w:rPr>
          <w:sz w:val="22"/>
          <w:szCs w:val="22"/>
          <w:lang w:val="lt-LT"/>
        </w:rPr>
      </w:pPr>
    </w:p>
    <w:p w14:paraId="75B13716" w14:textId="77777777" w:rsidR="007E2518" w:rsidRPr="009E0143" w:rsidRDefault="007E2518" w:rsidP="00F56562">
      <w:pPr>
        <w:tabs>
          <w:tab w:val="left" w:pos="567"/>
        </w:tabs>
        <w:ind w:left="567" w:hanging="567"/>
        <w:rPr>
          <w:sz w:val="22"/>
          <w:szCs w:val="22"/>
          <w:lang w:val="lt-LT"/>
        </w:rPr>
      </w:pPr>
      <w:r w:rsidRPr="009E0143">
        <w:rPr>
          <w:b/>
          <w:sz w:val="22"/>
          <w:szCs w:val="22"/>
          <w:lang w:val="lt-LT"/>
        </w:rPr>
        <w:t>B.</w:t>
      </w:r>
      <w:r w:rsidRPr="009E0143">
        <w:rPr>
          <w:b/>
          <w:sz w:val="22"/>
          <w:szCs w:val="22"/>
          <w:lang w:val="lt-LT"/>
        </w:rPr>
        <w:tab/>
        <w:t>TIEKIMO IR VARTOJIMO SĄLYGOS AR APRIBOJIMAI</w:t>
      </w:r>
    </w:p>
    <w:p w14:paraId="2A9B2C5F" w14:textId="77777777" w:rsidR="007E2518" w:rsidRPr="009E0143" w:rsidRDefault="007E2518" w:rsidP="00F56562">
      <w:pPr>
        <w:tabs>
          <w:tab w:val="left" w:pos="567"/>
        </w:tabs>
        <w:rPr>
          <w:sz w:val="22"/>
          <w:szCs w:val="22"/>
          <w:lang w:val="lt-LT"/>
        </w:rPr>
      </w:pPr>
    </w:p>
    <w:p w14:paraId="1E020936" w14:textId="77777777" w:rsidR="007E2518" w:rsidRPr="009E0143" w:rsidRDefault="007F3518" w:rsidP="00F56562">
      <w:pPr>
        <w:tabs>
          <w:tab w:val="left" w:pos="567"/>
        </w:tabs>
        <w:rPr>
          <w:sz w:val="22"/>
          <w:szCs w:val="22"/>
          <w:lang w:val="lt-LT"/>
        </w:rPr>
      </w:pPr>
      <w:r w:rsidRPr="009E0143">
        <w:rPr>
          <w:sz w:val="22"/>
          <w:szCs w:val="22"/>
          <w:lang w:val="lt-LT"/>
        </w:rPr>
        <w:t>R</w:t>
      </w:r>
      <w:r w:rsidR="007E2518" w:rsidRPr="009E0143">
        <w:rPr>
          <w:sz w:val="22"/>
          <w:szCs w:val="22"/>
          <w:lang w:val="lt-LT"/>
        </w:rPr>
        <w:t>eceptinis vaistinis preparatas.</w:t>
      </w:r>
    </w:p>
    <w:p w14:paraId="4F282825" w14:textId="77777777" w:rsidR="008F31C2" w:rsidRPr="009E0143" w:rsidRDefault="008F31C2" w:rsidP="00F56562">
      <w:pPr>
        <w:tabs>
          <w:tab w:val="left" w:pos="567"/>
        </w:tabs>
        <w:rPr>
          <w:sz w:val="22"/>
          <w:szCs w:val="22"/>
          <w:lang w:val="lt-LT"/>
        </w:rPr>
      </w:pPr>
    </w:p>
    <w:p w14:paraId="5298F0E0" w14:textId="77777777" w:rsidR="00157A1F" w:rsidRPr="009E0143" w:rsidRDefault="00157A1F" w:rsidP="00F56562">
      <w:pPr>
        <w:jc w:val="both"/>
        <w:rPr>
          <w:iCs/>
          <w:noProof w:val="0"/>
          <w:sz w:val="22"/>
          <w:szCs w:val="22"/>
          <w:lang w:val="lt-LT"/>
        </w:rPr>
      </w:pPr>
    </w:p>
    <w:p w14:paraId="505DAE9F" w14:textId="77777777" w:rsidR="004D7513" w:rsidRPr="009E0143" w:rsidRDefault="003C146E" w:rsidP="00F56562">
      <w:pPr>
        <w:tabs>
          <w:tab w:val="left" w:pos="4962"/>
        </w:tabs>
        <w:rPr>
          <w:sz w:val="22"/>
          <w:szCs w:val="22"/>
          <w:lang w:val="lt-LT"/>
        </w:rPr>
      </w:pPr>
      <w:r w:rsidRPr="009E0143">
        <w:rPr>
          <w:iCs/>
          <w:noProof w:val="0"/>
          <w:sz w:val="22"/>
          <w:szCs w:val="22"/>
          <w:lang w:val="lt-LT"/>
        </w:rPr>
        <w:br w:type="page"/>
      </w:r>
    </w:p>
    <w:p w14:paraId="3500DD28" w14:textId="77777777" w:rsidR="004D7513" w:rsidRPr="009E0143" w:rsidRDefault="004D7513" w:rsidP="00F56562">
      <w:pPr>
        <w:tabs>
          <w:tab w:val="left" w:pos="567"/>
        </w:tabs>
        <w:rPr>
          <w:sz w:val="22"/>
          <w:szCs w:val="22"/>
          <w:lang w:val="lt-LT"/>
        </w:rPr>
      </w:pPr>
    </w:p>
    <w:p w14:paraId="7D3127BC" w14:textId="77777777" w:rsidR="004D7513" w:rsidRPr="009E0143" w:rsidRDefault="004D7513" w:rsidP="00F56562">
      <w:pPr>
        <w:tabs>
          <w:tab w:val="left" w:pos="567"/>
        </w:tabs>
        <w:rPr>
          <w:sz w:val="22"/>
          <w:szCs w:val="22"/>
          <w:lang w:val="lt-LT"/>
        </w:rPr>
      </w:pPr>
    </w:p>
    <w:p w14:paraId="61CE6030" w14:textId="77777777" w:rsidR="004D7513" w:rsidRPr="009E0143" w:rsidRDefault="004D7513" w:rsidP="00F56562">
      <w:pPr>
        <w:tabs>
          <w:tab w:val="left" w:pos="567"/>
        </w:tabs>
        <w:rPr>
          <w:sz w:val="22"/>
          <w:szCs w:val="22"/>
          <w:lang w:val="lt-LT"/>
        </w:rPr>
      </w:pPr>
    </w:p>
    <w:p w14:paraId="454D0C3F" w14:textId="77777777" w:rsidR="004D7513" w:rsidRPr="009E0143" w:rsidRDefault="004D7513" w:rsidP="00F56562">
      <w:pPr>
        <w:tabs>
          <w:tab w:val="left" w:pos="567"/>
        </w:tabs>
        <w:rPr>
          <w:sz w:val="22"/>
          <w:szCs w:val="22"/>
          <w:lang w:val="lt-LT"/>
        </w:rPr>
      </w:pPr>
    </w:p>
    <w:p w14:paraId="37DB9B90" w14:textId="77777777" w:rsidR="004D7513" w:rsidRPr="009E0143" w:rsidRDefault="004D7513" w:rsidP="00F56562">
      <w:pPr>
        <w:tabs>
          <w:tab w:val="left" w:pos="567"/>
        </w:tabs>
        <w:rPr>
          <w:sz w:val="22"/>
          <w:szCs w:val="22"/>
          <w:lang w:val="lt-LT"/>
        </w:rPr>
      </w:pPr>
    </w:p>
    <w:p w14:paraId="7EEBB282" w14:textId="77777777" w:rsidR="004D7513" w:rsidRPr="009E0143" w:rsidRDefault="004D7513" w:rsidP="00F56562">
      <w:pPr>
        <w:tabs>
          <w:tab w:val="left" w:pos="567"/>
        </w:tabs>
        <w:rPr>
          <w:sz w:val="22"/>
          <w:szCs w:val="22"/>
          <w:lang w:val="lt-LT"/>
        </w:rPr>
      </w:pPr>
    </w:p>
    <w:p w14:paraId="332C2535" w14:textId="77777777" w:rsidR="004D7513" w:rsidRPr="009E0143" w:rsidRDefault="004D7513" w:rsidP="00F56562">
      <w:pPr>
        <w:tabs>
          <w:tab w:val="left" w:pos="567"/>
        </w:tabs>
        <w:rPr>
          <w:sz w:val="22"/>
          <w:szCs w:val="22"/>
          <w:lang w:val="lt-LT"/>
        </w:rPr>
      </w:pPr>
    </w:p>
    <w:p w14:paraId="3F9C1F05" w14:textId="77777777" w:rsidR="004D7513" w:rsidRPr="009E0143" w:rsidRDefault="004D7513" w:rsidP="00F56562">
      <w:pPr>
        <w:tabs>
          <w:tab w:val="left" w:pos="567"/>
        </w:tabs>
        <w:rPr>
          <w:sz w:val="22"/>
          <w:szCs w:val="22"/>
          <w:lang w:val="lt-LT"/>
        </w:rPr>
      </w:pPr>
    </w:p>
    <w:p w14:paraId="635EE891" w14:textId="77777777" w:rsidR="004D7513" w:rsidRPr="009E0143" w:rsidRDefault="004D7513" w:rsidP="00F56562">
      <w:pPr>
        <w:tabs>
          <w:tab w:val="left" w:pos="567"/>
        </w:tabs>
        <w:rPr>
          <w:sz w:val="22"/>
          <w:szCs w:val="22"/>
          <w:lang w:val="lt-LT"/>
        </w:rPr>
      </w:pPr>
    </w:p>
    <w:p w14:paraId="4B0CF624" w14:textId="77777777" w:rsidR="004D7513" w:rsidRPr="009E0143" w:rsidRDefault="004D7513" w:rsidP="00F56562">
      <w:pPr>
        <w:tabs>
          <w:tab w:val="left" w:pos="567"/>
        </w:tabs>
        <w:rPr>
          <w:sz w:val="22"/>
          <w:szCs w:val="22"/>
          <w:lang w:val="lt-LT"/>
        </w:rPr>
      </w:pPr>
    </w:p>
    <w:p w14:paraId="4B4B9965" w14:textId="77777777" w:rsidR="004D7513" w:rsidRPr="009E0143" w:rsidRDefault="004D7513" w:rsidP="00F56562">
      <w:pPr>
        <w:tabs>
          <w:tab w:val="left" w:pos="567"/>
        </w:tabs>
        <w:rPr>
          <w:sz w:val="22"/>
          <w:szCs w:val="22"/>
          <w:lang w:val="lt-LT"/>
        </w:rPr>
      </w:pPr>
    </w:p>
    <w:p w14:paraId="2E489B1F" w14:textId="77777777" w:rsidR="004D7513" w:rsidRPr="009E0143" w:rsidRDefault="004D7513" w:rsidP="00F56562">
      <w:pPr>
        <w:tabs>
          <w:tab w:val="left" w:pos="567"/>
        </w:tabs>
        <w:rPr>
          <w:sz w:val="22"/>
          <w:szCs w:val="22"/>
          <w:lang w:val="lt-LT"/>
        </w:rPr>
      </w:pPr>
    </w:p>
    <w:p w14:paraId="3273CF87" w14:textId="77777777" w:rsidR="004D7513" w:rsidRPr="009E0143" w:rsidRDefault="004D7513" w:rsidP="00F56562">
      <w:pPr>
        <w:tabs>
          <w:tab w:val="left" w:pos="567"/>
        </w:tabs>
        <w:rPr>
          <w:sz w:val="22"/>
          <w:szCs w:val="22"/>
          <w:lang w:val="lt-LT"/>
        </w:rPr>
      </w:pPr>
    </w:p>
    <w:p w14:paraId="1FED2AAA" w14:textId="77777777" w:rsidR="004D7513" w:rsidRPr="009E0143" w:rsidRDefault="004D7513" w:rsidP="00F56562">
      <w:pPr>
        <w:tabs>
          <w:tab w:val="left" w:pos="567"/>
        </w:tabs>
        <w:rPr>
          <w:sz w:val="22"/>
          <w:szCs w:val="22"/>
          <w:lang w:val="lt-LT"/>
        </w:rPr>
      </w:pPr>
    </w:p>
    <w:p w14:paraId="688A6D35" w14:textId="77777777" w:rsidR="004D7513" w:rsidRPr="009E0143" w:rsidRDefault="004D7513" w:rsidP="00F56562">
      <w:pPr>
        <w:tabs>
          <w:tab w:val="left" w:pos="567"/>
        </w:tabs>
        <w:rPr>
          <w:sz w:val="22"/>
          <w:szCs w:val="22"/>
          <w:lang w:val="lt-LT"/>
        </w:rPr>
      </w:pPr>
    </w:p>
    <w:p w14:paraId="218C85F6" w14:textId="77777777" w:rsidR="004D7513" w:rsidRPr="009E0143" w:rsidRDefault="004D7513" w:rsidP="00F56562">
      <w:pPr>
        <w:tabs>
          <w:tab w:val="left" w:pos="567"/>
        </w:tabs>
        <w:rPr>
          <w:sz w:val="22"/>
          <w:szCs w:val="22"/>
          <w:lang w:val="lt-LT"/>
        </w:rPr>
      </w:pPr>
    </w:p>
    <w:p w14:paraId="26FC03F0" w14:textId="77777777" w:rsidR="004D7513" w:rsidRPr="009E0143" w:rsidRDefault="004D7513" w:rsidP="00F56562">
      <w:pPr>
        <w:tabs>
          <w:tab w:val="left" w:pos="567"/>
        </w:tabs>
        <w:rPr>
          <w:b/>
          <w:sz w:val="22"/>
          <w:szCs w:val="22"/>
          <w:lang w:val="lt-LT"/>
        </w:rPr>
      </w:pPr>
    </w:p>
    <w:p w14:paraId="2D2FD24C" w14:textId="77777777" w:rsidR="004D7513" w:rsidRPr="009E0143" w:rsidRDefault="004D7513" w:rsidP="00F56562">
      <w:pPr>
        <w:tabs>
          <w:tab w:val="left" w:pos="567"/>
        </w:tabs>
        <w:rPr>
          <w:b/>
          <w:sz w:val="22"/>
          <w:szCs w:val="22"/>
          <w:lang w:val="lt-LT"/>
        </w:rPr>
      </w:pPr>
    </w:p>
    <w:p w14:paraId="1EA38BB9" w14:textId="77777777" w:rsidR="004D7513" w:rsidRPr="009E0143" w:rsidRDefault="004D7513" w:rsidP="00F56562">
      <w:pPr>
        <w:tabs>
          <w:tab w:val="left" w:pos="567"/>
        </w:tabs>
        <w:rPr>
          <w:b/>
          <w:sz w:val="22"/>
          <w:szCs w:val="22"/>
          <w:lang w:val="lt-LT"/>
        </w:rPr>
      </w:pPr>
    </w:p>
    <w:p w14:paraId="0333F115" w14:textId="77777777" w:rsidR="004D7513" w:rsidRPr="009E0143" w:rsidRDefault="004D7513" w:rsidP="00F56562">
      <w:pPr>
        <w:tabs>
          <w:tab w:val="left" w:pos="567"/>
        </w:tabs>
        <w:rPr>
          <w:b/>
          <w:sz w:val="22"/>
          <w:szCs w:val="22"/>
          <w:lang w:val="lt-LT"/>
        </w:rPr>
      </w:pPr>
    </w:p>
    <w:p w14:paraId="7AB460EE" w14:textId="77777777" w:rsidR="004D7513" w:rsidRPr="009E0143" w:rsidRDefault="004D7513" w:rsidP="00F56562">
      <w:pPr>
        <w:tabs>
          <w:tab w:val="left" w:pos="567"/>
        </w:tabs>
        <w:rPr>
          <w:b/>
          <w:sz w:val="22"/>
          <w:szCs w:val="22"/>
          <w:lang w:val="lt-LT"/>
        </w:rPr>
      </w:pPr>
    </w:p>
    <w:p w14:paraId="74F79467" w14:textId="77777777" w:rsidR="004D7513" w:rsidRPr="009E0143" w:rsidRDefault="004D7513" w:rsidP="00F56562">
      <w:pPr>
        <w:tabs>
          <w:tab w:val="left" w:pos="567"/>
        </w:tabs>
        <w:rPr>
          <w:b/>
          <w:sz w:val="22"/>
          <w:szCs w:val="22"/>
          <w:lang w:val="lt-LT"/>
        </w:rPr>
      </w:pPr>
    </w:p>
    <w:p w14:paraId="5905339E" w14:textId="77777777" w:rsidR="004D7513" w:rsidRPr="009E0143" w:rsidRDefault="004D7513" w:rsidP="00F56562">
      <w:pPr>
        <w:keepNext/>
        <w:tabs>
          <w:tab w:val="left" w:pos="567"/>
        </w:tabs>
        <w:jc w:val="center"/>
        <w:outlineLvl w:val="1"/>
        <w:rPr>
          <w:i/>
          <w:sz w:val="22"/>
          <w:szCs w:val="22"/>
          <w:lang w:val="lt-LT"/>
        </w:rPr>
      </w:pPr>
      <w:r w:rsidRPr="009E0143">
        <w:rPr>
          <w:b/>
          <w:sz w:val="22"/>
          <w:szCs w:val="22"/>
          <w:lang w:val="lt-LT"/>
        </w:rPr>
        <w:t>III PRIEDAS</w:t>
      </w:r>
    </w:p>
    <w:p w14:paraId="379A2C82" w14:textId="77777777" w:rsidR="004D7513" w:rsidRPr="009E0143" w:rsidRDefault="004D7513" w:rsidP="00F56562">
      <w:pPr>
        <w:tabs>
          <w:tab w:val="left" w:pos="567"/>
        </w:tabs>
        <w:rPr>
          <w:sz w:val="22"/>
          <w:szCs w:val="22"/>
          <w:lang w:val="lt-LT"/>
        </w:rPr>
      </w:pPr>
    </w:p>
    <w:p w14:paraId="30AA5796" w14:textId="77777777" w:rsidR="004D7513" w:rsidRPr="009E0143" w:rsidRDefault="004D7513" w:rsidP="00F56562">
      <w:pPr>
        <w:keepNext/>
        <w:tabs>
          <w:tab w:val="left" w:pos="567"/>
        </w:tabs>
        <w:jc w:val="center"/>
        <w:outlineLvl w:val="1"/>
        <w:rPr>
          <w:i/>
          <w:sz w:val="22"/>
          <w:szCs w:val="22"/>
          <w:lang w:val="lt-LT"/>
        </w:rPr>
      </w:pPr>
      <w:r w:rsidRPr="009E0143">
        <w:rPr>
          <w:b/>
          <w:sz w:val="22"/>
          <w:szCs w:val="22"/>
          <w:lang w:val="lt-LT"/>
        </w:rPr>
        <w:t>ŽENKLINIMAS IR PAKUOTĖS LAPELIS</w:t>
      </w:r>
    </w:p>
    <w:p w14:paraId="11EEDF99" w14:textId="77777777" w:rsidR="004D7513" w:rsidRPr="009E0143" w:rsidRDefault="004D7513" w:rsidP="00F56562">
      <w:pPr>
        <w:tabs>
          <w:tab w:val="left" w:pos="567"/>
        </w:tabs>
        <w:rPr>
          <w:sz w:val="22"/>
          <w:szCs w:val="22"/>
          <w:lang w:val="lt-LT"/>
        </w:rPr>
      </w:pPr>
      <w:r w:rsidRPr="009E0143">
        <w:rPr>
          <w:sz w:val="22"/>
          <w:szCs w:val="22"/>
          <w:lang w:val="lt-LT"/>
        </w:rPr>
        <w:br w:type="page"/>
      </w:r>
    </w:p>
    <w:p w14:paraId="1404BCB6" w14:textId="77777777" w:rsidR="004D7513" w:rsidRPr="009E0143" w:rsidRDefault="004D7513" w:rsidP="00F56562">
      <w:pPr>
        <w:tabs>
          <w:tab w:val="left" w:pos="567"/>
        </w:tabs>
        <w:rPr>
          <w:sz w:val="22"/>
          <w:szCs w:val="22"/>
          <w:lang w:val="lt-LT"/>
        </w:rPr>
      </w:pPr>
    </w:p>
    <w:p w14:paraId="14C85A93" w14:textId="77777777" w:rsidR="004D7513" w:rsidRPr="009E0143" w:rsidRDefault="004D7513" w:rsidP="00F56562">
      <w:pPr>
        <w:tabs>
          <w:tab w:val="left" w:pos="567"/>
        </w:tabs>
        <w:rPr>
          <w:sz w:val="22"/>
          <w:szCs w:val="22"/>
          <w:lang w:val="lt-LT"/>
        </w:rPr>
      </w:pPr>
    </w:p>
    <w:p w14:paraId="654785AD" w14:textId="77777777" w:rsidR="004D7513" w:rsidRPr="009E0143" w:rsidRDefault="004D7513" w:rsidP="00F56562">
      <w:pPr>
        <w:tabs>
          <w:tab w:val="left" w:pos="567"/>
        </w:tabs>
        <w:rPr>
          <w:sz w:val="22"/>
          <w:szCs w:val="22"/>
          <w:lang w:val="lt-LT"/>
        </w:rPr>
      </w:pPr>
    </w:p>
    <w:p w14:paraId="03E03A9B" w14:textId="77777777" w:rsidR="004D7513" w:rsidRPr="009E0143" w:rsidRDefault="004D7513" w:rsidP="00F56562">
      <w:pPr>
        <w:tabs>
          <w:tab w:val="left" w:pos="567"/>
        </w:tabs>
        <w:rPr>
          <w:sz w:val="22"/>
          <w:szCs w:val="22"/>
          <w:lang w:val="lt-LT"/>
        </w:rPr>
      </w:pPr>
    </w:p>
    <w:p w14:paraId="4C351058" w14:textId="77777777" w:rsidR="004D7513" w:rsidRPr="009E0143" w:rsidRDefault="004D7513" w:rsidP="00F56562">
      <w:pPr>
        <w:tabs>
          <w:tab w:val="left" w:pos="567"/>
        </w:tabs>
        <w:rPr>
          <w:sz w:val="22"/>
          <w:szCs w:val="22"/>
          <w:lang w:val="lt-LT"/>
        </w:rPr>
      </w:pPr>
    </w:p>
    <w:p w14:paraId="2AC0D71D" w14:textId="77777777" w:rsidR="004D7513" w:rsidRPr="009E0143" w:rsidRDefault="004D7513" w:rsidP="00F56562">
      <w:pPr>
        <w:tabs>
          <w:tab w:val="left" w:pos="567"/>
        </w:tabs>
        <w:rPr>
          <w:sz w:val="22"/>
          <w:szCs w:val="22"/>
          <w:lang w:val="lt-LT"/>
        </w:rPr>
      </w:pPr>
    </w:p>
    <w:p w14:paraId="43093087" w14:textId="77777777" w:rsidR="004D7513" w:rsidRPr="009E0143" w:rsidRDefault="004D7513" w:rsidP="00F56562">
      <w:pPr>
        <w:tabs>
          <w:tab w:val="left" w:pos="567"/>
        </w:tabs>
        <w:rPr>
          <w:sz w:val="22"/>
          <w:szCs w:val="22"/>
          <w:lang w:val="lt-LT"/>
        </w:rPr>
      </w:pPr>
    </w:p>
    <w:p w14:paraId="52977F56" w14:textId="77777777" w:rsidR="004D7513" w:rsidRPr="009E0143" w:rsidRDefault="004D7513" w:rsidP="00F56562">
      <w:pPr>
        <w:tabs>
          <w:tab w:val="left" w:pos="567"/>
        </w:tabs>
        <w:rPr>
          <w:sz w:val="22"/>
          <w:szCs w:val="22"/>
          <w:lang w:val="lt-LT"/>
        </w:rPr>
      </w:pPr>
    </w:p>
    <w:p w14:paraId="18FCED59" w14:textId="77777777" w:rsidR="004D7513" w:rsidRPr="009E0143" w:rsidRDefault="004D7513" w:rsidP="00F56562">
      <w:pPr>
        <w:tabs>
          <w:tab w:val="left" w:pos="567"/>
        </w:tabs>
        <w:rPr>
          <w:sz w:val="22"/>
          <w:szCs w:val="22"/>
          <w:lang w:val="lt-LT"/>
        </w:rPr>
      </w:pPr>
    </w:p>
    <w:p w14:paraId="3A2A2069" w14:textId="77777777" w:rsidR="004D7513" w:rsidRPr="009E0143" w:rsidRDefault="004D7513" w:rsidP="00F56562">
      <w:pPr>
        <w:tabs>
          <w:tab w:val="left" w:pos="567"/>
        </w:tabs>
        <w:rPr>
          <w:sz w:val="22"/>
          <w:szCs w:val="22"/>
          <w:lang w:val="lt-LT"/>
        </w:rPr>
      </w:pPr>
    </w:p>
    <w:p w14:paraId="7D2A3502" w14:textId="77777777" w:rsidR="004D7513" w:rsidRPr="009E0143" w:rsidRDefault="004D7513" w:rsidP="00F56562">
      <w:pPr>
        <w:tabs>
          <w:tab w:val="left" w:pos="567"/>
        </w:tabs>
        <w:rPr>
          <w:sz w:val="22"/>
          <w:szCs w:val="22"/>
          <w:lang w:val="lt-LT"/>
        </w:rPr>
      </w:pPr>
    </w:p>
    <w:p w14:paraId="574077E6" w14:textId="77777777" w:rsidR="004D7513" w:rsidRPr="009E0143" w:rsidRDefault="004D7513" w:rsidP="00F56562">
      <w:pPr>
        <w:tabs>
          <w:tab w:val="left" w:pos="567"/>
        </w:tabs>
        <w:rPr>
          <w:sz w:val="22"/>
          <w:szCs w:val="22"/>
          <w:lang w:val="lt-LT"/>
        </w:rPr>
      </w:pPr>
    </w:p>
    <w:p w14:paraId="5F449B3A" w14:textId="77777777" w:rsidR="004D7513" w:rsidRPr="009E0143" w:rsidRDefault="004D7513" w:rsidP="00F56562">
      <w:pPr>
        <w:tabs>
          <w:tab w:val="left" w:pos="567"/>
        </w:tabs>
        <w:rPr>
          <w:sz w:val="22"/>
          <w:szCs w:val="22"/>
          <w:lang w:val="lt-LT"/>
        </w:rPr>
      </w:pPr>
    </w:p>
    <w:p w14:paraId="6603F6C1" w14:textId="77777777" w:rsidR="004D7513" w:rsidRPr="009E0143" w:rsidRDefault="004D7513" w:rsidP="00F56562">
      <w:pPr>
        <w:tabs>
          <w:tab w:val="left" w:pos="567"/>
        </w:tabs>
        <w:rPr>
          <w:sz w:val="22"/>
          <w:szCs w:val="22"/>
          <w:lang w:val="lt-LT"/>
        </w:rPr>
      </w:pPr>
    </w:p>
    <w:p w14:paraId="411E3F87" w14:textId="77777777" w:rsidR="004D7513" w:rsidRPr="009E0143" w:rsidRDefault="004D7513" w:rsidP="00F56562">
      <w:pPr>
        <w:tabs>
          <w:tab w:val="left" w:pos="567"/>
        </w:tabs>
        <w:rPr>
          <w:sz w:val="22"/>
          <w:szCs w:val="22"/>
          <w:lang w:val="lt-LT"/>
        </w:rPr>
      </w:pPr>
    </w:p>
    <w:p w14:paraId="4077E9B9" w14:textId="77777777" w:rsidR="004D7513" w:rsidRPr="009E0143" w:rsidRDefault="004D7513" w:rsidP="00F56562">
      <w:pPr>
        <w:tabs>
          <w:tab w:val="left" w:pos="567"/>
        </w:tabs>
        <w:rPr>
          <w:sz w:val="22"/>
          <w:szCs w:val="22"/>
          <w:lang w:val="lt-LT"/>
        </w:rPr>
      </w:pPr>
    </w:p>
    <w:p w14:paraId="534E2337" w14:textId="77777777" w:rsidR="004D7513" w:rsidRPr="009E0143" w:rsidRDefault="004D7513" w:rsidP="00F56562">
      <w:pPr>
        <w:tabs>
          <w:tab w:val="left" w:pos="567"/>
        </w:tabs>
        <w:rPr>
          <w:sz w:val="22"/>
          <w:szCs w:val="22"/>
          <w:lang w:val="lt-LT"/>
        </w:rPr>
      </w:pPr>
    </w:p>
    <w:p w14:paraId="77A9D9FB" w14:textId="77777777" w:rsidR="004D7513" w:rsidRPr="009E0143" w:rsidRDefault="004D7513" w:rsidP="00F56562">
      <w:pPr>
        <w:tabs>
          <w:tab w:val="left" w:pos="567"/>
        </w:tabs>
        <w:rPr>
          <w:sz w:val="22"/>
          <w:szCs w:val="22"/>
          <w:lang w:val="lt-LT"/>
        </w:rPr>
      </w:pPr>
    </w:p>
    <w:p w14:paraId="4A1C6CB1" w14:textId="77777777" w:rsidR="004D7513" w:rsidRPr="009E0143" w:rsidRDefault="004D7513" w:rsidP="00F56562">
      <w:pPr>
        <w:tabs>
          <w:tab w:val="left" w:pos="567"/>
        </w:tabs>
        <w:rPr>
          <w:sz w:val="22"/>
          <w:szCs w:val="22"/>
          <w:lang w:val="lt-LT"/>
        </w:rPr>
      </w:pPr>
    </w:p>
    <w:p w14:paraId="3F829B8A" w14:textId="77777777" w:rsidR="004D7513" w:rsidRPr="009E0143" w:rsidRDefault="004D7513" w:rsidP="00F56562">
      <w:pPr>
        <w:tabs>
          <w:tab w:val="left" w:pos="567"/>
        </w:tabs>
        <w:rPr>
          <w:sz w:val="22"/>
          <w:szCs w:val="22"/>
          <w:lang w:val="lt-LT"/>
        </w:rPr>
      </w:pPr>
    </w:p>
    <w:p w14:paraId="1095E3CA" w14:textId="77777777" w:rsidR="004D7513" w:rsidRPr="009E0143" w:rsidRDefault="004D7513" w:rsidP="00F56562">
      <w:pPr>
        <w:tabs>
          <w:tab w:val="left" w:pos="567"/>
        </w:tabs>
        <w:rPr>
          <w:sz w:val="22"/>
          <w:szCs w:val="22"/>
          <w:lang w:val="lt-LT"/>
        </w:rPr>
      </w:pPr>
    </w:p>
    <w:p w14:paraId="61506A03" w14:textId="77777777" w:rsidR="00A32F9C" w:rsidRPr="009E0143" w:rsidRDefault="00A32F9C" w:rsidP="00F56562">
      <w:pPr>
        <w:keepNext/>
        <w:tabs>
          <w:tab w:val="left" w:pos="567"/>
        </w:tabs>
        <w:jc w:val="center"/>
        <w:outlineLvl w:val="1"/>
        <w:rPr>
          <w:b/>
          <w:sz w:val="22"/>
          <w:szCs w:val="22"/>
          <w:lang w:val="lt-LT"/>
        </w:rPr>
      </w:pPr>
    </w:p>
    <w:p w14:paraId="64FFE6AE" w14:textId="77777777" w:rsidR="004D7513" w:rsidRPr="009E0143" w:rsidRDefault="004D7513" w:rsidP="00F56562">
      <w:pPr>
        <w:keepNext/>
        <w:tabs>
          <w:tab w:val="left" w:pos="567"/>
        </w:tabs>
        <w:jc w:val="center"/>
        <w:outlineLvl w:val="1"/>
        <w:rPr>
          <w:i/>
          <w:sz w:val="22"/>
          <w:szCs w:val="22"/>
          <w:lang w:val="lt-LT"/>
        </w:rPr>
      </w:pPr>
      <w:r w:rsidRPr="009E0143">
        <w:rPr>
          <w:b/>
          <w:sz w:val="22"/>
          <w:szCs w:val="22"/>
          <w:lang w:val="lt-LT"/>
        </w:rPr>
        <w:t>A. ŽENKLINIMAS</w:t>
      </w:r>
    </w:p>
    <w:p w14:paraId="48418923" w14:textId="77777777" w:rsidR="004D7513" w:rsidRPr="009E0143" w:rsidRDefault="004D7513" w:rsidP="00F5656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9E0143">
        <w:rPr>
          <w:sz w:val="22"/>
          <w:szCs w:val="22"/>
          <w:lang w:val="lt-LT"/>
        </w:rPr>
        <w:br w:type="page"/>
      </w:r>
      <w:r w:rsidRPr="009E0143">
        <w:rPr>
          <w:b/>
          <w:sz w:val="22"/>
          <w:szCs w:val="22"/>
          <w:lang w:val="lt-LT"/>
        </w:rPr>
        <w:lastRenderedPageBreak/>
        <w:t>INFORMACIJA ANT IŠORINĖS PAKUOTĖS</w:t>
      </w:r>
    </w:p>
    <w:p w14:paraId="1536DB16" w14:textId="77777777" w:rsidR="004D7513" w:rsidRPr="009E0143" w:rsidRDefault="004D7513" w:rsidP="00F5656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p>
    <w:p w14:paraId="747F8686" w14:textId="77777777" w:rsidR="004D7513" w:rsidRPr="009E0143" w:rsidRDefault="004D7513" w:rsidP="00F5656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9E0143">
        <w:rPr>
          <w:b/>
          <w:sz w:val="22"/>
          <w:szCs w:val="22"/>
          <w:lang w:val="lt-LT"/>
        </w:rPr>
        <w:t>Kartono dėžutė</w:t>
      </w:r>
    </w:p>
    <w:p w14:paraId="5B58B0F9" w14:textId="77777777" w:rsidR="004D7513" w:rsidRPr="009E0143" w:rsidRDefault="004D7513" w:rsidP="00F56562">
      <w:pPr>
        <w:tabs>
          <w:tab w:val="left" w:pos="567"/>
        </w:tabs>
        <w:rPr>
          <w:sz w:val="22"/>
          <w:szCs w:val="22"/>
          <w:lang w:val="lt-LT"/>
        </w:rPr>
      </w:pPr>
    </w:p>
    <w:p w14:paraId="748A28AE" w14:textId="77777777" w:rsidR="004D7513" w:rsidRPr="009E0143" w:rsidRDefault="004D7513" w:rsidP="00F56562">
      <w:pPr>
        <w:tabs>
          <w:tab w:val="left" w:pos="567"/>
        </w:tabs>
        <w:rPr>
          <w:sz w:val="22"/>
          <w:szCs w:val="22"/>
          <w:lang w:val="lt-LT"/>
        </w:rPr>
      </w:pPr>
    </w:p>
    <w:p w14:paraId="73478E73" w14:textId="77777777" w:rsidR="004D7513" w:rsidRPr="009E0143" w:rsidRDefault="004D7513" w:rsidP="00F5656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9E0143">
        <w:rPr>
          <w:b/>
          <w:sz w:val="22"/>
          <w:szCs w:val="22"/>
          <w:lang w:val="lt-LT"/>
        </w:rPr>
        <w:t>1.</w:t>
      </w:r>
      <w:r w:rsidRPr="009E0143">
        <w:rPr>
          <w:b/>
          <w:sz w:val="22"/>
          <w:szCs w:val="22"/>
          <w:lang w:val="lt-LT"/>
        </w:rPr>
        <w:tab/>
      </w:r>
      <w:r w:rsidRPr="009E0143">
        <w:rPr>
          <w:b/>
          <w:caps/>
          <w:sz w:val="22"/>
          <w:szCs w:val="22"/>
          <w:lang w:val="lt-LT"/>
        </w:rPr>
        <w:t>VAISTINIO</w:t>
      </w:r>
      <w:r w:rsidRPr="009E0143">
        <w:rPr>
          <w:b/>
          <w:sz w:val="22"/>
          <w:szCs w:val="22"/>
          <w:lang w:val="lt-LT"/>
        </w:rPr>
        <w:t xml:space="preserve"> PREPARATO PAVADINIMAS</w:t>
      </w:r>
    </w:p>
    <w:p w14:paraId="1B30B9B5" w14:textId="77777777" w:rsidR="004D7513" w:rsidRPr="009E0143" w:rsidRDefault="004D7513" w:rsidP="00F56562">
      <w:pPr>
        <w:tabs>
          <w:tab w:val="left" w:pos="567"/>
        </w:tabs>
        <w:rPr>
          <w:sz w:val="22"/>
          <w:szCs w:val="22"/>
          <w:lang w:val="lt-LT"/>
        </w:rPr>
      </w:pPr>
    </w:p>
    <w:p w14:paraId="375105D5" w14:textId="77777777" w:rsidR="00BD51A6" w:rsidRPr="009E0143" w:rsidRDefault="00941A19" w:rsidP="00F56562">
      <w:pPr>
        <w:jc w:val="both"/>
        <w:rPr>
          <w:bCs/>
          <w:noProof w:val="0"/>
          <w:sz w:val="22"/>
          <w:szCs w:val="22"/>
          <w:lang w:val="lt-LT"/>
        </w:rPr>
      </w:pPr>
      <w:r w:rsidRPr="009E0143">
        <w:rPr>
          <w:bCs/>
          <w:noProof w:val="0"/>
          <w:sz w:val="22"/>
          <w:szCs w:val="22"/>
          <w:lang w:val="lt-LT"/>
        </w:rPr>
        <w:t>Paracetamol Zentiva</w:t>
      </w:r>
      <w:r w:rsidR="0043582A" w:rsidRPr="009E0143">
        <w:rPr>
          <w:bCs/>
          <w:noProof w:val="0"/>
          <w:sz w:val="22"/>
          <w:szCs w:val="22"/>
          <w:lang w:val="lt-LT"/>
        </w:rPr>
        <w:t xml:space="preserve"> </w:t>
      </w:r>
      <w:r w:rsidR="00BD51A6" w:rsidRPr="009E0143">
        <w:rPr>
          <w:bCs/>
          <w:noProof w:val="0"/>
          <w:sz w:val="22"/>
          <w:szCs w:val="22"/>
          <w:lang w:val="lt-LT"/>
        </w:rPr>
        <w:t>500</w:t>
      </w:r>
      <w:r w:rsidR="0043582A" w:rsidRPr="009E0143">
        <w:rPr>
          <w:bCs/>
          <w:noProof w:val="0"/>
          <w:sz w:val="22"/>
          <w:szCs w:val="22"/>
          <w:lang w:val="lt-LT"/>
        </w:rPr>
        <w:t> mg t</w:t>
      </w:r>
      <w:r w:rsidR="00BD51A6" w:rsidRPr="009E0143">
        <w:rPr>
          <w:bCs/>
          <w:noProof w:val="0"/>
          <w:sz w:val="22"/>
          <w:szCs w:val="22"/>
          <w:lang w:val="lt-LT"/>
        </w:rPr>
        <w:t>ablet</w:t>
      </w:r>
      <w:r w:rsidR="00E265DA" w:rsidRPr="009E0143">
        <w:rPr>
          <w:bCs/>
          <w:noProof w:val="0"/>
          <w:sz w:val="22"/>
          <w:szCs w:val="22"/>
          <w:lang w:val="lt-LT"/>
        </w:rPr>
        <w:t>ė</w:t>
      </w:r>
      <w:r w:rsidR="00BD51A6" w:rsidRPr="009E0143">
        <w:rPr>
          <w:bCs/>
          <w:noProof w:val="0"/>
          <w:sz w:val="22"/>
          <w:szCs w:val="22"/>
          <w:lang w:val="lt-LT"/>
        </w:rPr>
        <w:t>s</w:t>
      </w:r>
    </w:p>
    <w:p w14:paraId="3A59953F" w14:textId="77777777" w:rsidR="00BD51A6" w:rsidRPr="009E0143" w:rsidRDefault="00AA5C19" w:rsidP="00F56562">
      <w:pPr>
        <w:jc w:val="both"/>
        <w:rPr>
          <w:noProof w:val="0"/>
          <w:sz w:val="22"/>
          <w:szCs w:val="22"/>
          <w:lang w:val="lt-LT"/>
        </w:rPr>
      </w:pPr>
      <w:r w:rsidRPr="009E0143">
        <w:rPr>
          <w:noProof w:val="0"/>
          <w:sz w:val="22"/>
          <w:szCs w:val="22"/>
          <w:lang w:val="lt-LT"/>
        </w:rPr>
        <w:t>p</w:t>
      </w:r>
      <w:r w:rsidR="00BD51A6" w:rsidRPr="009E0143">
        <w:rPr>
          <w:noProof w:val="0"/>
          <w:sz w:val="22"/>
          <w:szCs w:val="22"/>
          <w:lang w:val="lt-LT"/>
        </w:rPr>
        <w:t>aracetamol</w:t>
      </w:r>
      <w:r w:rsidR="00FF7CF2" w:rsidRPr="009E0143">
        <w:rPr>
          <w:noProof w:val="0"/>
          <w:sz w:val="22"/>
          <w:szCs w:val="22"/>
          <w:lang w:val="lt-LT"/>
        </w:rPr>
        <w:t>um</w:t>
      </w:r>
    </w:p>
    <w:p w14:paraId="19BF55B3" w14:textId="77777777" w:rsidR="00BD51A6" w:rsidRPr="009E0143" w:rsidRDefault="00BD51A6" w:rsidP="00F56562">
      <w:pPr>
        <w:jc w:val="both"/>
        <w:rPr>
          <w:noProof w:val="0"/>
          <w:sz w:val="22"/>
          <w:szCs w:val="22"/>
          <w:lang w:val="lt-LT"/>
        </w:rPr>
      </w:pPr>
    </w:p>
    <w:p w14:paraId="5C477643" w14:textId="77777777" w:rsidR="004D7513" w:rsidRPr="009E0143" w:rsidRDefault="004D7513" w:rsidP="00F56562">
      <w:pPr>
        <w:tabs>
          <w:tab w:val="left" w:pos="567"/>
        </w:tabs>
        <w:rPr>
          <w:sz w:val="22"/>
          <w:szCs w:val="22"/>
          <w:lang w:val="lt-LT"/>
        </w:rPr>
      </w:pPr>
    </w:p>
    <w:p w14:paraId="3C90D80F" w14:textId="77777777" w:rsidR="004D7513" w:rsidRPr="009E0143" w:rsidRDefault="004D7513" w:rsidP="00F5656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9E0143">
        <w:rPr>
          <w:b/>
          <w:sz w:val="22"/>
          <w:szCs w:val="22"/>
          <w:lang w:val="lt-LT"/>
        </w:rPr>
        <w:t>2.</w:t>
      </w:r>
      <w:r w:rsidRPr="009E0143">
        <w:rPr>
          <w:b/>
          <w:sz w:val="22"/>
          <w:szCs w:val="22"/>
          <w:lang w:val="lt-LT"/>
        </w:rPr>
        <w:tab/>
        <w:t>VEIKLIOJI (-IOS) MEDŽIAGA (-OS) IR JOS (-Ų) KIEKIS (-IAI)</w:t>
      </w:r>
    </w:p>
    <w:p w14:paraId="1BBD8A9F" w14:textId="77777777" w:rsidR="004D7513" w:rsidRPr="009E0143" w:rsidRDefault="004D7513" w:rsidP="00F56562">
      <w:pPr>
        <w:tabs>
          <w:tab w:val="left" w:pos="567"/>
        </w:tabs>
        <w:rPr>
          <w:sz w:val="22"/>
          <w:szCs w:val="22"/>
          <w:lang w:val="lt-LT"/>
        </w:rPr>
      </w:pPr>
    </w:p>
    <w:p w14:paraId="517BC110" w14:textId="77777777" w:rsidR="004D7513" w:rsidRPr="009E0143" w:rsidRDefault="00E265DA" w:rsidP="00F56562">
      <w:pPr>
        <w:tabs>
          <w:tab w:val="left" w:pos="567"/>
        </w:tabs>
        <w:rPr>
          <w:sz w:val="22"/>
          <w:szCs w:val="22"/>
          <w:lang w:val="lt-LT"/>
        </w:rPr>
      </w:pPr>
      <w:r w:rsidRPr="009E0143">
        <w:rPr>
          <w:sz w:val="22"/>
          <w:szCs w:val="22"/>
          <w:lang w:val="lt-LT"/>
        </w:rPr>
        <w:t>Kiekvienoje tabletėje yra 500 mg paracetamolio.</w:t>
      </w:r>
    </w:p>
    <w:p w14:paraId="13AA71B6" w14:textId="77777777" w:rsidR="00E265DA" w:rsidRPr="009E0143" w:rsidRDefault="00E265DA" w:rsidP="00F56562">
      <w:pPr>
        <w:tabs>
          <w:tab w:val="left" w:pos="567"/>
        </w:tabs>
        <w:rPr>
          <w:sz w:val="22"/>
          <w:szCs w:val="22"/>
          <w:lang w:val="lt-LT"/>
        </w:rPr>
      </w:pPr>
    </w:p>
    <w:p w14:paraId="0CD90001" w14:textId="77777777" w:rsidR="00A7259F" w:rsidRPr="009E0143" w:rsidRDefault="00A7259F" w:rsidP="00F56562">
      <w:pPr>
        <w:tabs>
          <w:tab w:val="left" w:pos="567"/>
        </w:tabs>
        <w:rPr>
          <w:sz w:val="22"/>
          <w:szCs w:val="22"/>
          <w:lang w:val="lt-LT"/>
        </w:rPr>
      </w:pPr>
    </w:p>
    <w:p w14:paraId="7BE1D245" w14:textId="77777777" w:rsidR="004D7513" w:rsidRPr="009E0143" w:rsidRDefault="004D7513" w:rsidP="00F5656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9E0143">
        <w:rPr>
          <w:b/>
          <w:sz w:val="22"/>
          <w:szCs w:val="22"/>
          <w:lang w:val="lt-LT"/>
        </w:rPr>
        <w:t>3.</w:t>
      </w:r>
      <w:r w:rsidRPr="009E0143">
        <w:rPr>
          <w:b/>
          <w:sz w:val="22"/>
          <w:szCs w:val="22"/>
          <w:lang w:val="lt-LT"/>
        </w:rPr>
        <w:tab/>
        <w:t>PAGALBINIŲ MEDŽIAGŲ SĄRAŠAS</w:t>
      </w:r>
    </w:p>
    <w:p w14:paraId="214C8BD7" w14:textId="77777777" w:rsidR="004D7513" w:rsidRPr="009E0143" w:rsidRDefault="004D7513" w:rsidP="00F56562">
      <w:pPr>
        <w:tabs>
          <w:tab w:val="left" w:pos="567"/>
        </w:tabs>
        <w:rPr>
          <w:sz w:val="22"/>
          <w:szCs w:val="22"/>
          <w:lang w:val="lt-LT"/>
        </w:rPr>
      </w:pPr>
    </w:p>
    <w:p w14:paraId="109D8ACE" w14:textId="77777777" w:rsidR="004D7513" w:rsidRPr="009E0143" w:rsidRDefault="004D7513" w:rsidP="00F56562">
      <w:pPr>
        <w:tabs>
          <w:tab w:val="left" w:pos="567"/>
        </w:tabs>
        <w:rPr>
          <w:sz w:val="22"/>
          <w:szCs w:val="22"/>
          <w:lang w:val="lt-LT"/>
        </w:rPr>
      </w:pPr>
    </w:p>
    <w:p w14:paraId="06E2B032" w14:textId="77777777" w:rsidR="004D7513" w:rsidRPr="009E0143" w:rsidRDefault="004D7513" w:rsidP="00F5656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9E0143">
        <w:rPr>
          <w:b/>
          <w:sz w:val="22"/>
          <w:szCs w:val="22"/>
          <w:lang w:val="lt-LT"/>
        </w:rPr>
        <w:t>4.</w:t>
      </w:r>
      <w:r w:rsidRPr="009E0143">
        <w:rPr>
          <w:b/>
          <w:sz w:val="22"/>
          <w:szCs w:val="22"/>
          <w:lang w:val="lt-LT"/>
        </w:rPr>
        <w:tab/>
        <w:t>FARMACINĖ FORMA IR KIEKIS PAKUOTĖJE</w:t>
      </w:r>
    </w:p>
    <w:p w14:paraId="418E19D9" w14:textId="77777777" w:rsidR="004D7513" w:rsidRPr="009E0143" w:rsidRDefault="004D7513" w:rsidP="00F56562">
      <w:pPr>
        <w:tabs>
          <w:tab w:val="left" w:pos="567"/>
        </w:tabs>
        <w:rPr>
          <w:sz w:val="22"/>
          <w:szCs w:val="22"/>
          <w:lang w:val="lt-LT"/>
        </w:rPr>
      </w:pPr>
    </w:p>
    <w:p w14:paraId="03826FB4" w14:textId="77777777" w:rsidR="00BD51A6" w:rsidRPr="009E0143" w:rsidRDefault="00056E56" w:rsidP="00F56562">
      <w:pPr>
        <w:jc w:val="both"/>
        <w:rPr>
          <w:noProof w:val="0"/>
          <w:sz w:val="22"/>
          <w:szCs w:val="22"/>
          <w:lang w:val="lt-LT"/>
        </w:rPr>
      </w:pPr>
      <w:r w:rsidRPr="009E0143">
        <w:rPr>
          <w:sz w:val="22"/>
          <w:highlight w:val="lightGray"/>
          <w:lang w:val="lt-LT"/>
        </w:rPr>
        <w:t>T</w:t>
      </w:r>
      <w:r w:rsidR="00DD29C8" w:rsidRPr="009E0143">
        <w:rPr>
          <w:sz w:val="22"/>
          <w:highlight w:val="lightGray"/>
          <w:lang w:val="lt-LT"/>
        </w:rPr>
        <w:t>ablet</w:t>
      </w:r>
      <w:r w:rsidR="004D7513" w:rsidRPr="009E0143">
        <w:rPr>
          <w:sz w:val="22"/>
          <w:highlight w:val="lightGray"/>
          <w:lang w:val="lt-LT"/>
        </w:rPr>
        <w:t>ė</w:t>
      </w:r>
    </w:p>
    <w:p w14:paraId="3E040603" w14:textId="77777777" w:rsidR="00056E56" w:rsidRPr="009E0143" w:rsidRDefault="00056E56" w:rsidP="00F56562">
      <w:pPr>
        <w:jc w:val="both"/>
        <w:rPr>
          <w:noProof w:val="0"/>
          <w:sz w:val="22"/>
          <w:szCs w:val="22"/>
          <w:lang w:val="lt-LT"/>
        </w:rPr>
      </w:pPr>
    </w:p>
    <w:p w14:paraId="3B676EB7" w14:textId="77777777" w:rsidR="00BD6579" w:rsidRPr="009E0143" w:rsidRDefault="00BD6579" w:rsidP="00F56562">
      <w:pPr>
        <w:jc w:val="both"/>
        <w:rPr>
          <w:bCs/>
          <w:noProof w:val="0"/>
          <w:sz w:val="22"/>
          <w:szCs w:val="22"/>
          <w:lang w:val="lt-LT"/>
        </w:rPr>
      </w:pPr>
      <w:bookmarkStart w:id="7" w:name="_Hlk61270911"/>
      <w:bookmarkStart w:id="8" w:name="_Hlk65075669"/>
      <w:r w:rsidRPr="009E0143">
        <w:rPr>
          <w:bCs/>
          <w:noProof w:val="0"/>
          <w:sz w:val="22"/>
          <w:szCs w:val="22"/>
          <w:lang w:val="lt-LT"/>
        </w:rPr>
        <w:t>50</w:t>
      </w:r>
      <w:r w:rsidR="00E265DA" w:rsidRPr="009E0143">
        <w:rPr>
          <w:bCs/>
          <w:noProof w:val="0"/>
          <w:sz w:val="22"/>
          <w:szCs w:val="22"/>
          <w:lang w:val="lt-LT"/>
        </w:rPr>
        <w:t> </w:t>
      </w:r>
      <w:r w:rsidRPr="009E0143">
        <w:rPr>
          <w:bCs/>
          <w:noProof w:val="0"/>
          <w:sz w:val="22"/>
          <w:szCs w:val="22"/>
          <w:lang w:val="lt-LT"/>
        </w:rPr>
        <w:t>table</w:t>
      </w:r>
      <w:r w:rsidR="00E265DA" w:rsidRPr="009E0143">
        <w:rPr>
          <w:bCs/>
          <w:noProof w:val="0"/>
          <w:sz w:val="22"/>
          <w:szCs w:val="22"/>
          <w:lang w:val="lt-LT"/>
        </w:rPr>
        <w:t>čių</w:t>
      </w:r>
    </w:p>
    <w:p w14:paraId="0A0F4337" w14:textId="77777777" w:rsidR="001D3595" w:rsidRPr="009E0143" w:rsidRDefault="00056E56" w:rsidP="00F56562">
      <w:pPr>
        <w:jc w:val="both"/>
        <w:rPr>
          <w:bCs/>
          <w:noProof w:val="0"/>
          <w:sz w:val="22"/>
          <w:szCs w:val="22"/>
          <w:highlight w:val="lightGray"/>
          <w:lang w:val="lt-LT"/>
        </w:rPr>
      </w:pPr>
      <w:r w:rsidRPr="009E0143">
        <w:rPr>
          <w:bCs/>
          <w:noProof w:val="0"/>
          <w:sz w:val="22"/>
          <w:szCs w:val="22"/>
          <w:highlight w:val="lightGray"/>
          <w:lang w:val="lt-LT"/>
        </w:rPr>
        <w:t>100</w:t>
      </w:r>
      <w:r w:rsidR="00E265DA" w:rsidRPr="009E0143">
        <w:rPr>
          <w:bCs/>
          <w:noProof w:val="0"/>
          <w:sz w:val="22"/>
          <w:szCs w:val="22"/>
          <w:highlight w:val="lightGray"/>
          <w:lang w:val="lt-LT"/>
        </w:rPr>
        <w:t> </w:t>
      </w:r>
      <w:r w:rsidRPr="009E0143">
        <w:rPr>
          <w:bCs/>
          <w:noProof w:val="0"/>
          <w:sz w:val="22"/>
          <w:szCs w:val="22"/>
          <w:highlight w:val="lightGray"/>
          <w:lang w:val="lt-LT"/>
        </w:rPr>
        <w:t>table</w:t>
      </w:r>
      <w:r w:rsidR="00E265DA" w:rsidRPr="009E0143">
        <w:rPr>
          <w:bCs/>
          <w:noProof w:val="0"/>
          <w:sz w:val="22"/>
          <w:szCs w:val="22"/>
          <w:highlight w:val="lightGray"/>
          <w:lang w:val="lt-LT"/>
        </w:rPr>
        <w:t>čių</w:t>
      </w:r>
    </w:p>
    <w:p w14:paraId="06925B91" w14:textId="77777777" w:rsidR="001D3595" w:rsidRPr="009E0143" w:rsidRDefault="001D3595" w:rsidP="00F56562">
      <w:pPr>
        <w:jc w:val="both"/>
        <w:rPr>
          <w:bCs/>
          <w:noProof w:val="0"/>
          <w:sz w:val="22"/>
          <w:szCs w:val="22"/>
          <w:highlight w:val="lightGray"/>
          <w:lang w:val="lt-LT"/>
        </w:rPr>
      </w:pPr>
      <w:r w:rsidRPr="009E0143">
        <w:rPr>
          <w:bCs/>
          <w:noProof w:val="0"/>
          <w:sz w:val="22"/>
          <w:szCs w:val="22"/>
          <w:highlight w:val="lightGray"/>
          <w:lang w:val="lt-LT"/>
        </w:rPr>
        <w:t>120</w:t>
      </w:r>
      <w:r w:rsidR="00E265DA" w:rsidRPr="009E0143">
        <w:rPr>
          <w:bCs/>
          <w:noProof w:val="0"/>
          <w:sz w:val="22"/>
          <w:szCs w:val="22"/>
          <w:highlight w:val="lightGray"/>
          <w:lang w:val="lt-LT"/>
        </w:rPr>
        <w:t> </w:t>
      </w:r>
      <w:r w:rsidRPr="009E0143">
        <w:rPr>
          <w:bCs/>
          <w:noProof w:val="0"/>
          <w:sz w:val="22"/>
          <w:szCs w:val="22"/>
          <w:highlight w:val="lightGray"/>
          <w:lang w:val="lt-LT"/>
        </w:rPr>
        <w:t>table</w:t>
      </w:r>
      <w:r w:rsidR="00E265DA" w:rsidRPr="009E0143">
        <w:rPr>
          <w:bCs/>
          <w:noProof w:val="0"/>
          <w:sz w:val="22"/>
          <w:szCs w:val="22"/>
          <w:highlight w:val="lightGray"/>
          <w:lang w:val="lt-LT"/>
        </w:rPr>
        <w:t>čių</w:t>
      </w:r>
    </w:p>
    <w:p w14:paraId="37CF8133" w14:textId="77777777" w:rsidR="00056E56" w:rsidRPr="009E0143" w:rsidRDefault="001D3595" w:rsidP="00F56562">
      <w:pPr>
        <w:jc w:val="both"/>
        <w:rPr>
          <w:bCs/>
          <w:noProof w:val="0"/>
          <w:sz w:val="22"/>
          <w:szCs w:val="22"/>
          <w:highlight w:val="lightGray"/>
          <w:lang w:val="lt-LT"/>
        </w:rPr>
      </w:pPr>
      <w:r w:rsidRPr="009E0143">
        <w:rPr>
          <w:bCs/>
          <w:noProof w:val="0"/>
          <w:sz w:val="22"/>
          <w:szCs w:val="22"/>
          <w:highlight w:val="lightGray"/>
          <w:lang w:val="lt-LT"/>
        </w:rPr>
        <w:t>300</w:t>
      </w:r>
      <w:r w:rsidR="00E265DA" w:rsidRPr="009E0143">
        <w:rPr>
          <w:bCs/>
          <w:noProof w:val="0"/>
          <w:sz w:val="22"/>
          <w:szCs w:val="22"/>
          <w:highlight w:val="lightGray"/>
          <w:lang w:val="lt-LT"/>
        </w:rPr>
        <w:t> </w:t>
      </w:r>
      <w:r w:rsidRPr="009E0143">
        <w:rPr>
          <w:bCs/>
          <w:noProof w:val="0"/>
          <w:sz w:val="22"/>
          <w:szCs w:val="22"/>
          <w:highlight w:val="lightGray"/>
          <w:lang w:val="lt-LT"/>
        </w:rPr>
        <w:t>table</w:t>
      </w:r>
      <w:r w:rsidR="00E265DA" w:rsidRPr="009E0143">
        <w:rPr>
          <w:bCs/>
          <w:noProof w:val="0"/>
          <w:sz w:val="22"/>
          <w:szCs w:val="22"/>
          <w:highlight w:val="lightGray"/>
          <w:lang w:val="lt-LT"/>
        </w:rPr>
        <w:t>čių</w:t>
      </w:r>
    </w:p>
    <w:p w14:paraId="2E9C4BDC" w14:textId="77777777" w:rsidR="00056E56" w:rsidRPr="009E0143" w:rsidRDefault="00056E56" w:rsidP="00F56562">
      <w:pPr>
        <w:jc w:val="both"/>
        <w:rPr>
          <w:bCs/>
          <w:noProof w:val="0"/>
          <w:sz w:val="22"/>
          <w:szCs w:val="22"/>
          <w:highlight w:val="lightGray"/>
          <w:lang w:val="lt-LT"/>
        </w:rPr>
      </w:pPr>
    </w:p>
    <w:bookmarkEnd w:id="7"/>
    <w:bookmarkEnd w:id="8"/>
    <w:p w14:paraId="3D16F197" w14:textId="77777777" w:rsidR="004D7513" w:rsidRPr="009E0143" w:rsidRDefault="004D7513" w:rsidP="00F56562">
      <w:pPr>
        <w:tabs>
          <w:tab w:val="left" w:pos="567"/>
        </w:tabs>
        <w:rPr>
          <w:sz w:val="22"/>
          <w:szCs w:val="22"/>
          <w:lang w:val="lt-LT"/>
        </w:rPr>
      </w:pPr>
    </w:p>
    <w:p w14:paraId="343F1050" w14:textId="77777777" w:rsidR="004D7513" w:rsidRPr="009E0143" w:rsidRDefault="004D7513" w:rsidP="00F5656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9E0143">
        <w:rPr>
          <w:b/>
          <w:sz w:val="22"/>
          <w:szCs w:val="22"/>
          <w:lang w:val="lt-LT"/>
        </w:rPr>
        <w:t>5.</w:t>
      </w:r>
      <w:r w:rsidRPr="009E0143">
        <w:rPr>
          <w:b/>
          <w:sz w:val="22"/>
          <w:szCs w:val="22"/>
          <w:lang w:val="lt-LT"/>
        </w:rPr>
        <w:tab/>
        <w:t>VARTOJIMO METODAS IR BŪDAS (-AI)</w:t>
      </w:r>
    </w:p>
    <w:p w14:paraId="72619A76" w14:textId="77777777" w:rsidR="004D7513" w:rsidRPr="009E0143" w:rsidRDefault="004D7513" w:rsidP="00F56562">
      <w:pPr>
        <w:tabs>
          <w:tab w:val="left" w:pos="567"/>
        </w:tabs>
        <w:rPr>
          <w:sz w:val="22"/>
          <w:szCs w:val="22"/>
          <w:lang w:val="lt-LT"/>
        </w:rPr>
      </w:pPr>
    </w:p>
    <w:p w14:paraId="256F930F" w14:textId="77777777" w:rsidR="00BD51A6" w:rsidRPr="009E0143" w:rsidRDefault="004E123A" w:rsidP="00F56562">
      <w:pPr>
        <w:jc w:val="both"/>
        <w:rPr>
          <w:noProof w:val="0"/>
          <w:sz w:val="22"/>
          <w:szCs w:val="22"/>
          <w:lang w:val="lt-LT"/>
        </w:rPr>
      </w:pPr>
      <w:r w:rsidRPr="009E0143">
        <w:rPr>
          <w:noProof w:val="0"/>
          <w:sz w:val="22"/>
          <w:szCs w:val="22"/>
          <w:lang w:val="lt-LT"/>
        </w:rPr>
        <w:t>Vartoti per burną.</w:t>
      </w:r>
    </w:p>
    <w:p w14:paraId="44697965" w14:textId="77777777" w:rsidR="00BD51A6" w:rsidRPr="009E0143" w:rsidRDefault="004E123A" w:rsidP="00F56562">
      <w:pPr>
        <w:jc w:val="both"/>
        <w:rPr>
          <w:noProof w:val="0"/>
          <w:sz w:val="22"/>
          <w:szCs w:val="22"/>
          <w:lang w:val="lt-LT"/>
        </w:rPr>
      </w:pPr>
      <w:r w:rsidRPr="009E0143">
        <w:rPr>
          <w:noProof w:val="0"/>
          <w:sz w:val="22"/>
          <w:szCs w:val="22"/>
          <w:lang w:val="lt-LT"/>
        </w:rPr>
        <w:t>Prieš vartojimą perskaitykite pakuotės lapelį.</w:t>
      </w:r>
    </w:p>
    <w:p w14:paraId="1D62F474" w14:textId="77777777" w:rsidR="004E123A" w:rsidRPr="009E0143" w:rsidRDefault="004E123A" w:rsidP="00F56562">
      <w:pPr>
        <w:jc w:val="both"/>
        <w:rPr>
          <w:noProof w:val="0"/>
          <w:sz w:val="22"/>
          <w:szCs w:val="22"/>
          <w:lang w:val="lt-LT"/>
        </w:rPr>
      </w:pPr>
    </w:p>
    <w:p w14:paraId="7848DB08" w14:textId="77777777" w:rsidR="004D7513" w:rsidRPr="009E0143" w:rsidRDefault="004D7513" w:rsidP="00F56562">
      <w:pPr>
        <w:tabs>
          <w:tab w:val="left" w:pos="567"/>
        </w:tabs>
        <w:rPr>
          <w:sz w:val="22"/>
          <w:szCs w:val="22"/>
          <w:lang w:val="lt-LT"/>
        </w:rPr>
      </w:pPr>
    </w:p>
    <w:p w14:paraId="1E07BA65" w14:textId="77777777" w:rsidR="004D7513" w:rsidRPr="009E0143" w:rsidRDefault="004D7513" w:rsidP="00F5656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9E0143">
        <w:rPr>
          <w:b/>
          <w:sz w:val="22"/>
          <w:szCs w:val="22"/>
          <w:lang w:val="lt-LT"/>
        </w:rPr>
        <w:t>6.</w:t>
      </w:r>
      <w:r w:rsidRPr="009E0143">
        <w:rPr>
          <w:b/>
          <w:sz w:val="22"/>
          <w:szCs w:val="22"/>
          <w:lang w:val="lt-LT"/>
        </w:rPr>
        <w:tab/>
        <w:t>SPECIALUS ĮSPĖJIMAS, KAD VAISTINĮ PREPARATĄ BŪTINA LAIKYTI VAIKAMS NEPASTEBIMOJE IR NEPASIEKIAMOJE VIETOJE</w:t>
      </w:r>
    </w:p>
    <w:p w14:paraId="29866B2A" w14:textId="77777777" w:rsidR="004D7513" w:rsidRPr="009E0143" w:rsidRDefault="004D7513" w:rsidP="00F56562">
      <w:pPr>
        <w:tabs>
          <w:tab w:val="left" w:pos="567"/>
        </w:tabs>
        <w:rPr>
          <w:sz w:val="22"/>
          <w:szCs w:val="22"/>
          <w:lang w:val="lt-LT"/>
        </w:rPr>
      </w:pPr>
    </w:p>
    <w:p w14:paraId="24CA061F" w14:textId="77777777" w:rsidR="004D7513" w:rsidRPr="009E0143" w:rsidRDefault="004D7513" w:rsidP="00F56562">
      <w:pPr>
        <w:tabs>
          <w:tab w:val="left" w:pos="567"/>
        </w:tabs>
        <w:rPr>
          <w:sz w:val="22"/>
          <w:szCs w:val="22"/>
          <w:lang w:val="lt-LT"/>
        </w:rPr>
      </w:pPr>
      <w:r w:rsidRPr="009E0143">
        <w:rPr>
          <w:sz w:val="22"/>
          <w:szCs w:val="22"/>
          <w:lang w:val="lt-LT"/>
        </w:rPr>
        <w:t>Laikyti vaikams nepastebimoje ir nepasiekiamoje vietoje.</w:t>
      </w:r>
    </w:p>
    <w:p w14:paraId="7559A142" w14:textId="77777777" w:rsidR="004D7513" w:rsidRPr="009E0143" w:rsidRDefault="004D7513" w:rsidP="00F56562">
      <w:pPr>
        <w:tabs>
          <w:tab w:val="left" w:pos="567"/>
        </w:tabs>
        <w:rPr>
          <w:sz w:val="22"/>
          <w:szCs w:val="22"/>
          <w:lang w:val="lt-LT"/>
        </w:rPr>
      </w:pPr>
    </w:p>
    <w:p w14:paraId="0A8C648E" w14:textId="77777777" w:rsidR="004D7513" w:rsidRPr="009E0143" w:rsidRDefault="004D7513" w:rsidP="00F56562">
      <w:pPr>
        <w:tabs>
          <w:tab w:val="left" w:pos="567"/>
        </w:tabs>
        <w:rPr>
          <w:sz w:val="22"/>
          <w:szCs w:val="22"/>
          <w:lang w:val="lt-LT"/>
        </w:rPr>
      </w:pPr>
    </w:p>
    <w:p w14:paraId="46FA4D90" w14:textId="77777777" w:rsidR="004D7513" w:rsidRPr="009E0143" w:rsidRDefault="004D7513" w:rsidP="00F5656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9E0143">
        <w:rPr>
          <w:b/>
          <w:sz w:val="22"/>
          <w:szCs w:val="22"/>
          <w:lang w:val="lt-LT"/>
        </w:rPr>
        <w:t>7.</w:t>
      </w:r>
      <w:r w:rsidRPr="009E0143">
        <w:rPr>
          <w:b/>
          <w:sz w:val="22"/>
          <w:szCs w:val="22"/>
          <w:lang w:val="lt-LT"/>
        </w:rPr>
        <w:tab/>
        <w:t>KITAS (-I) SPECIALUS (-ŪS) ĮSPĖJIMAS (-AI) (JEI REIKIA)</w:t>
      </w:r>
    </w:p>
    <w:p w14:paraId="0B7E6D13" w14:textId="77777777" w:rsidR="004D7513" w:rsidRPr="009E0143" w:rsidRDefault="004D7513" w:rsidP="00F56562">
      <w:pPr>
        <w:tabs>
          <w:tab w:val="left" w:pos="567"/>
        </w:tabs>
        <w:rPr>
          <w:sz w:val="22"/>
          <w:szCs w:val="22"/>
          <w:lang w:val="lt-LT"/>
        </w:rPr>
      </w:pPr>
    </w:p>
    <w:p w14:paraId="0C2B2AA0" w14:textId="77777777" w:rsidR="0018330E" w:rsidRPr="009E0143" w:rsidRDefault="00F87611" w:rsidP="00505A64">
      <w:pPr>
        <w:rPr>
          <w:noProof w:val="0"/>
          <w:color w:val="000000"/>
          <w:sz w:val="22"/>
          <w:szCs w:val="22"/>
          <w:highlight w:val="lightGray"/>
          <w:lang w:val="lt-LT"/>
        </w:rPr>
      </w:pPr>
      <w:r w:rsidRPr="009E0143">
        <w:rPr>
          <w:noProof w:val="0"/>
          <w:color w:val="000000"/>
          <w:sz w:val="22"/>
          <w:szCs w:val="22"/>
          <w:highlight w:val="lightGray"/>
          <w:lang w:val="lt-LT"/>
        </w:rPr>
        <w:t>Vartojant didesnes</w:t>
      </w:r>
      <w:r w:rsidR="0018330E" w:rsidRPr="009E0143">
        <w:rPr>
          <w:noProof w:val="0"/>
          <w:color w:val="000000"/>
          <w:sz w:val="22"/>
          <w:szCs w:val="22"/>
          <w:highlight w:val="lightGray"/>
          <w:lang w:val="lt-LT"/>
        </w:rPr>
        <w:t xml:space="preserve"> nei rekomenduojama </w:t>
      </w:r>
      <w:r w:rsidRPr="009E0143">
        <w:rPr>
          <w:noProof w:val="0"/>
          <w:color w:val="000000"/>
          <w:sz w:val="22"/>
          <w:szCs w:val="22"/>
          <w:highlight w:val="lightGray"/>
          <w:lang w:val="lt-LT"/>
        </w:rPr>
        <w:t xml:space="preserve">vaisto </w:t>
      </w:r>
      <w:r w:rsidR="0018330E" w:rsidRPr="009E0143">
        <w:rPr>
          <w:noProof w:val="0"/>
          <w:color w:val="000000"/>
          <w:sz w:val="22"/>
          <w:szCs w:val="22"/>
          <w:highlight w:val="lightGray"/>
          <w:lang w:val="lt-LT"/>
        </w:rPr>
        <w:t>doz</w:t>
      </w:r>
      <w:r w:rsidRPr="009E0143">
        <w:rPr>
          <w:noProof w:val="0"/>
          <w:color w:val="000000"/>
          <w:sz w:val="22"/>
          <w:szCs w:val="22"/>
          <w:highlight w:val="lightGray"/>
          <w:lang w:val="lt-LT"/>
        </w:rPr>
        <w:t xml:space="preserve">es, padidėja </w:t>
      </w:r>
      <w:r w:rsidR="0018330E" w:rsidRPr="009E0143">
        <w:rPr>
          <w:noProof w:val="0"/>
          <w:color w:val="000000"/>
          <w:sz w:val="22"/>
          <w:szCs w:val="22"/>
          <w:highlight w:val="lightGray"/>
          <w:lang w:val="lt-LT"/>
        </w:rPr>
        <w:t xml:space="preserve">sunkaus kepenų pažeidimo </w:t>
      </w:r>
      <w:r w:rsidR="0052109F" w:rsidRPr="009E0143">
        <w:rPr>
          <w:noProof w:val="0"/>
          <w:color w:val="000000"/>
          <w:sz w:val="22"/>
          <w:szCs w:val="22"/>
          <w:highlight w:val="lightGray"/>
          <w:lang w:val="lt-LT"/>
        </w:rPr>
        <w:t xml:space="preserve">pasireiškimo </w:t>
      </w:r>
      <w:r w:rsidR="0018330E" w:rsidRPr="009E0143">
        <w:rPr>
          <w:noProof w:val="0"/>
          <w:color w:val="000000"/>
          <w:sz w:val="22"/>
          <w:szCs w:val="22"/>
          <w:highlight w:val="lightGray"/>
          <w:lang w:val="lt-LT"/>
        </w:rPr>
        <w:t>rizik</w:t>
      </w:r>
      <w:r w:rsidRPr="009E0143">
        <w:rPr>
          <w:noProof w:val="0"/>
          <w:color w:val="000000"/>
          <w:sz w:val="22"/>
          <w:szCs w:val="22"/>
          <w:highlight w:val="lightGray"/>
          <w:lang w:val="lt-LT"/>
        </w:rPr>
        <w:t>a</w:t>
      </w:r>
      <w:r w:rsidR="0018330E" w:rsidRPr="009E0143">
        <w:rPr>
          <w:noProof w:val="0"/>
          <w:color w:val="000000"/>
          <w:sz w:val="22"/>
          <w:szCs w:val="22"/>
          <w:highlight w:val="lightGray"/>
          <w:lang w:val="lt-LT"/>
        </w:rPr>
        <w:t>.</w:t>
      </w:r>
    </w:p>
    <w:p w14:paraId="6F0F02DB" w14:textId="77777777" w:rsidR="0018330E" w:rsidRPr="009E0143" w:rsidRDefault="0018330E" w:rsidP="00505A64">
      <w:pPr>
        <w:rPr>
          <w:noProof w:val="0"/>
          <w:color w:val="000000"/>
          <w:sz w:val="22"/>
          <w:szCs w:val="22"/>
          <w:highlight w:val="lightGray"/>
          <w:lang w:val="lt-LT"/>
        </w:rPr>
      </w:pPr>
      <w:r w:rsidRPr="009E0143">
        <w:rPr>
          <w:noProof w:val="0"/>
          <w:color w:val="000000"/>
          <w:sz w:val="22"/>
          <w:szCs w:val="22"/>
          <w:highlight w:val="lightGray"/>
          <w:lang w:val="lt-LT"/>
        </w:rPr>
        <w:t>Sudėtyje yra paracetamolio. Nevartokite kartu su kitais vaistais, kurių sudėtyje yra paracetamolio.</w:t>
      </w:r>
    </w:p>
    <w:p w14:paraId="2DED7762" w14:textId="77777777" w:rsidR="0018330E" w:rsidRPr="009E0143" w:rsidRDefault="00AF5EA0" w:rsidP="00505A64">
      <w:pPr>
        <w:rPr>
          <w:noProof w:val="0"/>
          <w:color w:val="000000"/>
          <w:sz w:val="22"/>
          <w:szCs w:val="22"/>
          <w:lang w:val="lt-LT"/>
        </w:rPr>
      </w:pPr>
      <w:r w:rsidRPr="009E0143">
        <w:rPr>
          <w:noProof w:val="0"/>
          <w:color w:val="000000"/>
          <w:sz w:val="22"/>
          <w:szCs w:val="22"/>
          <w:highlight w:val="lightGray"/>
          <w:lang w:val="lt-LT"/>
        </w:rPr>
        <w:t>Jei</w:t>
      </w:r>
      <w:r w:rsidR="00F87611" w:rsidRPr="009E0143">
        <w:rPr>
          <w:noProof w:val="0"/>
          <w:color w:val="000000"/>
          <w:sz w:val="22"/>
          <w:szCs w:val="22"/>
          <w:highlight w:val="lightGray"/>
          <w:lang w:val="lt-LT"/>
        </w:rPr>
        <w:t>gu</w:t>
      </w:r>
      <w:r w:rsidRPr="009E0143">
        <w:rPr>
          <w:noProof w:val="0"/>
          <w:color w:val="000000"/>
          <w:sz w:val="22"/>
          <w:szCs w:val="22"/>
          <w:highlight w:val="lightGray"/>
          <w:lang w:val="lt-LT"/>
        </w:rPr>
        <w:t xml:space="preserve"> sergate kepenų liga arba turite problemų dėl alkoholio vartojimo, n</w:t>
      </w:r>
      <w:r w:rsidR="0018330E" w:rsidRPr="009E0143">
        <w:rPr>
          <w:noProof w:val="0"/>
          <w:color w:val="000000"/>
          <w:sz w:val="22"/>
          <w:szCs w:val="22"/>
          <w:highlight w:val="lightGray"/>
          <w:lang w:val="lt-LT"/>
        </w:rPr>
        <w:t>evartokite šio vaisto</w:t>
      </w:r>
      <w:r w:rsidR="00874682" w:rsidRPr="009E0143">
        <w:rPr>
          <w:noProof w:val="0"/>
          <w:color w:val="000000"/>
          <w:sz w:val="22"/>
          <w:szCs w:val="22"/>
          <w:highlight w:val="lightGray"/>
          <w:lang w:val="lt-LT"/>
        </w:rPr>
        <w:t>, jeigu</w:t>
      </w:r>
      <w:r w:rsidR="0018330E" w:rsidRPr="009E0143">
        <w:rPr>
          <w:noProof w:val="0"/>
          <w:color w:val="000000"/>
          <w:sz w:val="22"/>
          <w:szCs w:val="22"/>
          <w:highlight w:val="lightGray"/>
          <w:lang w:val="lt-LT"/>
        </w:rPr>
        <w:t xml:space="preserve"> </w:t>
      </w:r>
      <w:r w:rsidRPr="009E0143">
        <w:rPr>
          <w:noProof w:val="0"/>
          <w:color w:val="000000"/>
          <w:sz w:val="22"/>
          <w:szCs w:val="22"/>
          <w:highlight w:val="lightGray"/>
          <w:lang w:val="lt-LT"/>
        </w:rPr>
        <w:t>jo nerekomendav</w:t>
      </w:r>
      <w:r w:rsidR="00874682" w:rsidRPr="009E0143">
        <w:rPr>
          <w:noProof w:val="0"/>
          <w:color w:val="000000"/>
          <w:sz w:val="22"/>
          <w:szCs w:val="22"/>
          <w:highlight w:val="lightGray"/>
          <w:lang w:val="lt-LT"/>
        </w:rPr>
        <w:t>o</w:t>
      </w:r>
      <w:r w:rsidR="0018330E" w:rsidRPr="009E0143">
        <w:rPr>
          <w:noProof w:val="0"/>
          <w:color w:val="000000"/>
          <w:sz w:val="22"/>
          <w:szCs w:val="22"/>
          <w:highlight w:val="lightGray"/>
          <w:lang w:val="lt-LT"/>
        </w:rPr>
        <w:t xml:space="preserve"> gydytoj</w:t>
      </w:r>
      <w:r w:rsidR="00874682" w:rsidRPr="009E0143">
        <w:rPr>
          <w:noProof w:val="0"/>
          <w:color w:val="000000"/>
          <w:sz w:val="22"/>
          <w:szCs w:val="22"/>
          <w:highlight w:val="lightGray"/>
          <w:lang w:val="lt-LT"/>
        </w:rPr>
        <w:t>as</w:t>
      </w:r>
      <w:r w:rsidR="0018330E" w:rsidRPr="009E0143">
        <w:rPr>
          <w:noProof w:val="0"/>
          <w:color w:val="000000"/>
          <w:sz w:val="22"/>
          <w:szCs w:val="22"/>
          <w:highlight w:val="lightGray"/>
          <w:lang w:val="lt-LT"/>
        </w:rPr>
        <w:t>.</w:t>
      </w:r>
    </w:p>
    <w:p w14:paraId="0A09ACC4" w14:textId="77777777" w:rsidR="0018330E" w:rsidRPr="009E0143" w:rsidRDefault="0018330E" w:rsidP="00F56562">
      <w:pPr>
        <w:jc w:val="both"/>
        <w:rPr>
          <w:noProof w:val="0"/>
          <w:color w:val="000000"/>
          <w:sz w:val="22"/>
          <w:szCs w:val="22"/>
          <w:lang w:val="lt-LT"/>
        </w:rPr>
      </w:pPr>
    </w:p>
    <w:p w14:paraId="30359D97" w14:textId="77777777" w:rsidR="004D7513" w:rsidRPr="009E0143" w:rsidRDefault="004D7513" w:rsidP="00F56562">
      <w:pPr>
        <w:tabs>
          <w:tab w:val="left" w:pos="567"/>
        </w:tabs>
        <w:rPr>
          <w:sz w:val="22"/>
          <w:szCs w:val="22"/>
          <w:lang w:val="lt-LT"/>
        </w:rPr>
      </w:pPr>
    </w:p>
    <w:p w14:paraId="13EB8126" w14:textId="77777777" w:rsidR="004D7513" w:rsidRPr="009E0143" w:rsidRDefault="004D7513" w:rsidP="00F56562">
      <w:pPr>
        <w:keepNext/>
        <w:keepLines/>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9E0143">
        <w:rPr>
          <w:b/>
          <w:sz w:val="22"/>
          <w:szCs w:val="22"/>
          <w:lang w:val="lt-LT"/>
        </w:rPr>
        <w:t>8.</w:t>
      </w:r>
      <w:r w:rsidRPr="009E0143">
        <w:rPr>
          <w:b/>
          <w:sz w:val="22"/>
          <w:szCs w:val="22"/>
          <w:lang w:val="lt-LT"/>
        </w:rPr>
        <w:tab/>
        <w:t>TINKAMUMO LAIKAS</w:t>
      </w:r>
    </w:p>
    <w:p w14:paraId="4CC659BC" w14:textId="77777777" w:rsidR="004D7513" w:rsidRPr="009E0143" w:rsidRDefault="004D7513" w:rsidP="00F56562">
      <w:pPr>
        <w:keepNext/>
        <w:keepLines/>
        <w:tabs>
          <w:tab w:val="left" w:pos="567"/>
        </w:tabs>
        <w:rPr>
          <w:sz w:val="22"/>
          <w:szCs w:val="22"/>
          <w:lang w:val="lt-LT"/>
        </w:rPr>
      </w:pPr>
    </w:p>
    <w:p w14:paraId="706D4D59" w14:textId="77777777" w:rsidR="00BD51A6" w:rsidRPr="009E0143" w:rsidRDefault="00BD51A6" w:rsidP="00F56562">
      <w:pPr>
        <w:keepNext/>
        <w:keepLines/>
        <w:jc w:val="both"/>
        <w:rPr>
          <w:noProof w:val="0"/>
          <w:sz w:val="22"/>
          <w:szCs w:val="22"/>
          <w:lang w:val="lt-LT"/>
        </w:rPr>
      </w:pPr>
      <w:r w:rsidRPr="009E0143">
        <w:rPr>
          <w:noProof w:val="0"/>
          <w:sz w:val="22"/>
          <w:szCs w:val="22"/>
          <w:lang w:val="lt-LT"/>
        </w:rPr>
        <w:t>EXP</w:t>
      </w:r>
      <w:r w:rsidR="00430F2B" w:rsidRPr="009E0143">
        <w:rPr>
          <w:noProof w:val="0"/>
          <w:sz w:val="22"/>
          <w:szCs w:val="22"/>
          <w:lang w:val="lt-LT"/>
        </w:rPr>
        <w:t xml:space="preserve"> </w:t>
      </w:r>
      <w:r w:rsidR="00430F2B" w:rsidRPr="009E0143">
        <w:rPr>
          <w:sz w:val="22"/>
          <w:szCs w:val="22"/>
          <w:lang w:val="lt-LT" w:eastAsia="en-US"/>
        </w:rPr>
        <w:t>{mm/MMMM}</w:t>
      </w:r>
    </w:p>
    <w:p w14:paraId="2C3D372F" w14:textId="77777777" w:rsidR="004D7513" w:rsidRPr="009E0143" w:rsidRDefault="004D7513" w:rsidP="00F56562">
      <w:pPr>
        <w:tabs>
          <w:tab w:val="left" w:pos="567"/>
        </w:tabs>
        <w:rPr>
          <w:sz w:val="22"/>
          <w:szCs w:val="22"/>
          <w:lang w:val="lt-LT"/>
        </w:rPr>
      </w:pPr>
    </w:p>
    <w:p w14:paraId="437AD69F" w14:textId="77777777" w:rsidR="006D480E" w:rsidRPr="009E0143" w:rsidRDefault="006D480E" w:rsidP="00F56562">
      <w:pPr>
        <w:tabs>
          <w:tab w:val="left" w:pos="567"/>
        </w:tabs>
        <w:rPr>
          <w:sz w:val="22"/>
          <w:szCs w:val="22"/>
          <w:lang w:val="lt-LT"/>
        </w:rPr>
      </w:pPr>
    </w:p>
    <w:p w14:paraId="5A8875B7" w14:textId="77777777" w:rsidR="004D7513" w:rsidRPr="009E0143" w:rsidRDefault="004D7513" w:rsidP="00F56562">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9E0143">
        <w:rPr>
          <w:b/>
          <w:sz w:val="22"/>
          <w:szCs w:val="22"/>
          <w:lang w:val="lt-LT"/>
        </w:rPr>
        <w:lastRenderedPageBreak/>
        <w:t>9.</w:t>
      </w:r>
      <w:r w:rsidRPr="009E0143">
        <w:rPr>
          <w:b/>
          <w:sz w:val="22"/>
          <w:szCs w:val="22"/>
          <w:lang w:val="lt-LT"/>
        </w:rPr>
        <w:tab/>
        <w:t>SPECIALIOS LAIKYMO SĄLYGOS</w:t>
      </w:r>
    </w:p>
    <w:p w14:paraId="4018D329" w14:textId="77777777" w:rsidR="004D7513" w:rsidRPr="009E0143" w:rsidRDefault="004D7513" w:rsidP="00F56562">
      <w:pPr>
        <w:tabs>
          <w:tab w:val="left" w:pos="567"/>
        </w:tabs>
        <w:rPr>
          <w:sz w:val="22"/>
          <w:szCs w:val="22"/>
          <w:lang w:val="lt-LT"/>
        </w:rPr>
      </w:pPr>
    </w:p>
    <w:p w14:paraId="13699208" w14:textId="77777777" w:rsidR="004D7513" w:rsidRPr="009E0143" w:rsidRDefault="004D7513" w:rsidP="00F56562">
      <w:pPr>
        <w:tabs>
          <w:tab w:val="left" w:pos="567"/>
        </w:tabs>
        <w:rPr>
          <w:sz w:val="22"/>
          <w:szCs w:val="22"/>
          <w:lang w:val="lt-LT"/>
        </w:rPr>
      </w:pPr>
    </w:p>
    <w:p w14:paraId="5413F0FB" w14:textId="77777777" w:rsidR="004D7513" w:rsidRPr="009E0143" w:rsidRDefault="004D7513" w:rsidP="00F5656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9E0143">
        <w:rPr>
          <w:b/>
          <w:sz w:val="22"/>
          <w:szCs w:val="22"/>
          <w:lang w:val="lt-LT"/>
        </w:rPr>
        <w:t>10.</w:t>
      </w:r>
      <w:r w:rsidRPr="009E0143">
        <w:rPr>
          <w:b/>
          <w:sz w:val="22"/>
          <w:szCs w:val="22"/>
          <w:lang w:val="lt-LT"/>
        </w:rPr>
        <w:tab/>
        <w:t>SPECIALIOS ATSARGUMO PRIEMONĖS DĖL NESUVARTOTO VAISTINIO PREPARATO AR JO ATLIEKŲ TVARKYMO (JEI REIKIA)</w:t>
      </w:r>
    </w:p>
    <w:p w14:paraId="1C10B03E" w14:textId="77777777" w:rsidR="004D7513" w:rsidRPr="009E0143" w:rsidRDefault="004D7513" w:rsidP="00F56562">
      <w:pPr>
        <w:tabs>
          <w:tab w:val="left" w:pos="567"/>
        </w:tabs>
        <w:rPr>
          <w:sz w:val="22"/>
          <w:szCs w:val="22"/>
          <w:lang w:val="lt-LT"/>
        </w:rPr>
      </w:pPr>
    </w:p>
    <w:p w14:paraId="4745F2F2" w14:textId="77777777" w:rsidR="004D7513" w:rsidRPr="009E0143" w:rsidRDefault="004D7513" w:rsidP="00F56562">
      <w:pPr>
        <w:tabs>
          <w:tab w:val="left" w:pos="567"/>
        </w:tabs>
        <w:rPr>
          <w:sz w:val="22"/>
          <w:szCs w:val="22"/>
          <w:lang w:val="lt-LT"/>
        </w:rPr>
      </w:pPr>
    </w:p>
    <w:p w14:paraId="6185FF22" w14:textId="77777777" w:rsidR="004D7513" w:rsidRPr="009E0143" w:rsidRDefault="004D7513" w:rsidP="00F5656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9E0143">
        <w:rPr>
          <w:b/>
          <w:sz w:val="22"/>
          <w:szCs w:val="22"/>
          <w:lang w:val="lt-LT"/>
        </w:rPr>
        <w:t>11.</w:t>
      </w:r>
      <w:r w:rsidRPr="009E0143">
        <w:rPr>
          <w:b/>
          <w:sz w:val="22"/>
          <w:szCs w:val="22"/>
          <w:lang w:val="lt-LT"/>
        </w:rPr>
        <w:tab/>
      </w:r>
      <w:r w:rsidRPr="009E0143">
        <w:rPr>
          <w:b/>
          <w:caps/>
          <w:sz w:val="22"/>
          <w:szCs w:val="22"/>
          <w:lang w:val="lt-LT"/>
        </w:rPr>
        <w:t xml:space="preserve"> REGISTRUOTOJO PAVADINIMAS IR ADRESAS</w:t>
      </w:r>
    </w:p>
    <w:p w14:paraId="6C99B7A8" w14:textId="77777777" w:rsidR="004D7513" w:rsidRPr="009E0143" w:rsidRDefault="004D7513" w:rsidP="00F56562">
      <w:pPr>
        <w:tabs>
          <w:tab w:val="left" w:pos="567"/>
        </w:tabs>
        <w:rPr>
          <w:sz w:val="22"/>
          <w:szCs w:val="22"/>
          <w:lang w:val="lt-LT"/>
        </w:rPr>
      </w:pPr>
    </w:p>
    <w:p w14:paraId="60278EFB" w14:textId="77777777" w:rsidR="009843C8" w:rsidRPr="009E0143" w:rsidRDefault="009843C8" w:rsidP="00F56562">
      <w:pPr>
        <w:rPr>
          <w:noProof w:val="0"/>
          <w:sz w:val="22"/>
          <w:szCs w:val="22"/>
          <w:lang w:val="lt-LT" w:eastAsia="lt-LT"/>
        </w:rPr>
      </w:pPr>
      <w:r w:rsidRPr="009E0143">
        <w:rPr>
          <w:sz w:val="22"/>
          <w:szCs w:val="22"/>
          <w:lang w:val="lt-LT"/>
        </w:rPr>
        <w:t>Zentiva, k.s.</w:t>
      </w:r>
    </w:p>
    <w:p w14:paraId="68A52333" w14:textId="77777777" w:rsidR="009843C8" w:rsidRPr="009E0143" w:rsidRDefault="009843C8" w:rsidP="00F56562">
      <w:pPr>
        <w:rPr>
          <w:sz w:val="22"/>
          <w:szCs w:val="22"/>
          <w:lang w:val="lt-LT"/>
        </w:rPr>
      </w:pPr>
      <w:r w:rsidRPr="009E0143">
        <w:rPr>
          <w:sz w:val="22"/>
          <w:szCs w:val="22"/>
          <w:lang w:val="lt-LT"/>
        </w:rPr>
        <w:t>U kabelovny 130</w:t>
      </w:r>
    </w:p>
    <w:p w14:paraId="22444A93" w14:textId="77777777" w:rsidR="009843C8" w:rsidRPr="009E0143" w:rsidRDefault="009843C8" w:rsidP="00F56562">
      <w:pPr>
        <w:rPr>
          <w:sz w:val="22"/>
          <w:szCs w:val="22"/>
          <w:lang w:val="lt-LT"/>
        </w:rPr>
      </w:pPr>
      <w:r w:rsidRPr="009E0143">
        <w:rPr>
          <w:sz w:val="22"/>
          <w:szCs w:val="22"/>
          <w:lang w:val="lt-LT"/>
        </w:rPr>
        <w:t>Dolní Měcholupy</w:t>
      </w:r>
    </w:p>
    <w:p w14:paraId="30EDA439" w14:textId="77777777" w:rsidR="009843C8" w:rsidRPr="009E0143" w:rsidRDefault="009843C8" w:rsidP="00F56562">
      <w:pPr>
        <w:rPr>
          <w:sz w:val="22"/>
          <w:szCs w:val="22"/>
          <w:lang w:val="lt-LT"/>
        </w:rPr>
      </w:pPr>
      <w:r w:rsidRPr="009E0143">
        <w:rPr>
          <w:sz w:val="22"/>
          <w:szCs w:val="22"/>
          <w:lang w:val="lt-LT"/>
        </w:rPr>
        <w:t>102 37 Praha 10</w:t>
      </w:r>
    </w:p>
    <w:p w14:paraId="27C1E8BD" w14:textId="77777777" w:rsidR="009843C8" w:rsidRPr="009E0143" w:rsidRDefault="009843C8" w:rsidP="00F56562">
      <w:pPr>
        <w:rPr>
          <w:sz w:val="22"/>
          <w:szCs w:val="22"/>
          <w:lang w:val="lt-LT"/>
        </w:rPr>
      </w:pPr>
      <w:r w:rsidRPr="009E0143">
        <w:rPr>
          <w:sz w:val="22"/>
          <w:szCs w:val="22"/>
          <w:lang w:val="lt-LT"/>
        </w:rPr>
        <w:t>Čekija</w:t>
      </w:r>
    </w:p>
    <w:p w14:paraId="550A5FD1" w14:textId="77777777" w:rsidR="004D7513" w:rsidRPr="009E0143" w:rsidRDefault="004D7513" w:rsidP="00F56562">
      <w:pPr>
        <w:tabs>
          <w:tab w:val="left" w:pos="567"/>
        </w:tabs>
        <w:rPr>
          <w:sz w:val="22"/>
          <w:szCs w:val="22"/>
          <w:lang w:val="lt-LT"/>
        </w:rPr>
      </w:pPr>
    </w:p>
    <w:p w14:paraId="0A0AC7DF" w14:textId="77777777" w:rsidR="004D7513" w:rsidRPr="009E0143" w:rsidRDefault="004D7513" w:rsidP="00F56562">
      <w:pPr>
        <w:tabs>
          <w:tab w:val="left" w:pos="567"/>
        </w:tabs>
        <w:rPr>
          <w:sz w:val="22"/>
          <w:szCs w:val="22"/>
          <w:lang w:val="lt-LT"/>
        </w:rPr>
      </w:pPr>
    </w:p>
    <w:p w14:paraId="5AA25B8D" w14:textId="77777777" w:rsidR="004D7513" w:rsidRPr="009E0143" w:rsidRDefault="004D7513" w:rsidP="00F56562">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9E0143">
        <w:rPr>
          <w:b/>
          <w:sz w:val="22"/>
          <w:szCs w:val="22"/>
          <w:lang w:val="lt-LT"/>
        </w:rPr>
        <w:t>12.</w:t>
      </w:r>
      <w:r w:rsidRPr="009E0143">
        <w:rPr>
          <w:b/>
          <w:sz w:val="22"/>
          <w:szCs w:val="22"/>
          <w:lang w:val="lt-LT"/>
        </w:rPr>
        <w:tab/>
        <w:t xml:space="preserve">REGISTRACIJOS PAŽYMĖJIMO NUMERIS (-IAI) </w:t>
      </w:r>
    </w:p>
    <w:p w14:paraId="219F0A24" w14:textId="77777777" w:rsidR="004D7513" w:rsidRPr="009E0143" w:rsidRDefault="004D7513" w:rsidP="00F56562">
      <w:pPr>
        <w:tabs>
          <w:tab w:val="left" w:pos="567"/>
        </w:tabs>
        <w:rPr>
          <w:sz w:val="22"/>
          <w:szCs w:val="22"/>
          <w:lang w:val="lt-LT"/>
        </w:rPr>
      </w:pPr>
    </w:p>
    <w:p w14:paraId="3201B6A5" w14:textId="7157F894" w:rsidR="00267263" w:rsidRPr="009E0143" w:rsidRDefault="00267263" w:rsidP="00267263">
      <w:pPr>
        <w:tabs>
          <w:tab w:val="left" w:pos="567"/>
        </w:tabs>
        <w:rPr>
          <w:sz w:val="22"/>
          <w:szCs w:val="22"/>
          <w:shd w:val="clear" w:color="auto" w:fill="D9D9D9" w:themeFill="background1" w:themeFillShade="D9"/>
          <w:lang w:val="lt-LT"/>
        </w:rPr>
      </w:pPr>
      <w:r w:rsidRPr="009E0143">
        <w:rPr>
          <w:sz w:val="22"/>
          <w:szCs w:val="22"/>
          <w:lang w:val="lt-LT"/>
        </w:rPr>
        <w:t xml:space="preserve">LT/1/22/4921/006 </w:t>
      </w:r>
      <w:r w:rsidRPr="009E0143">
        <w:rPr>
          <w:sz w:val="22"/>
          <w:szCs w:val="22"/>
          <w:shd w:val="clear" w:color="auto" w:fill="D9D9D9" w:themeFill="background1" w:themeFillShade="D9"/>
          <w:lang w:val="lt-LT"/>
        </w:rPr>
        <w:t>– N50</w:t>
      </w:r>
    </w:p>
    <w:p w14:paraId="06C8B934" w14:textId="77777777" w:rsidR="00267263" w:rsidRPr="009E0143" w:rsidRDefault="00267263" w:rsidP="00267263">
      <w:pPr>
        <w:tabs>
          <w:tab w:val="left" w:pos="567"/>
        </w:tabs>
        <w:rPr>
          <w:sz w:val="22"/>
          <w:szCs w:val="22"/>
          <w:shd w:val="clear" w:color="auto" w:fill="D9D9D9" w:themeFill="background1" w:themeFillShade="D9"/>
          <w:lang w:val="lt-LT"/>
        </w:rPr>
      </w:pPr>
      <w:r w:rsidRPr="009E0143">
        <w:rPr>
          <w:sz w:val="22"/>
          <w:szCs w:val="22"/>
          <w:shd w:val="clear" w:color="auto" w:fill="D9D9D9" w:themeFill="background1" w:themeFillShade="D9"/>
          <w:lang w:val="lt-LT"/>
        </w:rPr>
        <w:t>LT/1/22/4921/007 – N100</w:t>
      </w:r>
    </w:p>
    <w:p w14:paraId="5D75AA86" w14:textId="77777777" w:rsidR="00267263" w:rsidRPr="009E0143" w:rsidRDefault="00267263" w:rsidP="00267263">
      <w:pPr>
        <w:tabs>
          <w:tab w:val="left" w:pos="567"/>
        </w:tabs>
        <w:rPr>
          <w:sz w:val="22"/>
          <w:szCs w:val="22"/>
          <w:shd w:val="clear" w:color="auto" w:fill="D9D9D9" w:themeFill="background1" w:themeFillShade="D9"/>
          <w:lang w:val="lt-LT"/>
        </w:rPr>
      </w:pPr>
      <w:r w:rsidRPr="009E0143">
        <w:rPr>
          <w:sz w:val="22"/>
          <w:szCs w:val="22"/>
          <w:shd w:val="clear" w:color="auto" w:fill="D9D9D9" w:themeFill="background1" w:themeFillShade="D9"/>
          <w:lang w:val="lt-LT"/>
        </w:rPr>
        <w:t>LT/1/22/4921/008 – N120</w:t>
      </w:r>
    </w:p>
    <w:p w14:paraId="6D54B95A" w14:textId="061BBE16" w:rsidR="004D7513" w:rsidRPr="009E0143" w:rsidRDefault="00267263" w:rsidP="00267263">
      <w:pPr>
        <w:tabs>
          <w:tab w:val="left" w:pos="567"/>
        </w:tabs>
        <w:rPr>
          <w:sz w:val="22"/>
          <w:szCs w:val="22"/>
          <w:lang w:val="lt-LT"/>
        </w:rPr>
      </w:pPr>
      <w:r w:rsidRPr="009E0143">
        <w:rPr>
          <w:sz w:val="22"/>
          <w:szCs w:val="22"/>
          <w:shd w:val="clear" w:color="auto" w:fill="D9D9D9" w:themeFill="background1" w:themeFillShade="D9"/>
          <w:lang w:val="lt-LT"/>
        </w:rPr>
        <w:t>LT/1/22/4921/009 – N300</w:t>
      </w:r>
    </w:p>
    <w:p w14:paraId="6657AD53" w14:textId="77777777" w:rsidR="004D7513" w:rsidRPr="009E0143" w:rsidRDefault="004D7513" w:rsidP="00F56562">
      <w:pPr>
        <w:tabs>
          <w:tab w:val="left" w:pos="567"/>
        </w:tabs>
        <w:rPr>
          <w:sz w:val="22"/>
          <w:szCs w:val="22"/>
          <w:lang w:val="lt-LT"/>
        </w:rPr>
      </w:pPr>
    </w:p>
    <w:p w14:paraId="4CA13E44" w14:textId="77777777" w:rsidR="004D7513" w:rsidRPr="009E0143" w:rsidRDefault="004D7513" w:rsidP="00F56562">
      <w:pPr>
        <w:tabs>
          <w:tab w:val="left" w:pos="567"/>
        </w:tabs>
        <w:rPr>
          <w:sz w:val="22"/>
          <w:szCs w:val="22"/>
          <w:lang w:val="lt-LT"/>
        </w:rPr>
      </w:pPr>
    </w:p>
    <w:p w14:paraId="60DE8CDE" w14:textId="77777777" w:rsidR="004D7513" w:rsidRPr="009E0143" w:rsidRDefault="004D7513" w:rsidP="00F56562">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9E0143">
        <w:rPr>
          <w:b/>
          <w:sz w:val="22"/>
          <w:szCs w:val="22"/>
          <w:lang w:val="lt-LT"/>
        </w:rPr>
        <w:t>13.</w:t>
      </w:r>
      <w:r w:rsidRPr="009E0143">
        <w:rPr>
          <w:b/>
          <w:sz w:val="22"/>
          <w:szCs w:val="22"/>
          <w:lang w:val="lt-LT"/>
        </w:rPr>
        <w:tab/>
        <w:t xml:space="preserve">SERIJOS NUMERIS </w:t>
      </w:r>
    </w:p>
    <w:p w14:paraId="54CF1C81" w14:textId="77777777" w:rsidR="004D7513" w:rsidRPr="009E0143" w:rsidRDefault="004D7513" w:rsidP="00F56562">
      <w:pPr>
        <w:tabs>
          <w:tab w:val="left" w:pos="567"/>
        </w:tabs>
        <w:rPr>
          <w:sz w:val="22"/>
          <w:szCs w:val="22"/>
          <w:lang w:val="lt-LT"/>
        </w:rPr>
      </w:pPr>
    </w:p>
    <w:p w14:paraId="2885645F" w14:textId="77777777" w:rsidR="00BD51A6" w:rsidRPr="009E0143" w:rsidRDefault="006D480E" w:rsidP="00F56562">
      <w:pPr>
        <w:jc w:val="both"/>
        <w:rPr>
          <w:noProof w:val="0"/>
          <w:sz w:val="22"/>
          <w:szCs w:val="22"/>
          <w:lang w:val="lt-LT"/>
        </w:rPr>
      </w:pPr>
      <w:r w:rsidRPr="009E0143">
        <w:rPr>
          <w:noProof w:val="0"/>
          <w:sz w:val="22"/>
          <w:szCs w:val="22"/>
          <w:lang w:val="lt-LT"/>
        </w:rPr>
        <w:t>Lot</w:t>
      </w:r>
    </w:p>
    <w:p w14:paraId="20684C62" w14:textId="77777777" w:rsidR="00BD51A6" w:rsidRPr="009E0143" w:rsidRDefault="00BD51A6" w:rsidP="00F56562">
      <w:pPr>
        <w:jc w:val="both"/>
        <w:rPr>
          <w:noProof w:val="0"/>
          <w:sz w:val="22"/>
          <w:szCs w:val="22"/>
          <w:lang w:val="lt-LT"/>
        </w:rPr>
      </w:pPr>
    </w:p>
    <w:p w14:paraId="5C470419" w14:textId="77777777" w:rsidR="006D480E" w:rsidRPr="009E0143" w:rsidRDefault="006D480E" w:rsidP="00F56562">
      <w:pPr>
        <w:tabs>
          <w:tab w:val="left" w:pos="567"/>
        </w:tabs>
        <w:rPr>
          <w:sz w:val="22"/>
          <w:szCs w:val="22"/>
          <w:lang w:val="lt-LT"/>
        </w:rPr>
      </w:pPr>
    </w:p>
    <w:p w14:paraId="2B750B46" w14:textId="77777777" w:rsidR="006D480E" w:rsidRPr="009E0143" w:rsidRDefault="006D480E" w:rsidP="00F56562">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9E0143">
        <w:rPr>
          <w:b/>
          <w:sz w:val="22"/>
          <w:szCs w:val="22"/>
          <w:lang w:val="lt-LT"/>
        </w:rPr>
        <w:t>14.</w:t>
      </w:r>
      <w:r w:rsidRPr="009E0143">
        <w:rPr>
          <w:b/>
          <w:sz w:val="22"/>
          <w:szCs w:val="22"/>
          <w:lang w:val="lt-LT"/>
        </w:rPr>
        <w:tab/>
        <w:t>PARDAVIMO (IŠDAVIMO) TVARKA</w:t>
      </w:r>
    </w:p>
    <w:p w14:paraId="443E4E40" w14:textId="77777777" w:rsidR="006D480E" w:rsidRPr="009E0143" w:rsidRDefault="006D480E" w:rsidP="00F56562">
      <w:pPr>
        <w:tabs>
          <w:tab w:val="left" w:pos="567"/>
        </w:tabs>
        <w:rPr>
          <w:sz w:val="22"/>
          <w:szCs w:val="22"/>
          <w:lang w:val="lt-LT"/>
        </w:rPr>
      </w:pPr>
    </w:p>
    <w:p w14:paraId="254CD494" w14:textId="77777777" w:rsidR="006D480E" w:rsidRPr="009E0143" w:rsidRDefault="007F3518" w:rsidP="00F56562">
      <w:pPr>
        <w:tabs>
          <w:tab w:val="left" w:pos="567"/>
        </w:tabs>
        <w:rPr>
          <w:sz w:val="22"/>
          <w:szCs w:val="22"/>
          <w:lang w:val="lt-LT"/>
        </w:rPr>
      </w:pPr>
      <w:r w:rsidRPr="009E0143">
        <w:rPr>
          <w:sz w:val="22"/>
          <w:szCs w:val="22"/>
          <w:lang w:val="lt-LT"/>
        </w:rPr>
        <w:t>R</w:t>
      </w:r>
      <w:r w:rsidR="006D480E" w:rsidRPr="009E0143">
        <w:rPr>
          <w:sz w:val="22"/>
          <w:szCs w:val="22"/>
          <w:lang w:val="lt-LT"/>
        </w:rPr>
        <w:t>eceptinis vaistas.</w:t>
      </w:r>
    </w:p>
    <w:p w14:paraId="0F83F7C0" w14:textId="77777777" w:rsidR="006D480E" w:rsidRPr="009E0143" w:rsidRDefault="006D480E" w:rsidP="00F56562">
      <w:pPr>
        <w:tabs>
          <w:tab w:val="left" w:pos="567"/>
        </w:tabs>
        <w:rPr>
          <w:sz w:val="22"/>
          <w:szCs w:val="22"/>
          <w:lang w:val="lt-LT"/>
        </w:rPr>
      </w:pPr>
    </w:p>
    <w:p w14:paraId="54C44D40" w14:textId="77777777" w:rsidR="006D480E" w:rsidRPr="009E0143" w:rsidRDefault="006D480E" w:rsidP="00F56562">
      <w:pPr>
        <w:tabs>
          <w:tab w:val="left" w:pos="567"/>
        </w:tabs>
        <w:rPr>
          <w:sz w:val="22"/>
          <w:szCs w:val="22"/>
          <w:lang w:val="lt-LT"/>
        </w:rPr>
      </w:pPr>
    </w:p>
    <w:p w14:paraId="09D47B8D" w14:textId="77777777" w:rsidR="006D480E" w:rsidRPr="009E0143" w:rsidRDefault="006D480E" w:rsidP="00F56562">
      <w:pPr>
        <w:pBdr>
          <w:top w:val="single" w:sz="4" w:space="2" w:color="auto"/>
          <w:left w:val="single" w:sz="4" w:space="4" w:color="auto"/>
          <w:bottom w:val="single" w:sz="4" w:space="1" w:color="auto"/>
          <w:right w:val="single" w:sz="4" w:space="4" w:color="auto"/>
        </w:pBdr>
        <w:tabs>
          <w:tab w:val="left" w:pos="567"/>
        </w:tabs>
        <w:rPr>
          <w:sz w:val="22"/>
          <w:szCs w:val="22"/>
          <w:lang w:val="lt-LT"/>
        </w:rPr>
      </w:pPr>
      <w:r w:rsidRPr="009E0143">
        <w:rPr>
          <w:b/>
          <w:sz w:val="22"/>
          <w:szCs w:val="22"/>
          <w:lang w:val="lt-LT"/>
        </w:rPr>
        <w:t>15.</w:t>
      </w:r>
      <w:r w:rsidRPr="009E0143">
        <w:rPr>
          <w:b/>
          <w:sz w:val="22"/>
          <w:szCs w:val="22"/>
          <w:lang w:val="lt-LT"/>
        </w:rPr>
        <w:tab/>
        <w:t>VARTOJIMO INSTRUKCIJA</w:t>
      </w:r>
    </w:p>
    <w:p w14:paraId="379487E5" w14:textId="77777777" w:rsidR="006D480E" w:rsidRPr="009E0143" w:rsidRDefault="006D480E" w:rsidP="00F56562">
      <w:pPr>
        <w:tabs>
          <w:tab w:val="left" w:pos="567"/>
        </w:tabs>
        <w:rPr>
          <w:sz w:val="22"/>
          <w:szCs w:val="22"/>
          <w:lang w:val="lt-LT"/>
        </w:rPr>
      </w:pPr>
    </w:p>
    <w:p w14:paraId="582E3475" w14:textId="77777777" w:rsidR="00521BBA" w:rsidRPr="009E0143" w:rsidRDefault="00521BBA" w:rsidP="00F56562">
      <w:pPr>
        <w:jc w:val="both"/>
        <w:rPr>
          <w:noProof w:val="0"/>
          <w:sz w:val="22"/>
          <w:szCs w:val="22"/>
          <w:lang w:val="lt-LT"/>
        </w:rPr>
      </w:pPr>
    </w:p>
    <w:p w14:paraId="7F9F454A" w14:textId="77777777" w:rsidR="006D480E" w:rsidRPr="009E0143" w:rsidRDefault="006D480E" w:rsidP="00F56562">
      <w:pPr>
        <w:tabs>
          <w:tab w:val="left" w:pos="567"/>
        </w:tabs>
        <w:rPr>
          <w:sz w:val="22"/>
          <w:szCs w:val="22"/>
          <w:lang w:val="lt-LT"/>
        </w:rPr>
      </w:pPr>
    </w:p>
    <w:p w14:paraId="1C323174" w14:textId="77777777" w:rsidR="006D480E" w:rsidRPr="009E0143" w:rsidRDefault="006D480E" w:rsidP="00F56562">
      <w:pPr>
        <w:pBdr>
          <w:top w:val="single" w:sz="4" w:space="1" w:color="auto"/>
          <w:left w:val="single" w:sz="4" w:space="4" w:color="auto"/>
          <w:bottom w:val="single" w:sz="4" w:space="0" w:color="auto"/>
          <w:right w:val="single" w:sz="4" w:space="4" w:color="auto"/>
        </w:pBdr>
        <w:tabs>
          <w:tab w:val="left" w:pos="567"/>
        </w:tabs>
        <w:rPr>
          <w:color w:val="008000"/>
          <w:sz w:val="22"/>
          <w:szCs w:val="22"/>
          <w:lang w:val="lt-LT"/>
        </w:rPr>
      </w:pPr>
      <w:r w:rsidRPr="009E0143">
        <w:rPr>
          <w:b/>
          <w:sz w:val="22"/>
          <w:szCs w:val="22"/>
          <w:lang w:val="lt-LT"/>
        </w:rPr>
        <w:t>16.</w:t>
      </w:r>
      <w:r w:rsidRPr="009E0143">
        <w:rPr>
          <w:b/>
          <w:sz w:val="22"/>
          <w:szCs w:val="22"/>
          <w:lang w:val="lt-LT"/>
        </w:rPr>
        <w:tab/>
        <w:t>INFORMACIJA BRAILIO RAŠTU</w:t>
      </w:r>
    </w:p>
    <w:p w14:paraId="4C9FF57F" w14:textId="77777777" w:rsidR="006D480E" w:rsidRPr="009E0143" w:rsidRDefault="006D480E" w:rsidP="00F56562">
      <w:pPr>
        <w:tabs>
          <w:tab w:val="left" w:pos="567"/>
        </w:tabs>
        <w:rPr>
          <w:sz w:val="22"/>
          <w:szCs w:val="22"/>
          <w:lang w:val="lt-LT"/>
        </w:rPr>
      </w:pPr>
    </w:p>
    <w:p w14:paraId="2F99F87B" w14:textId="77777777" w:rsidR="00750D7C" w:rsidRPr="009E0143" w:rsidRDefault="00941A19" w:rsidP="00F56562">
      <w:pPr>
        <w:jc w:val="both"/>
        <w:rPr>
          <w:bCs/>
          <w:noProof w:val="0"/>
          <w:sz w:val="22"/>
          <w:szCs w:val="22"/>
          <w:lang w:val="lt-LT"/>
        </w:rPr>
      </w:pPr>
      <w:r w:rsidRPr="009E0143">
        <w:rPr>
          <w:bCs/>
          <w:noProof w:val="0"/>
          <w:sz w:val="22"/>
          <w:szCs w:val="22"/>
          <w:lang w:val="lt-LT"/>
        </w:rPr>
        <w:t>Paracetamol Zentiva</w:t>
      </w:r>
      <w:r w:rsidR="00750D7C" w:rsidRPr="009E0143">
        <w:rPr>
          <w:bCs/>
          <w:noProof w:val="0"/>
          <w:sz w:val="22"/>
          <w:szCs w:val="22"/>
          <w:lang w:val="lt-LT"/>
        </w:rPr>
        <w:t xml:space="preserve"> 500 mg</w:t>
      </w:r>
    </w:p>
    <w:p w14:paraId="40DE5D60" w14:textId="77777777" w:rsidR="00DD29C8" w:rsidRPr="009E0143" w:rsidRDefault="00DD29C8" w:rsidP="00F56562">
      <w:pPr>
        <w:jc w:val="both"/>
        <w:rPr>
          <w:noProof w:val="0"/>
          <w:sz w:val="22"/>
          <w:szCs w:val="22"/>
          <w:lang w:val="lt-LT"/>
        </w:rPr>
      </w:pPr>
    </w:p>
    <w:p w14:paraId="2DB10BC9" w14:textId="77777777" w:rsidR="006D480E" w:rsidRPr="009E0143" w:rsidRDefault="006D480E" w:rsidP="00F56562">
      <w:pPr>
        <w:tabs>
          <w:tab w:val="left" w:pos="567"/>
        </w:tabs>
        <w:rPr>
          <w:sz w:val="22"/>
          <w:szCs w:val="22"/>
          <w:shd w:val="clear" w:color="auto" w:fill="CCCCCC"/>
          <w:lang w:val="lt-LT"/>
        </w:rPr>
      </w:pPr>
    </w:p>
    <w:p w14:paraId="7C1DE4AC" w14:textId="77777777" w:rsidR="006D480E" w:rsidRPr="009E0143" w:rsidRDefault="006D480E" w:rsidP="00F56562">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9E0143">
        <w:rPr>
          <w:b/>
          <w:sz w:val="22"/>
          <w:szCs w:val="22"/>
          <w:lang w:val="lt-LT"/>
        </w:rPr>
        <w:t>17.</w:t>
      </w:r>
      <w:r w:rsidRPr="009E0143">
        <w:rPr>
          <w:b/>
          <w:sz w:val="22"/>
          <w:szCs w:val="22"/>
          <w:lang w:val="lt-LT"/>
        </w:rPr>
        <w:tab/>
        <w:t>UNIKALUS IDENTIFIKATORIUS – 2D BRŪKŠNINIS KODAS</w:t>
      </w:r>
    </w:p>
    <w:p w14:paraId="21DAA5B4" w14:textId="77777777" w:rsidR="006D480E" w:rsidRPr="009E0143" w:rsidRDefault="006D480E" w:rsidP="00F56562">
      <w:pPr>
        <w:tabs>
          <w:tab w:val="left" w:pos="567"/>
        </w:tabs>
        <w:rPr>
          <w:sz w:val="22"/>
          <w:szCs w:val="22"/>
          <w:lang w:val="lt-LT"/>
        </w:rPr>
      </w:pPr>
    </w:p>
    <w:p w14:paraId="5C13B0BF" w14:textId="77777777" w:rsidR="00DE50B4" w:rsidRPr="009E0143" w:rsidRDefault="00D2751E" w:rsidP="00F56562">
      <w:pPr>
        <w:jc w:val="both"/>
        <w:rPr>
          <w:sz w:val="22"/>
          <w:lang w:val="lt-LT"/>
        </w:rPr>
      </w:pPr>
      <w:r w:rsidRPr="009E0143">
        <w:rPr>
          <w:sz w:val="22"/>
          <w:highlight w:val="lightGray"/>
          <w:lang w:val="lt-LT"/>
        </w:rPr>
        <w:t>2D brūkšninis kodas su nurodytu unikaliu identifikatoriumi</w:t>
      </w:r>
    </w:p>
    <w:p w14:paraId="7A707EBA" w14:textId="77777777" w:rsidR="00D2751E" w:rsidRPr="009E0143" w:rsidRDefault="00D2751E" w:rsidP="00F56562">
      <w:pPr>
        <w:jc w:val="both"/>
        <w:rPr>
          <w:rFonts w:eastAsia="MS Mincho"/>
          <w:noProof w:val="0"/>
          <w:sz w:val="22"/>
          <w:szCs w:val="22"/>
          <w:lang w:val="lt-LT" w:eastAsia="fr-FR"/>
        </w:rPr>
      </w:pPr>
    </w:p>
    <w:p w14:paraId="48BAA2A0" w14:textId="77777777" w:rsidR="006D480E" w:rsidRPr="009E0143" w:rsidRDefault="006D480E" w:rsidP="00F56562">
      <w:pPr>
        <w:tabs>
          <w:tab w:val="left" w:pos="567"/>
        </w:tabs>
        <w:rPr>
          <w:sz w:val="22"/>
          <w:szCs w:val="22"/>
          <w:lang w:val="lt-LT"/>
        </w:rPr>
      </w:pPr>
    </w:p>
    <w:p w14:paraId="3AFDB41C" w14:textId="77777777" w:rsidR="006D480E" w:rsidRPr="009E0143" w:rsidRDefault="006D480E" w:rsidP="00F56562">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9E0143">
        <w:rPr>
          <w:b/>
          <w:sz w:val="22"/>
          <w:szCs w:val="22"/>
          <w:lang w:val="lt-LT"/>
        </w:rPr>
        <w:t>18.</w:t>
      </w:r>
      <w:r w:rsidRPr="009E0143">
        <w:rPr>
          <w:b/>
          <w:sz w:val="22"/>
          <w:szCs w:val="22"/>
          <w:lang w:val="lt-LT"/>
        </w:rPr>
        <w:tab/>
        <w:t>UNIKALUS IDENTIFIKATORIUS – ŽMONĖMS SUPRANTAMI DUOMENYS</w:t>
      </w:r>
    </w:p>
    <w:p w14:paraId="31F363CC" w14:textId="77777777" w:rsidR="006D480E" w:rsidRPr="009E0143" w:rsidRDefault="006D480E" w:rsidP="00F56562">
      <w:pPr>
        <w:tabs>
          <w:tab w:val="left" w:pos="567"/>
        </w:tabs>
        <w:rPr>
          <w:sz w:val="22"/>
          <w:szCs w:val="22"/>
          <w:lang w:val="lt-LT"/>
        </w:rPr>
      </w:pPr>
    </w:p>
    <w:p w14:paraId="614869D7" w14:textId="77777777" w:rsidR="00BD6579" w:rsidRPr="009E0143" w:rsidRDefault="007F3518" w:rsidP="00F56562">
      <w:pPr>
        <w:rPr>
          <w:bCs/>
          <w:noProof w:val="0"/>
          <w:sz w:val="22"/>
          <w:szCs w:val="22"/>
          <w:lang w:val="lt-LT"/>
        </w:rPr>
      </w:pPr>
      <w:r w:rsidRPr="009E0143">
        <w:rPr>
          <w:bCs/>
          <w:noProof w:val="0"/>
          <w:sz w:val="22"/>
          <w:szCs w:val="22"/>
          <w:lang w:val="lt-LT"/>
        </w:rPr>
        <w:t>PC</w:t>
      </w:r>
    </w:p>
    <w:p w14:paraId="32114A0D" w14:textId="77777777" w:rsidR="007F3518" w:rsidRPr="009E0143" w:rsidRDefault="007F3518" w:rsidP="00F56562">
      <w:pPr>
        <w:rPr>
          <w:bCs/>
          <w:noProof w:val="0"/>
          <w:sz w:val="22"/>
          <w:szCs w:val="22"/>
          <w:lang w:val="lt-LT"/>
        </w:rPr>
      </w:pPr>
      <w:r w:rsidRPr="009E0143">
        <w:rPr>
          <w:bCs/>
          <w:noProof w:val="0"/>
          <w:sz w:val="22"/>
          <w:szCs w:val="22"/>
          <w:lang w:val="lt-LT"/>
        </w:rPr>
        <w:t>SN</w:t>
      </w:r>
    </w:p>
    <w:p w14:paraId="6B9AD500" w14:textId="0150D19A" w:rsidR="00BD6579" w:rsidRPr="009E0143" w:rsidRDefault="007F3518" w:rsidP="00267263">
      <w:pPr>
        <w:rPr>
          <w:rFonts w:eastAsia="MS Mincho"/>
          <w:noProof w:val="0"/>
          <w:sz w:val="22"/>
          <w:szCs w:val="22"/>
          <w:lang w:val="lt-LT" w:eastAsia="fr-FR"/>
        </w:rPr>
      </w:pPr>
      <w:r w:rsidRPr="009E0143">
        <w:rPr>
          <w:bCs/>
          <w:noProof w:val="0"/>
          <w:sz w:val="22"/>
          <w:szCs w:val="22"/>
          <w:lang w:val="lt-LT"/>
        </w:rPr>
        <w:t>NN</w:t>
      </w:r>
    </w:p>
    <w:p w14:paraId="2DEA4209" w14:textId="77777777" w:rsidR="00937C19" w:rsidRPr="009E0143" w:rsidRDefault="00937C19" w:rsidP="00F56562">
      <w:pPr>
        <w:jc w:val="both"/>
        <w:rPr>
          <w:rFonts w:eastAsia="MS Mincho"/>
          <w:noProof w:val="0"/>
          <w:sz w:val="22"/>
          <w:szCs w:val="22"/>
          <w:lang w:val="lt-LT" w:eastAsia="fr-FR"/>
        </w:rPr>
      </w:pPr>
    </w:p>
    <w:p w14:paraId="0EF40F71" w14:textId="77777777" w:rsidR="003F09FD" w:rsidRPr="009E0143" w:rsidRDefault="00157A1F" w:rsidP="00F56562">
      <w:pPr>
        <w:jc w:val="both"/>
        <w:rPr>
          <w:i/>
          <w:noProof w:val="0"/>
          <w:sz w:val="22"/>
          <w:szCs w:val="22"/>
          <w:lang w:val="lt-LT"/>
        </w:rPr>
      </w:pPr>
      <w:r w:rsidRPr="009E0143">
        <w:rPr>
          <w:noProof w:val="0"/>
          <w:sz w:val="22"/>
          <w:szCs w:val="22"/>
          <w:lang w:val="lt-LT"/>
        </w:rPr>
        <w:br w:type="page"/>
      </w:r>
    </w:p>
    <w:p w14:paraId="4401100F" w14:textId="77777777" w:rsidR="006D480E" w:rsidRPr="009E0143" w:rsidRDefault="006D480E" w:rsidP="00F56562">
      <w:pPr>
        <w:pBdr>
          <w:top w:val="single" w:sz="4" w:space="1" w:color="auto"/>
          <w:left w:val="single" w:sz="4" w:space="4" w:color="auto"/>
          <w:bottom w:val="single" w:sz="4" w:space="1" w:color="auto"/>
          <w:right w:val="single" w:sz="4" w:space="4" w:color="auto"/>
        </w:pBdr>
        <w:tabs>
          <w:tab w:val="left" w:pos="0"/>
        </w:tabs>
        <w:rPr>
          <w:b/>
          <w:sz w:val="22"/>
          <w:szCs w:val="22"/>
          <w:lang w:val="lt-LT"/>
        </w:rPr>
      </w:pPr>
      <w:r w:rsidRPr="009E0143">
        <w:rPr>
          <w:b/>
          <w:sz w:val="22"/>
          <w:szCs w:val="22"/>
          <w:lang w:val="lt-LT"/>
        </w:rPr>
        <w:lastRenderedPageBreak/>
        <w:t>MINIMALI INFORMACIJA ANT LIZDINIŲ PLOKŠTELIŲ ARBA DVISLUOKSNIŲ JUOSTELIŲ</w:t>
      </w:r>
    </w:p>
    <w:p w14:paraId="77D1D727" w14:textId="77777777" w:rsidR="006D480E" w:rsidRPr="009E0143" w:rsidRDefault="006D480E" w:rsidP="00F5656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p>
    <w:p w14:paraId="4837ECDA" w14:textId="77777777" w:rsidR="006D480E" w:rsidRPr="009E0143" w:rsidRDefault="006D480E" w:rsidP="00F5656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9E0143">
        <w:rPr>
          <w:b/>
          <w:sz w:val="22"/>
          <w:szCs w:val="22"/>
          <w:lang w:val="lt-LT"/>
        </w:rPr>
        <w:t>Lizdinė plokštelė</w:t>
      </w:r>
    </w:p>
    <w:p w14:paraId="24864070" w14:textId="77777777" w:rsidR="006D480E" w:rsidRPr="009E0143" w:rsidRDefault="006D480E" w:rsidP="00F56562">
      <w:pPr>
        <w:tabs>
          <w:tab w:val="left" w:pos="567"/>
        </w:tabs>
        <w:rPr>
          <w:sz w:val="22"/>
          <w:szCs w:val="22"/>
          <w:lang w:val="lt-LT"/>
        </w:rPr>
      </w:pPr>
    </w:p>
    <w:p w14:paraId="4D62C8FA" w14:textId="77777777" w:rsidR="006D480E" w:rsidRPr="009E0143" w:rsidRDefault="006D480E" w:rsidP="00F56562">
      <w:pPr>
        <w:tabs>
          <w:tab w:val="left" w:pos="567"/>
        </w:tabs>
        <w:rPr>
          <w:sz w:val="22"/>
          <w:szCs w:val="22"/>
          <w:lang w:val="lt-LT"/>
        </w:rPr>
      </w:pPr>
    </w:p>
    <w:p w14:paraId="61C4F2D0" w14:textId="77777777" w:rsidR="006D480E" w:rsidRPr="009E0143" w:rsidRDefault="006D480E" w:rsidP="00F5656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9E0143">
        <w:rPr>
          <w:b/>
          <w:sz w:val="22"/>
          <w:szCs w:val="22"/>
          <w:lang w:val="lt-LT"/>
        </w:rPr>
        <w:t>1.</w:t>
      </w:r>
      <w:r w:rsidRPr="009E0143">
        <w:rPr>
          <w:b/>
          <w:sz w:val="22"/>
          <w:szCs w:val="22"/>
          <w:lang w:val="lt-LT"/>
        </w:rPr>
        <w:tab/>
      </w:r>
      <w:r w:rsidRPr="009E0143">
        <w:rPr>
          <w:b/>
          <w:caps/>
          <w:sz w:val="22"/>
          <w:szCs w:val="22"/>
          <w:lang w:val="lt-LT"/>
        </w:rPr>
        <w:t>VAISTINIO</w:t>
      </w:r>
      <w:r w:rsidRPr="009E0143">
        <w:rPr>
          <w:b/>
          <w:sz w:val="22"/>
          <w:szCs w:val="22"/>
          <w:lang w:val="lt-LT"/>
        </w:rPr>
        <w:t xml:space="preserve"> PREPARATO PAVADINIMAS</w:t>
      </w:r>
    </w:p>
    <w:p w14:paraId="5BA40727" w14:textId="77777777" w:rsidR="00BD51A6" w:rsidRPr="009E0143" w:rsidRDefault="00BD51A6" w:rsidP="00F56562">
      <w:pPr>
        <w:jc w:val="both"/>
        <w:rPr>
          <w:noProof w:val="0"/>
          <w:sz w:val="22"/>
          <w:szCs w:val="22"/>
          <w:lang w:val="lt-LT" w:eastAsia="en-US"/>
        </w:rPr>
      </w:pPr>
    </w:p>
    <w:p w14:paraId="3EB34B18" w14:textId="77777777" w:rsidR="00BD51A6" w:rsidRPr="009E0143" w:rsidRDefault="00941A19" w:rsidP="00F56562">
      <w:pPr>
        <w:jc w:val="both"/>
        <w:rPr>
          <w:bCs/>
          <w:noProof w:val="0"/>
          <w:sz w:val="22"/>
          <w:szCs w:val="22"/>
          <w:lang w:val="lt-LT"/>
        </w:rPr>
      </w:pPr>
      <w:r w:rsidRPr="009E0143">
        <w:rPr>
          <w:bCs/>
          <w:noProof w:val="0"/>
          <w:sz w:val="22"/>
          <w:szCs w:val="22"/>
          <w:lang w:val="lt-LT"/>
        </w:rPr>
        <w:t>Paracetamol Zentiva</w:t>
      </w:r>
      <w:r w:rsidR="00DD29C8" w:rsidRPr="009E0143">
        <w:rPr>
          <w:bCs/>
          <w:noProof w:val="0"/>
          <w:sz w:val="22"/>
          <w:szCs w:val="22"/>
          <w:lang w:val="lt-LT"/>
        </w:rPr>
        <w:t xml:space="preserve"> </w:t>
      </w:r>
      <w:r w:rsidR="00BD51A6" w:rsidRPr="009E0143">
        <w:rPr>
          <w:bCs/>
          <w:noProof w:val="0"/>
          <w:sz w:val="22"/>
          <w:szCs w:val="22"/>
          <w:lang w:val="lt-LT"/>
        </w:rPr>
        <w:t>500</w:t>
      </w:r>
      <w:r w:rsidR="0043582A" w:rsidRPr="009E0143">
        <w:rPr>
          <w:bCs/>
          <w:noProof w:val="0"/>
          <w:sz w:val="22"/>
          <w:szCs w:val="22"/>
          <w:lang w:val="lt-LT"/>
        </w:rPr>
        <w:t> mg t</w:t>
      </w:r>
      <w:r w:rsidR="00BD51A6" w:rsidRPr="009E0143">
        <w:rPr>
          <w:bCs/>
          <w:noProof w:val="0"/>
          <w:sz w:val="22"/>
          <w:szCs w:val="22"/>
          <w:lang w:val="lt-LT"/>
        </w:rPr>
        <w:t>ablet</w:t>
      </w:r>
      <w:r w:rsidR="00937C19" w:rsidRPr="009E0143">
        <w:rPr>
          <w:bCs/>
          <w:noProof w:val="0"/>
          <w:sz w:val="22"/>
          <w:szCs w:val="22"/>
          <w:lang w:val="lt-LT"/>
        </w:rPr>
        <w:t>ė</w:t>
      </w:r>
      <w:r w:rsidR="00BD51A6" w:rsidRPr="009E0143">
        <w:rPr>
          <w:bCs/>
          <w:noProof w:val="0"/>
          <w:sz w:val="22"/>
          <w:szCs w:val="22"/>
          <w:lang w:val="lt-LT"/>
        </w:rPr>
        <w:t>s</w:t>
      </w:r>
    </w:p>
    <w:p w14:paraId="7F54AF15" w14:textId="77777777" w:rsidR="00BD51A6" w:rsidRPr="001E2631" w:rsidRDefault="00AA5C19" w:rsidP="00F56562">
      <w:pPr>
        <w:jc w:val="both"/>
        <w:rPr>
          <w:i/>
          <w:iCs/>
          <w:noProof w:val="0"/>
          <w:sz w:val="22"/>
          <w:szCs w:val="22"/>
          <w:lang w:val="lt-LT"/>
        </w:rPr>
      </w:pPr>
      <w:r w:rsidRPr="001E2631">
        <w:rPr>
          <w:i/>
          <w:iCs/>
          <w:noProof w:val="0"/>
          <w:sz w:val="22"/>
          <w:szCs w:val="22"/>
          <w:lang w:val="lt-LT"/>
        </w:rPr>
        <w:t>p</w:t>
      </w:r>
      <w:r w:rsidR="00D10104" w:rsidRPr="001E2631">
        <w:rPr>
          <w:i/>
          <w:iCs/>
          <w:noProof w:val="0"/>
          <w:sz w:val="22"/>
          <w:szCs w:val="22"/>
          <w:lang w:val="lt-LT"/>
        </w:rPr>
        <w:t>aracetamol</w:t>
      </w:r>
      <w:r w:rsidR="00FF7CF2" w:rsidRPr="001E2631">
        <w:rPr>
          <w:i/>
          <w:iCs/>
          <w:noProof w:val="0"/>
          <w:sz w:val="22"/>
          <w:szCs w:val="22"/>
          <w:lang w:val="lt-LT"/>
        </w:rPr>
        <w:t>um</w:t>
      </w:r>
    </w:p>
    <w:p w14:paraId="6ECDB0E3" w14:textId="77777777" w:rsidR="00BD51A6" w:rsidRPr="009E0143" w:rsidRDefault="00BD51A6" w:rsidP="00F56562">
      <w:pPr>
        <w:jc w:val="both"/>
        <w:rPr>
          <w:b/>
          <w:noProof w:val="0"/>
          <w:sz w:val="22"/>
          <w:szCs w:val="22"/>
          <w:lang w:val="lt-LT"/>
        </w:rPr>
      </w:pPr>
    </w:p>
    <w:p w14:paraId="6407E2D5" w14:textId="77777777" w:rsidR="006D480E" w:rsidRPr="009E0143" w:rsidRDefault="006D480E" w:rsidP="00F56562">
      <w:pPr>
        <w:tabs>
          <w:tab w:val="left" w:pos="567"/>
        </w:tabs>
        <w:rPr>
          <w:sz w:val="22"/>
          <w:szCs w:val="22"/>
          <w:lang w:val="lt-LT"/>
        </w:rPr>
      </w:pPr>
    </w:p>
    <w:p w14:paraId="1D95F4A6" w14:textId="77777777" w:rsidR="006D480E" w:rsidRPr="009E0143" w:rsidRDefault="006D480E" w:rsidP="00F5656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9E0143">
        <w:rPr>
          <w:b/>
          <w:sz w:val="22"/>
          <w:szCs w:val="22"/>
          <w:lang w:val="lt-LT"/>
        </w:rPr>
        <w:t>2.</w:t>
      </w:r>
      <w:r w:rsidRPr="009E0143">
        <w:rPr>
          <w:b/>
          <w:sz w:val="22"/>
          <w:szCs w:val="22"/>
          <w:lang w:val="lt-LT"/>
        </w:rPr>
        <w:tab/>
      </w:r>
      <w:r w:rsidRPr="009E0143">
        <w:rPr>
          <w:b/>
          <w:caps/>
          <w:sz w:val="22"/>
          <w:szCs w:val="22"/>
          <w:lang w:val="lt-LT"/>
        </w:rPr>
        <w:t>REGISTRUOTOJO pavadinimas</w:t>
      </w:r>
    </w:p>
    <w:p w14:paraId="1CD75408" w14:textId="77777777" w:rsidR="006D480E" w:rsidRPr="009E0143" w:rsidRDefault="006D480E" w:rsidP="00F56562">
      <w:pPr>
        <w:tabs>
          <w:tab w:val="left" w:pos="567"/>
        </w:tabs>
        <w:rPr>
          <w:sz w:val="22"/>
          <w:szCs w:val="22"/>
          <w:lang w:val="lt-LT"/>
        </w:rPr>
      </w:pPr>
    </w:p>
    <w:p w14:paraId="0BBF7493" w14:textId="77777777" w:rsidR="00BD51A6" w:rsidRPr="009E0143" w:rsidRDefault="00692F04" w:rsidP="00F56562">
      <w:pPr>
        <w:jc w:val="both"/>
        <w:rPr>
          <w:b/>
          <w:noProof w:val="0"/>
          <w:sz w:val="22"/>
          <w:szCs w:val="22"/>
          <w:lang w:val="lt-LT"/>
        </w:rPr>
      </w:pPr>
      <w:r w:rsidRPr="009E0143">
        <w:rPr>
          <w:noProof w:val="0"/>
          <w:sz w:val="22"/>
          <w:szCs w:val="22"/>
          <w:highlight w:val="lightGray"/>
          <w:lang w:val="lt-LT"/>
        </w:rPr>
        <w:t>Zentiva, k.s.</w:t>
      </w:r>
      <w:r w:rsidR="0043582A" w:rsidRPr="009E0143">
        <w:rPr>
          <w:noProof w:val="0"/>
          <w:sz w:val="22"/>
          <w:szCs w:val="22"/>
          <w:highlight w:val="lightGray"/>
          <w:lang w:val="lt-LT"/>
        </w:rPr>
        <w:t xml:space="preserve"> logo</w:t>
      </w:r>
      <w:r w:rsidR="00937C19" w:rsidRPr="009E0143">
        <w:rPr>
          <w:noProof w:val="0"/>
          <w:sz w:val="22"/>
          <w:szCs w:val="22"/>
          <w:highlight w:val="lightGray"/>
          <w:lang w:val="lt-LT"/>
        </w:rPr>
        <w:t>tipas</w:t>
      </w:r>
    </w:p>
    <w:p w14:paraId="4AE7F1AF" w14:textId="77777777" w:rsidR="00BD51A6" w:rsidRPr="009E0143" w:rsidRDefault="00BD51A6" w:rsidP="00F56562">
      <w:pPr>
        <w:jc w:val="both"/>
        <w:rPr>
          <w:b/>
          <w:noProof w:val="0"/>
          <w:sz w:val="22"/>
          <w:szCs w:val="22"/>
          <w:lang w:val="lt-LT"/>
        </w:rPr>
      </w:pPr>
    </w:p>
    <w:p w14:paraId="3F2FAEF3" w14:textId="77777777" w:rsidR="006D480E" w:rsidRPr="009E0143" w:rsidRDefault="006D480E" w:rsidP="00F56562">
      <w:pPr>
        <w:tabs>
          <w:tab w:val="left" w:pos="567"/>
        </w:tabs>
        <w:rPr>
          <w:sz w:val="22"/>
          <w:szCs w:val="22"/>
          <w:lang w:val="lt-LT"/>
        </w:rPr>
      </w:pPr>
    </w:p>
    <w:p w14:paraId="23577B18" w14:textId="77777777" w:rsidR="006D480E" w:rsidRPr="009E0143" w:rsidRDefault="006D480E" w:rsidP="00F56562">
      <w:pPr>
        <w:pBdr>
          <w:top w:val="single" w:sz="4" w:space="1" w:color="auto"/>
          <w:left w:val="single" w:sz="4" w:space="4" w:color="auto"/>
          <w:bottom w:val="single" w:sz="4" w:space="2" w:color="auto"/>
          <w:right w:val="single" w:sz="4" w:space="4" w:color="auto"/>
        </w:pBdr>
        <w:tabs>
          <w:tab w:val="left" w:pos="567"/>
        </w:tabs>
        <w:rPr>
          <w:b/>
          <w:sz w:val="22"/>
          <w:szCs w:val="22"/>
          <w:lang w:val="lt-LT"/>
        </w:rPr>
      </w:pPr>
      <w:r w:rsidRPr="009E0143">
        <w:rPr>
          <w:b/>
          <w:sz w:val="22"/>
          <w:szCs w:val="22"/>
          <w:lang w:val="lt-LT"/>
        </w:rPr>
        <w:t>3.</w:t>
      </w:r>
      <w:r w:rsidRPr="009E0143">
        <w:rPr>
          <w:b/>
          <w:sz w:val="22"/>
          <w:szCs w:val="22"/>
          <w:lang w:val="lt-LT"/>
        </w:rPr>
        <w:tab/>
        <w:t>TINKAMUMO LAIKAS</w:t>
      </w:r>
    </w:p>
    <w:p w14:paraId="6E1A00E3" w14:textId="77777777" w:rsidR="006D480E" w:rsidRPr="009E0143" w:rsidRDefault="006D480E" w:rsidP="00F56562">
      <w:pPr>
        <w:tabs>
          <w:tab w:val="left" w:pos="567"/>
        </w:tabs>
        <w:rPr>
          <w:sz w:val="22"/>
          <w:szCs w:val="22"/>
          <w:lang w:val="lt-LT"/>
        </w:rPr>
      </w:pPr>
    </w:p>
    <w:p w14:paraId="76A0F501" w14:textId="097E1279" w:rsidR="00BD51A6" w:rsidRPr="009E0143" w:rsidRDefault="00BD51A6" w:rsidP="00F56562">
      <w:pPr>
        <w:jc w:val="both"/>
        <w:rPr>
          <w:noProof w:val="0"/>
          <w:sz w:val="22"/>
          <w:szCs w:val="22"/>
          <w:lang w:val="lt-LT"/>
        </w:rPr>
      </w:pPr>
      <w:r w:rsidRPr="009E0143">
        <w:rPr>
          <w:noProof w:val="0"/>
          <w:sz w:val="22"/>
          <w:szCs w:val="22"/>
          <w:lang w:val="lt-LT"/>
        </w:rPr>
        <w:t>EXP</w:t>
      </w:r>
      <w:r w:rsidR="00FF7CF2" w:rsidRPr="009E0143">
        <w:rPr>
          <w:noProof w:val="0"/>
          <w:sz w:val="22"/>
          <w:szCs w:val="22"/>
          <w:lang w:val="lt-LT"/>
        </w:rPr>
        <w:t xml:space="preserve"> </w:t>
      </w:r>
      <w:r w:rsidR="00FF7CF2" w:rsidRPr="009E0143">
        <w:rPr>
          <w:noProof w:val="0"/>
          <w:sz w:val="22"/>
          <w:szCs w:val="22"/>
          <w:highlight w:val="lightGray"/>
          <w:lang w:val="lt-LT"/>
        </w:rPr>
        <w:t>{mm/MMMM}</w:t>
      </w:r>
    </w:p>
    <w:p w14:paraId="17E420FA" w14:textId="77777777" w:rsidR="00D2751E" w:rsidRPr="009E0143" w:rsidRDefault="00D2751E" w:rsidP="00F56562">
      <w:pPr>
        <w:jc w:val="both"/>
        <w:rPr>
          <w:noProof w:val="0"/>
          <w:sz w:val="22"/>
          <w:szCs w:val="22"/>
          <w:lang w:val="lt-LT"/>
        </w:rPr>
      </w:pPr>
    </w:p>
    <w:p w14:paraId="25D1C2CE" w14:textId="77777777" w:rsidR="006D480E" w:rsidRPr="009E0143" w:rsidRDefault="006D480E" w:rsidP="00F56562">
      <w:pPr>
        <w:tabs>
          <w:tab w:val="left" w:pos="567"/>
        </w:tabs>
        <w:rPr>
          <w:sz w:val="22"/>
          <w:szCs w:val="22"/>
          <w:lang w:val="lt-LT"/>
        </w:rPr>
      </w:pPr>
    </w:p>
    <w:p w14:paraId="7B2B2436" w14:textId="77777777" w:rsidR="006D480E" w:rsidRPr="009E0143" w:rsidRDefault="006D480E" w:rsidP="00F56562">
      <w:pPr>
        <w:suppressLineNumbers/>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9E0143">
        <w:rPr>
          <w:b/>
          <w:sz w:val="22"/>
          <w:szCs w:val="22"/>
          <w:lang w:val="lt-LT"/>
        </w:rPr>
        <w:t>4.</w:t>
      </w:r>
      <w:r w:rsidRPr="009E0143">
        <w:rPr>
          <w:b/>
          <w:sz w:val="22"/>
          <w:szCs w:val="22"/>
          <w:lang w:val="lt-LT"/>
        </w:rPr>
        <w:tab/>
        <w:t>SERIJOS NUMERIS</w:t>
      </w:r>
    </w:p>
    <w:p w14:paraId="4119217B" w14:textId="77777777" w:rsidR="006D480E" w:rsidRPr="009E0143" w:rsidRDefault="006D480E" w:rsidP="00F56562">
      <w:pPr>
        <w:tabs>
          <w:tab w:val="left" w:pos="567"/>
        </w:tabs>
        <w:rPr>
          <w:sz w:val="22"/>
          <w:szCs w:val="22"/>
          <w:lang w:val="lt-LT"/>
        </w:rPr>
      </w:pPr>
    </w:p>
    <w:p w14:paraId="7C263AE1" w14:textId="77777777" w:rsidR="00BD51A6" w:rsidRPr="009E0143" w:rsidRDefault="006D480E" w:rsidP="00F56562">
      <w:pPr>
        <w:jc w:val="both"/>
        <w:rPr>
          <w:noProof w:val="0"/>
          <w:sz w:val="22"/>
          <w:szCs w:val="22"/>
          <w:lang w:val="lt-LT" w:eastAsia="en-US"/>
        </w:rPr>
      </w:pPr>
      <w:r w:rsidRPr="009E0143">
        <w:rPr>
          <w:noProof w:val="0"/>
          <w:sz w:val="22"/>
          <w:szCs w:val="22"/>
          <w:lang w:val="lt-LT"/>
        </w:rPr>
        <w:t>Lot</w:t>
      </w:r>
    </w:p>
    <w:p w14:paraId="61ADC9B7" w14:textId="77777777" w:rsidR="00BD51A6" w:rsidRPr="009E0143" w:rsidRDefault="00BD51A6" w:rsidP="00F56562">
      <w:pPr>
        <w:jc w:val="both"/>
        <w:rPr>
          <w:noProof w:val="0"/>
          <w:sz w:val="22"/>
          <w:szCs w:val="22"/>
          <w:lang w:val="lt-LT"/>
        </w:rPr>
      </w:pPr>
    </w:p>
    <w:p w14:paraId="6320549C" w14:textId="77777777" w:rsidR="006D480E" w:rsidRPr="009E0143" w:rsidRDefault="006D480E" w:rsidP="00F56562">
      <w:pPr>
        <w:tabs>
          <w:tab w:val="left" w:pos="567"/>
        </w:tabs>
        <w:rPr>
          <w:sz w:val="22"/>
          <w:szCs w:val="22"/>
          <w:lang w:val="lt-LT"/>
        </w:rPr>
      </w:pPr>
    </w:p>
    <w:p w14:paraId="6A5ACA6C" w14:textId="77777777" w:rsidR="006D480E" w:rsidRPr="009E0143" w:rsidRDefault="006D480E" w:rsidP="00F5656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9E0143">
        <w:rPr>
          <w:b/>
          <w:sz w:val="22"/>
          <w:szCs w:val="22"/>
          <w:lang w:val="lt-LT"/>
        </w:rPr>
        <w:t>5.</w:t>
      </w:r>
      <w:r w:rsidRPr="009E0143">
        <w:rPr>
          <w:b/>
          <w:sz w:val="22"/>
          <w:szCs w:val="22"/>
          <w:lang w:val="lt-LT"/>
        </w:rPr>
        <w:tab/>
        <w:t>KITA</w:t>
      </w:r>
    </w:p>
    <w:p w14:paraId="381484B3" w14:textId="77777777" w:rsidR="006D480E" w:rsidRPr="009E0143" w:rsidRDefault="006D480E" w:rsidP="00F56562">
      <w:pPr>
        <w:tabs>
          <w:tab w:val="left" w:pos="567"/>
        </w:tabs>
        <w:rPr>
          <w:sz w:val="22"/>
          <w:szCs w:val="22"/>
          <w:lang w:val="lt-LT"/>
        </w:rPr>
      </w:pPr>
    </w:p>
    <w:p w14:paraId="06339D59" w14:textId="77777777" w:rsidR="006D480E" w:rsidRPr="009E0143" w:rsidRDefault="00157A1F" w:rsidP="00F56562">
      <w:pPr>
        <w:tabs>
          <w:tab w:val="left" w:pos="567"/>
        </w:tabs>
        <w:rPr>
          <w:sz w:val="22"/>
          <w:szCs w:val="22"/>
          <w:lang w:val="lt-LT"/>
        </w:rPr>
      </w:pPr>
      <w:r w:rsidRPr="009E0143">
        <w:rPr>
          <w:noProof w:val="0"/>
          <w:sz w:val="22"/>
          <w:szCs w:val="22"/>
          <w:lang w:val="lt-LT"/>
        </w:rPr>
        <w:br w:type="page"/>
      </w:r>
    </w:p>
    <w:p w14:paraId="05281C67" w14:textId="77777777" w:rsidR="006D480E" w:rsidRPr="009E0143" w:rsidRDefault="006D480E" w:rsidP="00F56562">
      <w:pPr>
        <w:tabs>
          <w:tab w:val="left" w:pos="567"/>
        </w:tabs>
        <w:rPr>
          <w:sz w:val="22"/>
          <w:szCs w:val="22"/>
          <w:lang w:val="lt-LT"/>
        </w:rPr>
      </w:pPr>
    </w:p>
    <w:p w14:paraId="6ED65051" w14:textId="77777777" w:rsidR="006D480E" w:rsidRPr="009E0143" w:rsidRDefault="006D480E" w:rsidP="00F56562">
      <w:pPr>
        <w:tabs>
          <w:tab w:val="left" w:pos="567"/>
        </w:tabs>
        <w:rPr>
          <w:sz w:val="22"/>
          <w:szCs w:val="22"/>
          <w:lang w:val="lt-LT"/>
        </w:rPr>
      </w:pPr>
    </w:p>
    <w:p w14:paraId="2ED41668" w14:textId="77777777" w:rsidR="006D480E" w:rsidRPr="009E0143" w:rsidRDefault="006D480E" w:rsidP="00F56562">
      <w:pPr>
        <w:tabs>
          <w:tab w:val="left" w:pos="567"/>
        </w:tabs>
        <w:rPr>
          <w:sz w:val="22"/>
          <w:szCs w:val="22"/>
          <w:lang w:val="lt-LT"/>
        </w:rPr>
      </w:pPr>
    </w:p>
    <w:p w14:paraId="196C6BAD" w14:textId="77777777" w:rsidR="006D480E" w:rsidRPr="009E0143" w:rsidRDefault="006D480E" w:rsidP="00F56562">
      <w:pPr>
        <w:tabs>
          <w:tab w:val="left" w:pos="567"/>
        </w:tabs>
        <w:rPr>
          <w:sz w:val="22"/>
          <w:szCs w:val="22"/>
          <w:lang w:val="lt-LT"/>
        </w:rPr>
      </w:pPr>
    </w:p>
    <w:p w14:paraId="6F6B81CB" w14:textId="77777777" w:rsidR="006D480E" w:rsidRPr="009E0143" w:rsidRDefault="006D480E" w:rsidP="00F56562">
      <w:pPr>
        <w:tabs>
          <w:tab w:val="left" w:pos="567"/>
        </w:tabs>
        <w:rPr>
          <w:sz w:val="22"/>
          <w:szCs w:val="22"/>
          <w:lang w:val="lt-LT"/>
        </w:rPr>
      </w:pPr>
    </w:p>
    <w:p w14:paraId="0A5F408F" w14:textId="77777777" w:rsidR="006D480E" w:rsidRPr="009E0143" w:rsidRDefault="006D480E" w:rsidP="00F56562">
      <w:pPr>
        <w:tabs>
          <w:tab w:val="left" w:pos="567"/>
        </w:tabs>
        <w:rPr>
          <w:sz w:val="22"/>
          <w:szCs w:val="22"/>
          <w:lang w:val="lt-LT"/>
        </w:rPr>
      </w:pPr>
    </w:p>
    <w:p w14:paraId="033C7283" w14:textId="77777777" w:rsidR="006D480E" w:rsidRPr="009E0143" w:rsidRDefault="006D480E" w:rsidP="00F56562">
      <w:pPr>
        <w:tabs>
          <w:tab w:val="left" w:pos="567"/>
        </w:tabs>
        <w:rPr>
          <w:sz w:val="22"/>
          <w:szCs w:val="22"/>
          <w:lang w:val="lt-LT"/>
        </w:rPr>
      </w:pPr>
    </w:p>
    <w:p w14:paraId="4101C6C9" w14:textId="77777777" w:rsidR="006D480E" w:rsidRPr="009E0143" w:rsidRDefault="006D480E" w:rsidP="00F56562">
      <w:pPr>
        <w:tabs>
          <w:tab w:val="left" w:pos="567"/>
        </w:tabs>
        <w:rPr>
          <w:sz w:val="22"/>
          <w:szCs w:val="22"/>
          <w:lang w:val="lt-LT"/>
        </w:rPr>
      </w:pPr>
    </w:p>
    <w:p w14:paraId="7C33D387" w14:textId="77777777" w:rsidR="006D480E" w:rsidRPr="009E0143" w:rsidRDefault="006D480E" w:rsidP="00F56562">
      <w:pPr>
        <w:tabs>
          <w:tab w:val="left" w:pos="567"/>
        </w:tabs>
        <w:rPr>
          <w:sz w:val="22"/>
          <w:szCs w:val="22"/>
          <w:lang w:val="lt-LT"/>
        </w:rPr>
      </w:pPr>
    </w:p>
    <w:p w14:paraId="6B46CFF6" w14:textId="77777777" w:rsidR="006D480E" w:rsidRPr="009E0143" w:rsidRDefault="006D480E" w:rsidP="00F56562">
      <w:pPr>
        <w:tabs>
          <w:tab w:val="left" w:pos="567"/>
        </w:tabs>
        <w:rPr>
          <w:sz w:val="22"/>
          <w:szCs w:val="22"/>
          <w:lang w:val="lt-LT"/>
        </w:rPr>
      </w:pPr>
    </w:p>
    <w:p w14:paraId="16A4FC31" w14:textId="77777777" w:rsidR="006D480E" w:rsidRPr="009E0143" w:rsidRDefault="006D480E" w:rsidP="00F56562">
      <w:pPr>
        <w:tabs>
          <w:tab w:val="left" w:pos="567"/>
        </w:tabs>
        <w:rPr>
          <w:sz w:val="22"/>
          <w:szCs w:val="22"/>
          <w:lang w:val="lt-LT"/>
        </w:rPr>
      </w:pPr>
    </w:p>
    <w:p w14:paraId="526BA5F6" w14:textId="77777777" w:rsidR="006D480E" w:rsidRPr="009E0143" w:rsidRDefault="006D480E" w:rsidP="00F56562">
      <w:pPr>
        <w:tabs>
          <w:tab w:val="left" w:pos="567"/>
        </w:tabs>
        <w:rPr>
          <w:sz w:val="22"/>
          <w:szCs w:val="22"/>
          <w:lang w:val="lt-LT"/>
        </w:rPr>
      </w:pPr>
    </w:p>
    <w:p w14:paraId="06CAB71F" w14:textId="77777777" w:rsidR="006D480E" w:rsidRPr="009E0143" w:rsidRDefault="006D480E" w:rsidP="00F56562">
      <w:pPr>
        <w:tabs>
          <w:tab w:val="left" w:pos="567"/>
        </w:tabs>
        <w:rPr>
          <w:sz w:val="22"/>
          <w:szCs w:val="22"/>
          <w:lang w:val="lt-LT"/>
        </w:rPr>
      </w:pPr>
    </w:p>
    <w:p w14:paraId="29DFD131" w14:textId="77777777" w:rsidR="006D480E" w:rsidRPr="009E0143" w:rsidRDefault="006D480E" w:rsidP="00F56562">
      <w:pPr>
        <w:tabs>
          <w:tab w:val="left" w:pos="567"/>
        </w:tabs>
        <w:rPr>
          <w:sz w:val="22"/>
          <w:szCs w:val="22"/>
          <w:lang w:val="lt-LT"/>
        </w:rPr>
      </w:pPr>
    </w:p>
    <w:p w14:paraId="0A690FBC" w14:textId="77777777" w:rsidR="006D480E" w:rsidRPr="009E0143" w:rsidRDefault="006D480E" w:rsidP="00F56562">
      <w:pPr>
        <w:tabs>
          <w:tab w:val="left" w:pos="567"/>
        </w:tabs>
        <w:rPr>
          <w:sz w:val="22"/>
          <w:szCs w:val="22"/>
          <w:lang w:val="lt-LT"/>
        </w:rPr>
      </w:pPr>
    </w:p>
    <w:p w14:paraId="7B8D44FC" w14:textId="77777777" w:rsidR="006D480E" w:rsidRPr="009E0143" w:rsidRDefault="006D480E" w:rsidP="00F56562">
      <w:pPr>
        <w:tabs>
          <w:tab w:val="left" w:pos="567"/>
        </w:tabs>
        <w:rPr>
          <w:sz w:val="22"/>
          <w:szCs w:val="22"/>
          <w:lang w:val="lt-LT"/>
        </w:rPr>
      </w:pPr>
    </w:p>
    <w:p w14:paraId="759C5F65" w14:textId="77777777" w:rsidR="006D480E" w:rsidRPr="009E0143" w:rsidRDefault="006D480E" w:rsidP="00F56562">
      <w:pPr>
        <w:tabs>
          <w:tab w:val="left" w:pos="567"/>
        </w:tabs>
        <w:rPr>
          <w:sz w:val="22"/>
          <w:szCs w:val="22"/>
          <w:lang w:val="lt-LT"/>
        </w:rPr>
      </w:pPr>
    </w:p>
    <w:p w14:paraId="0B049C9B" w14:textId="77777777" w:rsidR="006D480E" w:rsidRPr="009E0143" w:rsidRDefault="006D480E" w:rsidP="00F56562">
      <w:pPr>
        <w:tabs>
          <w:tab w:val="left" w:pos="567"/>
        </w:tabs>
        <w:rPr>
          <w:sz w:val="22"/>
          <w:szCs w:val="22"/>
          <w:lang w:val="lt-LT"/>
        </w:rPr>
      </w:pPr>
    </w:p>
    <w:p w14:paraId="4AF8A3F9" w14:textId="77777777" w:rsidR="006D480E" w:rsidRPr="009E0143" w:rsidRDefault="006D480E" w:rsidP="00F56562">
      <w:pPr>
        <w:tabs>
          <w:tab w:val="left" w:pos="567"/>
        </w:tabs>
        <w:rPr>
          <w:sz w:val="22"/>
          <w:szCs w:val="22"/>
          <w:lang w:val="lt-LT"/>
        </w:rPr>
      </w:pPr>
    </w:p>
    <w:p w14:paraId="3FB7741A" w14:textId="77777777" w:rsidR="006D480E" w:rsidRPr="009E0143" w:rsidRDefault="006D480E" w:rsidP="00F56562">
      <w:pPr>
        <w:tabs>
          <w:tab w:val="left" w:pos="567"/>
        </w:tabs>
        <w:rPr>
          <w:sz w:val="22"/>
          <w:szCs w:val="22"/>
          <w:lang w:val="lt-LT"/>
        </w:rPr>
      </w:pPr>
    </w:p>
    <w:p w14:paraId="7BEDF1D1" w14:textId="77777777" w:rsidR="006D480E" w:rsidRPr="009E0143" w:rsidRDefault="006D480E" w:rsidP="00F56562">
      <w:pPr>
        <w:tabs>
          <w:tab w:val="left" w:pos="567"/>
        </w:tabs>
        <w:rPr>
          <w:sz w:val="22"/>
          <w:szCs w:val="22"/>
          <w:lang w:val="lt-LT"/>
        </w:rPr>
      </w:pPr>
    </w:p>
    <w:p w14:paraId="7262E019" w14:textId="77777777" w:rsidR="00A32F9C" w:rsidRPr="009E0143" w:rsidRDefault="00A32F9C" w:rsidP="00F56562">
      <w:pPr>
        <w:tabs>
          <w:tab w:val="left" w:pos="567"/>
        </w:tabs>
        <w:jc w:val="center"/>
        <w:rPr>
          <w:b/>
          <w:sz w:val="22"/>
          <w:szCs w:val="22"/>
          <w:lang w:val="lt-LT"/>
        </w:rPr>
      </w:pPr>
    </w:p>
    <w:p w14:paraId="563C24FA" w14:textId="77777777" w:rsidR="006D480E" w:rsidRPr="009E0143" w:rsidRDefault="006D480E" w:rsidP="00F56562">
      <w:pPr>
        <w:tabs>
          <w:tab w:val="left" w:pos="567"/>
        </w:tabs>
        <w:jc w:val="center"/>
        <w:rPr>
          <w:b/>
          <w:sz w:val="22"/>
          <w:szCs w:val="22"/>
          <w:lang w:val="lt-LT"/>
        </w:rPr>
      </w:pPr>
      <w:r w:rsidRPr="009E0143">
        <w:rPr>
          <w:b/>
          <w:sz w:val="22"/>
          <w:szCs w:val="22"/>
          <w:lang w:val="lt-LT"/>
        </w:rPr>
        <w:t>B. PAKUOTĖS LAPELIS</w:t>
      </w:r>
    </w:p>
    <w:p w14:paraId="5C637B70" w14:textId="77777777" w:rsidR="00157A1F" w:rsidRPr="009E0143" w:rsidRDefault="006D480E" w:rsidP="00F56562">
      <w:pPr>
        <w:jc w:val="center"/>
        <w:rPr>
          <w:noProof w:val="0"/>
          <w:sz w:val="22"/>
          <w:szCs w:val="22"/>
          <w:lang w:val="lt-LT"/>
        </w:rPr>
      </w:pPr>
      <w:r w:rsidRPr="009E0143">
        <w:rPr>
          <w:b/>
          <w:sz w:val="22"/>
          <w:szCs w:val="22"/>
          <w:lang w:val="lt-LT"/>
        </w:rPr>
        <w:br w:type="page"/>
      </w:r>
      <w:r w:rsidRPr="009E0143">
        <w:rPr>
          <w:b/>
          <w:sz w:val="22"/>
          <w:szCs w:val="22"/>
          <w:lang w:val="lt-LT"/>
        </w:rPr>
        <w:lastRenderedPageBreak/>
        <w:t>Pakuotės lapelis: informacija vartotojui</w:t>
      </w:r>
    </w:p>
    <w:p w14:paraId="6F8351C0" w14:textId="77777777" w:rsidR="00BD51A6" w:rsidRPr="009E0143" w:rsidRDefault="00BD51A6" w:rsidP="00F56562">
      <w:pPr>
        <w:jc w:val="center"/>
        <w:rPr>
          <w:noProof w:val="0"/>
          <w:sz w:val="22"/>
          <w:szCs w:val="22"/>
          <w:lang w:val="lt-LT"/>
        </w:rPr>
      </w:pPr>
    </w:p>
    <w:p w14:paraId="1BE41954" w14:textId="77777777" w:rsidR="00BD51A6" w:rsidRPr="009E0143" w:rsidRDefault="00941A19" w:rsidP="00F56562">
      <w:pPr>
        <w:jc w:val="center"/>
        <w:rPr>
          <w:b/>
          <w:noProof w:val="0"/>
          <w:sz w:val="22"/>
          <w:szCs w:val="22"/>
          <w:lang w:val="lt-LT"/>
        </w:rPr>
      </w:pPr>
      <w:r w:rsidRPr="009E0143">
        <w:rPr>
          <w:b/>
          <w:noProof w:val="0"/>
          <w:sz w:val="22"/>
          <w:szCs w:val="22"/>
          <w:lang w:val="lt-LT"/>
        </w:rPr>
        <w:t>Paracetamol Zentiva</w:t>
      </w:r>
      <w:r w:rsidR="0043582A" w:rsidRPr="009E0143">
        <w:rPr>
          <w:b/>
          <w:noProof w:val="0"/>
          <w:sz w:val="22"/>
          <w:szCs w:val="22"/>
          <w:lang w:val="lt-LT"/>
        </w:rPr>
        <w:t xml:space="preserve"> </w:t>
      </w:r>
      <w:r w:rsidR="00BD51A6" w:rsidRPr="009E0143">
        <w:rPr>
          <w:b/>
          <w:noProof w:val="0"/>
          <w:sz w:val="22"/>
          <w:szCs w:val="22"/>
          <w:lang w:val="lt-LT"/>
        </w:rPr>
        <w:t>500</w:t>
      </w:r>
      <w:r w:rsidR="0043582A" w:rsidRPr="009E0143">
        <w:rPr>
          <w:b/>
          <w:noProof w:val="0"/>
          <w:sz w:val="22"/>
          <w:szCs w:val="22"/>
          <w:lang w:val="lt-LT"/>
        </w:rPr>
        <w:t> mg</w:t>
      </w:r>
      <w:r w:rsidR="00A25DA0" w:rsidRPr="009E0143">
        <w:rPr>
          <w:b/>
          <w:noProof w:val="0"/>
          <w:sz w:val="22"/>
          <w:szCs w:val="22"/>
          <w:lang w:val="lt-LT"/>
        </w:rPr>
        <w:t xml:space="preserve"> </w:t>
      </w:r>
      <w:r w:rsidR="0043582A" w:rsidRPr="009E0143">
        <w:rPr>
          <w:b/>
          <w:noProof w:val="0"/>
          <w:sz w:val="22"/>
          <w:szCs w:val="22"/>
          <w:lang w:val="lt-LT"/>
        </w:rPr>
        <w:t>t</w:t>
      </w:r>
      <w:r w:rsidR="00BD51A6" w:rsidRPr="009E0143">
        <w:rPr>
          <w:b/>
          <w:noProof w:val="0"/>
          <w:sz w:val="22"/>
          <w:szCs w:val="22"/>
          <w:lang w:val="lt-LT"/>
        </w:rPr>
        <w:t>ablet</w:t>
      </w:r>
      <w:r w:rsidR="00A23444" w:rsidRPr="009E0143">
        <w:rPr>
          <w:b/>
          <w:noProof w:val="0"/>
          <w:sz w:val="22"/>
          <w:szCs w:val="22"/>
          <w:lang w:val="lt-LT"/>
        </w:rPr>
        <w:t>ė</w:t>
      </w:r>
      <w:r w:rsidR="00BD51A6" w:rsidRPr="009E0143">
        <w:rPr>
          <w:b/>
          <w:noProof w:val="0"/>
          <w:sz w:val="22"/>
          <w:szCs w:val="22"/>
          <w:lang w:val="lt-LT"/>
        </w:rPr>
        <w:t>s</w:t>
      </w:r>
    </w:p>
    <w:p w14:paraId="18AC789F" w14:textId="77777777" w:rsidR="00BD51A6" w:rsidRPr="009E0143" w:rsidRDefault="00447EB5" w:rsidP="00F56562">
      <w:pPr>
        <w:jc w:val="center"/>
        <w:rPr>
          <w:noProof w:val="0"/>
          <w:sz w:val="22"/>
          <w:szCs w:val="22"/>
          <w:lang w:val="lt-LT"/>
        </w:rPr>
      </w:pPr>
      <w:r w:rsidRPr="009E0143">
        <w:rPr>
          <w:noProof w:val="0"/>
          <w:sz w:val="22"/>
          <w:szCs w:val="22"/>
          <w:lang w:val="lt-LT"/>
        </w:rPr>
        <w:t>p</w:t>
      </w:r>
      <w:r w:rsidR="00BD51A6" w:rsidRPr="009E0143">
        <w:rPr>
          <w:noProof w:val="0"/>
          <w:sz w:val="22"/>
          <w:szCs w:val="22"/>
          <w:lang w:val="lt-LT"/>
        </w:rPr>
        <w:t>aracetamol</w:t>
      </w:r>
      <w:r w:rsidR="00A23444" w:rsidRPr="009E0143">
        <w:rPr>
          <w:noProof w:val="0"/>
          <w:sz w:val="22"/>
          <w:szCs w:val="22"/>
          <w:lang w:val="lt-LT"/>
        </w:rPr>
        <w:t>is</w:t>
      </w:r>
    </w:p>
    <w:p w14:paraId="2B9C1BB8" w14:textId="77777777" w:rsidR="00491287" w:rsidRPr="009E0143" w:rsidRDefault="00491287" w:rsidP="00F56562">
      <w:pPr>
        <w:jc w:val="both"/>
        <w:rPr>
          <w:noProof w:val="0"/>
          <w:sz w:val="22"/>
          <w:szCs w:val="22"/>
          <w:lang w:val="lt-LT"/>
        </w:rPr>
      </w:pPr>
    </w:p>
    <w:p w14:paraId="1EE01EEA" w14:textId="77777777" w:rsidR="006D6D6A" w:rsidRPr="009E0143" w:rsidRDefault="006D6D6A" w:rsidP="00F56562">
      <w:pPr>
        <w:numPr>
          <w:ilvl w:val="12"/>
          <w:numId w:val="0"/>
        </w:numPr>
        <w:ind w:right="-2"/>
        <w:rPr>
          <w:b/>
          <w:sz w:val="22"/>
          <w:szCs w:val="22"/>
          <w:lang w:val="lt-LT"/>
        </w:rPr>
      </w:pPr>
      <w:r w:rsidRPr="009E0143">
        <w:rPr>
          <w:b/>
          <w:sz w:val="22"/>
          <w:szCs w:val="22"/>
          <w:lang w:val="lt-LT"/>
        </w:rPr>
        <w:t>Atidžiai perskaitykite visą šį lapelį, prieš pradėdami vartoti šį vaistą, nes jame pateikiama Jums svarbi informacija.</w:t>
      </w:r>
    </w:p>
    <w:p w14:paraId="170EABE9" w14:textId="77777777" w:rsidR="006D6D6A" w:rsidRPr="009E0143" w:rsidRDefault="006D6D6A" w:rsidP="00D2751E">
      <w:pPr>
        <w:numPr>
          <w:ilvl w:val="0"/>
          <w:numId w:val="4"/>
        </w:numPr>
        <w:ind w:left="567" w:hanging="567"/>
        <w:rPr>
          <w:sz w:val="22"/>
          <w:szCs w:val="22"/>
          <w:lang w:val="lt-LT"/>
        </w:rPr>
      </w:pPr>
      <w:r w:rsidRPr="009E0143">
        <w:rPr>
          <w:sz w:val="22"/>
          <w:szCs w:val="22"/>
          <w:lang w:val="lt-LT"/>
        </w:rPr>
        <w:t xml:space="preserve">Neišmeskite šio lapelio, nes vėl gali prireikti jį perskaityti. </w:t>
      </w:r>
    </w:p>
    <w:p w14:paraId="28E5C643" w14:textId="77777777" w:rsidR="006D6D6A" w:rsidRPr="009E0143" w:rsidRDefault="00D2751E" w:rsidP="00D2751E">
      <w:pPr>
        <w:numPr>
          <w:ilvl w:val="0"/>
          <w:numId w:val="4"/>
        </w:numPr>
        <w:ind w:left="567" w:hanging="567"/>
        <w:rPr>
          <w:sz w:val="22"/>
          <w:szCs w:val="22"/>
          <w:lang w:val="lt-LT"/>
        </w:rPr>
      </w:pPr>
      <w:r w:rsidRPr="009E0143">
        <w:rPr>
          <w:sz w:val="22"/>
          <w:szCs w:val="22"/>
          <w:lang w:val="lt-LT"/>
        </w:rPr>
        <w:t>Jeigu kiltų daugiau klausimų, kreipkitės į gydytoją arba vaistininką.</w:t>
      </w:r>
    </w:p>
    <w:p w14:paraId="11F3D029" w14:textId="77777777" w:rsidR="00D2751E" w:rsidRPr="009E0143" w:rsidRDefault="00D2751E" w:rsidP="00D2751E">
      <w:pPr>
        <w:numPr>
          <w:ilvl w:val="0"/>
          <w:numId w:val="4"/>
        </w:numPr>
        <w:ind w:left="567" w:hanging="567"/>
        <w:rPr>
          <w:sz w:val="22"/>
          <w:szCs w:val="22"/>
          <w:lang w:val="lt-LT"/>
        </w:rPr>
      </w:pPr>
      <w:r w:rsidRPr="009E0143">
        <w:rPr>
          <w:sz w:val="22"/>
          <w:szCs w:val="22"/>
          <w:lang w:val="lt-LT"/>
        </w:rPr>
        <w:t>Šis vaistas skirtas tik Jums, todėl kitiems žmonėms jo duoti negalima. Vaistas gali jiems pakenkti (net tiems, kurių ligos požymiai yra tokie patys kaip Jūsų).</w:t>
      </w:r>
    </w:p>
    <w:p w14:paraId="518563E0" w14:textId="77777777" w:rsidR="00026ED9" w:rsidRPr="009E0143" w:rsidRDefault="006D6D6A" w:rsidP="00D2751E">
      <w:pPr>
        <w:numPr>
          <w:ilvl w:val="0"/>
          <w:numId w:val="4"/>
        </w:numPr>
        <w:ind w:left="567" w:hanging="567"/>
        <w:rPr>
          <w:noProof w:val="0"/>
          <w:sz w:val="22"/>
          <w:szCs w:val="22"/>
          <w:lang w:val="lt-LT"/>
        </w:rPr>
      </w:pPr>
      <w:r w:rsidRPr="009E0143">
        <w:rPr>
          <w:sz w:val="22"/>
          <w:szCs w:val="22"/>
          <w:lang w:val="lt-LT"/>
        </w:rPr>
        <w:t>Jeigu pasireiškė šalutinis poveikis (net jeigu jis šiame lapelyje nenurodytas), kreipkitės į gydytoją arba vaistininką. Žr. 4</w:t>
      </w:r>
      <w:r w:rsidR="00A771F1" w:rsidRPr="009E0143">
        <w:rPr>
          <w:sz w:val="22"/>
          <w:szCs w:val="22"/>
          <w:lang w:val="lt-LT"/>
        </w:rPr>
        <w:t xml:space="preserve"> </w:t>
      </w:r>
      <w:r w:rsidRPr="009E0143">
        <w:rPr>
          <w:sz w:val="22"/>
          <w:szCs w:val="22"/>
          <w:lang w:val="lt-LT"/>
        </w:rPr>
        <w:t>skyrių.</w:t>
      </w:r>
    </w:p>
    <w:p w14:paraId="05555DF2" w14:textId="77777777" w:rsidR="00D2751E" w:rsidRPr="009E0143" w:rsidRDefault="00D2751E" w:rsidP="00D2751E">
      <w:pPr>
        <w:ind w:left="567"/>
        <w:rPr>
          <w:noProof w:val="0"/>
          <w:sz w:val="22"/>
          <w:szCs w:val="22"/>
          <w:lang w:val="lt-LT"/>
        </w:rPr>
      </w:pPr>
    </w:p>
    <w:p w14:paraId="3701D106" w14:textId="77777777" w:rsidR="008F0277" w:rsidRPr="009E0143" w:rsidRDefault="008F0277" w:rsidP="00F56562">
      <w:pPr>
        <w:keepNext/>
        <w:tabs>
          <w:tab w:val="left" w:pos="567"/>
        </w:tabs>
        <w:jc w:val="both"/>
        <w:outlineLvl w:val="3"/>
        <w:rPr>
          <w:sz w:val="22"/>
          <w:szCs w:val="22"/>
          <w:lang w:val="lt-LT"/>
        </w:rPr>
      </w:pPr>
      <w:r w:rsidRPr="009E0143">
        <w:rPr>
          <w:b/>
          <w:sz w:val="22"/>
          <w:szCs w:val="22"/>
          <w:lang w:val="lt-LT"/>
        </w:rPr>
        <w:t>Apie ką rašoma šiame lapelyje?</w:t>
      </w:r>
    </w:p>
    <w:p w14:paraId="5BBCB14A" w14:textId="77777777" w:rsidR="008F0277" w:rsidRPr="009E0143" w:rsidRDefault="008F0277" w:rsidP="00F56562">
      <w:pPr>
        <w:numPr>
          <w:ilvl w:val="12"/>
          <w:numId w:val="0"/>
        </w:numPr>
        <w:ind w:left="426" w:right="-2" w:hanging="426"/>
        <w:rPr>
          <w:sz w:val="22"/>
          <w:szCs w:val="22"/>
          <w:lang w:val="lt-LT"/>
        </w:rPr>
      </w:pPr>
    </w:p>
    <w:p w14:paraId="70EA431D" w14:textId="77777777" w:rsidR="008F0277" w:rsidRPr="009E0143" w:rsidRDefault="008F0277" w:rsidP="00F56562">
      <w:pPr>
        <w:numPr>
          <w:ilvl w:val="12"/>
          <w:numId w:val="0"/>
        </w:numPr>
        <w:tabs>
          <w:tab w:val="left" w:pos="709"/>
        </w:tabs>
        <w:ind w:right="-2"/>
        <w:rPr>
          <w:sz w:val="22"/>
          <w:szCs w:val="22"/>
          <w:lang w:val="lt-LT"/>
        </w:rPr>
      </w:pPr>
      <w:r w:rsidRPr="009E0143">
        <w:rPr>
          <w:sz w:val="22"/>
          <w:szCs w:val="22"/>
          <w:lang w:val="lt-LT"/>
        </w:rPr>
        <w:t>1.</w:t>
      </w:r>
      <w:r w:rsidRPr="009E0143">
        <w:rPr>
          <w:sz w:val="22"/>
          <w:szCs w:val="22"/>
          <w:lang w:val="lt-LT"/>
        </w:rPr>
        <w:tab/>
        <w:t xml:space="preserve">Kas yra </w:t>
      </w:r>
      <w:r w:rsidR="00367C5D" w:rsidRPr="009E0143">
        <w:rPr>
          <w:bCs/>
          <w:noProof w:val="0"/>
          <w:sz w:val="22"/>
          <w:szCs w:val="22"/>
          <w:lang w:val="lt-LT"/>
        </w:rPr>
        <w:t>Paracetamol Zentiva</w:t>
      </w:r>
      <w:r w:rsidRPr="009E0143">
        <w:rPr>
          <w:bCs/>
          <w:sz w:val="22"/>
          <w:szCs w:val="22"/>
          <w:lang w:val="lt-LT"/>
        </w:rPr>
        <w:t xml:space="preserve"> </w:t>
      </w:r>
      <w:r w:rsidRPr="009E0143">
        <w:rPr>
          <w:sz w:val="22"/>
          <w:szCs w:val="22"/>
          <w:lang w:val="lt-LT"/>
        </w:rPr>
        <w:t xml:space="preserve">ir kam jis vartojamas </w:t>
      </w:r>
    </w:p>
    <w:p w14:paraId="661DAA91" w14:textId="77777777" w:rsidR="008F0277" w:rsidRPr="009E0143" w:rsidRDefault="008F0277" w:rsidP="00F56562">
      <w:pPr>
        <w:numPr>
          <w:ilvl w:val="12"/>
          <w:numId w:val="0"/>
        </w:numPr>
        <w:tabs>
          <w:tab w:val="left" w:pos="709"/>
        </w:tabs>
        <w:ind w:right="-2"/>
        <w:rPr>
          <w:sz w:val="22"/>
          <w:szCs w:val="22"/>
          <w:lang w:val="lt-LT"/>
        </w:rPr>
      </w:pPr>
      <w:r w:rsidRPr="009E0143">
        <w:rPr>
          <w:sz w:val="22"/>
          <w:szCs w:val="22"/>
          <w:lang w:val="lt-LT"/>
        </w:rPr>
        <w:t>2.</w:t>
      </w:r>
      <w:r w:rsidRPr="009E0143">
        <w:rPr>
          <w:sz w:val="22"/>
          <w:szCs w:val="22"/>
          <w:lang w:val="lt-LT"/>
        </w:rPr>
        <w:tab/>
        <w:t xml:space="preserve">Kas žinotina prieš vartojant </w:t>
      </w:r>
      <w:r w:rsidR="00367C5D" w:rsidRPr="009E0143">
        <w:rPr>
          <w:bCs/>
          <w:noProof w:val="0"/>
          <w:sz w:val="22"/>
          <w:szCs w:val="22"/>
          <w:lang w:val="lt-LT"/>
        </w:rPr>
        <w:t>Paracetamol Zentiva</w:t>
      </w:r>
    </w:p>
    <w:p w14:paraId="1B256068" w14:textId="77777777" w:rsidR="008F0277" w:rsidRPr="009E0143" w:rsidRDefault="008F0277" w:rsidP="00F56562">
      <w:pPr>
        <w:numPr>
          <w:ilvl w:val="12"/>
          <w:numId w:val="0"/>
        </w:numPr>
        <w:tabs>
          <w:tab w:val="left" w:pos="709"/>
        </w:tabs>
        <w:ind w:right="-2"/>
        <w:rPr>
          <w:sz w:val="22"/>
          <w:szCs w:val="22"/>
          <w:lang w:val="lt-LT"/>
        </w:rPr>
      </w:pPr>
      <w:r w:rsidRPr="009E0143">
        <w:rPr>
          <w:sz w:val="22"/>
          <w:szCs w:val="22"/>
          <w:lang w:val="lt-LT"/>
        </w:rPr>
        <w:t>3.</w:t>
      </w:r>
      <w:r w:rsidRPr="009E0143">
        <w:rPr>
          <w:sz w:val="22"/>
          <w:szCs w:val="22"/>
          <w:lang w:val="lt-LT"/>
        </w:rPr>
        <w:tab/>
        <w:t xml:space="preserve">Kaip vartoti </w:t>
      </w:r>
      <w:r w:rsidR="00367C5D" w:rsidRPr="009E0143">
        <w:rPr>
          <w:bCs/>
          <w:noProof w:val="0"/>
          <w:sz w:val="22"/>
          <w:szCs w:val="22"/>
          <w:lang w:val="lt-LT"/>
        </w:rPr>
        <w:t>Paracetamol Zentiva</w:t>
      </w:r>
    </w:p>
    <w:p w14:paraId="03F0468F" w14:textId="77777777" w:rsidR="008F0277" w:rsidRPr="009E0143" w:rsidRDefault="008F0277" w:rsidP="00F56562">
      <w:pPr>
        <w:numPr>
          <w:ilvl w:val="12"/>
          <w:numId w:val="0"/>
        </w:numPr>
        <w:tabs>
          <w:tab w:val="left" w:pos="709"/>
        </w:tabs>
        <w:ind w:right="-2"/>
        <w:rPr>
          <w:sz w:val="22"/>
          <w:szCs w:val="22"/>
          <w:lang w:val="lt-LT"/>
        </w:rPr>
      </w:pPr>
      <w:r w:rsidRPr="009E0143">
        <w:rPr>
          <w:sz w:val="22"/>
          <w:szCs w:val="22"/>
          <w:lang w:val="lt-LT"/>
        </w:rPr>
        <w:t>4.</w:t>
      </w:r>
      <w:r w:rsidRPr="009E0143">
        <w:rPr>
          <w:sz w:val="22"/>
          <w:szCs w:val="22"/>
          <w:lang w:val="lt-LT"/>
        </w:rPr>
        <w:tab/>
        <w:t xml:space="preserve">Galimas šalutinis poveikis </w:t>
      </w:r>
    </w:p>
    <w:p w14:paraId="33CF8815" w14:textId="77777777" w:rsidR="008F0277" w:rsidRPr="009E0143" w:rsidRDefault="008F0277" w:rsidP="00F56562">
      <w:pPr>
        <w:numPr>
          <w:ilvl w:val="12"/>
          <w:numId w:val="0"/>
        </w:numPr>
        <w:tabs>
          <w:tab w:val="left" w:pos="709"/>
        </w:tabs>
        <w:ind w:right="-2"/>
        <w:rPr>
          <w:sz w:val="22"/>
          <w:szCs w:val="22"/>
          <w:lang w:val="lt-LT"/>
        </w:rPr>
      </w:pPr>
      <w:r w:rsidRPr="009E0143">
        <w:rPr>
          <w:sz w:val="22"/>
          <w:szCs w:val="22"/>
          <w:lang w:val="lt-LT"/>
        </w:rPr>
        <w:t>5.</w:t>
      </w:r>
      <w:r w:rsidRPr="009E0143">
        <w:rPr>
          <w:sz w:val="22"/>
          <w:szCs w:val="22"/>
          <w:lang w:val="lt-LT"/>
        </w:rPr>
        <w:tab/>
        <w:t xml:space="preserve">Kaip laikyti </w:t>
      </w:r>
      <w:r w:rsidR="00367C5D" w:rsidRPr="009E0143">
        <w:rPr>
          <w:bCs/>
          <w:noProof w:val="0"/>
          <w:sz w:val="22"/>
          <w:szCs w:val="22"/>
          <w:lang w:val="lt-LT"/>
        </w:rPr>
        <w:t>Paracetamol Zentiva</w:t>
      </w:r>
    </w:p>
    <w:p w14:paraId="3BA466F2" w14:textId="77777777" w:rsidR="008F0277" w:rsidRPr="009E0143" w:rsidRDefault="008F0277" w:rsidP="00F56562">
      <w:pPr>
        <w:numPr>
          <w:ilvl w:val="12"/>
          <w:numId w:val="0"/>
        </w:numPr>
        <w:tabs>
          <w:tab w:val="left" w:pos="709"/>
        </w:tabs>
        <w:ind w:right="-2"/>
        <w:rPr>
          <w:sz w:val="22"/>
          <w:szCs w:val="22"/>
          <w:lang w:val="lt-LT"/>
        </w:rPr>
      </w:pPr>
      <w:r w:rsidRPr="009E0143">
        <w:rPr>
          <w:sz w:val="22"/>
          <w:szCs w:val="22"/>
          <w:lang w:val="lt-LT"/>
        </w:rPr>
        <w:t>6.</w:t>
      </w:r>
      <w:r w:rsidRPr="009E0143">
        <w:rPr>
          <w:sz w:val="22"/>
          <w:szCs w:val="22"/>
          <w:lang w:val="lt-LT"/>
        </w:rPr>
        <w:tab/>
        <w:t>Pakuotės turinys ir kita informacija</w:t>
      </w:r>
    </w:p>
    <w:p w14:paraId="2D0E192C" w14:textId="77777777" w:rsidR="00BD51A6" w:rsidRPr="009E0143" w:rsidRDefault="00BD51A6" w:rsidP="00F56562">
      <w:pPr>
        <w:jc w:val="both"/>
        <w:rPr>
          <w:noProof w:val="0"/>
          <w:sz w:val="22"/>
          <w:szCs w:val="22"/>
          <w:lang w:val="lt-LT"/>
        </w:rPr>
      </w:pPr>
    </w:p>
    <w:p w14:paraId="10E87CDC" w14:textId="77777777" w:rsidR="00954BA0" w:rsidRPr="009E0143" w:rsidRDefault="00954BA0" w:rsidP="00F56562">
      <w:pPr>
        <w:jc w:val="both"/>
        <w:rPr>
          <w:noProof w:val="0"/>
          <w:sz w:val="22"/>
          <w:szCs w:val="22"/>
          <w:lang w:val="lt-LT"/>
        </w:rPr>
      </w:pPr>
    </w:p>
    <w:p w14:paraId="420ACF86" w14:textId="77777777" w:rsidR="008F0277" w:rsidRPr="009E0143" w:rsidRDefault="008F0277" w:rsidP="00F56562">
      <w:pPr>
        <w:keepNext/>
        <w:tabs>
          <w:tab w:val="left" w:pos="567"/>
        </w:tabs>
        <w:jc w:val="both"/>
        <w:outlineLvl w:val="3"/>
        <w:rPr>
          <w:sz w:val="22"/>
          <w:szCs w:val="22"/>
          <w:lang w:val="lt-LT"/>
        </w:rPr>
      </w:pPr>
      <w:r w:rsidRPr="009E0143">
        <w:rPr>
          <w:b/>
          <w:sz w:val="22"/>
          <w:szCs w:val="22"/>
          <w:lang w:val="lt-LT"/>
        </w:rPr>
        <w:t>1.</w:t>
      </w:r>
      <w:r w:rsidRPr="009E0143">
        <w:rPr>
          <w:b/>
          <w:sz w:val="22"/>
          <w:szCs w:val="22"/>
          <w:lang w:val="lt-LT"/>
        </w:rPr>
        <w:tab/>
        <w:t xml:space="preserve">Kas yra </w:t>
      </w:r>
      <w:r w:rsidR="00367C5D" w:rsidRPr="009E0143">
        <w:rPr>
          <w:b/>
          <w:noProof w:val="0"/>
          <w:sz w:val="22"/>
          <w:szCs w:val="22"/>
          <w:lang w:val="lt-LT"/>
        </w:rPr>
        <w:t>Paracetamol Zentiva</w:t>
      </w:r>
      <w:r w:rsidRPr="009E0143">
        <w:rPr>
          <w:b/>
          <w:sz w:val="22"/>
          <w:szCs w:val="22"/>
          <w:lang w:val="lt-LT"/>
        </w:rPr>
        <w:t xml:space="preserve"> ir kam jis vartojamas</w:t>
      </w:r>
    </w:p>
    <w:p w14:paraId="33C82C16" w14:textId="77777777" w:rsidR="00BD51A6" w:rsidRPr="009E0143" w:rsidRDefault="00BD51A6" w:rsidP="00F56562">
      <w:pPr>
        <w:keepNext/>
        <w:jc w:val="both"/>
        <w:rPr>
          <w:noProof w:val="0"/>
          <w:sz w:val="22"/>
          <w:szCs w:val="22"/>
          <w:lang w:val="lt-LT"/>
        </w:rPr>
      </w:pPr>
    </w:p>
    <w:p w14:paraId="21500AC1" w14:textId="77777777" w:rsidR="003607D4" w:rsidRPr="009E0143" w:rsidRDefault="00367C5D" w:rsidP="00D2751E">
      <w:pPr>
        <w:rPr>
          <w:noProof w:val="0"/>
          <w:sz w:val="22"/>
          <w:szCs w:val="22"/>
          <w:lang w:val="lt-LT"/>
        </w:rPr>
      </w:pPr>
      <w:r w:rsidRPr="009E0143">
        <w:rPr>
          <w:noProof w:val="0"/>
          <w:sz w:val="22"/>
          <w:szCs w:val="22"/>
          <w:lang w:val="lt-LT"/>
        </w:rPr>
        <w:t xml:space="preserve">Šio </w:t>
      </w:r>
      <w:r w:rsidR="005960F0" w:rsidRPr="009E0143">
        <w:rPr>
          <w:noProof w:val="0"/>
          <w:sz w:val="22"/>
          <w:szCs w:val="22"/>
          <w:lang w:val="lt-LT"/>
        </w:rPr>
        <w:t>vaisto</w:t>
      </w:r>
      <w:r w:rsidRPr="009E0143">
        <w:rPr>
          <w:noProof w:val="0"/>
          <w:sz w:val="22"/>
          <w:szCs w:val="22"/>
          <w:lang w:val="lt-LT"/>
        </w:rPr>
        <w:t xml:space="preserve"> sudėtyje yra karščiavimą ir skausmą malšinančios veikliosios medžiagos paracetamolio.</w:t>
      </w:r>
      <w:r w:rsidR="005960F0" w:rsidRPr="009E0143">
        <w:rPr>
          <w:noProof w:val="0"/>
          <w:sz w:val="22"/>
          <w:szCs w:val="22"/>
          <w:lang w:val="lt-LT"/>
        </w:rPr>
        <w:t xml:space="preserve"> </w:t>
      </w:r>
      <w:r w:rsidR="00941A19" w:rsidRPr="009E0143">
        <w:rPr>
          <w:noProof w:val="0"/>
          <w:sz w:val="22"/>
          <w:szCs w:val="22"/>
          <w:lang w:val="lt-LT"/>
        </w:rPr>
        <w:t>Paracetamol Zentiva</w:t>
      </w:r>
      <w:r w:rsidR="00432392" w:rsidRPr="009E0143">
        <w:rPr>
          <w:noProof w:val="0"/>
          <w:sz w:val="22"/>
          <w:szCs w:val="22"/>
          <w:lang w:val="lt-LT"/>
        </w:rPr>
        <w:t xml:space="preserve"> </w:t>
      </w:r>
      <w:r w:rsidR="003607D4" w:rsidRPr="009E0143">
        <w:rPr>
          <w:noProof w:val="0"/>
          <w:sz w:val="22"/>
          <w:szCs w:val="22"/>
          <w:lang w:val="lt-LT"/>
        </w:rPr>
        <w:t>tabletės vartojamos trumpalaikiam simptominiam lengvo ar vidutinio stiprumo skausm</w:t>
      </w:r>
      <w:r w:rsidR="00807A64" w:rsidRPr="009E0143">
        <w:rPr>
          <w:noProof w:val="0"/>
          <w:sz w:val="22"/>
          <w:szCs w:val="22"/>
          <w:lang w:val="lt-LT"/>
        </w:rPr>
        <w:t>o</w:t>
      </w:r>
      <w:r w:rsidR="003607D4" w:rsidRPr="009E0143">
        <w:rPr>
          <w:noProof w:val="0"/>
          <w:sz w:val="22"/>
          <w:szCs w:val="22"/>
          <w:lang w:val="lt-LT"/>
        </w:rPr>
        <w:t>, pvz., galvos, dantų ir menstruacijų skausm</w:t>
      </w:r>
      <w:r w:rsidR="00807A64" w:rsidRPr="009E0143">
        <w:rPr>
          <w:noProof w:val="0"/>
          <w:sz w:val="22"/>
          <w:szCs w:val="22"/>
          <w:lang w:val="lt-LT"/>
        </w:rPr>
        <w:t>o</w:t>
      </w:r>
      <w:r w:rsidR="003607D4" w:rsidRPr="009E0143">
        <w:rPr>
          <w:noProof w:val="0"/>
          <w:sz w:val="22"/>
          <w:szCs w:val="22"/>
          <w:lang w:val="lt-LT"/>
        </w:rPr>
        <w:t>, raumenų ir sąnarių skausm</w:t>
      </w:r>
      <w:r w:rsidR="00807A64" w:rsidRPr="009E0143">
        <w:rPr>
          <w:noProof w:val="0"/>
          <w:sz w:val="22"/>
          <w:szCs w:val="22"/>
          <w:lang w:val="lt-LT"/>
        </w:rPr>
        <w:t>ų</w:t>
      </w:r>
      <w:r w:rsidR="003607D4" w:rsidRPr="009E0143">
        <w:rPr>
          <w:noProof w:val="0"/>
          <w:sz w:val="22"/>
          <w:szCs w:val="22"/>
          <w:lang w:val="lt-LT"/>
        </w:rPr>
        <w:t xml:space="preserve"> sergant gripu ir peršalus, </w:t>
      </w:r>
      <w:r w:rsidR="00F47890" w:rsidRPr="009E0143">
        <w:rPr>
          <w:noProof w:val="0"/>
          <w:sz w:val="22"/>
          <w:szCs w:val="22"/>
          <w:lang w:val="lt-LT"/>
        </w:rPr>
        <w:t>ir (arba)</w:t>
      </w:r>
      <w:r w:rsidR="00D76EB2" w:rsidRPr="009E0143">
        <w:rPr>
          <w:noProof w:val="0"/>
          <w:sz w:val="22"/>
          <w:szCs w:val="22"/>
          <w:lang w:val="lt-LT"/>
        </w:rPr>
        <w:t xml:space="preserve"> </w:t>
      </w:r>
      <w:r w:rsidR="00F47890" w:rsidRPr="009E0143">
        <w:rPr>
          <w:noProof w:val="0"/>
          <w:sz w:val="22"/>
          <w:szCs w:val="22"/>
          <w:lang w:val="lt-LT"/>
        </w:rPr>
        <w:t>karščiavim</w:t>
      </w:r>
      <w:r w:rsidR="00807A64" w:rsidRPr="009E0143">
        <w:rPr>
          <w:noProof w:val="0"/>
          <w:sz w:val="22"/>
          <w:szCs w:val="22"/>
          <w:lang w:val="lt-LT"/>
        </w:rPr>
        <w:t>o</w:t>
      </w:r>
      <w:r w:rsidR="00F47890" w:rsidRPr="009E0143">
        <w:rPr>
          <w:noProof w:val="0"/>
          <w:sz w:val="22"/>
          <w:szCs w:val="22"/>
          <w:lang w:val="lt-LT"/>
        </w:rPr>
        <w:t xml:space="preserve"> malšin</w:t>
      </w:r>
      <w:r w:rsidR="00807A64" w:rsidRPr="009E0143">
        <w:rPr>
          <w:noProof w:val="0"/>
          <w:sz w:val="22"/>
          <w:szCs w:val="22"/>
          <w:lang w:val="lt-LT"/>
        </w:rPr>
        <w:t>imui</w:t>
      </w:r>
      <w:r w:rsidR="003607D4" w:rsidRPr="009E0143">
        <w:rPr>
          <w:noProof w:val="0"/>
          <w:sz w:val="22"/>
          <w:szCs w:val="22"/>
          <w:lang w:val="lt-LT"/>
        </w:rPr>
        <w:t>.</w:t>
      </w:r>
    </w:p>
    <w:p w14:paraId="16B961E3" w14:textId="77777777" w:rsidR="00183F42" w:rsidRPr="009E0143" w:rsidRDefault="00183F42" w:rsidP="00D2751E">
      <w:pPr>
        <w:rPr>
          <w:bCs/>
          <w:noProof w:val="0"/>
          <w:sz w:val="22"/>
          <w:szCs w:val="22"/>
          <w:highlight w:val="lightGray"/>
          <w:lang w:val="lt-LT"/>
        </w:rPr>
      </w:pPr>
    </w:p>
    <w:p w14:paraId="60ECF7C9" w14:textId="77777777" w:rsidR="00483A6B" w:rsidRPr="009E0143" w:rsidRDefault="00483A6B" w:rsidP="00D2751E">
      <w:pPr>
        <w:rPr>
          <w:noProof w:val="0"/>
          <w:sz w:val="22"/>
          <w:szCs w:val="22"/>
          <w:lang w:val="lt-LT"/>
        </w:rPr>
      </w:pPr>
      <w:r w:rsidRPr="009E0143">
        <w:rPr>
          <w:noProof w:val="0"/>
          <w:sz w:val="22"/>
          <w:szCs w:val="22"/>
          <w:lang w:val="lt-LT"/>
        </w:rPr>
        <w:t>Paracetamol Zentiva 500 mg tabletės skirtos suaugusiesiems, paaugliams ir vaikams, sveriantiems daugiau kaip 21 kg (6</w:t>
      </w:r>
      <w:r w:rsidR="00A771F1" w:rsidRPr="009E0143">
        <w:rPr>
          <w:noProof w:val="0"/>
          <w:sz w:val="22"/>
          <w:szCs w:val="22"/>
          <w:lang w:val="lt-LT"/>
        </w:rPr>
        <w:t xml:space="preserve"> </w:t>
      </w:r>
      <w:r w:rsidRPr="009E0143">
        <w:rPr>
          <w:noProof w:val="0"/>
          <w:sz w:val="22"/>
          <w:szCs w:val="22"/>
          <w:lang w:val="lt-LT"/>
        </w:rPr>
        <w:t>metų ir vyresniems).</w:t>
      </w:r>
    </w:p>
    <w:p w14:paraId="7DEACE4E" w14:textId="77777777" w:rsidR="00483A6B" w:rsidRPr="009E0143" w:rsidRDefault="00483A6B" w:rsidP="00D2751E">
      <w:pPr>
        <w:rPr>
          <w:sz w:val="22"/>
          <w:szCs w:val="22"/>
          <w:lang w:val="lt-LT"/>
        </w:rPr>
      </w:pPr>
      <w:r w:rsidRPr="009E0143">
        <w:rPr>
          <w:sz w:val="22"/>
          <w:szCs w:val="22"/>
          <w:lang w:val="lt-LT"/>
        </w:rPr>
        <w:t>Jeigu per 3</w:t>
      </w:r>
      <w:r w:rsidR="00A771F1" w:rsidRPr="009E0143">
        <w:rPr>
          <w:sz w:val="22"/>
          <w:szCs w:val="22"/>
          <w:lang w:val="lt-LT"/>
        </w:rPr>
        <w:t xml:space="preserve"> </w:t>
      </w:r>
      <w:r w:rsidRPr="009E0143">
        <w:rPr>
          <w:sz w:val="22"/>
          <w:szCs w:val="22"/>
          <w:lang w:val="lt-LT"/>
        </w:rPr>
        <w:t>dienas (karšči</w:t>
      </w:r>
      <w:r w:rsidR="00F56562" w:rsidRPr="009E0143">
        <w:rPr>
          <w:sz w:val="22"/>
          <w:szCs w:val="22"/>
          <w:lang w:val="lt-LT"/>
        </w:rPr>
        <w:t>uojant</w:t>
      </w:r>
      <w:r w:rsidRPr="009E0143">
        <w:rPr>
          <w:sz w:val="22"/>
          <w:szCs w:val="22"/>
          <w:lang w:val="lt-LT"/>
        </w:rPr>
        <w:t>) arba per 5</w:t>
      </w:r>
      <w:r w:rsidR="00A771F1" w:rsidRPr="009E0143">
        <w:rPr>
          <w:sz w:val="22"/>
          <w:szCs w:val="22"/>
          <w:lang w:val="lt-LT"/>
        </w:rPr>
        <w:t xml:space="preserve"> </w:t>
      </w:r>
      <w:r w:rsidRPr="009E0143">
        <w:rPr>
          <w:sz w:val="22"/>
          <w:szCs w:val="22"/>
          <w:lang w:val="lt-LT"/>
        </w:rPr>
        <w:t xml:space="preserve">dienas </w:t>
      </w:r>
      <w:r w:rsidRPr="009E0143">
        <w:rPr>
          <w:noProof w:val="0"/>
          <w:sz w:val="22"/>
          <w:szCs w:val="22"/>
          <w:lang w:val="lt-LT"/>
        </w:rPr>
        <w:t xml:space="preserve">(esant skausmui) </w:t>
      </w:r>
      <w:r w:rsidRPr="009E0143">
        <w:rPr>
          <w:sz w:val="22"/>
          <w:szCs w:val="22"/>
          <w:lang w:val="lt-LT"/>
        </w:rPr>
        <w:t>Jūsų savijauta nepagerėjo arba net pablogėjo, kreipkitės į gydytoją.</w:t>
      </w:r>
    </w:p>
    <w:p w14:paraId="33F982F1" w14:textId="77777777" w:rsidR="00483A6B" w:rsidRPr="009E0143" w:rsidRDefault="00483A6B" w:rsidP="00D2751E">
      <w:pPr>
        <w:rPr>
          <w:noProof w:val="0"/>
          <w:sz w:val="22"/>
          <w:szCs w:val="22"/>
          <w:lang w:val="lt-LT"/>
        </w:rPr>
      </w:pPr>
      <w:r w:rsidRPr="009E0143">
        <w:rPr>
          <w:noProof w:val="0"/>
          <w:sz w:val="22"/>
          <w:szCs w:val="22"/>
          <w:lang w:val="lt-LT"/>
        </w:rPr>
        <w:t xml:space="preserve">Neduokite vaisto vaikams ilgiau </w:t>
      </w:r>
      <w:r w:rsidR="0057085A" w:rsidRPr="009E0143">
        <w:rPr>
          <w:noProof w:val="0"/>
          <w:sz w:val="22"/>
          <w:szCs w:val="22"/>
          <w:lang w:val="lt-LT"/>
        </w:rPr>
        <w:t>kaip</w:t>
      </w:r>
      <w:r w:rsidRPr="009E0143">
        <w:rPr>
          <w:noProof w:val="0"/>
          <w:sz w:val="22"/>
          <w:szCs w:val="22"/>
          <w:lang w:val="lt-LT"/>
        </w:rPr>
        <w:t xml:space="preserve"> 3</w:t>
      </w:r>
      <w:r w:rsidR="00A771F1" w:rsidRPr="009E0143">
        <w:rPr>
          <w:noProof w:val="0"/>
          <w:sz w:val="22"/>
          <w:szCs w:val="22"/>
          <w:lang w:val="lt-LT"/>
        </w:rPr>
        <w:t xml:space="preserve"> </w:t>
      </w:r>
      <w:r w:rsidRPr="009E0143">
        <w:rPr>
          <w:noProof w:val="0"/>
          <w:sz w:val="22"/>
          <w:szCs w:val="22"/>
          <w:lang w:val="lt-LT"/>
        </w:rPr>
        <w:t>dienas</w:t>
      </w:r>
      <w:r w:rsidR="00F56562" w:rsidRPr="009E0143">
        <w:rPr>
          <w:noProof w:val="0"/>
          <w:sz w:val="22"/>
          <w:szCs w:val="22"/>
          <w:lang w:val="lt-LT"/>
        </w:rPr>
        <w:t>,</w:t>
      </w:r>
      <w:r w:rsidRPr="009E0143">
        <w:rPr>
          <w:noProof w:val="0"/>
          <w:sz w:val="22"/>
          <w:szCs w:val="22"/>
          <w:lang w:val="lt-LT"/>
        </w:rPr>
        <w:t xml:space="preserve"> nepasitarę su gydytoju.</w:t>
      </w:r>
    </w:p>
    <w:p w14:paraId="06213417" w14:textId="77777777" w:rsidR="00491287" w:rsidRPr="009E0143" w:rsidRDefault="00491287" w:rsidP="00F56562">
      <w:pPr>
        <w:jc w:val="both"/>
        <w:rPr>
          <w:noProof w:val="0"/>
          <w:sz w:val="22"/>
          <w:szCs w:val="22"/>
          <w:lang w:val="lt-LT"/>
        </w:rPr>
      </w:pPr>
    </w:p>
    <w:p w14:paraId="42D81658" w14:textId="77777777" w:rsidR="000850E3" w:rsidRPr="009E0143" w:rsidRDefault="000850E3" w:rsidP="00F56562">
      <w:pPr>
        <w:jc w:val="both"/>
        <w:rPr>
          <w:noProof w:val="0"/>
          <w:sz w:val="22"/>
          <w:szCs w:val="22"/>
          <w:lang w:val="lt-LT"/>
        </w:rPr>
      </w:pPr>
    </w:p>
    <w:p w14:paraId="76DE0C73" w14:textId="77777777" w:rsidR="00EB44DC" w:rsidRPr="009E0143" w:rsidRDefault="00EB44DC" w:rsidP="00F56562">
      <w:pPr>
        <w:keepNext/>
        <w:tabs>
          <w:tab w:val="left" w:pos="567"/>
        </w:tabs>
        <w:jc w:val="both"/>
        <w:outlineLvl w:val="3"/>
        <w:rPr>
          <w:sz w:val="22"/>
          <w:szCs w:val="22"/>
          <w:lang w:val="lt-LT"/>
        </w:rPr>
      </w:pPr>
      <w:r w:rsidRPr="009E0143">
        <w:rPr>
          <w:b/>
          <w:sz w:val="22"/>
          <w:szCs w:val="22"/>
          <w:lang w:val="lt-LT"/>
        </w:rPr>
        <w:t>2.</w:t>
      </w:r>
      <w:r w:rsidRPr="009E0143">
        <w:rPr>
          <w:b/>
          <w:sz w:val="22"/>
          <w:szCs w:val="22"/>
          <w:lang w:val="lt-LT"/>
        </w:rPr>
        <w:tab/>
        <w:t xml:space="preserve">Kas žinotina prieš vartojant </w:t>
      </w:r>
      <w:r w:rsidR="007C58F3" w:rsidRPr="009E0143">
        <w:rPr>
          <w:b/>
          <w:noProof w:val="0"/>
          <w:sz w:val="22"/>
          <w:szCs w:val="22"/>
          <w:lang w:val="lt-LT"/>
        </w:rPr>
        <w:t>Paracetamol Zentiva</w:t>
      </w:r>
    </w:p>
    <w:p w14:paraId="3F9099DA" w14:textId="77777777" w:rsidR="00BD51A6" w:rsidRPr="009E0143" w:rsidRDefault="00BD51A6" w:rsidP="00F56562">
      <w:pPr>
        <w:jc w:val="both"/>
        <w:rPr>
          <w:b/>
          <w:noProof w:val="0"/>
          <w:sz w:val="22"/>
          <w:szCs w:val="22"/>
          <w:lang w:val="lt-LT"/>
        </w:rPr>
      </w:pPr>
    </w:p>
    <w:p w14:paraId="296B26A0" w14:textId="77777777" w:rsidR="00EB44DC" w:rsidRPr="009E0143" w:rsidRDefault="007C58F3" w:rsidP="00F56562">
      <w:pPr>
        <w:keepNext/>
        <w:tabs>
          <w:tab w:val="left" w:pos="567"/>
        </w:tabs>
        <w:jc w:val="both"/>
        <w:outlineLvl w:val="3"/>
        <w:rPr>
          <w:sz w:val="22"/>
          <w:szCs w:val="22"/>
          <w:lang w:val="lt-LT"/>
        </w:rPr>
      </w:pPr>
      <w:r w:rsidRPr="009E0143">
        <w:rPr>
          <w:b/>
          <w:noProof w:val="0"/>
          <w:sz w:val="22"/>
          <w:szCs w:val="22"/>
          <w:lang w:val="lt-LT"/>
        </w:rPr>
        <w:t>Paracetamol Zentiva</w:t>
      </w:r>
      <w:r w:rsidR="00EB44DC" w:rsidRPr="009E0143">
        <w:rPr>
          <w:b/>
          <w:sz w:val="22"/>
          <w:szCs w:val="22"/>
          <w:lang w:val="lt-LT"/>
        </w:rPr>
        <w:t xml:space="preserve"> vartoti </w:t>
      </w:r>
      <w:r w:rsidR="00EB44DC" w:rsidRPr="009E0143">
        <w:rPr>
          <w:b/>
          <w:bCs/>
          <w:sz w:val="22"/>
          <w:szCs w:val="22"/>
          <w:lang w:val="lt-LT" w:eastAsia="x-none"/>
        </w:rPr>
        <w:t>draudžiama</w:t>
      </w:r>
      <w:r w:rsidR="00EB44DC" w:rsidRPr="009E0143">
        <w:rPr>
          <w:b/>
          <w:sz w:val="22"/>
          <w:szCs w:val="22"/>
          <w:lang w:val="lt-LT"/>
        </w:rPr>
        <w:t>:</w:t>
      </w:r>
    </w:p>
    <w:p w14:paraId="0EB58738" w14:textId="77777777" w:rsidR="00AB5AF4" w:rsidRPr="009E0143" w:rsidRDefault="00EB44DC" w:rsidP="00F56562">
      <w:pPr>
        <w:numPr>
          <w:ilvl w:val="0"/>
          <w:numId w:val="4"/>
        </w:numPr>
        <w:ind w:left="567" w:hanging="567"/>
        <w:jc w:val="both"/>
        <w:rPr>
          <w:noProof w:val="0"/>
          <w:sz w:val="22"/>
          <w:szCs w:val="22"/>
          <w:lang w:val="lt-LT"/>
        </w:rPr>
      </w:pPr>
      <w:r w:rsidRPr="009E0143">
        <w:rPr>
          <w:sz w:val="22"/>
          <w:szCs w:val="22"/>
          <w:lang w:val="lt-LT"/>
        </w:rPr>
        <w:t>jeigu yra alergija</w:t>
      </w:r>
      <w:r w:rsidR="00BD51A6" w:rsidRPr="009E0143">
        <w:rPr>
          <w:noProof w:val="0"/>
          <w:sz w:val="22"/>
          <w:szCs w:val="22"/>
          <w:lang w:val="lt-LT"/>
        </w:rPr>
        <w:t xml:space="preserve"> paracetamol</w:t>
      </w:r>
      <w:r w:rsidR="007C58F3" w:rsidRPr="009E0143">
        <w:rPr>
          <w:noProof w:val="0"/>
          <w:sz w:val="22"/>
          <w:szCs w:val="22"/>
          <w:lang w:val="lt-LT"/>
        </w:rPr>
        <w:t>iui</w:t>
      </w:r>
      <w:r w:rsidR="00BD51A6" w:rsidRPr="009E0143">
        <w:rPr>
          <w:noProof w:val="0"/>
          <w:sz w:val="22"/>
          <w:szCs w:val="22"/>
          <w:lang w:val="lt-LT"/>
        </w:rPr>
        <w:t xml:space="preserve"> </w:t>
      </w:r>
      <w:r w:rsidRPr="009E0143">
        <w:rPr>
          <w:sz w:val="22"/>
          <w:szCs w:val="22"/>
          <w:lang w:val="lt-LT"/>
        </w:rPr>
        <w:t>arba bet kuriai pagalbinei šio vaisto medžiagai (jos išvardytos 6</w:t>
      </w:r>
      <w:r w:rsidR="00E34129" w:rsidRPr="009E0143">
        <w:rPr>
          <w:sz w:val="22"/>
          <w:szCs w:val="22"/>
          <w:lang w:val="lt-LT"/>
        </w:rPr>
        <w:t xml:space="preserve"> </w:t>
      </w:r>
      <w:r w:rsidRPr="009E0143">
        <w:rPr>
          <w:sz w:val="22"/>
          <w:szCs w:val="22"/>
          <w:lang w:val="lt-LT"/>
        </w:rPr>
        <w:t>skyriuje)</w:t>
      </w:r>
      <w:r w:rsidR="00C65103" w:rsidRPr="009E0143">
        <w:rPr>
          <w:sz w:val="22"/>
          <w:szCs w:val="22"/>
          <w:lang w:val="lt-LT"/>
        </w:rPr>
        <w:t>;</w:t>
      </w:r>
    </w:p>
    <w:p w14:paraId="65112092" w14:textId="77777777" w:rsidR="00914B90" w:rsidRPr="009E0143" w:rsidRDefault="007C58F3" w:rsidP="00F56562">
      <w:pPr>
        <w:numPr>
          <w:ilvl w:val="0"/>
          <w:numId w:val="4"/>
        </w:numPr>
        <w:ind w:left="567" w:hanging="567"/>
        <w:jc w:val="both"/>
        <w:rPr>
          <w:noProof w:val="0"/>
          <w:sz w:val="22"/>
          <w:szCs w:val="22"/>
          <w:lang w:val="lt-LT"/>
        </w:rPr>
      </w:pPr>
      <w:r w:rsidRPr="009E0143">
        <w:rPr>
          <w:noProof w:val="0"/>
          <w:sz w:val="22"/>
          <w:szCs w:val="22"/>
          <w:lang w:val="lt-LT"/>
        </w:rPr>
        <w:t>jeigu Jums yra sunkus kepenų</w:t>
      </w:r>
      <w:r w:rsidR="00E34129" w:rsidRPr="009E0143">
        <w:rPr>
          <w:noProof w:val="0"/>
          <w:sz w:val="22"/>
          <w:szCs w:val="22"/>
          <w:lang w:val="lt-LT"/>
        </w:rPr>
        <w:t xml:space="preserve"> </w:t>
      </w:r>
      <w:r w:rsidR="000064EA" w:rsidRPr="009E0143">
        <w:rPr>
          <w:noProof w:val="0"/>
          <w:sz w:val="22"/>
          <w:szCs w:val="22"/>
          <w:lang w:val="lt-LT"/>
        </w:rPr>
        <w:t>funkcijos</w:t>
      </w:r>
      <w:r w:rsidRPr="009E0143">
        <w:rPr>
          <w:noProof w:val="0"/>
          <w:sz w:val="22"/>
          <w:szCs w:val="22"/>
          <w:lang w:val="lt-LT"/>
        </w:rPr>
        <w:t xml:space="preserve"> sutrikimas</w:t>
      </w:r>
      <w:r w:rsidR="00C65103" w:rsidRPr="009E0143">
        <w:rPr>
          <w:noProof w:val="0"/>
          <w:sz w:val="22"/>
          <w:szCs w:val="22"/>
          <w:lang w:val="lt-LT"/>
        </w:rPr>
        <w:t>;</w:t>
      </w:r>
    </w:p>
    <w:p w14:paraId="5D1B67D7" w14:textId="77777777" w:rsidR="00914B90" w:rsidRPr="009E0143" w:rsidRDefault="007C58F3" w:rsidP="00F56562">
      <w:pPr>
        <w:numPr>
          <w:ilvl w:val="0"/>
          <w:numId w:val="4"/>
        </w:numPr>
        <w:ind w:left="567" w:hanging="567"/>
        <w:jc w:val="both"/>
        <w:rPr>
          <w:noProof w:val="0"/>
          <w:sz w:val="22"/>
          <w:szCs w:val="22"/>
          <w:lang w:val="lt-LT"/>
        </w:rPr>
      </w:pPr>
      <w:r w:rsidRPr="009E0143">
        <w:rPr>
          <w:noProof w:val="0"/>
          <w:sz w:val="22"/>
          <w:szCs w:val="22"/>
          <w:lang w:val="lt-LT"/>
        </w:rPr>
        <w:t>jeigu Jums yra ūminis kepenų uždegimas.</w:t>
      </w:r>
    </w:p>
    <w:p w14:paraId="7F6B8508" w14:textId="77777777" w:rsidR="00BD51A6" w:rsidRPr="009E0143" w:rsidRDefault="00BD51A6" w:rsidP="00F56562">
      <w:pPr>
        <w:jc w:val="both"/>
        <w:rPr>
          <w:noProof w:val="0"/>
          <w:sz w:val="22"/>
          <w:szCs w:val="22"/>
          <w:lang w:val="lt-LT"/>
        </w:rPr>
      </w:pPr>
    </w:p>
    <w:p w14:paraId="5ADB939E" w14:textId="77777777" w:rsidR="00EB44DC" w:rsidRPr="009E0143" w:rsidRDefault="00EB44DC" w:rsidP="00F56562">
      <w:pPr>
        <w:keepNext/>
        <w:tabs>
          <w:tab w:val="left" w:pos="567"/>
        </w:tabs>
        <w:jc w:val="both"/>
        <w:outlineLvl w:val="3"/>
        <w:rPr>
          <w:sz w:val="22"/>
          <w:szCs w:val="22"/>
          <w:lang w:val="lt-LT"/>
        </w:rPr>
      </w:pPr>
      <w:r w:rsidRPr="009E0143">
        <w:rPr>
          <w:b/>
          <w:sz w:val="22"/>
          <w:szCs w:val="22"/>
          <w:lang w:val="lt-LT"/>
        </w:rPr>
        <w:t xml:space="preserve">Įspėjimai ir atsargumo priemonės </w:t>
      </w:r>
    </w:p>
    <w:p w14:paraId="34BAFD39" w14:textId="77777777" w:rsidR="00C65103" w:rsidRPr="009E0143" w:rsidRDefault="00C65103" w:rsidP="00F56562">
      <w:pPr>
        <w:jc w:val="both"/>
        <w:rPr>
          <w:b/>
          <w:bCs/>
          <w:noProof w:val="0"/>
          <w:sz w:val="22"/>
          <w:szCs w:val="22"/>
          <w:lang w:val="lt-LT"/>
        </w:rPr>
      </w:pPr>
      <w:r w:rsidRPr="009E0143">
        <w:rPr>
          <w:b/>
          <w:bCs/>
          <w:noProof w:val="0"/>
          <w:sz w:val="22"/>
          <w:szCs w:val="22"/>
          <w:lang w:val="lt-LT"/>
        </w:rPr>
        <w:t xml:space="preserve">Paracetamol Zentiva </w:t>
      </w:r>
      <w:r w:rsidR="00997202" w:rsidRPr="009E0143">
        <w:rPr>
          <w:b/>
          <w:bCs/>
          <w:noProof w:val="0"/>
          <w:sz w:val="22"/>
          <w:szCs w:val="22"/>
          <w:lang w:val="lt-LT"/>
        </w:rPr>
        <w:t xml:space="preserve">nevartokite </w:t>
      </w:r>
      <w:r w:rsidRPr="009E0143">
        <w:rPr>
          <w:b/>
          <w:bCs/>
          <w:noProof w:val="0"/>
          <w:sz w:val="22"/>
          <w:szCs w:val="22"/>
          <w:lang w:val="lt-LT"/>
        </w:rPr>
        <w:t>kartu su kitais vaistais, kurių sudėtyje yra paracetamolio.</w:t>
      </w:r>
    </w:p>
    <w:p w14:paraId="049151F9" w14:textId="77777777" w:rsidR="00502A53" w:rsidRPr="009E0143" w:rsidRDefault="00502A53" w:rsidP="00F56562">
      <w:pPr>
        <w:jc w:val="both"/>
        <w:rPr>
          <w:b/>
          <w:noProof w:val="0"/>
          <w:sz w:val="22"/>
          <w:szCs w:val="22"/>
          <w:lang w:val="lt-LT"/>
        </w:rPr>
      </w:pPr>
      <w:r w:rsidRPr="009E0143">
        <w:rPr>
          <w:b/>
          <w:noProof w:val="0"/>
          <w:sz w:val="22"/>
          <w:szCs w:val="22"/>
          <w:lang w:val="lt-LT"/>
        </w:rPr>
        <w:t>Vartojant didesnes nei rekomenduojama vaisto dozes, padidėja sunkaus kepenų pažeidimo pasireiškimo rizika.</w:t>
      </w:r>
    </w:p>
    <w:p w14:paraId="56025DE6" w14:textId="77777777" w:rsidR="00914B90" w:rsidRPr="009E0143" w:rsidRDefault="00C65103" w:rsidP="00F56562">
      <w:pPr>
        <w:jc w:val="both"/>
        <w:rPr>
          <w:noProof w:val="0"/>
          <w:sz w:val="22"/>
          <w:szCs w:val="22"/>
          <w:lang w:val="lt-LT"/>
        </w:rPr>
      </w:pPr>
      <w:r w:rsidRPr="009E0143">
        <w:rPr>
          <w:noProof w:val="0"/>
          <w:sz w:val="22"/>
          <w:szCs w:val="22"/>
          <w:lang w:val="lt-LT"/>
        </w:rPr>
        <w:t>Vartodami šį vaistą negerkite alkoholinių gėrimų.</w:t>
      </w:r>
    </w:p>
    <w:p w14:paraId="33D93359" w14:textId="77777777" w:rsidR="00C65103" w:rsidRPr="009E0143" w:rsidRDefault="00C65103" w:rsidP="00F56562">
      <w:pPr>
        <w:jc w:val="both"/>
        <w:rPr>
          <w:noProof w:val="0"/>
          <w:snapToGrid w:val="0"/>
          <w:sz w:val="22"/>
          <w:szCs w:val="22"/>
          <w:lang w:val="lt-LT"/>
        </w:rPr>
      </w:pPr>
    </w:p>
    <w:p w14:paraId="2E939B4D" w14:textId="77777777" w:rsidR="00EB44DC" w:rsidRPr="009E0143" w:rsidRDefault="00EB44DC" w:rsidP="00F56562">
      <w:pPr>
        <w:ind w:right="-2"/>
        <w:rPr>
          <w:sz w:val="22"/>
          <w:szCs w:val="22"/>
          <w:lang w:val="lt-LT"/>
        </w:rPr>
      </w:pPr>
      <w:r w:rsidRPr="009E0143">
        <w:rPr>
          <w:sz w:val="22"/>
          <w:szCs w:val="22"/>
          <w:lang w:val="lt-LT"/>
        </w:rPr>
        <w:t xml:space="preserve">Pasitarkite su gydytoju arba vaistininku, prieš pradėdami vartoti </w:t>
      </w:r>
      <w:r w:rsidR="00C65103" w:rsidRPr="009E0143">
        <w:rPr>
          <w:noProof w:val="0"/>
          <w:sz w:val="22"/>
          <w:szCs w:val="22"/>
          <w:lang w:val="lt-LT"/>
        </w:rPr>
        <w:t>Paracetamol Zentiva</w:t>
      </w:r>
      <w:r w:rsidRPr="009E0143">
        <w:rPr>
          <w:sz w:val="22"/>
          <w:szCs w:val="22"/>
          <w:lang w:val="lt-LT"/>
        </w:rPr>
        <w:t>, jeigu:</w:t>
      </w:r>
    </w:p>
    <w:p w14:paraId="6FB994C3" w14:textId="77777777" w:rsidR="000D47D1" w:rsidRPr="009E0143" w:rsidRDefault="000D47D1" w:rsidP="00F56562">
      <w:pPr>
        <w:numPr>
          <w:ilvl w:val="0"/>
          <w:numId w:val="4"/>
        </w:numPr>
        <w:ind w:left="567" w:hanging="567"/>
        <w:jc w:val="both"/>
        <w:rPr>
          <w:noProof w:val="0"/>
          <w:sz w:val="22"/>
          <w:szCs w:val="22"/>
          <w:lang w:val="lt-LT"/>
        </w:rPr>
      </w:pPr>
      <w:bookmarkStart w:id="9" w:name="_Hlk25760660"/>
      <w:r w:rsidRPr="009E0143">
        <w:rPr>
          <w:noProof w:val="0"/>
          <w:sz w:val="22"/>
          <w:szCs w:val="22"/>
          <w:lang w:val="lt-LT"/>
        </w:rPr>
        <w:t>sergate kepenų liga,</w:t>
      </w:r>
    </w:p>
    <w:p w14:paraId="3D8CFB18" w14:textId="77777777" w:rsidR="000D47D1" w:rsidRPr="009E0143" w:rsidRDefault="000D47D1" w:rsidP="00F56562">
      <w:pPr>
        <w:numPr>
          <w:ilvl w:val="0"/>
          <w:numId w:val="4"/>
        </w:numPr>
        <w:ind w:left="567" w:hanging="567"/>
        <w:jc w:val="both"/>
        <w:rPr>
          <w:noProof w:val="0"/>
          <w:sz w:val="22"/>
          <w:szCs w:val="22"/>
          <w:lang w:val="lt-LT"/>
        </w:rPr>
      </w:pPr>
      <w:r w:rsidRPr="009E0143">
        <w:rPr>
          <w:noProof w:val="0"/>
          <w:sz w:val="22"/>
          <w:szCs w:val="22"/>
          <w:lang w:val="lt-LT"/>
        </w:rPr>
        <w:t>sergate inkstų liga,</w:t>
      </w:r>
    </w:p>
    <w:p w14:paraId="6489A41A" w14:textId="77777777" w:rsidR="000D47D1" w:rsidRPr="009E0143" w:rsidRDefault="000D47D1" w:rsidP="00F56562">
      <w:pPr>
        <w:numPr>
          <w:ilvl w:val="0"/>
          <w:numId w:val="4"/>
        </w:numPr>
        <w:ind w:left="567" w:hanging="567"/>
        <w:jc w:val="both"/>
        <w:rPr>
          <w:noProof w:val="0"/>
          <w:sz w:val="22"/>
          <w:szCs w:val="22"/>
          <w:lang w:val="lt-LT"/>
        </w:rPr>
      </w:pPr>
      <w:r w:rsidRPr="009E0143">
        <w:rPr>
          <w:noProof w:val="0"/>
          <w:sz w:val="22"/>
          <w:szCs w:val="22"/>
          <w:lang w:val="lt-LT"/>
        </w:rPr>
        <w:t>piktnaudžiaujate alkoholiu,</w:t>
      </w:r>
    </w:p>
    <w:p w14:paraId="0F69783A" w14:textId="77777777" w:rsidR="000D47D1" w:rsidRPr="009E0143" w:rsidRDefault="0001665C" w:rsidP="00F56562">
      <w:pPr>
        <w:numPr>
          <w:ilvl w:val="0"/>
          <w:numId w:val="4"/>
        </w:numPr>
        <w:ind w:left="567" w:hanging="567"/>
        <w:jc w:val="both"/>
        <w:rPr>
          <w:noProof w:val="0"/>
          <w:sz w:val="22"/>
          <w:szCs w:val="22"/>
          <w:lang w:val="lt-LT"/>
        </w:rPr>
      </w:pPr>
      <w:r w:rsidRPr="009E0143">
        <w:rPr>
          <w:noProof w:val="0"/>
          <w:sz w:val="22"/>
          <w:szCs w:val="22"/>
          <w:lang w:val="lt-LT"/>
        </w:rPr>
        <w:lastRenderedPageBreak/>
        <w:t xml:space="preserve">Jums </w:t>
      </w:r>
      <w:r w:rsidR="000D47D1" w:rsidRPr="009E0143">
        <w:rPr>
          <w:noProof w:val="0"/>
          <w:sz w:val="22"/>
          <w:szCs w:val="22"/>
          <w:lang w:val="lt-LT"/>
        </w:rPr>
        <w:t>yra fermento gliukozės-6-fosfato dehidrogenazės trūkumas,</w:t>
      </w:r>
    </w:p>
    <w:p w14:paraId="5C36096F" w14:textId="77777777" w:rsidR="000D47D1" w:rsidRPr="009E0143" w:rsidRDefault="0001665C" w:rsidP="00F56562">
      <w:pPr>
        <w:numPr>
          <w:ilvl w:val="0"/>
          <w:numId w:val="4"/>
        </w:numPr>
        <w:ind w:left="567" w:hanging="567"/>
        <w:jc w:val="both"/>
        <w:rPr>
          <w:noProof w:val="0"/>
          <w:sz w:val="22"/>
          <w:szCs w:val="22"/>
          <w:lang w:val="lt-LT"/>
        </w:rPr>
      </w:pPr>
      <w:r w:rsidRPr="009E0143">
        <w:rPr>
          <w:noProof w:val="0"/>
          <w:sz w:val="22"/>
          <w:szCs w:val="22"/>
          <w:lang w:val="lt-LT"/>
        </w:rPr>
        <w:t xml:space="preserve">Jums </w:t>
      </w:r>
      <w:r w:rsidR="000D47D1" w:rsidRPr="009E0143">
        <w:rPr>
          <w:noProof w:val="0"/>
          <w:sz w:val="22"/>
          <w:szCs w:val="22"/>
          <w:lang w:val="lt-LT"/>
        </w:rPr>
        <w:t>yra mažas raudonųjų kraujo ląstelių kiekis dėl nenormalaus jų irimo (hemolizinė anemija),</w:t>
      </w:r>
    </w:p>
    <w:p w14:paraId="2014C24A" w14:textId="77777777" w:rsidR="000D47D1" w:rsidRPr="009E0143" w:rsidRDefault="000D47D1" w:rsidP="00F56562">
      <w:pPr>
        <w:numPr>
          <w:ilvl w:val="0"/>
          <w:numId w:val="4"/>
        </w:numPr>
        <w:ind w:left="567" w:hanging="567"/>
        <w:jc w:val="both"/>
        <w:rPr>
          <w:noProof w:val="0"/>
          <w:sz w:val="22"/>
          <w:szCs w:val="22"/>
          <w:lang w:val="lt-LT"/>
        </w:rPr>
      </w:pPr>
      <w:r w:rsidRPr="009E0143">
        <w:rPr>
          <w:noProof w:val="0"/>
          <w:sz w:val="22"/>
          <w:szCs w:val="22"/>
          <w:lang w:val="lt-LT"/>
        </w:rPr>
        <w:t>esate senyvo amžiaus,</w:t>
      </w:r>
    </w:p>
    <w:p w14:paraId="576E57FD" w14:textId="77777777" w:rsidR="000D47D1" w:rsidRPr="009E0143" w:rsidRDefault="0001665C" w:rsidP="00F56562">
      <w:pPr>
        <w:numPr>
          <w:ilvl w:val="0"/>
          <w:numId w:val="4"/>
        </w:numPr>
        <w:ind w:left="567" w:hanging="567"/>
        <w:jc w:val="both"/>
        <w:rPr>
          <w:noProof w:val="0"/>
          <w:sz w:val="22"/>
          <w:szCs w:val="22"/>
          <w:lang w:val="lt-LT"/>
        </w:rPr>
      </w:pPr>
      <w:r w:rsidRPr="009E0143">
        <w:rPr>
          <w:noProof w:val="0"/>
          <w:sz w:val="22"/>
          <w:szCs w:val="22"/>
          <w:lang w:val="lt-LT"/>
        </w:rPr>
        <w:t xml:space="preserve">Jūsų </w:t>
      </w:r>
      <w:r w:rsidR="000D47D1" w:rsidRPr="009E0143">
        <w:rPr>
          <w:noProof w:val="0"/>
          <w:sz w:val="22"/>
          <w:szCs w:val="22"/>
          <w:lang w:val="lt-LT"/>
        </w:rPr>
        <w:t>organizme trūksta skysči</w:t>
      </w:r>
      <w:r w:rsidRPr="009E0143">
        <w:rPr>
          <w:noProof w:val="0"/>
          <w:sz w:val="22"/>
          <w:szCs w:val="22"/>
          <w:lang w:val="lt-LT"/>
        </w:rPr>
        <w:t>ų</w:t>
      </w:r>
      <w:r w:rsidR="000D47D1" w:rsidRPr="009E0143">
        <w:rPr>
          <w:noProof w:val="0"/>
          <w:sz w:val="22"/>
          <w:szCs w:val="22"/>
          <w:lang w:val="lt-LT"/>
        </w:rPr>
        <w:t xml:space="preserve"> arba yra nepakankama mityba.</w:t>
      </w:r>
    </w:p>
    <w:p w14:paraId="3F326D36" w14:textId="77777777" w:rsidR="000D47D1" w:rsidRPr="009E0143" w:rsidRDefault="000D47D1" w:rsidP="00F56562">
      <w:pPr>
        <w:jc w:val="both"/>
        <w:rPr>
          <w:noProof w:val="0"/>
          <w:sz w:val="22"/>
          <w:szCs w:val="22"/>
          <w:lang w:val="lt-LT"/>
        </w:rPr>
      </w:pPr>
    </w:p>
    <w:p w14:paraId="5734DB36" w14:textId="77777777" w:rsidR="006802C8" w:rsidRPr="006802C8" w:rsidRDefault="006802C8" w:rsidP="006802C8">
      <w:pPr>
        <w:jc w:val="both"/>
        <w:rPr>
          <w:noProof w:val="0"/>
          <w:sz w:val="22"/>
          <w:szCs w:val="22"/>
          <w:lang w:val="lt-LT"/>
        </w:rPr>
      </w:pPr>
      <w:r w:rsidRPr="006802C8">
        <w:rPr>
          <w:noProof w:val="0"/>
          <w:sz w:val="22"/>
          <w:szCs w:val="22"/>
          <w:lang w:val="lt-LT"/>
        </w:rPr>
        <w:t>Gydymo Paracetamol Zentiva laikotarpiu nedelsdami pasakykite gydytojui, jeigu:</w:t>
      </w:r>
    </w:p>
    <w:p w14:paraId="21CA991C" w14:textId="77777777" w:rsidR="006802C8" w:rsidRPr="006802C8" w:rsidRDefault="006802C8" w:rsidP="001E2631">
      <w:pPr>
        <w:numPr>
          <w:ilvl w:val="0"/>
          <w:numId w:val="4"/>
        </w:numPr>
        <w:ind w:left="567" w:hanging="567"/>
        <w:rPr>
          <w:noProof w:val="0"/>
          <w:sz w:val="22"/>
          <w:szCs w:val="22"/>
          <w:lang w:val="lt-LT"/>
        </w:rPr>
      </w:pPr>
      <w:r w:rsidRPr="006802C8">
        <w:rPr>
          <w:noProof w:val="0"/>
          <w:sz w:val="22"/>
          <w:szCs w:val="22"/>
          <w:lang w:val="lt-LT"/>
        </w:rPr>
        <w:t>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0B275F55" w14:textId="77777777" w:rsidR="006802C8" w:rsidRDefault="006802C8" w:rsidP="00F56562">
      <w:pPr>
        <w:jc w:val="both"/>
        <w:rPr>
          <w:noProof w:val="0"/>
          <w:sz w:val="22"/>
          <w:szCs w:val="22"/>
          <w:lang w:val="lt-LT"/>
        </w:rPr>
      </w:pPr>
    </w:p>
    <w:p w14:paraId="5AAC1868" w14:textId="28C0E53F" w:rsidR="00F03F69" w:rsidRPr="009E0143" w:rsidRDefault="00561A61" w:rsidP="00F56562">
      <w:pPr>
        <w:jc w:val="both"/>
        <w:rPr>
          <w:noProof w:val="0"/>
          <w:sz w:val="22"/>
          <w:szCs w:val="22"/>
          <w:lang w:val="lt-LT"/>
        </w:rPr>
      </w:pPr>
      <w:r w:rsidRPr="009E0143">
        <w:rPr>
          <w:noProof w:val="0"/>
          <w:sz w:val="22"/>
          <w:szCs w:val="22"/>
          <w:lang w:val="lt-LT"/>
        </w:rPr>
        <w:t>Jeigu turite problemų dėl alkoholio vartojimo, nevartokite šio vaisto nepasitarę su gydytoju.</w:t>
      </w:r>
    </w:p>
    <w:p w14:paraId="1731473E" w14:textId="77777777" w:rsidR="00561A61" w:rsidRPr="009E0143" w:rsidRDefault="00561A61" w:rsidP="00F56562">
      <w:pPr>
        <w:jc w:val="both"/>
        <w:rPr>
          <w:noProof w:val="0"/>
          <w:sz w:val="22"/>
          <w:szCs w:val="22"/>
          <w:lang w:val="lt-LT"/>
        </w:rPr>
      </w:pPr>
    </w:p>
    <w:p w14:paraId="5886D9DB" w14:textId="77777777" w:rsidR="00EB44DC" w:rsidRPr="009E0143" w:rsidRDefault="00EB44DC" w:rsidP="00F56562">
      <w:pPr>
        <w:keepNext/>
        <w:tabs>
          <w:tab w:val="left" w:pos="567"/>
        </w:tabs>
        <w:jc w:val="both"/>
        <w:outlineLvl w:val="3"/>
        <w:rPr>
          <w:sz w:val="22"/>
          <w:szCs w:val="22"/>
          <w:lang w:val="lt-LT"/>
        </w:rPr>
      </w:pPr>
      <w:r w:rsidRPr="009E0143">
        <w:rPr>
          <w:b/>
          <w:sz w:val="22"/>
          <w:szCs w:val="22"/>
          <w:lang w:val="lt-LT"/>
        </w:rPr>
        <w:t>Vaikams ir paaugliams</w:t>
      </w:r>
    </w:p>
    <w:p w14:paraId="48609993" w14:textId="77777777" w:rsidR="00561A61" w:rsidRPr="009E0143" w:rsidRDefault="00561A61" w:rsidP="00F56562">
      <w:pPr>
        <w:rPr>
          <w:noProof w:val="0"/>
          <w:sz w:val="22"/>
          <w:szCs w:val="22"/>
          <w:lang w:val="lt-LT"/>
        </w:rPr>
      </w:pPr>
      <w:r w:rsidRPr="009E0143">
        <w:rPr>
          <w:noProof w:val="0"/>
          <w:sz w:val="22"/>
          <w:szCs w:val="22"/>
          <w:lang w:val="lt-LT"/>
        </w:rPr>
        <w:t>Dėl tabletėje esančio veikliosios medžiagos kiekio Paracetamol Zentiva 500 mg nėra skirtas vartoti jaunesniems kaip 6</w:t>
      </w:r>
      <w:r w:rsidR="00E34129" w:rsidRPr="009E0143">
        <w:rPr>
          <w:noProof w:val="0"/>
          <w:sz w:val="22"/>
          <w:szCs w:val="22"/>
          <w:lang w:val="lt-LT"/>
        </w:rPr>
        <w:t xml:space="preserve"> </w:t>
      </w:r>
      <w:r w:rsidRPr="009E0143">
        <w:rPr>
          <w:noProof w:val="0"/>
          <w:sz w:val="22"/>
          <w:szCs w:val="22"/>
          <w:lang w:val="lt-LT"/>
        </w:rPr>
        <w:t>metų vaikams, kurių kūno svoris mažesnis kaip 21 kg.</w:t>
      </w:r>
    </w:p>
    <w:p w14:paraId="3CF06F46" w14:textId="77777777" w:rsidR="00914B90" w:rsidRPr="009E0143" w:rsidRDefault="00914B90" w:rsidP="00F56562">
      <w:pPr>
        <w:jc w:val="both"/>
        <w:rPr>
          <w:noProof w:val="0"/>
          <w:sz w:val="22"/>
          <w:szCs w:val="22"/>
          <w:highlight w:val="lightGray"/>
          <w:lang w:val="lt-LT"/>
        </w:rPr>
      </w:pPr>
    </w:p>
    <w:bookmarkEnd w:id="9"/>
    <w:p w14:paraId="6EE9A638" w14:textId="77777777" w:rsidR="00EB44DC" w:rsidRPr="009E0143" w:rsidRDefault="00EB44DC" w:rsidP="00F56562">
      <w:pPr>
        <w:keepNext/>
        <w:tabs>
          <w:tab w:val="left" w:pos="567"/>
        </w:tabs>
        <w:jc w:val="both"/>
        <w:outlineLvl w:val="3"/>
        <w:rPr>
          <w:sz w:val="22"/>
          <w:szCs w:val="22"/>
          <w:lang w:val="lt-LT"/>
        </w:rPr>
      </w:pPr>
      <w:r w:rsidRPr="009E0143">
        <w:rPr>
          <w:b/>
          <w:sz w:val="22"/>
          <w:szCs w:val="22"/>
          <w:lang w:val="lt-LT"/>
        </w:rPr>
        <w:t xml:space="preserve">Kiti vaistai ir </w:t>
      </w:r>
      <w:r w:rsidR="00561A61" w:rsidRPr="009E0143">
        <w:rPr>
          <w:b/>
          <w:bCs/>
          <w:noProof w:val="0"/>
          <w:sz w:val="22"/>
          <w:szCs w:val="22"/>
          <w:lang w:val="lt-LT"/>
        </w:rPr>
        <w:t>Paracetamol Zentiva</w:t>
      </w:r>
    </w:p>
    <w:p w14:paraId="149AB1BA" w14:textId="77777777" w:rsidR="00EB44DC" w:rsidRPr="009E0143" w:rsidRDefault="00EB44DC" w:rsidP="00F56562">
      <w:pPr>
        <w:jc w:val="both"/>
        <w:rPr>
          <w:sz w:val="22"/>
          <w:szCs w:val="22"/>
          <w:lang w:val="lt-LT"/>
        </w:rPr>
      </w:pPr>
      <w:r w:rsidRPr="009E0143">
        <w:rPr>
          <w:sz w:val="22"/>
          <w:szCs w:val="22"/>
          <w:lang w:val="lt-LT"/>
        </w:rPr>
        <w:t>Jeigu vartojate ar neseniai vartojote kitų vaistų arba dėl to nesate tikri, apie tai pasakykite gydytojui arba vaistininkui.</w:t>
      </w:r>
    </w:p>
    <w:p w14:paraId="0DA0D7F5" w14:textId="77777777" w:rsidR="008E365D" w:rsidRPr="009E0143" w:rsidRDefault="00997202" w:rsidP="00F56562">
      <w:pPr>
        <w:jc w:val="both"/>
        <w:rPr>
          <w:b/>
          <w:bCs/>
          <w:noProof w:val="0"/>
          <w:snapToGrid w:val="0"/>
          <w:sz w:val="22"/>
          <w:szCs w:val="22"/>
          <w:lang w:val="lt-LT"/>
        </w:rPr>
      </w:pPr>
      <w:r w:rsidRPr="009E0143">
        <w:rPr>
          <w:b/>
          <w:bCs/>
          <w:noProof w:val="0"/>
          <w:sz w:val="22"/>
          <w:szCs w:val="22"/>
          <w:lang w:val="lt-LT"/>
        </w:rPr>
        <w:t>Paracetamol Zentiva nevartokite kartu su kitais vaistais, kurių sudėtyje yra paracetamolio.</w:t>
      </w:r>
    </w:p>
    <w:p w14:paraId="6E898BFF" w14:textId="77777777" w:rsidR="008E365D" w:rsidRPr="009E0143" w:rsidRDefault="00997202" w:rsidP="00F56562">
      <w:pPr>
        <w:jc w:val="both"/>
        <w:rPr>
          <w:noProof w:val="0"/>
          <w:sz w:val="22"/>
          <w:szCs w:val="22"/>
          <w:lang w:val="lt-LT"/>
        </w:rPr>
      </w:pPr>
      <w:r w:rsidRPr="009E0143">
        <w:rPr>
          <w:noProof w:val="0"/>
          <w:sz w:val="22"/>
          <w:szCs w:val="22"/>
          <w:lang w:val="lt-LT"/>
        </w:rPr>
        <w:t>Paracetamolio ir kitų kartu vartojamų vaistų poveikis gali sąveikauti.</w:t>
      </w:r>
    </w:p>
    <w:p w14:paraId="2DCCA61B" w14:textId="77777777" w:rsidR="008E365D" w:rsidRPr="009E0143" w:rsidRDefault="00EB44DC" w:rsidP="00D2751E">
      <w:pPr>
        <w:numPr>
          <w:ilvl w:val="12"/>
          <w:numId w:val="0"/>
        </w:numPr>
        <w:ind w:right="-2"/>
        <w:rPr>
          <w:noProof w:val="0"/>
          <w:sz w:val="22"/>
          <w:szCs w:val="22"/>
          <w:lang w:val="lt-LT"/>
        </w:rPr>
      </w:pPr>
      <w:r w:rsidRPr="009E0143">
        <w:rPr>
          <w:sz w:val="22"/>
          <w:szCs w:val="22"/>
          <w:lang w:val="lt-LT"/>
        </w:rPr>
        <w:t xml:space="preserve">Pasitarkite su gydytoju arba vaistininku, prieš pradėdami vartoti </w:t>
      </w:r>
      <w:r w:rsidR="00997202" w:rsidRPr="009E0143">
        <w:rPr>
          <w:noProof w:val="0"/>
          <w:sz w:val="22"/>
          <w:szCs w:val="22"/>
          <w:lang w:val="lt-LT"/>
        </w:rPr>
        <w:t>Paracetamol Zentiva</w:t>
      </w:r>
      <w:r w:rsidRPr="009E0143">
        <w:rPr>
          <w:sz w:val="22"/>
          <w:szCs w:val="22"/>
          <w:lang w:val="lt-LT"/>
        </w:rPr>
        <w:t xml:space="preserve">, </w:t>
      </w:r>
      <w:r w:rsidR="00997202" w:rsidRPr="009E0143">
        <w:rPr>
          <w:noProof w:val="0"/>
          <w:sz w:val="22"/>
          <w:szCs w:val="22"/>
          <w:lang w:val="lt-LT"/>
        </w:rPr>
        <w:t>jeigu vartojate kurį nors iš šių vaistų:</w:t>
      </w:r>
    </w:p>
    <w:p w14:paraId="1F0D2603" w14:textId="77777777" w:rsidR="000D47D1" w:rsidRPr="009E0143" w:rsidRDefault="00D2751E" w:rsidP="00D2751E">
      <w:pPr>
        <w:numPr>
          <w:ilvl w:val="0"/>
          <w:numId w:val="6"/>
        </w:numPr>
        <w:ind w:left="567" w:hanging="567"/>
        <w:rPr>
          <w:noProof w:val="0"/>
          <w:sz w:val="22"/>
          <w:szCs w:val="22"/>
          <w:lang w:val="lt-LT"/>
        </w:rPr>
      </w:pPr>
      <w:bookmarkStart w:id="10" w:name="_Hlk95479007"/>
      <w:r w:rsidRPr="009E0143">
        <w:rPr>
          <w:noProof w:val="0"/>
          <w:sz w:val="22"/>
          <w:szCs w:val="22"/>
          <w:lang w:val="lt-LT"/>
        </w:rPr>
        <w:t>kai kurių v</w:t>
      </w:r>
      <w:r w:rsidR="000D47D1" w:rsidRPr="009E0143">
        <w:rPr>
          <w:noProof w:val="0"/>
          <w:sz w:val="22"/>
          <w:szCs w:val="22"/>
          <w:lang w:val="lt-LT"/>
        </w:rPr>
        <w:t>aist</w:t>
      </w:r>
      <w:r w:rsidRPr="009E0143">
        <w:rPr>
          <w:noProof w:val="0"/>
          <w:sz w:val="22"/>
          <w:szCs w:val="22"/>
          <w:lang w:val="lt-LT"/>
        </w:rPr>
        <w:t>ų</w:t>
      </w:r>
      <w:r w:rsidR="000D47D1" w:rsidRPr="009E0143">
        <w:rPr>
          <w:noProof w:val="0"/>
          <w:sz w:val="22"/>
          <w:szCs w:val="22"/>
          <w:lang w:val="lt-LT"/>
        </w:rPr>
        <w:t>, mažinan</w:t>
      </w:r>
      <w:r w:rsidR="00F40DA1" w:rsidRPr="009E0143">
        <w:rPr>
          <w:noProof w:val="0"/>
          <w:sz w:val="22"/>
          <w:szCs w:val="22"/>
          <w:lang w:val="lt-LT"/>
        </w:rPr>
        <w:t>či</w:t>
      </w:r>
      <w:r w:rsidRPr="009E0143">
        <w:rPr>
          <w:noProof w:val="0"/>
          <w:sz w:val="22"/>
          <w:szCs w:val="22"/>
          <w:lang w:val="lt-LT"/>
        </w:rPr>
        <w:t>ų</w:t>
      </w:r>
      <w:r w:rsidR="000D47D1" w:rsidRPr="009E0143">
        <w:rPr>
          <w:noProof w:val="0"/>
          <w:sz w:val="22"/>
          <w:szCs w:val="22"/>
          <w:lang w:val="lt-LT"/>
        </w:rPr>
        <w:t xml:space="preserve"> kraujo krešėjimą (pvz., varfarin</w:t>
      </w:r>
      <w:r w:rsidRPr="009E0143">
        <w:rPr>
          <w:noProof w:val="0"/>
          <w:sz w:val="22"/>
          <w:szCs w:val="22"/>
          <w:lang w:val="lt-LT"/>
        </w:rPr>
        <w:t>o</w:t>
      </w:r>
      <w:r w:rsidR="000D47D1" w:rsidRPr="009E0143">
        <w:rPr>
          <w:noProof w:val="0"/>
          <w:sz w:val="22"/>
          <w:szCs w:val="22"/>
          <w:lang w:val="lt-LT"/>
        </w:rPr>
        <w:t>)</w:t>
      </w:r>
      <w:r w:rsidRPr="009E0143">
        <w:rPr>
          <w:noProof w:val="0"/>
          <w:sz w:val="22"/>
          <w:szCs w:val="22"/>
          <w:lang w:val="lt-LT"/>
        </w:rPr>
        <w:t>;</w:t>
      </w:r>
    </w:p>
    <w:p w14:paraId="56781083" w14:textId="77777777" w:rsidR="000D47D1" w:rsidRPr="009E0143" w:rsidRDefault="00D2751E" w:rsidP="00D2751E">
      <w:pPr>
        <w:numPr>
          <w:ilvl w:val="0"/>
          <w:numId w:val="6"/>
        </w:numPr>
        <w:ind w:left="567" w:hanging="567"/>
        <w:rPr>
          <w:noProof w:val="0"/>
          <w:sz w:val="22"/>
          <w:szCs w:val="22"/>
          <w:lang w:val="lt-LT"/>
        </w:rPr>
      </w:pPr>
      <w:r w:rsidRPr="009E0143">
        <w:rPr>
          <w:noProof w:val="0"/>
          <w:sz w:val="22"/>
          <w:szCs w:val="22"/>
          <w:lang w:val="lt-LT"/>
        </w:rPr>
        <w:t>v</w:t>
      </w:r>
      <w:r w:rsidR="000D47D1" w:rsidRPr="009E0143">
        <w:rPr>
          <w:noProof w:val="0"/>
          <w:sz w:val="22"/>
          <w:szCs w:val="22"/>
          <w:lang w:val="lt-LT"/>
        </w:rPr>
        <w:t>aist</w:t>
      </w:r>
      <w:r w:rsidRPr="009E0143">
        <w:rPr>
          <w:noProof w:val="0"/>
          <w:sz w:val="22"/>
          <w:szCs w:val="22"/>
          <w:lang w:val="lt-LT"/>
        </w:rPr>
        <w:t>ų</w:t>
      </w:r>
      <w:r w:rsidR="000D47D1" w:rsidRPr="009E0143">
        <w:rPr>
          <w:noProof w:val="0"/>
          <w:sz w:val="22"/>
          <w:szCs w:val="22"/>
          <w:lang w:val="lt-LT"/>
        </w:rPr>
        <w:t xml:space="preserve"> nuo pykinimo ir vėmimo (pvz., metoklopramid</w:t>
      </w:r>
      <w:r w:rsidRPr="009E0143">
        <w:rPr>
          <w:noProof w:val="0"/>
          <w:sz w:val="22"/>
          <w:szCs w:val="22"/>
          <w:lang w:val="lt-LT"/>
        </w:rPr>
        <w:t>o</w:t>
      </w:r>
      <w:r w:rsidR="000D47D1" w:rsidRPr="009E0143">
        <w:rPr>
          <w:noProof w:val="0"/>
          <w:sz w:val="22"/>
          <w:szCs w:val="22"/>
          <w:lang w:val="lt-LT"/>
        </w:rPr>
        <w:t xml:space="preserve"> ar domperidon</w:t>
      </w:r>
      <w:r w:rsidRPr="009E0143">
        <w:rPr>
          <w:noProof w:val="0"/>
          <w:sz w:val="22"/>
          <w:szCs w:val="22"/>
          <w:lang w:val="lt-LT"/>
        </w:rPr>
        <w:t>o</w:t>
      </w:r>
      <w:r w:rsidR="000D47D1" w:rsidRPr="009E0143">
        <w:rPr>
          <w:noProof w:val="0"/>
          <w:sz w:val="22"/>
          <w:szCs w:val="22"/>
          <w:lang w:val="lt-LT"/>
        </w:rPr>
        <w:t>) arba vaist</w:t>
      </w:r>
      <w:r w:rsidRPr="009E0143">
        <w:rPr>
          <w:noProof w:val="0"/>
          <w:sz w:val="22"/>
          <w:szCs w:val="22"/>
          <w:lang w:val="lt-LT"/>
        </w:rPr>
        <w:t>ų</w:t>
      </w:r>
      <w:r w:rsidR="000D47D1" w:rsidRPr="009E0143">
        <w:rPr>
          <w:noProof w:val="0"/>
          <w:sz w:val="22"/>
          <w:szCs w:val="22"/>
          <w:lang w:val="lt-LT"/>
        </w:rPr>
        <w:t>, mažinan</w:t>
      </w:r>
      <w:r w:rsidR="00F40DA1" w:rsidRPr="009E0143">
        <w:rPr>
          <w:noProof w:val="0"/>
          <w:sz w:val="22"/>
          <w:szCs w:val="22"/>
          <w:lang w:val="lt-LT"/>
        </w:rPr>
        <w:t>či</w:t>
      </w:r>
      <w:r w:rsidRPr="009E0143">
        <w:rPr>
          <w:noProof w:val="0"/>
          <w:sz w:val="22"/>
          <w:szCs w:val="22"/>
          <w:lang w:val="lt-LT"/>
        </w:rPr>
        <w:t>ų</w:t>
      </w:r>
      <w:r w:rsidR="000D47D1" w:rsidRPr="009E0143">
        <w:rPr>
          <w:noProof w:val="0"/>
          <w:sz w:val="22"/>
          <w:szCs w:val="22"/>
          <w:lang w:val="lt-LT"/>
        </w:rPr>
        <w:t xml:space="preserve"> cholesterolio kiekį (kolestiramin</w:t>
      </w:r>
      <w:r w:rsidRPr="009E0143">
        <w:rPr>
          <w:noProof w:val="0"/>
          <w:sz w:val="22"/>
          <w:szCs w:val="22"/>
          <w:lang w:val="lt-LT"/>
        </w:rPr>
        <w:t>o</w:t>
      </w:r>
      <w:r w:rsidR="000D47D1" w:rsidRPr="009E0143">
        <w:rPr>
          <w:noProof w:val="0"/>
          <w:sz w:val="22"/>
          <w:szCs w:val="22"/>
          <w:lang w:val="lt-LT"/>
        </w:rPr>
        <w:t>)</w:t>
      </w:r>
      <w:r w:rsidRPr="009E0143">
        <w:rPr>
          <w:noProof w:val="0"/>
          <w:sz w:val="22"/>
          <w:szCs w:val="22"/>
          <w:lang w:val="lt-LT"/>
        </w:rPr>
        <w:t>;</w:t>
      </w:r>
    </w:p>
    <w:p w14:paraId="571E601C" w14:textId="77777777" w:rsidR="000D47D1" w:rsidRPr="009E0143" w:rsidRDefault="00D2751E" w:rsidP="00D2751E">
      <w:pPr>
        <w:numPr>
          <w:ilvl w:val="0"/>
          <w:numId w:val="6"/>
        </w:numPr>
        <w:ind w:left="567" w:hanging="567"/>
        <w:rPr>
          <w:noProof w:val="0"/>
          <w:sz w:val="22"/>
          <w:szCs w:val="22"/>
          <w:lang w:val="lt-LT"/>
        </w:rPr>
      </w:pPr>
      <w:r w:rsidRPr="009E0143">
        <w:rPr>
          <w:noProof w:val="0"/>
          <w:sz w:val="22"/>
          <w:szCs w:val="22"/>
          <w:lang w:val="lt-LT"/>
        </w:rPr>
        <w:t>a</w:t>
      </w:r>
      <w:r w:rsidR="000D47D1" w:rsidRPr="009E0143">
        <w:rPr>
          <w:noProof w:val="0"/>
          <w:sz w:val="22"/>
          <w:szCs w:val="22"/>
          <w:lang w:val="lt-LT"/>
        </w:rPr>
        <w:t>cetilsalicilo rūgšt</w:t>
      </w:r>
      <w:r w:rsidRPr="009E0143">
        <w:rPr>
          <w:noProof w:val="0"/>
          <w:sz w:val="22"/>
          <w:szCs w:val="22"/>
          <w:lang w:val="lt-LT"/>
        </w:rPr>
        <w:t>ies</w:t>
      </w:r>
      <w:r w:rsidR="000D47D1" w:rsidRPr="009E0143">
        <w:rPr>
          <w:noProof w:val="0"/>
          <w:sz w:val="22"/>
          <w:szCs w:val="22"/>
          <w:lang w:val="lt-LT"/>
        </w:rPr>
        <w:t>, kit</w:t>
      </w:r>
      <w:r w:rsidRPr="009E0143">
        <w:rPr>
          <w:noProof w:val="0"/>
          <w:sz w:val="22"/>
          <w:szCs w:val="22"/>
          <w:lang w:val="lt-LT"/>
        </w:rPr>
        <w:t>ų</w:t>
      </w:r>
      <w:r w:rsidR="000D47D1" w:rsidRPr="009E0143">
        <w:rPr>
          <w:noProof w:val="0"/>
          <w:sz w:val="22"/>
          <w:szCs w:val="22"/>
          <w:lang w:val="lt-LT"/>
        </w:rPr>
        <w:t xml:space="preserve"> skausmą ir karščiavimą mažinan</w:t>
      </w:r>
      <w:r w:rsidR="00F40DA1" w:rsidRPr="009E0143">
        <w:rPr>
          <w:noProof w:val="0"/>
          <w:sz w:val="22"/>
          <w:szCs w:val="22"/>
          <w:lang w:val="lt-LT"/>
        </w:rPr>
        <w:t>či</w:t>
      </w:r>
      <w:r w:rsidRPr="009E0143">
        <w:rPr>
          <w:noProof w:val="0"/>
          <w:sz w:val="22"/>
          <w:szCs w:val="22"/>
          <w:lang w:val="lt-LT"/>
        </w:rPr>
        <w:t>ų</w:t>
      </w:r>
      <w:r w:rsidR="000D47D1" w:rsidRPr="009E0143">
        <w:rPr>
          <w:noProof w:val="0"/>
          <w:sz w:val="22"/>
          <w:szCs w:val="22"/>
          <w:lang w:val="lt-LT"/>
        </w:rPr>
        <w:t xml:space="preserve"> vaist</w:t>
      </w:r>
      <w:r w:rsidRPr="009E0143">
        <w:rPr>
          <w:noProof w:val="0"/>
          <w:sz w:val="22"/>
          <w:szCs w:val="22"/>
          <w:lang w:val="lt-LT"/>
        </w:rPr>
        <w:t>ų</w:t>
      </w:r>
      <w:r w:rsidR="000D47D1" w:rsidRPr="009E0143">
        <w:rPr>
          <w:noProof w:val="0"/>
          <w:sz w:val="22"/>
          <w:szCs w:val="22"/>
          <w:lang w:val="lt-LT"/>
        </w:rPr>
        <w:t>, priklausan</w:t>
      </w:r>
      <w:r w:rsidR="00F40DA1" w:rsidRPr="009E0143">
        <w:rPr>
          <w:noProof w:val="0"/>
          <w:sz w:val="22"/>
          <w:szCs w:val="22"/>
          <w:lang w:val="lt-LT"/>
        </w:rPr>
        <w:t>či</w:t>
      </w:r>
      <w:r w:rsidRPr="009E0143">
        <w:rPr>
          <w:noProof w:val="0"/>
          <w:sz w:val="22"/>
          <w:szCs w:val="22"/>
          <w:lang w:val="lt-LT"/>
        </w:rPr>
        <w:t xml:space="preserve">ų </w:t>
      </w:r>
      <w:r w:rsidR="000D47D1" w:rsidRPr="009E0143">
        <w:rPr>
          <w:noProof w:val="0"/>
          <w:sz w:val="22"/>
          <w:szCs w:val="22"/>
          <w:lang w:val="lt-LT"/>
        </w:rPr>
        <w:t>nesteroidinių vaistų nuo uždegimo (NVNU) grupei</w:t>
      </w:r>
      <w:r w:rsidRPr="009E0143">
        <w:rPr>
          <w:noProof w:val="0"/>
          <w:sz w:val="22"/>
          <w:szCs w:val="22"/>
          <w:lang w:val="lt-LT"/>
        </w:rPr>
        <w:t>;</w:t>
      </w:r>
    </w:p>
    <w:p w14:paraId="4359E8F0" w14:textId="77777777" w:rsidR="000D47D1" w:rsidRPr="009E0143" w:rsidRDefault="00D2751E" w:rsidP="00D2751E">
      <w:pPr>
        <w:numPr>
          <w:ilvl w:val="0"/>
          <w:numId w:val="6"/>
        </w:numPr>
        <w:ind w:left="567" w:hanging="567"/>
        <w:rPr>
          <w:noProof w:val="0"/>
          <w:sz w:val="22"/>
          <w:szCs w:val="22"/>
          <w:lang w:val="lt-LT"/>
        </w:rPr>
      </w:pPr>
      <w:r w:rsidRPr="009E0143">
        <w:rPr>
          <w:noProof w:val="0"/>
          <w:sz w:val="22"/>
          <w:szCs w:val="22"/>
          <w:lang w:val="lt-LT"/>
        </w:rPr>
        <w:t>k</w:t>
      </w:r>
      <w:r w:rsidR="000D47D1" w:rsidRPr="009E0143">
        <w:rPr>
          <w:noProof w:val="0"/>
          <w:sz w:val="22"/>
          <w:szCs w:val="22"/>
          <w:lang w:val="lt-LT"/>
        </w:rPr>
        <w:t>ai kuri</w:t>
      </w:r>
      <w:r w:rsidRPr="009E0143">
        <w:rPr>
          <w:noProof w:val="0"/>
          <w:sz w:val="22"/>
          <w:szCs w:val="22"/>
          <w:lang w:val="lt-LT"/>
        </w:rPr>
        <w:t>ų</w:t>
      </w:r>
      <w:r w:rsidR="000D47D1" w:rsidRPr="009E0143">
        <w:rPr>
          <w:noProof w:val="0"/>
          <w:sz w:val="22"/>
          <w:szCs w:val="22"/>
          <w:lang w:val="lt-LT"/>
        </w:rPr>
        <w:t xml:space="preserve"> antibiotik</w:t>
      </w:r>
      <w:r w:rsidRPr="009E0143">
        <w:rPr>
          <w:noProof w:val="0"/>
          <w:sz w:val="22"/>
          <w:szCs w:val="22"/>
          <w:lang w:val="lt-LT"/>
        </w:rPr>
        <w:t>ų</w:t>
      </w:r>
      <w:r w:rsidR="000D47D1" w:rsidRPr="009E0143">
        <w:rPr>
          <w:noProof w:val="0"/>
          <w:sz w:val="22"/>
          <w:szCs w:val="22"/>
          <w:lang w:val="lt-LT"/>
        </w:rPr>
        <w:t xml:space="preserve"> (rifampicin</w:t>
      </w:r>
      <w:r w:rsidRPr="009E0143">
        <w:rPr>
          <w:noProof w:val="0"/>
          <w:sz w:val="22"/>
          <w:szCs w:val="22"/>
          <w:lang w:val="lt-LT"/>
        </w:rPr>
        <w:t>o</w:t>
      </w:r>
      <w:r w:rsidR="000D47D1" w:rsidRPr="009E0143">
        <w:rPr>
          <w:noProof w:val="0"/>
          <w:sz w:val="22"/>
          <w:szCs w:val="22"/>
          <w:lang w:val="lt-LT"/>
        </w:rPr>
        <w:t>, chloramfenikol</w:t>
      </w:r>
      <w:r w:rsidRPr="009E0143">
        <w:rPr>
          <w:noProof w:val="0"/>
          <w:sz w:val="22"/>
          <w:szCs w:val="22"/>
          <w:lang w:val="lt-LT"/>
        </w:rPr>
        <w:t>io</w:t>
      </w:r>
      <w:r w:rsidR="000D47D1" w:rsidRPr="009E0143">
        <w:rPr>
          <w:noProof w:val="0"/>
          <w:sz w:val="22"/>
          <w:szCs w:val="22"/>
          <w:lang w:val="lt-LT"/>
        </w:rPr>
        <w:t>)</w:t>
      </w:r>
      <w:r w:rsidRPr="009E0143">
        <w:rPr>
          <w:noProof w:val="0"/>
          <w:sz w:val="22"/>
          <w:szCs w:val="22"/>
          <w:lang w:val="lt-LT"/>
        </w:rPr>
        <w:t>;</w:t>
      </w:r>
    </w:p>
    <w:p w14:paraId="6B4A2610" w14:textId="77777777" w:rsidR="000D47D1" w:rsidRPr="009E0143" w:rsidRDefault="00D2751E" w:rsidP="00D2751E">
      <w:pPr>
        <w:numPr>
          <w:ilvl w:val="0"/>
          <w:numId w:val="6"/>
        </w:numPr>
        <w:ind w:left="567" w:hanging="567"/>
        <w:rPr>
          <w:noProof w:val="0"/>
          <w:sz w:val="22"/>
          <w:szCs w:val="22"/>
          <w:lang w:val="lt-LT"/>
        </w:rPr>
      </w:pPr>
      <w:r w:rsidRPr="009E0143">
        <w:rPr>
          <w:noProof w:val="0"/>
          <w:sz w:val="22"/>
          <w:szCs w:val="22"/>
          <w:lang w:val="lt-LT"/>
        </w:rPr>
        <w:t>k</w:t>
      </w:r>
      <w:r w:rsidR="000D47D1" w:rsidRPr="009E0143">
        <w:rPr>
          <w:noProof w:val="0"/>
          <w:sz w:val="22"/>
          <w:szCs w:val="22"/>
          <w:lang w:val="lt-LT"/>
        </w:rPr>
        <w:t>ai kuri</w:t>
      </w:r>
      <w:r w:rsidRPr="009E0143">
        <w:rPr>
          <w:noProof w:val="0"/>
          <w:sz w:val="22"/>
          <w:szCs w:val="22"/>
          <w:lang w:val="lt-LT"/>
        </w:rPr>
        <w:t>ų</w:t>
      </w:r>
      <w:r w:rsidR="000D47D1" w:rsidRPr="009E0143">
        <w:rPr>
          <w:noProof w:val="0"/>
          <w:sz w:val="22"/>
          <w:szCs w:val="22"/>
          <w:lang w:val="lt-LT"/>
        </w:rPr>
        <w:t xml:space="preserve"> vaist</w:t>
      </w:r>
      <w:r w:rsidRPr="009E0143">
        <w:rPr>
          <w:noProof w:val="0"/>
          <w:sz w:val="22"/>
          <w:szCs w:val="22"/>
          <w:lang w:val="lt-LT"/>
        </w:rPr>
        <w:t>ų</w:t>
      </w:r>
      <w:r w:rsidR="000D47D1" w:rsidRPr="009E0143">
        <w:rPr>
          <w:noProof w:val="0"/>
          <w:sz w:val="22"/>
          <w:szCs w:val="22"/>
          <w:lang w:val="lt-LT"/>
        </w:rPr>
        <w:t>, vartojam</w:t>
      </w:r>
      <w:r w:rsidRPr="009E0143">
        <w:rPr>
          <w:noProof w:val="0"/>
          <w:sz w:val="22"/>
          <w:szCs w:val="22"/>
          <w:lang w:val="lt-LT"/>
        </w:rPr>
        <w:t>ų</w:t>
      </w:r>
      <w:r w:rsidR="000D47D1" w:rsidRPr="009E0143">
        <w:rPr>
          <w:noProof w:val="0"/>
          <w:sz w:val="22"/>
          <w:szCs w:val="22"/>
          <w:lang w:val="lt-LT"/>
        </w:rPr>
        <w:t xml:space="preserve"> podagrai gydyti (probenecid</w:t>
      </w:r>
      <w:r w:rsidRPr="009E0143">
        <w:rPr>
          <w:noProof w:val="0"/>
          <w:sz w:val="22"/>
          <w:szCs w:val="22"/>
          <w:lang w:val="lt-LT"/>
        </w:rPr>
        <w:t>o</w:t>
      </w:r>
      <w:r w:rsidR="000D47D1" w:rsidRPr="009E0143">
        <w:rPr>
          <w:noProof w:val="0"/>
          <w:sz w:val="22"/>
          <w:szCs w:val="22"/>
          <w:lang w:val="lt-LT"/>
        </w:rPr>
        <w:t>)</w:t>
      </w:r>
      <w:r w:rsidRPr="009E0143">
        <w:rPr>
          <w:noProof w:val="0"/>
          <w:sz w:val="22"/>
          <w:szCs w:val="22"/>
          <w:lang w:val="lt-LT"/>
        </w:rPr>
        <w:t>;</w:t>
      </w:r>
    </w:p>
    <w:p w14:paraId="16A31CB7" w14:textId="77777777" w:rsidR="000D47D1" w:rsidRPr="009E0143" w:rsidRDefault="00D2751E" w:rsidP="00D2751E">
      <w:pPr>
        <w:numPr>
          <w:ilvl w:val="0"/>
          <w:numId w:val="6"/>
        </w:numPr>
        <w:ind w:left="567" w:hanging="567"/>
        <w:rPr>
          <w:noProof w:val="0"/>
          <w:sz w:val="22"/>
          <w:szCs w:val="22"/>
          <w:lang w:val="lt-LT"/>
        </w:rPr>
      </w:pPr>
      <w:r w:rsidRPr="009E0143">
        <w:rPr>
          <w:noProof w:val="0"/>
          <w:sz w:val="22"/>
          <w:szCs w:val="22"/>
          <w:lang w:val="lt-LT"/>
        </w:rPr>
        <w:t>k</w:t>
      </w:r>
      <w:r w:rsidR="000D47D1" w:rsidRPr="009E0143">
        <w:rPr>
          <w:noProof w:val="0"/>
          <w:sz w:val="22"/>
          <w:szCs w:val="22"/>
          <w:lang w:val="lt-LT"/>
        </w:rPr>
        <w:t>ai kuri</w:t>
      </w:r>
      <w:r w:rsidRPr="009E0143">
        <w:rPr>
          <w:noProof w:val="0"/>
          <w:sz w:val="22"/>
          <w:szCs w:val="22"/>
          <w:lang w:val="lt-LT"/>
        </w:rPr>
        <w:t>ų</w:t>
      </w:r>
      <w:r w:rsidR="000D47D1" w:rsidRPr="009E0143">
        <w:rPr>
          <w:noProof w:val="0"/>
          <w:sz w:val="22"/>
          <w:szCs w:val="22"/>
          <w:lang w:val="lt-LT"/>
        </w:rPr>
        <w:t xml:space="preserve"> vaist</w:t>
      </w:r>
      <w:r w:rsidRPr="009E0143">
        <w:rPr>
          <w:noProof w:val="0"/>
          <w:sz w:val="22"/>
          <w:szCs w:val="22"/>
          <w:lang w:val="lt-LT"/>
        </w:rPr>
        <w:t>ų</w:t>
      </w:r>
      <w:r w:rsidR="000D47D1" w:rsidRPr="009E0143">
        <w:rPr>
          <w:noProof w:val="0"/>
          <w:sz w:val="22"/>
          <w:szCs w:val="22"/>
          <w:lang w:val="lt-LT"/>
        </w:rPr>
        <w:t xml:space="preserve"> epilepsijai gydyti (fenobarbital</w:t>
      </w:r>
      <w:r w:rsidRPr="009E0143">
        <w:rPr>
          <w:noProof w:val="0"/>
          <w:sz w:val="22"/>
          <w:szCs w:val="22"/>
          <w:lang w:val="lt-LT"/>
        </w:rPr>
        <w:t>io</w:t>
      </w:r>
      <w:r w:rsidR="000D47D1" w:rsidRPr="009E0143">
        <w:rPr>
          <w:noProof w:val="0"/>
          <w:sz w:val="22"/>
          <w:szCs w:val="22"/>
          <w:lang w:val="lt-LT"/>
        </w:rPr>
        <w:t>, fenitoin</w:t>
      </w:r>
      <w:r w:rsidRPr="009E0143">
        <w:rPr>
          <w:noProof w:val="0"/>
          <w:sz w:val="22"/>
          <w:szCs w:val="22"/>
          <w:lang w:val="lt-LT"/>
        </w:rPr>
        <w:t>o</w:t>
      </w:r>
      <w:r w:rsidR="000D47D1" w:rsidRPr="009E0143">
        <w:rPr>
          <w:noProof w:val="0"/>
          <w:sz w:val="22"/>
          <w:szCs w:val="22"/>
          <w:lang w:val="lt-LT"/>
        </w:rPr>
        <w:t>, karbamazepin</w:t>
      </w:r>
      <w:r w:rsidRPr="009E0143">
        <w:rPr>
          <w:noProof w:val="0"/>
          <w:sz w:val="22"/>
          <w:szCs w:val="22"/>
          <w:lang w:val="lt-LT"/>
        </w:rPr>
        <w:t>o</w:t>
      </w:r>
      <w:r w:rsidR="000D47D1" w:rsidRPr="009E0143">
        <w:rPr>
          <w:noProof w:val="0"/>
          <w:sz w:val="22"/>
          <w:szCs w:val="22"/>
          <w:lang w:val="lt-LT"/>
        </w:rPr>
        <w:t>)</w:t>
      </w:r>
      <w:r w:rsidRPr="009E0143">
        <w:rPr>
          <w:noProof w:val="0"/>
          <w:sz w:val="22"/>
          <w:szCs w:val="22"/>
          <w:lang w:val="lt-LT"/>
        </w:rPr>
        <w:t>;</w:t>
      </w:r>
    </w:p>
    <w:p w14:paraId="0A915759" w14:textId="77777777" w:rsidR="000D47D1" w:rsidRPr="009E0143" w:rsidRDefault="00D2751E" w:rsidP="00D2751E">
      <w:pPr>
        <w:numPr>
          <w:ilvl w:val="0"/>
          <w:numId w:val="6"/>
        </w:numPr>
        <w:ind w:left="567" w:hanging="567"/>
        <w:rPr>
          <w:noProof w:val="0"/>
          <w:sz w:val="22"/>
          <w:szCs w:val="22"/>
          <w:lang w:val="lt-LT"/>
        </w:rPr>
      </w:pPr>
      <w:r w:rsidRPr="009E0143">
        <w:rPr>
          <w:noProof w:val="0"/>
          <w:sz w:val="22"/>
          <w:szCs w:val="22"/>
          <w:lang w:val="lt-LT"/>
        </w:rPr>
        <w:t>a</w:t>
      </w:r>
      <w:r w:rsidR="000D47D1" w:rsidRPr="009E0143">
        <w:rPr>
          <w:noProof w:val="0"/>
          <w:sz w:val="22"/>
          <w:szCs w:val="22"/>
          <w:lang w:val="lt-LT"/>
        </w:rPr>
        <w:t>ugalini</w:t>
      </w:r>
      <w:r w:rsidRPr="009E0143">
        <w:rPr>
          <w:noProof w:val="0"/>
          <w:sz w:val="22"/>
          <w:szCs w:val="22"/>
          <w:lang w:val="lt-LT"/>
        </w:rPr>
        <w:t>ų</w:t>
      </w:r>
      <w:r w:rsidR="000D47D1" w:rsidRPr="009E0143">
        <w:rPr>
          <w:noProof w:val="0"/>
          <w:sz w:val="22"/>
          <w:szCs w:val="22"/>
          <w:lang w:val="lt-LT"/>
        </w:rPr>
        <w:t xml:space="preserve"> </w:t>
      </w:r>
      <w:r w:rsidR="00E15B93" w:rsidRPr="009E0143">
        <w:rPr>
          <w:noProof w:val="0"/>
          <w:sz w:val="22"/>
          <w:szCs w:val="22"/>
          <w:lang w:val="lt-LT"/>
        </w:rPr>
        <w:t>vaist</w:t>
      </w:r>
      <w:r w:rsidRPr="009E0143">
        <w:rPr>
          <w:noProof w:val="0"/>
          <w:sz w:val="22"/>
          <w:szCs w:val="22"/>
          <w:lang w:val="lt-LT"/>
        </w:rPr>
        <w:t>ų</w:t>
      </w:r>
      <w:r w:rsidR="000D47D1" w:rsidRPr="009E0143">
        <w:rPr>
          <w:noProof w:val="0"/>
          <w:sz w:val="22"/>
          <w:szCs w:val="22"/>
          <w:lang w:val="lt-LT"/>
        </w:rPr>
        <w:t>, kurių sudėtyje yra jonažolių</w:t>
      </w:r>
      <w:r w:rsidRPr="009E0143">
        <w:rPr>
          <w:noProof w:val="0"/>
          <w:sz w:val="22"/>
          <w:szCs w:val="22"/>
          <w:lang w:val="lt-LT"/>
        </w:rPr>
        <w:t>;</w:t>
      </w:r>
    </w:p>
    <w:p w14:paraId="04D0B406" w14:textId="77777777" w:rsidR="000D47D1" w:rsidRPr="009E0143" w:rsidRDefault="00D2751E" w:rsidP="00D2751E">
      <w:pPr>
        <w:numPr>
          <w:ilvl w:val="0"/>
          <w:numId w:val="6"/>
        </w:numPr>
        <w:ind w:left="567" w:hanging="567"/>
        <w:rPr>
          <w:noProof w:val="0"/>
          <w:sz w:val="22"/>
          <w:szCs w:val="22"/>
          <w:lang w:val="lt-LT"/>
        </w:rPr>
      </w:pPr>
      <w:r w:rsidRPr="009E0143">
        <w:rPr>
          <w:noProof w:val="0"/>
          <w:sz w:val="22"/>
          <w:szCs w:val="22"/>
          <w:lang w:val="lt-LT"/>
        </w:rPr>
        <w:t>z</w:t>
      </w:r>
      <w:r w:rsidR="000D47D1" w:rsidRPr="009E0143">
        <w:rPr>
          <w:noProof w:val="0"/>
          <w:sz w:val="22"/>
          <w:szCs w:val="22"/>
          <w:lang w:val="lt-LT"/>
        </w:rPr>
        <w:t>idovudin</w:t>
      </w:r>
      <w:r w:rsidRPr="009E0143">
        <w:rPr>
          <w:noProof w:val="0"/>
          <w:sz w:val="22"/>
          <w:szCs w:val="22"/>
          <w:lang w:val="lt-LT"/>
        </w:rPr>
        <w:t>o</w:t>
      </w:r>
      <w:r w:rsidR="000D47D1" w:rsidRPr="009E0143">
        <w:rPr>
          <w:noProof w:val="0"/>
          <w:sz w:val="22"/>
          <w:szCs w:val="22"/>
          <w:lang w:val="lt-LT"/>
        </w:rPr>
        <w:t xml:space="preserve"> (vartojam</w:t>
      </w:r>
      <w:r w:rsidRPr="009E0143">
        <w:rPr>
          <w:noProof w:val="0"/>
          <w:sz w:val="22"/>
          <w:szCs w:val="22"/>
          <w:lang w:val="lt-LT"/>
        </w:rPr>
        <w:t>o</w:t>
      </w:r>
      <w:r w:rsidR="000D47D1" w:rsidRPr="009E0143">
        <w:rPr>
          <w:noProof w:val="0"/>
          <w:sz w:val="22"/>
          <w:szCs w:val="22"/>
          <w:lang w:val="lt-LT"/>
        </w:rPr>
        <w:t xml:space="preserve"> ŽIV infekcijai gydyti)</w:t>
      </w:r>
      <w:r w:rsidRPr="009E0143">
        <w:rPr>
          <w:noProof w:val="0"/>
          <w:sz w:val="22"/>
          <w:szCs w:val="22"/>
          <w:lang w:val="lt-LT"/>
        </w:rPr>
        <w:t>;</w:t>
      </w:r>
    </w:p>
    <w:p w14:paraId="77789227" w14:textId="77777777" w:rsidR="00405BE4" w:rsidRPr="009E0143" w:rsidRDefault="00D2751E" w:rsidP="00D2751E">
      <w:pPr>
        <w:numPr>
          <w:ilvl w:val="0"/>
          <w:numId w:val="6"/>
        </w:numPr>
        <w:ind w:left="567" w:hanging="567"/>
        <w:rPr>
          <w:noProof w:val="0"/>
          <w:sz w:val="22"/>
          <w:szCs w:val="22"/>
          <w:lang w:val="lt-LT"/>
        </w:rPr>
      </w:pPr>
      <w:r w:rsidRPr="009E0143">
        <w:rPr>
          <w:noProof w:val="0"/>
          <w:sz w:val="22"/>
          <w:szCs w:val="22"/>
          <w:lang w:val="lt-LT"/>
        </w:rPr>
        <w:t>i</w:t>
      </w:r>
      <w:r w:rsidR="000D47D1" w:rsidRPr="009E0143">
        <w:rPr>
          <w:noProof w:val="0"/>
          <w:sz w:val="22"/>
          <w:szCs w:val="22"/>
          <w:lang w:val="lt-LT"/>
        </w:rPr>
        <w:t>zoniazid</w:t>
      </w:r>
      <w:r w:rsidRPr="009E0143">
        <w:rPr>
          <w:noProof w:val="0"/>
          <w:sz w:val="22"/>
          <w:szCs w:val="22"/>
          <w:lang w:val="lt-LT"/>
        </w:rPr>
        <w:t>o</w:t>
      </w:r>
      <w:r w:rsidR="000D47D1" w:rsidRPr="009E0143">
        <w:rPr>
          <w:noProof w:val="0"/>
          <w:sz w:val="22"/>
          <w:szCs w:val="22"/>
          <w:lang w:val="lt-LT"/>
        </w:rPr>
        <w:t xml:space="preserve"> (vartojam</w:t>
      </w:r>
      <w:r w:rsidRPr="009E0143">
        <w:rPr>
          <w:noProof w:val="0"/>
          <w:sz w:val="22"/>
          <w:szCs w:val="22"/>
          <w:lang w:val="lt-LT"/>
        </w:rPr>
        <w:t>o</w:t>
      </w:r>
      <w:r w:rsidR="000D47D1" w:rsidRPr="009E0143">
        <w:rPr>
          <w:noProof w:val="0"/>
          <w:sz w:val="22"/>
          <w:szCs w:val="22"/>
          <w:lang w:val="lt-LT"/>
        </w:rPr>
        <w:t xml:space="preserve"> tuberkuliozei gydyti)</w:t>
      </w:r>
      <w:r w:rsidR="00405BE4" w:rsidRPr="009E0143">
        <w:rPr>
          <w:noProof w:val="0"/>
          <w:sz w:val="22"/>
          <w:szCs w:val="22"/>
          <w:lang w:val="lt-LT"/>
        </w:rPr>
        <w:t>;</w:t>
      </w:r>
    </w:p>
    <w:p w14:paraId="5596F09E" w14:textId="3759C0C6" w:rsidR="000D47D1" w:rsidRPr="009E0143" w:rsidRDefault="004B02DA" w:rsidP="00D2751E">
      <w:pPr>
        <w:numPr>
          <w:ilvl w:val="0"/>
          <w:numId w:val="6"/>
        </w:numPr>
        <w:ind w:left="567" w:hanging="567"/>
        <w:rPr>
          <w:noProof w:val="0"/>
          <w:sz w:val="22"/>
          <w:szCs w:val="22"/>
          <w:lang w:val="lt-LT"/>
        </w:rPr>
      </w:pPr>
      <w:r w:rsidRPr="004B02DA">
        <w:rPr>
          <w:noProof w:val="0"/>
          <w:sz w:val="22"/>
          <w:szCs w:val="22"/>
          <w:lang w:val="lt-LT"/>
        </w:rPr>
        <w:t>flukloksaciliną (antibiotiką) dėl didelės kraujo ir skysčių tyrimų nenormalių rodiklių (vadinamos metabolinės acidozės) rizikos (žr. 2 skyrių), kurią reikia skubiai gydyti</w:t>
      </w:r>
      <w:r>
        <w:rPr>
          <w:noProof w:val="0"/>
          <w:sz w:val="22"/>
          <w:szCs w:val="22"/>
          <w:lang w:val="lt-LT"/>
        </w:rPr>
        <w:t>.</w:t>
      </w:r>
    </w:p>
    <w:bookmarkEnd w:id="10"/>
    <w:p w14:paraId="1A99BE35" w14:textId="77777777" w:rsidR="00DF0B1F" w:rsidRPr="009E0143" w:rsidRDefault="00DF0B1F" w:rsidP="00D2751E">
      <w:pPr>
        <w:rPr>
          <w:b/>
          <w:noProof w:val="0"/>
          <w:sz w:val="22"/>
          <w:szCs w:val="22"/>
          <w:highlight w:val="lightGray"/>
          <w:lang w:val="lt-LT"/>
        </w:rPr>
      </w:pPr>
    </w:p>
    <w:p w14:paraId="1722C4CF" w14:textId="77777777" w:rsidR="00EB44DC" w:rsidRPr="009E0143" w:rsidRDefault="00997202" w:rsidP="00D2751E">
      <w:pPr>
        <w:keepNext/>
        <w:tabs>
          <w:tab w:val="left" w:pos="567"/>
        </w:tabs>
        <w:outlineLvl w:val="3"/>
        <w:rPr>
          <w:sz w:val="22"/>
          <w:szCs w:val="22"/>
          <w:lang w:val="lt-LT"/>
        </w:rPr>
      </w:pPr>
      <w:r w:rsidRPr="009E0143">
        <w:rPr>
          <w:b/>
          <w:bCs/>
          <w:noProof w:val="0"/>
          <w:sz w:val="22"/>
          <w:szCs w:val="22"/>
          <w:lang w:val="lt-LT"/>
        </w:rPr>
        <w:t>Paracetamol Zentiva</w:t>
      </w:r>
      <w:r w:rsidR="00EB44DC" w:rsidRPr="009E0143">
        <w:rPr>
          <w:b/>
          <w:sz w:val="22"/>
          <w:szCs w:val="22"/>
          <w:lang w:val="lt-LT"/>
        </w:rPr>
        <w:t xml:space="preserve"> vartojimas su maistu, gėrimais ir alkoholiu</w:t>
      </w:r>
    </w:p>
    <w:p w14:paraId="2BE4EC9A" w14:textId="77777777" w:rsidR="00BD51A6" w:rsidRPr="009E0143" w:rsidRDefault="003A2D7F" w:rsidP="00D2751E">
      <w:pPr>
        <w:rPr>
          <w:noProof w:val="0"/>
          <w:sz w:val="22"/>
          <w:szCs w:val="22"/>
          <w:lang w:val="lt-LT"/>
        </w:rPr>
      </w:pPr>
      <w:r w:rsidRPr="009E0143">
        <w:rPr>
          <w:noProof w:val="0"/>
          <w:sz w:val="22"/>
          <w:szCs w:val="22"/>
          <w:lang w:val="lt-LT"/>
        </w:rPr>
        <w:t xml:space="preserve">Vartodami šį vaistą negerkite alkoholinių gėrimų. Ilgalaikis alkoholio vartojimas žymiai padidina kepenų pažeidimo </w:t>
      </w:r>
      <w:r w:rsidR="0052109F" w:rsidRPr="009E0143">
        <w:rPr>
          <w:noProof w:val="0"/>
          <w:sz w:val="22"/>
          <w:szCs w:val="22"/>
          <w:lang w:val="lt-LT"/>
        </w:rPr>
        <w:t xml:space="preserve">pasireiškimo </w:t>
      </w:r>
      <w:r w:rsidRPr="009E0143">
        <w:rPr>
          <w:noProof w:val="0"/>
          <w:sz w:val="22"/>
          <w:szCs w:val="22"/>
          <w:lang w:val="lt-LT"/>
        </w:rPr>
        <w:t>riziką. Jei</w:t>
      </w:r>
      <w:r w:rsidR="00502A53" w:rsidRPr="009E0143">
        <w:rPr>
          <w:noProof w:val="0"/>
          <w:sz w:val="22"/>
          <w:szCs w:val="22"/>
          <w:lang w:val="lt-LT"/>
        </w:rPr>
        <w:t>gu</w:t>
      </w:r>
      <w:r w:rsidRPr="009E0143">
        <w:rPr>
          <w:noProof w:val="0"/>
          <w:sz w:val="22"/>
          <w:szCs w:val="22"/>
          <w:lang w:val="lt-LT"/>
        </w:rPr>
        <w:t xml:space="preserve"> turite problemų dėl alkoholio vartojimo, prieš pradėdami gydymą Paracetamol Zentiva pasitarkite su gydytoju.</w:t>
      </w:r>
    </w:p>
    <w:p w14:paraId="08559AA7" w14:textId="77777777" w:rsidR="003A2D7F" w:rsidRPr="009E0143" w:rsidRDefault="003A2D7F" w:rsidP="00D2751E">
      <w:pPr>
        <w:rPr>
          <w:b/>
          <w:noProof w:val="0"/>
          <w:sz w:val="22"/>
          <w:szCs w:val="22"/>
          <w:lang w:val="lt-LT"/>
        </w:rPr>
      </w:pPr>
    </w:p>
    <w:p w14:paraId="571AAFD0" w14:textId="77777777" w:rsidR="00EB44DC" w:rsidRPr="009E0143" w:rsidRDefault="00EB44DC" w:rsidP="00F56562">
      <w:pPr>
        <w:jc w:val="both"/>
        <w:rPr>
          <w:b/>
          <w:sz w:val="22"/>
          <w:szCs w:val="22"/>
          <w:lang w:val="lt-LT"/>
        </w:rPr>
      </w:pPr>
      <w:r w:rsidRPr="009E0143">
        <w:rPr>
          <w:b/>
          <w:sz w:val="22"/>
          <w:szCs w:val="22"/>
          <w:lang w:val="lt-LT"/>
        </w:rPr>
        <w:t>Nėštumas ir žindymo laikotarpis</w:t>
      </w:r>
    </w:p>
    <w:p w14:paraId="35D7B2C7" w14:textId="77777777" w:rsidR="00EB44DC" w:rsidRPr="009E0143" w:rsidRDefault="00EB44DC" w:rsidP="00F56562">
      <w:pPr>
        <w:numPr>
          <w:ilvl w:val="12"/>
          <w:numId w:val="0"/>
        </w:numPr>
        <w:rPr>
          <w:sz w:val="22"/>
          <w:szCs w:val="22"/>
          <w:lang w:val="lt-LT"/>
        </w:rPr>
      </w:pPr>
      <w:r w:rsidRPr="009E0143">
        <w:rPr>
          <w:sz w:val="22"/>
          <w:szCs w:val="22"/>
          <w:lang w:val="lt-LT"/>
        </w:rPr>
        <w:t>Jeigu esate nėščia, žindote kūdikį, manote, kad galbūt esate nėščia, arba planuojate pastoti, tai prieš vartodama šį vaistą pasitarkite su gydytoju arba vaistininku.</w:t>
      </w:r>
    </w:p>
    <w:p w14:paraId="2EF24B92" w14:textId="77777777" w:rsidR="006E494E" w:rsidRPr="009E0143" w:rsidRDefault="006E494E" w:rsidP="00F56562">
      <w:pPr>
        <w:jc w:val="both"/>
        <w:rPr>
          <w:noProof w:val="0"/>
          <w:sz w:val="22"/>
          <w:szCs w:val="22"/>
          <w:lang w:val="lt-LT"/>
        </w:rPr>
      </w:pPr>
      <w:r w:rsidRPr="009E0143">
        <w:rPr>
          <w:noProof w:val="0"/>
          <w:sz w:val="22"/>
          <w:szCs w:val="22"/>
          <w:lang w:val="lt-LT"/>
        </w:rPr>
        <w:t>Jei</w:t>
      </w:r>
      <w:r w:rsidR="00502A53" w:rsidRPr="009E0143">
        <w:rPr>
          <w:noProof w:val="0"/>
          <w:sz w:val="22"/>
          <w:szCs w:val="22"/>
          <w:lang w:val="lt-LT"/>
        </w:rPr>
        <w:t>gu</w:t>
      </w:r>
      <w:r w:rsidRPr="009E0143">
        <w:rPr>
          <w:noProof w:val="0"/>
          <w:sz w:val="22"/>
          <w:szCs w:val="22"/>
          <w:lang w:val="lt-LT"/>
        </w:rPr>
        <w:t xml:space="preserve"> reikia, Paracetamol Zentiva galima vartoti nėštumo metu. Turėtumėte vartoti mažiausią galimą</w:t>
      </w:r>
      <w:r w:rsidR="00035BAC" w:rsidRPr="009E0143">
        <w:rPr>
          <w:noProof w:val="0"/>
          <w:sz w:val="22"/>
          <w:szCs w:val="22"/>
          <w:lang w:val="lt-LT"/>
        </w:rPr>
        <w:t xml:space="preserve"> vaisto</w:t>
      </w:r>
      <w:r w:rsidRPr="009E0143">
        <w:rPr>
          <w:noProof w:val="0"/>
          <w:sz w:val="22"/>
          <w:szCs w:val="22"/>
          <w:lang w:val="lt-LT"/>
        </w:rPr>
        <w:t xml:space="preserve"> dozę, kuri sumažintų skausmą ir (arba) karščiavimą, ir vartoti </w:t>
      </w:r>
      <w:r w:rsidR="00502A53" w:rsidRPr="009E0143">
        <w:rPr>
          <w:noProof w:val="0"/>
          <w:sz w:val="22"/>
          <w:szCs w:val="22"/>
          <w:lang w:val="lt-LT"/>
        </w:rPr>
        <w:t>vaistą</w:t>
      </w:r>
      <w:r w:rsidR="00035BAC" w:rsidRPr="009E0143">
        <w:rPr>
          <w:noProof w:val="0"/>
          <w:sz w:val="22"/>
          <w:szCs w:val="22"/>
          <w:lang w:val="lt-LT"/>
        </w:rPr>
        <w:t xml:space="preserve"> </w:t>
      </w:r>
      <w:r w:rsidRPr="009E0143">
        <w:rPr>
          <w:noProof w:val="0"/>
          <w:sz w:val="22"/>
          <w:szCs w:val="22"/>
          <w:lang w:val="lt-LT"/>
        </w:rPr>
        <w:t>kuo trumpesnį laiką.</w:t>
      </w:r>
      <w:r w:rsidR="00035BAC" w:rsidRPr="009E0143">
        <w:rPr>
          <w:noProof w:val="0"/>
          <w:sz w:val="22"/>
          <w:szCs w:val="22"/>
          <w:lang w:val="lt-LT"/>
        </w:rPr>
        <w:t xml:space="preserve"> J</w:t>
      </w:r>
      <w:r w:rsidRPr="009E0143">
        <w:rPr>
          <w:noProof w:val="0"/>
          <w:sz w:val="22"/>
          <w:szCs w:val="22"/>
          <w:lang w:val="lt-LT"/>
        </w:rPr>
        <w:t>ei</w:t>
      </w:r>
      <w:r w:rsidR="00035BAC" w:rsidRPr="009E0143">
        <w:rPr>
          <w:noProof w:val="0"/>
          <w:sz w:val="22"/>
          <w:szCs w:val="22"/>
          <w:lang w:val="lt-LT"/>
        </w:rPr>
        <w:t>gu</w:t>
      </w:r>
      <w:r w:rsidRPr="009E0143">
        <w:rPr>
          <w:noProof w:val="0"/>
          <w:sz w:val="22"/>
          <w:szCs w:val="22"/>
          <w:lang w:val="lt-LT"/>
        </w:rPr>
        <w:t xml:space="preserve"> skausmas ir (arba) karščiavimas nesumažėja arba jei vaisto reikia vartoti dažniau</w:t>
      </w:r>
      <w:r w:rsidR="00035BAC" w:rsidRPr="009E0143">
        <w:rPr>
          <w:noProof w:val="0"/>
          <w:sz w:val="22"/>
          <w:szCs w:val="22"/>
          <w:lang w:val="lt-LT"/>
        </w:rPr>
        <w:t>, kreipkitės į savo gydytoją</w:t>
      </w:r>
      <w:r w:rsidRPr="009E0143">
        <w:rPr>
          <w:noProof w:val="0"/>
          <w:sz w:val="22"/>
          <w:szCs w:val="22"/>
          <w:lang w:val="lt-LT"/>
        </w:rPr>
        <w:t>.</w:t>
      </w:r>
    </w:p>
    <w:p w14:paraId="2049DA43" w14:textId="77777777" w:rsidR="006E494E" w:rsidRPr="009E0143" w:rsidRDefault="006E494E" w:rsidP="00F56562">
      <w:pPr>
        <w:jc w:val="both"/>
        <w:rPr>
          <w:noProof w:val="0"/>
          <w:sz w:val="22"/>
          <w:szCs w:val="22"/>
          <w:lang w:val="lt-LT"/>
        </w:rPr>
      </w:pPr>
      <w:r w:rsidRPr="009E0143">
        <w:rPr>
          <w:noProof w:val="0"/>
          <w:sz w:val="22"/>
          <w:szCs w:val="22"/>
          <w:lang w:val="lt-LT"/>
        </w:rPr>
        <w:lastRenderedPageBreak/>
        <w:t xml:space="preserve">Paracetamol Zentiva </w:t>
      </w:r>
      <w:r w:rsidR="00035BAC" w:rsidRPr="009E0143">
        <w:rPr>
          <w:noProof w:val="0"/>
          <w:sz w:val="22"/>
          <w:szCs w:val="22"/>
          <w:lang w:val="lt-LT"/>
        </w:rPr>
        <w:t>išsiskiria</w:t>
      </w:r>
      <w:r w:rsidRPr="009E0143">
        <w:rPr>
          <w:noProof w:val="0"/>
          <w:sz w:val="22"/>
          <w:szCs w:val="22"/>
          <w:lang w:val="lt-LT"/>
        </w:rPr>
        <w:t xml:space="preserve"> į motinos pieną, tačiau mažai tikėtina, kad tai turės įtakos žindomiems kūdikiams. Trumpalaikio gydymo rekomenduojamomis šio vaisto dozėmis metu žindymo nutraukti nebūtina.</w:t>
      </w:r>
    </w:p>
    <w:p w14:paraId="4C46F4FC" w14:textId="77777777" w:rsidR="002009BD" w:rsidRPr="009E0143" w:rsidRDefault="002009BD" w:rsidP="00F56562">
      <w:pPr>
        <w:jc w:val="both"/>
        <w:rPr>
          <w:b/>
          <w:bCs/>
          <w:noProof w:val="0"/>
          <w:sz w:val="22"/>
          <w:szCs w:val="22"/>
          <w:lang w:val="lt-LT"/>
        </w:rPr>
      </w:pPr>
    </w:p>
    <w:p w14:paraId="59314DAC" w14:textId="77777777" w:rsidR="00B74B8D" w:rsidRPr="009E0143" w:rsidRDefault="00B74B8D" w:rsidP="00F56562">
      <w:pPr>
        <w:keepNext/>
        <w:tabs>
          <w:tab w:val="left" w:pos="567"/>
        </w:tabs>
        <w:jc w:val="both"/>
        <w:outlineLvl w:val="3"/>
        <w:rPr>
          <w:sz w:val="22"/>
          <w:szCs w:val="22"/>
          <w:lang w:val="lt-LT"/>
        </w:rPr>
      </w:pPr>
      <w:r w:rsidRPr="009E0143">
        <w:rPr>
          <w:b/>
          <w:sz w:val="22"/>
          <w:szCs w:val="22"/>
          <w:lang w:val="lt-LT"/>
        </w:rPr>
        <w:t>Vairavimas ir mechanizmų valdymas</w:t>
      </w:r>
    </w:p>
    <w:p w14:paraId="537DAF6D" w14:textId="77777777" w:rsidR="006E494E" w:rsidRPr="009E0143" w:rsidRDefault="006E494E" w:rsidP="00F56562">
      <w:pPr>
        <w:rPr>
          <w:noProof w:val="0"/>
          <w:sz w:val="22"/>
          <w:szCs w:val="22"/>
          <w:lang w:val="lt-LT"/>
        </w:rPr>
      </w:pPr>
      <w:r w:rsidRPr="009E0143">
        <w:rPr>
          <w:noProof w:val="0"/>
          <w:sz w:val="22"/>
          <w:szCs w:val="22"/>
          <w:lang w:val="lt-LT"/>
        </w:rPr>
        <w:t xml:space="preserve">Paracetamol Zentiva </w:t>
      </w:r>
      <w:r w:rsidRPr="009E0143">
        <w:rPr>
          <w:sz w:val="22"/>
          <w:szCs w:val="22"/>
          <w:lang w:val="lt-LT"/>
        </w:rPr>
        <w:t>gebėjimo vairuoti ir valdyti mechanizmus neveikia</w:t>
      </w:r>
      <w:r w:rsidRPr="009E0143">
        <w:rPr>
          <w:noProof w:val="0"/>
          <w:sz w:val="22"/>
          <w:szCs w:val="22"/>
          <w:lang w:val="lt-LT"/>
        </w:rPr>
        <w:t>.</w:t>
      </w:r>
    </w:p>
    <w:p w14:paraId="17BFD0AD" w14:textId="77777777" w:rsidR="00BD51A6" w:rsidRPr="009E0143" w:rsidRDefault="00BD51A6" w:rsidP="00F56562">
      <w:pPr>
        <w:jc w:val="both"/>
        <w:rPr>
          <w:noProof w:val="0"/>
          <w:sz w:val="22"/>
          <w:szCs w:val="22"/>
          <w:lang w:val="lt-LT"/>
        </w:rPr>
      </w:pPr>
    </w:p>
    <w:p w14:paraId="34B53BCA" w14:textId="77777777" w:rsidR="002009BD" w:rsidRPr="009E0143" w:rsidRDefault="002009BD" w:rsidP="00F56562">
      <w:pPr>
        <w:jc w:val="both"/>
        <w:rPr>
          <w:noProof w:val="0"/>
          <w:sz w:val="22"/>
          <w:szCs w:val="22"/>
          <w:lang w:val="lt-LT"/>
        </w:rPr>
      </w:pPr>
    </w:p>
    <w:p w14:paraId="27C37E0A" w14:textId="77777777" w:rsidR="00B74B8D" w:rsidRPr="009E0143" w:rsidRDefault="00B74B8D" w:rsidP="00F56562">
      <w:pPr>
        <w:keepNext/>
        <w:keepLines/>
        <w:tabs>
          <w:tab w:val="left" w:pos="567"/>
        </w:tabs>
        <w:outlineLvl w:val="2"/>
        <w:rPr>
          <w:sz w:val="22"/>
          <w:szCs w:val="22"/>
          <w:lang w:val="lt-LT"/>
        </w:rPr>
      </w:pPr>
      <w:r w:rsidRPr="009E0143">
        <w:rPr>
          <w:b/>
          <w:sz w:val="22"/>
          <w:szCs w:val="22"/>
          <w:lang w:val="lt-LT"/>
        </w:rPr>
        <w:t>3.</w:t>
      </w:r>
      <w:r w:rsidRPr="009E0143">
        <w:rPr>
          <w:b/>
          <w:sz w:val="22"/>
          <w:szCs w:val="22"/>
          <w:lang w:val="lt-LT"/>
        </w:rPr>
        <w:tab/>
        <w:t xml:space="preserve">Kaip vartoti </w:t>
      </w:r>
      <w:r w:rsidR="006E494E" w:rsidRPr="009E0143">
        <w:rPr>
          <w:b/>
          <w:bCs/>
          <w:noProof w:val="0"/>
          <w:sz w:val="22"/>
          <w:szCs w:val="22"/>
          <w:lang w:val="lt-LT"/>
        </w:rPr>
        <w:t>Paracetamol Zentiva</w:t>
      </w:r>
    </w:p>
    <w:p w14:paraId="11C70E51" w14:textId="77777777" w:rsidR="00BD51A6" w:rsidRPr="009E0143" w:rsidRDefault="00BD51A6" w:rsidP="00F56562">
      <w:pPr>
        <w:jc w:val="both"/>
        <w:rPr>
          <w:i/>
          <w:noProof w:val="0"/>
          <w:sz w:val="22"/>
          <w:szCs w:val="22"/>
          <w:lang w:val="lt-LT"/>
        </w:rPr>
      </w:pPr>
    </w:p>
    <w:p w14:paraId="1C7CF43F" w14:textId="77777777" w:rsidR="00FA7F2B" w:rsidRPr="009E0143" w:rsidRDefault="00D2751E" w:rsidP="00F56562">
      <w:pPr>
        <w:ind w:right="-2"/>
        <w:rPr>
          <w:sz w:val="22"/>
          <w:lang w:val="lt-LT"/>
        </w:rPr>
      </w:pPr>
      <w:r w:rsidRPr="009E0143">
        <w:rPr>
          <w:sz w:val="22"/>
          <w:lang w:val="lt-LT"/>
        </w:rPr>
        <w:t>Visada vartokite šį vaistą tiksliai, kaip nurodė gydytojas arba vaistininkas. Jeigu abejojate, kreipkitės į  gydytoją arba vaistininką.</w:t>
      </w:r>
    </w:p>
    <w:p w14:paraId="00B2DEEC" w14:textId="77777777" w:rsidR="00D2751E" w:rsidRPr="009E0143" w:rsidRDefault="00D2751E" w:rsidP="00F56562">
      <w:pPr>
        <w:ind w:right="-2"/>
        <w:rPr>
          <w:noProof w:val="0"/>
          <w:sz w:val="22"/>
          <w:szCs w:val="22"/>
          <w:lang w:val="lt-LT"/>
        </w:rPr>
      </w:pPr>
    </w:p>
    <w:p w14:paraId="691EA287" w14:textId="77777777" w:rsidR="00D1787D" w:rsidRPr="009E0143" w:rsidRDefault="006E494E" w:rsidP="00F56562">
      <w:pPr>
        <w:rPr>
          <w:noProof w:val="0"/>
          <w:sz w:val="22"/>
          <w:szCs w:val="22"/>
          <w:lang w:val="lt-LT"/>
        </w:rPr>
      </w:pPr>
      <w:r w:rsidRPr="009E0143">
        <w:rPr>
          <w:noProof w:val="0"/>
          <w:sz w:val="22"/>
          <w:szCs w:val="22"/>
          <w:lang w:val="lt-LT"/>
        </w:rPr>
        <w:t>Dozuokite taip, kaip rekomenduojama toliau esančioje lentelėje.</w:t>
      </w:r>
    </w:p>
    <w:p w14:paraId="574E07FC" w14:textId="77777777" w:rsidR="006E494E" w:rsidRPr="009E0143" w:rsidRDefault="006E494E" w:rsidP="00F56562">
      <w:pPr>
        <w:rPr>
          <w:noProof w:val="0"/>
          <w:sz w:val="22"/>
          <w:szCs w:val="22"/>
          <w:lang w:val="lt-LT"/>
        </w:rPr>
      </w:pPr>
    </w:p>
    <w:tbl>
      <w:tblPr>
        <w:tblW w:w="89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4"/>
        <w:gridCol w:w="1768"/>
        <w:gridCol w:w="3305"/>
        <w:gridCol w:w="2229"/>
      </w:tblGrid>
      <w:tr w:rsidR="006E494E" w:rsidRPr="009E0143" w14:paraId="5F7E5958" w14:textId="77777777" w:rsidTr="00AA6E48">
        <w:trPr>
          <w:trHeight w:val="283"/>
          <w:jc w:val="center"/>
        </w:trPr>
        <w:tc>
          <w:tcPr>
            <w:tcW w:w="1634" w:type="dxa"/>
          </w:tcPr>
          <w:p w14:paraId="679525E9" w14:textId="02B6AEE0" w:rsidR="006E494E" w:rsidRPr="009E0143" w:rsidRDefault="006E494E" w:rsidP="00F56562">
            <w:pPr>
              <w:pStyle w:val="TableParagraph"/>
              <w:spacing w:line="240" w:lineRule="auto"/>
              <w:ind w:left="113" w:right="113"/>
              <w:rPr>
                <w:rFonts w:eastAsia="Calibri"/>
                <w:b/>
                <w:bCs/>
                <w:lang w:val="lt-LT"/>
              </w:rPr>
            </w:pPr>
            <w:r w:rsidRPr="009E0143">
              <w:rPr>
                <w:rFonts w:eastAsia="Calibri"/>
                <w:b/>
                <w:bCs/>
                <w:lang w:val="lt-LT"/>
              </w:rPr>
              <w:t>A</w:t>
            </w:r>
            <w:r w:rsidR="00157F32" w:rsidRPr="009E0143">
              <w:rPr>
                <w:rFonts w:eastAsia="Calibri"/>
                <w:b/>
                <w:bCs/>
                <w:lang w:val="lt-LT"/>
              </w:rPr>
              <w:t>pytikslis a</w:t>
            </w:r>
            <w:r w:rsidRPr="009E0143">
              <w:rPr>
                <w:rFonts w:eastAsia="Calibri"/>
                <w:b/>
                <w:bCs/>
                <w:lang w:val="lt-LT"/>
              </w:rPr>
              <w:t>mžius</w:t>
            </w:r>
          </w:p>
        </w:tc>
        <w:tc>
          <w:tcPr>
            <w:tcW w:w="1768" w:type="dxa"/>
          </w:tcPr>
          <w:p w14:paraId="5FDC53E7" w14:textId="77777777" w:rsidR="006E494E" w:rsidRPr="009E0143" w:rsidRDefault="006E494E" w:rsidP="00F56562">
            <w:pPr>
              <w:pStyle w:val="TableParagraph"/>
              <w:spacing w:line="240" w:lineRule="auto"/>
              <w:ind w:left="113" w:right="113"/>
              <w:rPr>
                <w:rFonts w:eastAsia="Calibri"/>
                <w:b/>
                <w:bCs/>
                <w:lang w:val="lt-LT"/>
              </w:rPr>
            </w:pPr>
            <w:r w:rsidRPr="009E0143">
              <w:rPr>
                <w:rFonts w:eastAsia="Calibri"/>
                <w:b/>
                <w:bCs/>
                <w:lang w:val="lt-LT"/>
              </w:rPr>
              <w:t>Kūno svoris</w:t>
            </w:r>
          </w:p>
        </w:tc>
        <w:tc>
          <w:tcPr>
            <w:tcW w:w="3305" w:type="dxa"/>
          </w:tcPr>
          <w:p w14:paraId="228BB337" w14:textId="1718A846" w:rsidR="006E494E" w:rsidRPr="009E0143" w:rsidRDefault="006E3786" w:rsidP="00F56562">
            <w:pPr>
              <w:pStyle w:val="TableParagraph"/>
              <w:spacing w:line="240" w:lineRule="auto"/>
              <w:ind w:left="113" w:right="113"/>
              <w:rPr>
                <w:rFonts w:eastAsia="Calibri"/>
                <w:b/>
                <w:bCs/>
                <w:lang w:val="lt-LT"/>
              </w:rPr>
            </w:pPr>
            <w:r w:rsidRPr="009E0143">
              <w:rPr>
                <w:rFonts w:eastAsia="Calibri"/>
                <w:b/>
                <w:bCs/>
                <w:lang w:val="lt-LT"/>
              </w:rPr>
              <w:t>Vienkartinė dozė</w:t>
            </w:r>
          </w:p>
        </w:tc>
        <w:tc>
          <w:tcPr>
            <w:tcW w:w="2229" w:type="dxa"/>
          </w:tcPr>
          <w:p w14:paraId="646706D7" w14:textId="77777777" w:rsidR="006E494E" w:rsidRPr="009E0143" w:rsidRDefault="006E494E" w:rsidP="00F56562">
            <w:pPr>
              <w:pStyle w:val="TableParagraph"/>
              <w:spacing w:line="240" w:lineRule="auto"/>
              <w:ind w:left="113" w:right="113"/>
              <w:rPr>
                <w:rFonts w:eastAsia="Calibri"/>
                <w:b/>
                <w:bCs/>
                <w:lang w:val="lt-LT"/>
              </w:rPr>
            </w:pPr>
            <w:r w:rsidRPr="009E0143">
              <w:rPr>
                <w:rFonts w:eastAsia="Calibri"/>
                <w:b/>
                <w:bCs/>
                <w:lang w:val="lt-LT"/>
              </w:rPr>
              <w:t>Didžiausia paros dozė</w:t>
            </w:r>
          </w:p>
        </w:tc>
      </w:tr>
      <w:tr w:rsidR="006E494E" w:rsidRPr="009E0143" w14:paraId="441C5933" w14:textId="77777777" w:rsidTr="00AA6E48">
        <w:trPr>
          <w:trHeight w:val="283"/>
          <w:jc w:val="center"/>
        </w:trPr>
        <w:tc>
          <w:tcPr>
            <w:tcW w:w="1634" w:type="dxa"/>
          </w:tcPr>
          <w:p w14:paraId="0D366CBF" w14:textId="77777777" w:rsidR="006E494E" w:rsidRPr="009E0143" w:rsidRDefault="006E494E" w:rsidP="00F56562">
            <w:pPr>
              <w:pStyle w:val="TableParagraph"/>
              <w:spacing w:line="240" w:lineRule="auto"/>
              <w:ind w:left="113" w:right="113"/>
              <w:rPr>
                <w:rFonts w:eastAsia="Calibri"/>
                <w:lang w:val="lt-LT"/>
              </w:rPr>
            </w:pPr>
            <w:r w:rsidRPr="009E0143">
              <w:rPr>
                <w:lang w:val="lt-LT"/>
              </w:rPr>
              <w:t>6</w:t>
            </w:r>
            <w:r w:rsidR="00D2751E" w:rsidRPr="009E0143">
              <w:rPr>
                <w:lang w:val="lt-LT"/>
              </w:rPr>
              <w:noBreakHyphen/>
            </w:r>
            <w:r w:rsidRPr="009E0143">
              <w:rPr>
                <w:lang w:val="lt-LT"/>
              </w:rPr>
              <w:t>8</w:t>
            </w:r>
            <w:r w:rsidR="00807A64" w:rsidRPr="009E0143">
              <w:rPr>
                <w:lang w:val="lt-LT"/>
              </w:rPr>
              <w:t xml:space="preserve"> </w:t>
            </w:r>
            <w:r w:rsidRPr="009E0143">
              <w:rPr>
                <w:lang w:val="lt-LT"/>
              </w:rPr>
              <w:t>metai</w:t>
            </w:r>
          </w:p>
        </w:tc>
        <w:tc>
          <w:tcPr>
            <w:tcW w:w="1768" w:type="dxa"/>
          </w:tcPr>
          <w:p w14:paraId="7BF6A4D0" w14:textId="77777777" w:rsidR="006E494E" w:rsidRPr="009E0143" w:rsidRDefault="006E494E" w:rsidP="00F56562">
            <w:pPr>
              <w:pStyle w:val="TableParagraph"/>
              <w:spacing w:line="240" w:lineRule="auto"/>
              <w:ind w:left="113" w:right="113"/>
              <w:rPr>
                <w:rFonts w:eastAsia="Calibri"/>
                <w:lang w:val="lt-LT"/>
              </w:rPr>
            </w:pPr>
            <w:r w:rsidRPr="009E0143">
              <w:rPr>
                <w:rFonts w:eastAsia="Calibri"/>
                <w:lang w:val="lt-LT"/>
              </w:rPr>
              <w:t>21</w:t>
            </w:r>
            <w:r w:rsidR="00D2751E" w:rsidRPr="009E0143">
              <w:rPr>
                <w:rFonts w:eastAsia="Calibri"/>
                <w:lang w:val="lt-LT"/>
              </w:rPr>
              <w:noBreakHyphen/>
            </w:r>
            <w:r w:rsidRPr="009E0143">
              <w:rPr>
                <w:rFonts w:eastAsia="Calibri"/>
                <w:lang w:val="lt-LT"/>
              </w:rPr>
              <w:t>24 kg</w:t>
            </w:r>
          </w:p>
        </w:tc>
        <w:tc>
          <w:tcPr>
            <w:tcW w:w="3305" w:type="dxa"/>
          </w:tcPr>
          <w:p w14:paraId="401DC011" w14:textId="0D5FACE9" w:rsidR="006E494E" w:rsidRPr="009E0143" w:rsidRDefault="006E494E" w:rsidP="00F56562">
            <w:pPr>
              <w:pStyle w:val="TableParagraph"/>
              <w:spacing w:line="240" w:lineRule="auto"/>
              <w:ind w:left="0" w:right="-150"/>
              <w:rPr>
                <w:rFonts w:eastAsia="Calibri"/>
                <w:lang w:val="lt-LT"/>
              </w:rPr>
            </w:pPr>
            <w:r w:rsidRPr="009E0143">
              <w:rPr>
                <w:rFonts w:eastAsia="Calibri"/>
                <w:lang w:val="lt-LT"/>
              </w:rPr>
              <w:t>½ tab</w:t>
            </w:r>
            <w:r w:rsidR="00502A53" w:rsidRPr="009E0143">
              <w:rPr>
                <w:rFonts w:eastAsia="Calibri"/>
                <w:lang w:val="lt-LT"/>
              </w:rPr>
              <w:t>l</w:t>
            </w:r>
            <w:r w:rsidRPr="009E0143">
              <w:rPr>
                <w:rFonts w:eastAsia="Calibri"/>
                <w:lang w:val="lt-LT"/>
              </w:rPr>
              <w:t xml:space="preserve">etės (250 mg) </w:t>
            </w:r>
          </w:p>
        </w:tc>
        <w:tc>
          <w:tcPr>
            <w:tcW w:w="2229" w:type="dxa"/>
          </w:tcPr>
          <w:p w14:paraId="505E136F" w14:textId="045338C6" w:rsidR="006E494E" w:rsidRPr="009E0143" w:rsidRDefault="006E494E" w:rsidP="00F56562">
            <w:pPr>
              <w:widowControl w:val="0"/>
              <w:autoSpaceDE w:val="0"/>
              <w:autoSpaceDN w:val="0"/>
              <w:ind w:left="113" w:right="113"/>
              <w:rPr>
                <w:rFonts w:eastAsia="Calibri"/>
                <w:noProof w:val="0"/>
                <w:sz w:val="22"/>
                <w:szCs w:val="22"/>
                <w:lang w:val="lt-LT"/>
              </w:rPr>
            </w:pPr>
            <w:r w:rsidRPr="009E0143">
              <w:rPr>
                <w:rFonts w:eastAsia="Calibri"/>
                <w:noProof w:val="0"/>
                <w:sz w:val="22"/>
                <w:szCs w:val="22"/>
                <w:lang w:val="lt-LT"/>
              </w:rPr>
              <w:t>2</w:t>
            </w:r>
            <w:r w:rsidR="00807A64" w:rsidRPr="009E0143">
              <w:rPr>
                <w:rFonts w:eastAsia="Calibri"/>
                <w:noProof w:val="0"/>
                <w:sz w:val="22"/>
                <w:szCs w:val="22"/>
                <w:lang w:val="lt-LT"/>
              </w:rPr>
              <w:t xml:space="preserve"> </w:t>
            </w:r>
            <w:r w:rsidRPr="009E0143">
              <w:rPr>
                <w:rFonts w:eastAsia="Calibri"/>
                <w:noProof w:val="0"/>
                <w:sz w:val="22"/>
                <w:szCs w:val="22"/>
                <w:lang w:val="lt-LT"/>
              </w:rPr>
              <w:t>tabletės (1 g)</w:t>
            </w:r>
          </w:p>
        </w:tc>
      </w:tr>
      <w:tr w:rsidR="006E494E" w:rsidRPr="009E0143" w14:paraId="37E1D855" w14:textId="77777777" w:rsidTr="00AA6E48">
        <w:trPr>
          <w:trHeight w:val="283"/>
          <w:jc w:val="center"/>
        </w:trPr>
        <w:tc>
          <w:tcPr>
            <w:tcW w:w="1634" w:type="dxa"/>
          </w:tcPr>
          <w:p w14:paraId="0E96C522" w14:textId="77777777" w:rsidR="006E494E" w:rsidRPr="009E0143" w:rsidRDefault="006E494E" w:rsidP="00F56562">
            <w:pPr>
              <w:pStyle w:val="TableParagraph"/>
              <w:spacing w:line="240" w:lineRule="auto"/>
              <w:ind w:left="113" w:right="113"/>
              <w:rPr>
                <w:lang w:val="lt-LT"/>
              </w:rPr>
            </w:pPr>
            <w:r w:rsidRPr="009E0143">
              <w:rPr>
                <w:lang w:val="lt-LT"/>
              </w:rPr>
              <w:t>9</w:t>
            </w:r>
            <w:r w:rsidR="00D2751E" w:rsidRPr="009E0143">
              <w:rPr>
                <w:lang w:val="lt-LT"/>
              </w:rPr>
              <w:noBreakHyphen/>
            </w:r>
            <w:r w:rsidRPr="009E0143">
              <w:rPr>
                <w:lang w:val="lt-LT"/>
              </w:rPr>
              <w:t>10</w:t>
            </w:r>
            <w:r w:rsidR="00807A64" w:rsidRPr="009E0143">
              <w:rPr>
                <w:lang w:val="lt-LT"/>
              </w:rPr>
              <w:t xml:space="preserve"> </w:t>
            </w:r>
            <w:r w:rsidRPr="009E0143">
              <w:rPr>
                <w:lang w:val="lt-LT"/>
              </w:rPr>
              <w:t>metų</w:t>
            </w:r>
          </w:p>
        </w:tc>
        <w:tc>
          <w:tcPr>
            <w:tcW w:w="1768" w:type="dxa"/>
          </w:tcPr>
          <w:p w14:paraId="49156764" w14:textId="07B5A68D" w:rsidR="006E494E" w:rsidRPr="009E0143" w:rsidRDefault="006E494E" w:rsidP="00F56562">
            <w:pPr>
              <w:pStyle w:val="TableParagraph"/>
              <w:spacing w:line="240" w:lineRule="auto"/>
              <w:ind w:left="113" w:right="113"/>
              <w:rPr>
                <w:rFonts w:eastAsia="Calibri"/>
                <w:lang w:val="lt-LT"/>
              </w:rPr>
            </w:pPr>
            <w:r w:rsidRPr="009E0143">
              <w:rPr>
                <w:rFonts w:eastAsia="Calibri"/>
                <w:lang w:val="lt-LT"/>
              </w:rPr>
              <w:t>25</w:t>
            </w:r>
            <w:r w:rsidR="00D2751E" w:rsidRPr="009E0143">
              <w:rPr>
                <w:rFonts w:eastAsia="Calibri"/>
                <w:lang w:val="lt-LT"/>
              </w:rPr>
              <w:noBreakHyphen/>
            </w:r>
            <w:r w:rsidRPr="009E0143">
              <w:rPr>
                <w:rFonts w:eastAsia="Calibri"/>
                <w:lang w:val="lt-LT"/>
              </w:rPr>
              <w:t>3</w:t>
            </w:r>
            <w:r w:rsidR="00157F32" w:rsidRPr="009E0143">
              <w:rPr>
                <w:rFonts w:eastAsia="Calibri"/>
                <w:lang w:val="lt-LT"/>
              </w:rPr>
              <w:t>3</w:t>
            </w:r>
            <w:r w:rsidRPr="009E0143">
              <w:rPr>
                <w:rFonts w:eastAsia="Calibri"/>
                <w:lang w:val="lt-LT"/>
              </w:rPr>
              <w:t> kg</w:t>
            </w:r>
          </w:p>
        </w:tc>
        <w:tc>
          <w:tcPr>
            <w:tcW w:w="3305" w:type="dxa"/>
          </w:tcPr>
          <w:p w14:paraId="552C5074" w14:textId="18A89303" w:rsidR="006E494E" w:rsidRPr="009E0143" w:rsidRDefault="006E494E" w:rsidP="00F56562">
            <w:pPr>
              <w:pStyle w:val="TableParagraph"/>
              <w:spacing w:line="240" w:lineRule="auto"/>
              <w:ind w:left="0" w:right="-150"/>
              <w:rPr>
                <w:rFonts w:eastAsia="Calibri"/>
                <w:lang w:val="lt-LT"/>
              </w:rPr>
            </w:pPr>
            <w:r w:rsidRPr="009E0143">
              <w:rPr>
                <w:rFonts w:eastAsia="Calibri"/>
                <w:lang w:val="lt-LT"/>
              </w:rPr>
              <w:t>½ tab</w:t>
            </w:r>
            <w:r w:rsidR="00502A53" w:rsidRPr="009E0143">
              <w:rPr>
                <w:rFonts w:eastAsia="Calibri"/>
                <w:lang w:val="lt-LT"/>
              </w:rPr>
              <w:t>l</w:t>
            </w:r>
            <w:r w:rsidRPr="009E0143">
              <w:rPr>
                <w:rFonts w:eastAsia="Calibri"/>
                <w:lang w:val="lt-LT"/>
              </w:rPr>
              <w:t xml:space="preserve">etės (250 mg) </w:t>
            </w:r>
          </w:p>
        </w:tc>
        <w:tc>
          <w:tcPr>
            <w:tcW w:w="2229" w:type="dxa"/>
          </w:tcPr>
          <w:p w14:paraId="201745EA" w14:textId="77777777" w:rsidR="006E494E" w:rsidRPr="009E0143" w:rsidRDefault="006E494E" w:rsidP="00F56562">
            <w:pPr>
              <w:widowControl w:val="0"/>
              <w:autoSpaceDE w:val="0"/>
              <w:autoSpaceDN w:val="0"/>
              <w:ind w:left="113" w:right="113"/>
              <w:rPr>
                <w:rFonts w:eastAsia="Calibri"/>
                <w:noProof w:val="0"/>
                <w:sz w:val="22"/>
                <w:szCs w:val="22"/>
                <w:lang w:val="lt-LT"/>
              </w:rPr>
            </w:pPr>
            <w:r w:rsidRPr="009E0143">
              <w:rPr>
                <w:noProof w:val="0"/>
                <w:sz w:val="22"/>
                <w:szCs w:val="22"/>
                <w:lang w:val="lt-LT"/>
              </w:rPr>
              <w:t>3</w:t>
            </w:r>
            <w:r w:rsidR="00807A64" w:rsidRPr="009E0143">
              <w:rPr>
                <w:noProof w:val="0"/>
                <w:sz w:val="22"/>
                <w:szCs w:val="22"/>
                <w:lang w:val="lt-LT"/>
              </w:rPr>
              <w:t xml:space="preserve"> </w:t>
            </w:r>
            <w:r w:rsidRPr="009E0143">
              <w:rPr>
                <w:noProof w:val="0"/>
                <w:sz w:val="22"/>
                <w:szCs w:val="22"/>
                <w:lang w:val="lt-LT"/>
              </w:rPr>
              <w:t>tabletės (1,5 g)</w:t>
            </w:r>
          </w:p>
        </w:tc>
      </w:tr>
      <w:tr w:rsidR="006E494E" w:rsidRPr="009E0143" w14:paraId="35F21824" w14:textId="77777777" w:rsidTr="00AA6E48">
        <w:trPr>
          <w:trHeight w:val="283"/>
          <w:jc w:val="center"/>
        </w:trPr>
        <w:tc>
          <w:tcPr>
            <w:tcW w:w="1634" w:type="dxa"/>
          </w:tcPr>
          <w:p w14:paraId="6E3502CD" w14:textId="77777777" w:rsidR="006E494E" w:rsidRPr="009E0143" w:rsidRDefault="006E494E" w:rsidP="00F56562">
            <w:pPr>
              <w:pStyle w:val="TableParagraph"/>
              <w:spacing w:line="240" w:lineRule="auto"/>
              <w:ind w:left="113" w:right="113"/>
              <w:rPr>
                <w:lang w:val="lt-LT"/>
              </w:rPr>
            </w:pPr>
            <w:r w:rsidRPr="009E0143">
              <w:rPr>
                <w:lang w:val="lt-LT"/>
              </w:rPr>
              <w:t>10</w:t>
            </w:r>
            <w:r w:rsidR="00D2751E" w:rsidRPr="009E0143">
              <w:rPr>
                <w:lang w:val="lt-LT"/>
              </w:rPr>
              <w:noBreakHyphen/>
            </w:r>
            <w:r w:rsidRPr="009E0143">
              <w:rPr>
                <w:lang w:val="lt-LT"/>
              </w:rPr>
              <w:t>12</w:t>
            </w:r>
            <w:r w:rsidR="00807A64" w:rsidRPr="009E0143">
              <w:rPr>
                <w:lang w:val="lt-LT"/>
              </w:rPr>
              <w:t xml:space="preserve"> </w:t>
            </w:r>
            <w:r w:rsidRPr="009E0143">
              <w:rPr>
                <w:lang w:val="lt-LT"/>
              </w:rPr>
              <w:t>metų</w:t>
            </w:r>
          </w:p>
        </w:tc>
        <w:tc>
          <w:tcPr>
            <w:tcW w:w="1768" w:type="dxa"/>
          </w:tcPr>
          <w:p w14:paraId="02B96F15" w14:textId="62193235" w:rsidR="006E494E" w:rsidRPr="009E0143" w:rsidRDefault="006E494E" w:rsidP="00F56562">
            <w:pPr>
              <w:pStyle w:val="TableParagraph"/>
              <w:spacing w:line="240" w:lineRule="auto"/>
              <w:ind w:left="113" w:right="113"/>
              <w:rPr>
                <w:rFonts w:eastAsia="Calibri"/>
                <w:lang w:val="lt-LT"/>
              </w:rPr>
            </w:pPr>
            <w:r w:rsidRPr="009E0143">
              <w:rPr>
                <w:lang w:val="lt-LT"/>
              </w:rPr>
              <w:t>3</w:t>
            </w:r>
            <w:r w:rsidR="00157F32" w:rsidRPr="009E0143">
              <w:rPr>
                <w:lang w:val="lt-LT"/>
              </w:rPr>
              <w:t>4</w:t>
            </w:r>
            <w:r w:rsidR="00157F32" w:rsidRPr="009E0143">
              <w:rPr>
                <w:lang w:val="lt-LT"/>
              </w:rPr>
              <w:noBreakHyphen/>
              <w:t>41</w:t>
            </w:r>
            <w:r w:rsidRPr="009E0143">
              <w:rPr>
                <w:lang w:val="lt-LT"/>
              </w:rPr>
              <w:t> kg</w:t>
            </w:r>
          </w:p>
        </w:tc>
        <w:tc>
          <w:tcPr>
            <w:tcW w:w="3305" w:type="dxa"/>
          </w:tcPr>
          <w:p w14:paraId="1EE72ECE" w14:textId="1235BBB1" w:rsidR="006E494E" w:rsidRPr="009E0143" w:rsidRDefault="006E494E" w:rsidP="00F56562">
            <w:pPr>
              <w:pStyle w:val="TableParagraph"/>
              <w:spacing w:line="240" w:lineRule="auto"/>
              <w:ind w:left="0" w:right="-150"/>
              <w:rPr>
                <w:rFonts w:eastAsia="Calibri"/>
                <w:lang w:val="lt-LT"/>
              </w:rPr>
            </w:pPr>
            <w:r w:rsidRPr="009E0143">
              <w:rPr>
                <w:rFonts w:eastAsia="Calibri"/>
                <w:lang w:val="lt-LT"/>
              </w:rPr>
              <w:t xml:space="preserve">1 tabletė (500 mg) </w:t>
            </w:r>
          </w:p>
        </w:tc>
        <w:tc>
          <w:tcPr>
            <w:tcW w:w="2229" w:type="dxa"/>
          </w:tcPr>
          <w:p w14:paraId="25FB54D4" w14:textId="77777777" w:rsidR="006E494E" w:rsidRPr="009E0143" w:rsidRDefault="006E494E" w:rsidP="00F56562">
            <w:pPr>
              <w:widowControl w:val="0"/>
              <w:autoSpaceDE w:val="0"/>
              <w:autoSpaceDN w:val="0"/>
              <w:ind w:left="113" w:right="113"/>
              <w:rPr>
                <w:rFonts w:eastAsia="Calibri"/>
                <w:noProof w:val="0"/>
                <w:sz w:val="22"/>
                <w:szCs w:val="22"/>
                <w:lang w:val="lt-LT"/>
              </w:rPr>
            </w:pPr>
            <w:r w:rsidRPr="009E0143">
              <w:rPr>
                <w:noProof w:val="0"/>
                <w:sz w:val="22"/>
                <w:szCs w:val="22"/>
                <w:lang w:val="lt-LT"/>
              </w:rPr>
              <w:t>4</w:t>
            </w:r>
            <w:r w:rsidR="00807A64" w:rsidRPr="009E0143">
              <w:rPr>
                <w:noProof w:val="0"/>
                <w:sz w:val="22"/>
                <w:szCs w:val="22"/>
                <w:lang w:val="lt-LT"/>
              </w:rPr>
              <w:t xml:space="preserve"> </w:t>
            </w:r>
            <w:r w:rsidRPr="009E0143">
              <w:rPr>
                <w:noProof w:val="0"/>
                <w:sz w:val="22"/>
                <w:szCs w:val="22"/>
                <w:lang w:val="lt-LT"/>
              </w:rPr>
              <w:t>tabletės (2 g)</w:t>
            </w:r>
          </w:p>
        </w:tc>
      </w:tr>
      <w:tr w:rsidR="006E494E" w:rsidRPr="009E0143" w14:paraId="7AD9AE20" w14:textId="77777777" w:rsidTr="00AA6E48">
        <w:trPr>
          <w:trHeight w:val="283"/>
          <w:jc w:val="center"/>
        </w:trPr>
        <w:tc>
          <w:tcPr>
            <w:tcW w:w="1634" w:type="dxa"/>
          </w:tcPr>
          <w:p w14:paraId="2394EFBA" w14:textId="77777777" w:rsidR="006E494E" w:rsidRPr="009E0143" w:rsidRDefault="006E494E" w:rsidP="00F56562">
            <w:pPr>
              <w:pStyle w:val="TableParagraph"/>
              <w:spacing w:line="240" w:lineRule="auto"/>
              <w:ind w:left="113" w:right="113"/>
              <w:rPr>
                <w:rFonts w:eastAsia="Calibri"/>
                <w:lang w:val="lt-LT"/>
              </w:rPr>
            </w:pPr>
            <w:r w:rsidRPr="009E0143">
              <w:rPr>
                <w:lang w:val="lt-LT"/>
              </w:rPr>
              <w:t>12</w:t>
            </w:r>
            <w:r w:rsidR="00D2751E" w:rsidRPr="009E0143">
              <w:rPr>
                <w:lang w:val="lt-LT"/>
              </w:rPr>
              <w:noBreakHyphen/>
            </w:r>
            <w:r w:rsidRPr="009E0143">
              <w:rPr>
                <w:lang w:val="lt-LT"/>
              </w:rPr>
              <w:t>15</w:t>
            </w:r>
            <w:r w:rsidR="00807A64" w:rsidRPr="009E0143">
              <w:rPr>
                <w:lang w:val="lt-LT"/>
              </w:rPr>
              <w:t xml:space="preserve"> </w:t>
            </w:r>
            <w:r w:rsidRPr="009E0143">
              <w:rPr>
                <w:lang w:val="lt-LT"/>
              </w:rPr>
              <w:t>metų</w:t>
            </w:r>
          </w:p>
        </w:tc>
        <w:tc>
          <w:tcPr>
            <w:tcW w:w="1768" w:type="dxa"/>
          </w:tcPr>
          <w:p w14:paraId="23BD7376" w14:textId="47F9A223" w:rsidR="006E494E" w:rsidRPr="009E0143" w:rsidRDefault="006E494E" w:rsidP="00F56562">
            <w:pPr>
              <w:pStyle w:val="TableParagraph"/>
              <w:spacing w:line="240" w:lineRule="auto"/>
              <w:ind w:left="113" w:right="113"/>
              <w:rPr>
                <w:rFonts w:eastAsia="Calibri"/>
                <w:lang w:val="lt-LT"/>
              </w:rPr>
            </w:pPr>
            <w:r w:rsidRPr="009E0143">
              <w:rPr>
                <w:lang w:val="lt-LT"/>
              </w:rPr>
              <w:t>4</w:t>
            </w:r>
            <w:r w:rsidR="00157F32" w:rsidRPr="009E0143">
              <w:rPr>
                <w:lang w:val="lt-LT"/>
              </w:rPr>
              <w:t>2</w:t>
            </w:r>
            <w:r w:rsidR="00D2751E" w:rsidRPr="009E0143">
              <w:rPr>
                <w:lang w:val="lt-LT"/>
              </w:rPr>
              <w:noBreakHyphen/>
            </w:r>
            <w:r w:rsidR="00157F32" w:rsidRPr="009E0143">
              <w:rPr>
                <w:lang w:val="lt-LT"/>
              </w:rPr>
              <w:t>49</w:t>
            </w:r>
            <w:r w:rsidRPr="009E0143">
              <w:rPr>
                <w:lang w:val="lt-LT"/>
              </w:rPr>
              <w:t> kg</w:t>
            </w:r>
          </w:p>
        </w:tc>
        <w:tc>
          <w:tcPr>
            <w:tcW w:w="3305" w:type="dxa"/>
          </w:tcPr>
          <w:p w14:paraId="360334E2" w14:textId="2FE7B620" w:rsidR="006E494E" w:rsidRPr="009E0143" w:rsidRDefault="006E494E" w:rsidP="00F56562">
            <w:pPr>
              <w:ind w:right="-150"/>
              <w:rPr>
                <w:rFonts w:eastAsia="Calibri"/>
                <w:noProof w:val="0"/>
                <w:sz w:val="22"/>
                <w:szCs w:val="22"/>
                <w:lang w:val="lt-LT"/>
              </w:rPr>
            </w:pPr>
            <w:r w:rsidRPr="009E0143">
              <w:rPr>
                <w:rFonts w:eastAsia="Calibri"/>
                <w:sz w:val="22"/>
                <w:szCs w:val="22"/>
                <w:lang w:val="lt-LT"/>
              </w:rPr>
              <w:t xml:space="preserve">1 tabletė (500 mg) </w:t>
            </w:r>
          </w:p>
        </w:tc>
        <w:tc>
          <w:tcPr>
            <w:tcW w:w="2229" w:type="dxa"/>
          </w:tcPr>
          <w:p w14:paraId="341092BA" w14:textId="06B644E4" w:rsidR="006E494E" w:rsidRPr="009E0143" w:rsidRDefault="006E3786" w:rsidP="00F56562">
            <w:pPr>
              <w:pStyle w:val="TableParagraph"/>
              <w:spacing w:line="240" w:lineRule="auto"/>
              <w:ind w:left="113" w:right="113"/>
              <w:rPr>
                <w:rFonts w:eastAsia="Calibri"/>
                <w:lang w:val="lt-LT"/>
              </w:rPr>
            </w:pPr>
            <w:r w:rsidRPr="009E0143">
              <w:rPr>
                <w:rFonts w:eastAsia="Calibri"/>
                <w:lang w:val="lt-LT"/>
              </w:rPr>
              <w:t>5</w:t>
            </w:r>
            <w:r w:rsidR="00807A64" w:rsidRPr="009E0143">
              <w:rPr>
                <w:rFonts w:eastAsia="Calibri"/>
                <w:lang w:val="lt-LT"/>
              </w:rPr>
              <w:t xml:space="preserve"> </w:t>
            </w:r>
            <w:r w:rsidR="006E494E" w:rsidRPr="009E0143">
              <w:rPr>
                <w:rFonts w:eastAsia="Calibri"/>
                <w:lang w:val="lt-LT"/>
              </w:rPr>
              <w:t>tabletės (</w:t>
            </w:r>
            <w:r w:rsidRPr="009E0143">
              <w:rPr>
                <w:rFonts w:eastAsia="Calibri"/>
                <w:lang w:val="lt-LT"/>
              </w:rPr>
              <w:t>2,5</w:t>
            </w:r>
            <w:r w:rsidR="006E494E" w:rsidRPr="009E0143">
              <w:rPr>
                <w:rFonts w:eastAsia="Calibri"/>
                <w:lang w:val="lt-LT"/>
              </w:rPr>
              <w:t> g)</w:t>
            </w:r>
          </w:p>
        </w:tc>
      </w:tr>
      <w:tr w:rsidR="006E494E" w:rsidRPr="009E0143" w14:paraId="33FB6030" w14:textId="77777777" w:rsidTr="00AA6E48">
        <w:trPr>
          <w:trHeight w:val="283"/>
          <w:jc w:val="center"/>
        </w:trPr>
        <w:tc>
          <w:tcPr>
            <w:tcW w:w="1634" w:type="dxa"/>
            <w:vMerge w:val="restart"/>
          </w:tcPr>
          <w:p w14:paraId="0BFA098C" w14:textId="77777777" w:rsidR="006E494E" w:rsidRPr="009E0143" w:rsidRDefault="006E494E" w:rsidP="00F56562">
            <w:pPr>
              <w:pStyle w:val="TableParagraph"/>
              <w:spacing w:line="240" w:lineRule="auto"/>
              <w:ind w:left="113" w:right="113"/>
              <w:rPr>
                <w:rFonts w:eastAsia="Calibri"/>
                <w:lang w:val="lt-LT"/>
              </w:rPr>
            </w:pPr>
            <w:r w:rsidRPr="009E0143">
              <w:rPr>
                <w:rFonts w:eastAsia="Calibri"/>
                <w:lang w:val="lt-LT"/>
              </w:rPr>
              <w:t>&gt; 15</w:t>
            </w:r>
            <w:r w:rsidR="00807A64" w:rsidRPr="009E0143">
              <w:rPr>
                <w:rFonts w:eastAsia="Calibri"/>
                <w:lang w:val="lt-LT"/>
              </w:rPr>
              <w:t xml:space="preserve"> </w:t>
            </w:r>
            <w:r w:rsidRPr="009E0143">
              <w:rPr>
                <w:rFonts w:eastAsia="Calibri"/>
                <w:lang w:val="lt-LT"/>
              </w:rPr>
              <w:t>metų</w:t>
            </w:r>
          </w:p>
        </w:tc>
        <w:tc>
          <w:tcPr>
            <w:tcW w:w="1768" w:type="dxa"/>
          </w:tcPr>
          <w:p w14:paraId="124D0685" w14:textId="197D8A37" w:rsidR="006E494E" w:rsidRPr="009E0143" w:rsidRDefault="00157F32" w:rsidP="00F56562">
            <w:pPr>
              <w:pStyle w:val="TableParagraph"/>
              <w:spacing w:line="240" w:lineRule="auto"/>
              <w:ind w:left="113" w:right="113"/>
              <w:rPr>
                <w:rFonts w:eastAsia="Calibri"/>
                <w:lang w:val="lt-LT"/>
              </w:rPr>
            </w:pPr>
            <w:r w:rsidRPr="009E0143">
              <w:rPr>
                <w:lang w:val="lt-LT"/>
              </w:rPr>
              <w:t>50</w:t>
            </w:r>
            <w:r w:rsidR="00D2751E" w:rsidRPr="009E0143">
              <w:rPr>
                <w:lang w:val="lt-LT"/>
              </w:rPr>
              <w:noBreakHyphen/>
            </w:r>
            <w:r w:rsidR="006E494E" w:rsidRPr="009E0143">
              <w:rPr>
                <w:lang w:val="lt-LT"/>
              </w:rPr>
              <w:t>60 kg</w:t>
            </w:r>
          </w:p>
        </w:tc>
        <w:tc>
          <w:tcPr>
            <w:tcW w:w="3305" w:type="dxa"/>
          </w:tcPr>
          <w:p w14:paraId="2FFFDACF" w14:textId="4A06313A" w:rsidR="006E494E" w:rsidRPr="009E0143" w:rsidRDefault="006E494E" w:rsidP="00F56562">
            <w:pPr>
              <w:pStyle w:val="TableParagraph"/>
              <w:spacing w:line="240" w:lineRule="auto"/>
              <w:ind w:left="0" w:right="-150"/>
              <w:rPr>
                <w:rFonts w:eastAsia="Calibri"/>
                <w:lang w:val="lt-LT"/>
              </w:rPr>
            </w:pPr>
            <w:r w:rsidRPr="009E0143">
              <w:rPr>
                <w:rFonts w:eastAsia="Calibri"/>
                <w:lang w:val="lt-LT"/>
              </w:rPr>
              <w:t xml:space="preserve">1 tabletė (500 mg) </w:t>
            </w:r>
          </w:p>
        </w:tc>
        <w:tc>
          <w:tcPr>
            <w:tcW w:w="2229" w:type="dxa"/>
          </w:tcPr>
          <w:p w14:paraId="0579FD69" w14:textId="77777777" w:rsidR="006E494E" w:rsidRPr="009E0143" w:rsidRDefault="006E494E" w:rsidP="00F56562">
            <w:pPr>
              <w:ind w:left="113"/>
              <w:rPr>
                <w:noProof w:val="0"/>
                <w:sz w:val="22"/>
                <w:szCs w:val="22"/>
                <w:lang w:val="lt-LT"/>
              </w:rPr>
            </w:pPr>
            <w:r w:rsidRPr="009E0143">
              <w:rPr>
                <w:rFonts w:eastAsia="Calibri"/>
                <w:sz w:val="22"/>
                <w:szCs w:val="22"/>
                <w:lang w:val="lt-LT"/>
              </w:rPr>
              <w:t>6</w:t>
            </w:r>
            <w:r w:rsidR="00807A64" w:rsidRPr="009E0143">
              <w:rPr>
                <w:rFonts w:eastAsia="Calibri"/>
                <w:sz w:val="22"/>
                <w:szCs w:val="22"/>
                <w:lang w:val="lt-LT"/>
              </w:rPr>
              <w:t xml:space="preserve"> </w:t>
            </w:r>
            <w:r w:rsidRPr="009E0143">
              <w:rPr>
                <w:rFonts w:eastAsia="Calibri"/>
                <w:sz w:val="22"/>
                <w:szCs w:val="22"/>
                <w:lang w:val="lt-LT"/>
              </w:rPr>
              <w:t>tabletės (3 g)</w:t>
            </w:r>
          </w:p>
        </w:tc>
      </w:tr>
      <w:tr w:rsidR="006E494E" w:rsidRPr="009E0143" w14:paraId="3D8F09A0" w14:textId="77777777" w:rsidTr="00AA6E48">
        <w:trPr>
          <w:trHeight w:val="283"/>
          <w:jc w:val="center"/>
        </w:trPr>
        <w:tc>
          <w:tcPr>
            <w:tcW w:w="1634" w:type="dxa"/>
            <w:vMerge/>
          </w:tcPr>
          <w:p w14:paraId="4DA5F05F" w14:textId="77777777" w:rsidR="006E494E" w:rsidRPr="009E0143" w:rsidRDefault="006E494E" w:rsidP="00F56562">
            <w:pPr>
              <w:pStyle w:val="TableParagraph"/>
              <w:spacing w:line="240" w:lineRule="auto"/>
              <w:ind w:left="113" w:right="113"/>
              <w:rPr>
                <w:rFonts w:eastAsia="Calibri"/>
                <w:bCs/>
                <w:lang w:val="lt-LT"/>
              </w:rPr>
            </w:pPr>
          </w:p>
        </w:tc>
        <w:tc>
          <w:tcPr>
            <w:tcW w:w="1768" w:type="dxa"/>
          </w:tcPr>
          <w:p w14:paraId="72034BAB" w14:textId="77777777" w:rsidR="006E494E" w:rsidRPr="009E0143" w:rsidRDefault="006E494E" w:rsidP="00F56562">
            <w:pPr>
              <w:pStyle w:val="TableParagraph"/>
              <w:spacing w:line="240" w:lineRule="auto"/>
              <w:ind w:left="113" w:right="113"/>
              <w:rPr>
                <w:lang w:val="lt-LT"/>
              </w:rPr>
            </w:pPr>
            <w:r w:rsidRPr="009E0143">
              <w:rPr>
                <w:lang w:val="lt-LT"/>
              </w:rPr>
              <w:t>&gt; 60 kg</w:t>
            </w:r>
          </w:p>
        </w:tc>
        <w:tc>
          <w:tcPr>
            <w:tcW w:w="3305" w:type="dxa"/>
          </w:tcPr>
          <w:p w14:paraId="037AD330" w14:textId="228A0C31" w:rsidR="006E494E" w:rsidRPr="009E0143" w:rsidRDefault="006E494E" w:rsidP="00F56562">
            <w:pPr>
              <w:pStyle w:val="TableParagraph"/>
              <w:spacing w:line="240" w:lineRule="auto"/>
              <w:ind w:left="0" w:right="-147"/>
              <w:rPr>
                <w:rFonts w:eastAsia="Calibri"/>
                <w:lang w:val="lt-LT"/>
              </w:rPr>
            </w:pPr>
            <w:r w:rsidRPr="009E0143">
              <w:rPr>
                <w:rFonts w:eastAsia="Calibri"/>
                <w:lang w:val="lt-LT"/>
              </w:rPr>
              <w:t>1</w:t>
            </w:r>
            <w:r w:rsidR="00D2751E" w:rsidRPr="009E0143">
              <w:rPr>
                <w:rFonts w:eastAsia="Calibri"/>
                <w:lang w:val="lt-LT"/>
              </w:rPr>
              <w:noBreakHyphen/>
            </w:r>
            <w:r w:rsidRPr="009E0143">
              <w:rPr>
                <w:rFonts w:eastAsia="Calibri"/>
                <w:lang w:val="lt-LT"/>
              </w:rPr>
              <w:t>2 tabletės (500</w:t>
            </w:r>
            <w:r w:rsidR="00D2751E" w:rsidRPr="009E0143">
              <w:rPr>
                <w:rFonts w:eastAsia="Calibri"/>
                <w:lang w:val="lt-LT"/>
              </w:rPr>
              <w:noBreakHyphen/>
            </w:r>
            <w:r w:rsidRPr="009E0143">
              <w:rPr>
                <w:rFonts w:eastAsia="Calibri"/>
                <w:lang w:val="lt-LT"/>
              </w:rPr>
              <w:t xml:space="preserve">1 000 mg) </w:t>
            </w:r>
          </w:p>
        </w:tc>
        <w:tc>
          <w:tcPr>
            <w:tcW w:w="2229" w:type="dxa"/>
          </w:tcPr>
          <w:p w14:paraId="1A0499DA" w14:textId="77777777" w:rsidR="006E494E" w:rsidRPr="009E0143" w:rsidRDefault="006E494E" w:rsidP="00F56562">
            <w:pPr>
              <w:ind w:left="113"/>
              <w:rPr>
                <w:noProof w:val="0"/>
                <w:sz w:val="22"/>
                <w:szCs w:val="22"/>
                <w:lang w:val="lt-LT"/>
              </w:rPr>
            </w:pPr>
            <w:r w:rsidRPr="009E0143">
              <w:rPr>
                <w:rFonts w:eastAsia="Calibri"/>
                <w:sz w:val="22"/>
                <w:szCs w:val="22"/>
                <w:lang w:val="lt-LT"/>
              </w:rPr>
              <w:t>6</w:t>
            </w:r>
            <w:r w:rsidR="00807A64" w:rsidRPr="009E0143">
              <w:rPr>
                <w:rFonts w:eastAsia="Calibri"/>
                <w:sz w:val="22"/>
                <w:szCs w:val="22"/>
                <w:lang w:val="lt-LT"/>
              </w:rPr>
              <w:t xml:space="preserve"> </w:t>
            </w:r>
            <w:r w:rsidRPr="009E0143">
              <w:rPr>
                <w:rFonts w:eastAsia="Calibri"/>
                <w:sz w:val="22"/>
                <w:szCs w:val="22"/>
                <w:lang w:val="lt-LT"/>
              </w:rPr>
              <w:t>tabletės (3 g)</w:t>
            </w:r>
            <w:r w:rsidRPr="009E0143">
              <w:rPr>
                <w:noProof w:val="0"/>
                <w:sz w:val="22"/>
                <w:szCs w:val="22"/>
                <w:lang w:val="lt-LT"/>
              </w:rPr>
              <w:t>*</w:t>
            </w:r>
          </w:p>
        </w:tc>
      </w:tr>
    </w:tbl>
    <w:p w14:paraId="33711944" w14:textId="77777777" w:rsidR="00AA6E48" w:rsidRPr="009E0143" w:rsidRDefault="00AA6E48" w:rsidP="00F56562">
      <w:pPr>
        <w:jc w:val="both"/>
        <w:rPr>
          <w:noProof w:val="0"/>
          <w:sz w:val="22"/>
          <w:szCs w:val="22"/>
          <w:lang w:val="lt-LT"/>
        </w:rPr>
      </w:pPr>
      <w:r w:rsidRPr="009E0143">
        <w:rPr>
          <w:noProof w:val="0"/>
          <w:sz w:val="22"/>
          <w:szCs w:val="22"/>
          <w:lang w:val="lt-LT"/>
        </w:rPr>
        <w:t>*</w:t>
      </w:r>
      <w:r w:rsidR="008277D4" w:rsidRPr="009E0143">
        <w:rPr>
          <w:noProof w:val="0"/>
          <w:lang w:val="lt-LT"/>
        </w:rPr>
        <w:tab/>
      </w:r>
      <w:r w:rsidRPr="009E0143">
        <w:rPr>
          <w:noProof w:val="0"/>
          <w:sz w:val="22"/>
          <w:szCs w:val="22"/>
          <w:lang w:val="lt-LT"/>
        </w:rPr>
        <w:t>Pacientams, sveriantiems daugiau nei 60 kg, didžiausia paros dozė 8</w:t>
      </w:r>
      <w:r w:rsidR="00807A64" w:rsidRPr="009E0143">
        <w:rPr>
          <w:noProof w:val="0"/>
          <w:sz w:val="22"/>
          <w:szCs w:val="22"/>
          <w:lang w:val="lt-LT"/>
        </w:rPr>
        <w:t xml:space="preserve"> </w:t>
      </w:r>
      <w:r w:rsidRPr="009E0143">
        <w:rPr>
          <w:noProof w:val="0"/>
          <w:sz w:val="22"/>
          <w:szCs w:val="22"/>
          <w:lang w:val="lt-LT"/>
        </w:rPr>
        <w:t>tabletės (4 g) gali būti vartojama tik pasitarus su gydytoju.</w:t>
      </w:r>
    </w:p>
    <w:p w14:paraId="62B9E199" w14:textId="77777777" w:rsidR="006E3786" w:rsidRPr="009E0143" w:rsidRDefault="006E3786" w:rsidP="006E3786">
      <w:pPr>
        <w:jc w:val="both"/>
        <w:rPr>
          <w:noProof w:val="0"/>
          <w:sz w:val="22"/>
          <w:szCs w:val="22"/>
          <w:lang w:val="lt-LT"/>
        </w:rPr>
      </w:pPr>
      <w:r w:rsidRPr="009E0143">
        <w:rPr>
          <w:noProof w:val="0"/>
          <w:sz w:val="22"/>
          <w:szCs w:val="22"/>
          <w:lang w:val="lt-LT"/>
        </w:rPr>
        <w:t>Vienkartinė dozė, esant poreikiui, gali būti kartojama mažiausiai 4</w:t>
      </w:r>
      <w:r w:rsidRPr="009E0143">
        <w:rPr>
          <w:noProof w:val="0"/>
          <w:sz w:val="22"/>
          <w:szCs w:val="22"/>
          <w:lang w:val="lt-LT"/>
        </w:rPr>
        <w:noBreakHyphen/>
        <w:t>6 valandų intervalu.</w:t>
      </w:r>
    </w:p>
    <w:p w14:paraId="14E30CE3" w14:textId="77777777" w:rsidR="00AA6E48" w:rsidRPr="009E0143" w:rsidRDefault="00AA6E48" w:rsidP="007F555B">
      <w:pPr>
        <w:rPr>
          <w:noProof w:val="0"/>
          <w:sz w:val="22"/>
          <w:szCs w:val="22"/>
          <w:lang w:val="lt-LT"/>
        </w:rPr>
      </w:pPr>
    </w:p>
    <w:p w14:paraId="6572295E" w14:textId="77777777" w:rsidR="00AA6E48" w:rsidRPr="009E0143" w:rsidRDefault="00AA6E48" w:rsidP="007F555B">
      <w:pPr>
        <w:rPr>
          <w:noProof w:val="0"/>
          <w:sz w:val="22"/>
          <w:szCs w:val="22"/>
          <w:lang w:val="lt-LT"/>
        </w:rPr>
      </w:pPr>
      <w:r w:rsidRPr="009E0143">
        <w:rPr>
          <w:noProof w:val="0"/>
          <w:sz w:val="22"/>
          <w:szCs w:val="22"/>
          <w:lang w:val="lt-LT"/>
        </w:rPr>
        <w:t>Paracetamol Zentiva 500 mg tabletės nėra skirtos jaunesniems kaip 6</w:t>
      </w:r>
      <w:r w:rsidR="00807A64" w:rsidRPr="009E0143">
        <w:rPr>
          <w:noProof w:val="0"/>
          <w:sz w:val="22"/>
          <w:szCs w:val="22"/>
          <w:lang w:val="lt-LT"/>
        </w:rPr>
        <w:t xml:space="preserve"> </w:t>
      </w:r>
      <w:r w:rsidRPr="009E0143">
        <w:rPr>
          <w:noProof w:val="0"/>
          <w:sz w:val="22"/>
          <w:szCs w:val="22"/>
          <w:lang w:val="lt-LT"/>
        </w:rPr>
        <w:t>metų vaikams, kurių kūno svoris mažesnis kaip 21 kg.</w:t>
      </w:r>
    </w:p>
    <w:p w14:paraId="67A9F13C" w14:textId="77777777" w:rsidR="006E494E" w:rsidRPr="009E0143" w:rsidRDefault="006E494E" w:rsidP="007F555B">
      <w:pPr>
        <w:rPr>
          <w:noProof w:val="0"/>
          <w:sz w:val="22"/>
          <w:szCs w:val="22"/>
          <w:lang w:val="lt-LT"/>
        </w:rPr>
      </w:pPr>
    </w:p>
    <w:p w14:paraId="7D986ED3" w14:textId="77777777" w:rsidR="00F47F46" w:rsidRPr="009E0143" w:rsidRDefault="00AA6E48" w:rsidP="007F555B">
      <w:pPr>
        <w:rPr>
          <w:noProof w:val="0"/>
          <w:sz w:val="22"/>
          <w:szCs w:val="22"/>
          <w:lang w:val="lt-LT"/>
        </w:rPr>
      </w:pPr>
      <w:r w:rsidRPr="009E0143">
        <w:rPr>
          <w:noProof w:val="0"/>
          <w:sz w:val="22"/>
          <w:szCs w:val="22"/>
          <w:lang w:val="lt-LT"/>
        </w:rPr>
        <w:t>Dozę pacientams, kurių inkstų ar kepenų funkcija sutrikusi, nustatys gydytojas.</w:t>
      </w:r>
    </w:p>
    <w:p w14:paraId="5BE0814C" w14:textId="77777777" w:rsidR="00AA6E48" w:rsidRPr="009E0143" w:rsidRDefault="00AA6E48" w:rsidP="007F555B">
      <w:pPr>
        <w:rPr>
          <w:noProof w:val="0"/>
          <w:sz w:val="22"/>
          <w:szCs w:val="22"/>
          <w:lang w:val="lt-LT"/>
        </w:rPr>
      </w:pPr>
    </w:p>
    <w:p w14:paraId="4ECD2922" w14:textId="77777777" w:rsidR="00AA6E48" w:rsidRPr="009E0143" w:rsidRDefault="00AA6E48" w:rsidP="007F555B">
      <w:pPr>
        <w:rPr>
          <w:b/>
          <w:bCs/>
          <w:noProof w:val="0"/>
          <w:sz w:val="22"/>
          <w:szCs w:val="22"/>
          <w:lang w:val="lt-LT"/>
        </w:rPr>
      </w:pPr>
      <w:r w:rsidRPr="009E0143">
        <w:rPr>
          <w:b/>
          <w:bCs/>
          <w:noProof w:val="0"/>
          <w:sz w:val="22"/>
          <w:szCs w:val="22"/>
          <w:lang w:val="lt-LT"/>
        </w:rPr>
        <w:t>Neviršykite rekomenduojamos dozės.</w:t>
      </w:r>
    </w:p>
    <w:p w14:paraId="2FAFE61A" w14:textId="77777777" w:rsidR="00AA6E48" w:rsidRPr="009E0143" w:rsidRDefault="00AA6E48" w:rsidP="007F555B">
      <w:pPr>
        <w:rPr>
          <w:noProof w:val="0"/>
          <w:sz w:val="22"/>
          <w:szCs w:val="22"/>
          <w:lang w:val="lt-LT"/>
        </w:rPr>
      </w:pPr>
      <w:r w:rsidRPr="009E0143">
        <w:rPr>
          <w:b/>
          <w:bCs/>
          <w:noProof w:val="0"/>
          <w:sz w:val="22"/>
          <w:szCs w:val="22"/>
          <w:lang w:val="lt-LT"/>
        </w:rPr>
        <w:t>Įspėjimas:</w:t>
      </w:r>
      <w:r w:rsidRPr="009E0143">
        <w:rPr>
          <w:noProof w:val="0"/>
          <w:sz w:val="22"/>
          <w:szCs w:val="22"/>
          <w:lang w:val="lt-LT"/>
        </w:rPr>
        <w:t xml:space="preserve"> </w:t>
      </w:r>
      <w:r w:rsidR="00502A53" w:rsidRPr="009E0143">
        <w:rPr>
          <w:noProof w:val="0"/>
          <w:sz w:val="22"/>
          <w:szCs w:val="22"/>
          <w:lang w:val="lt-LT"/>
        </w:rPr>
        <w:t>vartojant didesnes nei rekomenduojama vaisto dozes, padidėja sunkaus kepenų pažeidimo pasireiškimo rizika.</w:t>
      </w:r>
    </w:p>
    <w:p w14:paraId="0A1B4ABE" w14:textId="77777777" w:rsidR="00F47F46" w:rsidRPr="009E0143" w:rsidRDefault="00F47F46" w:rsidP="007F555B">
      <w:pPr>
        <w:rPr>
          <w:noProof w:val="0"/>
          <w:sz w:val="22"/>
          <w:szCs w:val="22"/>
          <w:lang w:val="lt-LT"/>
        </w:rPr>
      </w:pPr>
    </w:p>
    <w:p w14:paraId="540EFF96" w14:textId="77777777" w:rsidR="001873A6" w:rsidRPr="009E0143" w:rsidRDefault="001873A6" w:rsidP="007F555B">
      <w:pPr>
        <w:rPr>
          <w:noProof w:val="0"/>
          <w:sz w:val="22"/>
          <w:szCs w:val="22"/>
          <w:u w:val="single"/>
          <w:lang w:val="lt-LT"/>
        </w:rPr>
      </w:pPr>
      <w:r w:rsidRPr="009E0143">
        <w:rPr>
          <w:noProof w:val="0"/>
          <w:sz w:val="22"/>
          <w:szCs w:val="22"/>
          <w:u w:val="single"/>
          <w:lang w:val="lt-LT"/>
        </w:rPr>
        <w:t>Gydymo trukmė</w:t>
      </w:r>
    </w:p>
    <w:p w14:paraId="5E700FE8" w14:textId="77777777" w:rsidR="001873A6" w:rsidRPr="009E0143" w:rsidRDefault="001873A6" w:rsidP="007F555B">
      <w:pPr>
        <w:rPr>
          <w:noProof w:val="0"/>
          <w:sz w:val="22"/>
          <w:szCs w:val="22"/>
          <w:lang w:val="lt-LT"/>
        </w:rPr>
      </w:pPr>
      <w:r w:rsidRPr="009E0143">
        <w:rPr>
          <w:noProof w:val="0"/>
          <w:sz w:val="22"/>
          <w:szCs w:val="22"/>
          <w:lang w:val="lt-LT"/>
        </w:rPr>
        <w:t>Jei per 3</w:t>
      </w:r>
      <w:r w:rsidR="00807A64" w:rsidRPr="009E0143">
        <w:rPr>
          <w:noProof w:val="0"/>
          <w:sz w:val="22"/>
          <w:szCs w:val="22"/>
          <w:lang w:val="lt-LT"/>
        </w:rPr>
        <w:t xml:space="preserve"> </w:t>
      </w:r>
      <w:r w:rsidRPr="009E0143">
        <w:rPr>
          <w:noProof w:val="0"/>
          <w:sz w:val="22"/>
          <w:szCs w:val="22"/>
          <w:lang w:val="lt-LT"/>
        </w:rPr>
        <w:t>dienas karščiavimas nesumažėja, o per 5</w:t>
      </w:r>
      <w:r w:rsidR="00807A64" w:rsidRPr="009E0143">
        <w:rPr>
          <w:noProof w:val="0"/>
          <w:sz w:val="22"/>
          <w:szCs w:val="22"/>
          <w:lang w:val="lt-LT"/>
        </w:rPr>
        <w:t xml:space="preserve"> </w:t>
      </w:r>
      <w:r w:rsidRPr="009E0143">
        <w:rPr>
          <w:noProof w:val="0"/>
          <w:sz w:val="22"/>
          <w:szCs w:val="22"/>
          <w:lang w:val="lt-LT"/>
        </w:rPr>
        <w:t xml:space="preserve">dienas nesumažėja skausmas arba simptomai pasunkėja, arba atsiranda naujų simptomų, </w:t>
      </w:r>
      <w:r w:rsidR="008277D4" w:rsidRPr="009E0143">
        <w:rPr>
          <w:noProof w:val="0"/>
          <w:sz w:val="22"/>
          <w:szCs w:val="22"/>
          <w:lang w:val="lt-LT"/>
        </w:rPr>
        <w:t xml:space="preserve">dėl tolesnio gydymo </w:t>
      </w:r>
      <w:r w:rsidRPr="009E0143">
        <w:rPr>
          <w:noProof w:val="0"/>
          <w:sz w:val="22"/>
          <w:szCs w:val="22"/>
          <w:lang w:val="lt-LT"/>
        </w:rPr>
        <w:t>kreipkitės į gydytoją. Šį vaistą nepasitarę su gydytoju galite vartoti ne ilgiau kaip 7</w:t>
      </w:r>
      <w:r w:rsidR="00807A64" w:rsidRPr="009E0143">
        <w:rPr>
          <w:noProof w:val="0"/>
          <w:sz w:val="22"/>
          <w:szCs w:val="22"/>
          <w:lang w:val="lt-LT"/>
        </w:rPr>
        <w:t xml:space="preserve"> </w:t>
      </w:r>
      <w:r w:rsidRPr="009E0143">
        <w:rPr>
          <w:noProof w:val="0"/>
          <w:sz w:val="22"/>
          <w:szCs w:val="22"/>
          <w:lang w:val="lt-LT"/>
        </w:rPr>
        <w:t>dienas.</w:t>
      </w:r>
    </w:p>
    <w:p w14:paraId="0C1F1F23" w14:textId="77777777" w:rsidR="001873A6" w:rsidRPr="009E0143" w:rsidRDefault="001873A6" w:rsidP="007F555B">
      <w:pPr>
        <w:rPr>
          <w:noProof w:val="0"/>
          <w:sz w:val="22"/>
          <w:szCs w:val="22"/>
          <w:lang w:val="lt-LT"/>
        </w:rPr>
      </w:pPr>
      <w:r w:rsidRPr="009E0143">
        <w:rPr>
          <w:noProof w:val="0"/>
          <w:sz w:val="22"/>
          <w:szCs w:val="22"/>
          <w:lang w:val="lt-LT"/>
        </w:rPr>
        <w:t xml:space="preserve">Neduokite vaisto vaikams ilgiau </w:t>
      </w:r>
      <w:r w:rsidR="008277D4" w:rsidRPr="009E0143">
        <w:rPr>
          <w:noProof w:val="0"/>
          <w:sz w:val="22"/>
          <w:szCs w:val="22"/>
          <w:lang w:val="lt-LT"/>
        </w:rPr>
        <w:t>kaip</w:t>
      </w:r>
      <w:r w:rsidRPr="009E0143">
        <w:rPr>
          <w:noProof w:val="0"/>
          <w:sz w:val="22"/>
          <w:szCs w:val="22"/>
          <w:lang w:val="lt-LT"/>
        </w:rPr>
        <w:t xml:space="preserve"> 3</w:t>
      </w:r>
      <w:r w:rsidR="00807A64" w:rsidRPr="009E0143">
        <w:rPr>
          <w:noProof w:val="0"/>
          <w:sz w:val="22"/>
          <w:szCs w:val="22"/>
          <w:lang w:val="lt-LT"/>
        </w:rPr>
        <w:t xml:space="preserve"> </w:t>
      </w:r>
      <w:r w:rsidRPr="009E0143">
        <w:rPr>
          <w:noProof w:val="0"/>
          <w:sz w:val="22"/>
          <w:szCs w:val="22"/>
          <w:lang w:val="lt-LT"/>
        </w:rPr>
        <w:t>dienas</w:t>
      </w:r>
      <w:r w:rsidR="008E56AF" w:rsidRPr="009E0143">
        <w:rPr>
          <w:noProof w:val="0"/>
          <w:sz w:val="22"/>
          <w:szCs w:val="22"/>
          <w:lang w:val="lt-LT"/>
        </w:rPr>
        <w:t>,</w:t>
      </w:r>
      <w:r w:rsidRPr="009E0143">
        <w:rPr>
          <w:noProof w:val="0"/>
          <w:sz w:val="22"/>
          <w:szCs w:val="22"/>
          <w:lang w:val="lt-LT"/>
        </w:rPr>
        <w:t xml:space="preserve"> nepasitarę su gydytoju.</w:t>
      </w:r>
    </w:p>
    <w:p w14:paraId="20FA2BC0" w14:textId="77777777" w:rsidR="001873A6" w:rsidRPr="009E0143" w:rsidRDefault="001873A6" w:rsidP="007F555B">
      <w:pPr>
        <w:rPr>
          <w:noProof w:val="0"/>
          <w:sz w:val="22"/>
          <w:szCs w:val="22"/>
          <w:lang w:val="lt-LT"/>
        </w:rPr>
      </w:pPr>
    </w:p>
    <w:p w14:paraId="386D3AC5" w14:textId="77777777" w:rsidR="00964A5C" w:rsidRPr="009E0143" w:rsidRDefault="001873A6" w:rsidP="007F555B">
      <w:pPr>
        <w:rPr>
          <w:noProof w:val="0"/>
          <w:sz w:val="22"/>
          <w:szCs w:val="22"/>
          <w:u w:val="single"/>
          <w:lang w:val="lt-LT"/>
        </w:rPr>
      </w:pPr>
      <w:r w:rsidRPr="009E0143">
        <w:rPr>
          <w:noProof w:val="0"/>
          <w:sz w:val="22"/>
          <w:szCs w:val="22"/>
          <w:u w:val="single"/>
          <w:lang w:val="lt-LT"/>
        </w:rPr>
        <w:t>Vartojimo metodas</w:t>
      </w:r>
    </w:p>
    <w:p w14:paraId="51745F1F" w14:textId="77777777" w:rsidR="001873A6" w:rsidRPr="009E0143" w:rsidRDefault="001873A6" w:rsidP="007F555B">
      <w:pPr>
        <w:rPr>
          <w:noProof w:val="0"/>
          <w:sz w:val="22"/>
          <w:szCs w:val="22"/>
          <w:lang w:val="lt-LT"/>
        </w:rPr>
      </w:pPr>
      <w:r w:rsidRPr="009E0143">
        <w:rPr>
          <w:noProof w:val="0"/>
          <w:sz w:val="22"/>
          <w:szCs w:val="22"/>
          <w:lang w:val="lt-LT"/>
        </w:rPr>
        <w:t>Tabletes reikia nuryti užsigeriant pakankamu kiekiu skysčio.</w:t>
      </w:r>
    </w:p>
    <w:p w14:paraId="78721401" w14:textId="77777777" w:rsidR="00301A19" w:rsidRPr="009E0143" w:rsidRDefault="00301A19" w:rsidP="007F555B">
      <w:pPr>
        <w:rPr>
          <w:noProof w:val="0"/>
          <w:sz w:val="22"/>
          <w:szCs w:val="22"/>
          <w:lang w:val="lt-LT"/>
        </w:rPr>
      </w:pPr>
    </w:p>
    <w:p w14:paraId="4B767235" w14:textId="77777777" w:rsidR="00301A19" w:rsidRPr="009E0143" w:rsidRDefault="001873A6" w:rsidP="007F555B">
      <w:pPr>
        <w:rPr>
          <w:sz w:val="22"/>
          <w:szCs w:val="22"/>
          <w:lang w:val="lt-LT" w:eastAsia="en-US"/>
        </w:rPr>
      </w:pPr>
      <w:r w:rsidRPr="009E0143">
        <w:rPr>
          <w:sz w:val="22"/>
          <w:szCs w:val="22"/>
          <w:lang w:val="lt-LT" w:eastAsia="en-US"/>
        </w:rPr>
        <w:t>Tablet</w:t>
      </w:r>
      <w:r w:rsidR="008E56AF" w:rsidRPr="009E0143">
        <w:rPr>
          <w:sz w:val="22"/>
          <w:szCs w:val="22"/>
          <w:lang w:val="lt-LT" w:eastAsia="en-US"/>
        </w:rPr>
        <w:t>ę</w:t>
      </w:r>
      <w:r w:rsidRPr="009E0143">
        <w:rPr>
          <w:sz w:val="22"/>
          <w:szCs w:val="22"/>
          <w:lang w:val="lt-LT" w:eastAsia="en-US"/>
        </w:rPr>
        <w:t xml:space="preserve"> galima padalyti į lygias dozes.</w:t>
      </w:r>
    </w:p>
    <w:p w14:paraId="1A08413C" w14:textId="77777777" w:rsidR="001873A6" w:rsidRPr="009E0143" w:rsidRDefault="001873A6" w:rsidP="007F555B">
      <w:pPr>
        <w:rPr>
          <w:bCs/>
          <w:noProof w:val="0"/>
          <w:sz w:val="22"/>
          <w:szCs w:val="22"/>
          <w:lang w:val="lt-LT"/>
        </w:rPr>
      </w:pPr>
    </w:p>
    <w:p w14:paraId="49BB5671" w14:textId="77777777" w:rsidR="00AA4B67" w:rsidRPr="009E0143" w:rsidRDefault="006E4A39" w:rsidP="007F555B">
      <w:pPr>
        <w:rPr>
          <w:noProof w:val="0"/>
          <w:sz w:val="22"/>
          <w:szCs w:val="22"/>
          <w:lang w:val="lt-LT"/>
        </w:rPr>
      </w:pPr>
      <w:r w:rsidRPr="009E0143">
        <w:rPr>
          <w:noProof w:val="0"/>
          <w:sz w:val="22"/>
          <w:szCs w:val="22"/>
          <w:lang w:val="lt-LT"/>
        </w:rPr>
        <w:t>Paracetamol Zentiva galima vartoti valgio metu arba nevalgius.</w:t>
      </w:r>
    </w:p>
    <w:p w14:paraId="32EFF702" w14:textId="77777777" w:rsidR="006E4A39" w:rsidRPr="009E0143" w:rsidRDefault="006E4A39" w:rsidP="007F555B">
      <w:pPr>
        <w:rPr>
          <w:noProof w:val="0"/>
          <w:sz w:val="22"/>
          <w:szCs w:val="22"/>
          <w:lang w:val="lt-LT"/>
        </w:rPr>
      </w:pPr>
    </w:p>
    <w:p w14:paraId="3AE3C5EB" w14:textId="77777777" w:rsidR="00FA7F2B" w:rsidRPr="009E0143" w:rsidRDefault="00FA7F2B" w:rsidP="007F555B">
      <w:pPr>
        <w:rPr>
          <w:b/>
          <w:sz w:val="22"/>
          <w:szCs w:val="22"/>
          <w:lang w:val="lt-LT"/>
        </w:rPr>
      </w:pPr>
      <w:r w:rsidRPr="009E0143">
        <w:rPr>
          <w:b/>
          <w:sz w:val="22"/>
          <w:szCs w:val="22"/>
          <w:lang w:val="lt-LT"/>
        </w:rPr>
        <w:t xml:space="preserve">Ką daryti pavartojus per didelę </w:t>
      </w:r>
      <w:r w:rsidR="006E4A39" w:rsidRPr="009E0143">
        <w:rPr>
          <w:b/>
          <w:sz w:val="22"/>
          <w:szCs w:val="22"/>
          <w:lang w:val="lt-LT"/>
        </w:rPr>
        <w:t>Paracetamol Zentiva</w:t>
      </w:r>
      <w:r w:rsidRPr="009E0143">
        <w:rPr>
          <w:b/>
          <w:sz w:val="22"/>
          <w:szCs w:val="22"/>
          <w:lang w:val="lt-LT"/>
        </w:rPr>
        <w:t xml:space="preserve"> dozę</w:t>
      </w:r>
    </w:p>
    <w:p w14:paraId="4F2C9911" w14:textId="77777777" w:rsidR="000D47D1" w:rsidRPr="009E0143" w:rsidRDefault="000D47D1" w:rsidP="007F555B">
      <w:pPr>
        <w:rPr>
          <w:bCs/>
          <w:noProof w:val="0"/>
          <w:sz w:val="22"/>
          <w:szCs w:val="22"/>
          <w:lang w:val="lt-LT"/>
        </w:rPr>
      </w:pPr>
      <w:r w:rsidRPr="009E0143">
        <w:rPr>
          <w:bCs/>
          <w:noProof w:val="0"/>
          <w:sz w:val="22"/>
          <w:szCs w:val="22"/>
          <w:lang w:val="lt-LT"/>
        </w:rPr>
        <w:t>Perdozavimas gali pasireikšti pykinimu, vėmimu ar blyškumu. Visais atvejais, kai įtariamas perdozavimas arba vaistą netyčia praryja vaikas, nedelsdami kreipkitės medicininės pagalbos, net jei Jūs arba vaikas jaučia</w:t>
      </w:r>
      <w:r w:rsidR="0057085A" w:rsidRPr="009E0143">
        <w:rPr>
          <w:bCs/>
          <w:noProof w:val="0"/>
          <w:sz w:val="22"/>
          <w:szCs w:val="22"/>
          <w:lang w:val="lt-LT"/>
        </w:rPr>
        <w:t>tės</w:t>
      </w:r>
      <w:r w:rsidRPr="009E0143">
        <w:rPr>
          <w:bCs/>
          <w:noProof w:val="0"/>
          <w:sz w:val="22"/>
          <w:szCs w:val="22"/>
          <w:lang w:val="lt-LT"/>
        </w:rPr>
        <w:t xml:space="preserve"> gerai, nes yra uždelsto, sunkaus ir negrįžtamo kepenų pažeidimo pasireiškimo rizika. Duokite medikams pakuotę, iš kurios vartojote vaistą, ir šį lapelį.</w:t>
      </w:r>
    </w:p>
    <w:p w14:paraId="7CF91310" w14:textId="77777777" w:rsidR="001D5E73" w:rsidRPr="009E0143" w:rsidRDefault="001D5E73" w:rsidP="007F555B">
      <w:pPr>
        <w:rPr>
          <w:bCs/>
          <w:noProof w:val="0"/>
          <w:sz w:val="22"/>
          <w:szCs w:val="22"/>
          <w:lang w:val="lt-LT"/>
        </w:rPr>
      </w:pPr>
    </w:p>
    <w:p w14:paraId="7A5D509C" w14:textId="77777777" w:rsidR="00FA7F2B" w:rsidRPr="009E0143" w:rsidRDefault="00FA7F2B" w:rsidP="007F555B">
      <w:pPr>
        <w:keepNext/>
        <w:tabs>
          <w:tab w:val="left" w:pos="567"/>
        </w:tabs>
        <w:outlineLvl w:val="3"/>
        <w:rPr>
          <w:sz w:val="22"/>
          <w:szCs w:val="22"/>
          <w:lang w:val="lt-LT"/>
        </w:rPr>
      </w:pPr>
      <w:r w:rsidRPr="009E0143">
        <w:rPr>
          <w:b/>
          <w:sz w:val="22"/>
          <w:szCs w:val="22"/>
          <w:lang w:val="lt-LT"/>
        </w:rPr>
        <w:lastRenderedPageBreak/>
        <w:t xml:space="preserve">Pamiršus pavartoti </w:t>
      </w:r>
      <w:r w:rsidR="006E4A39" w:rsidRPr="009E0143">
        <w:rPr>
          <w:b/>
          <w:sz w:val="22"/>
          <w:szCs w:val="22"/>
          <w:lang w:val="lt-LT"/>
        </w:rPr>
        <w:t>Paracetamol Zentiva</w:t>
      </w:r>
    </w:p>
    <w:p w14:paraId="68EA5DFD" w14:textId="77777777" w:rsidR="001D5E73" w:rsidRPr="009E0143" w:rsidRDefault="006E4A39" w:rsidP="007F555B">
      <w:pPr>
        <w:rPr>
          <w:noProof w:val="0"/>
          <w:sz w:val="22"/>
          <w:szCs w:val="22"/>
          <w:lang w:val="lt-LT"/>
        </w:rPr>
      </w:pPr>
      <w:r w:rsidRPr="009E0143">
        <w:rPr>
          <w:noProof w:val="0"/>
          <w:sz w:val="22"/>
          <w:szCs w:val="22"/>
          <w:lang w:val="lt-LT"/>
        </w:rPr>
        <w:t>Nevartokite dvigubos dozės norint kompensuoti praleistą dozę. Išgerkite praleistą dozę, kai tik prisiminsite. Bet kokią kitą galimą dozę reikia išgerti praėjus 3</w:t>
      </w:r>
      <w:r w:rsidR="00807A64" w:rsidRPr="009E0143">
        <w:rPr>
          <w:noProof w:val="0"/>
          <w:sz w:val="22"/>
          <w:szCs w:val="22"/>
          <w:lang w:val="lt-LT"/>
        </w:rPr>
        <w:t xml:space="preserve"> </w:t>
      </w:r>
      <w:r w:rsidRPr="009E0143">
        <w:rPr>
          <w:noProof w:val="0"/>
          <w:sz w:val="22"/>
          <w:szCs w:val="22"/>
          <w:lang w:val="lt-LT"/>
        </w:rPr>
        <w:t>skyriuje nurodytam intervalui.</w:t>
      </w:r>
    </w:p>
    <w:p w14:paraId="0224B3B7" w14:textId="77777777" w:rsidR="006E4A39" w:rsidRPr="009E0143" w:rsidRDefault="006E4A39" w:rsidP="007F555B">
      <w:pPr>
        <w:rPr>
          <w:noProof w:val="0"/>
          <w:sz w:val="22"/>
          <w:szCs w:val="22"/>
          <w:lang w:val="lt-LT"/>
        </w:rPr>
      </w:pPr>
    </w:p>
    <w:p w14:paraId="550F302C" w14:textId="77777777" w:rsidR="00BD51A6" w:rsidRPr="009E0143" w:rsidRDefault="00FA7F2B" w:rsidP="007F555B">
      <w:pPr>
        <w:rPr>
          <w:noProof w:val="0"/>
          <w:sz w:val="22"/>
          <w:szCs w:val="22"/>
          <w:lang w:val="lt-LT"/>
        </w:rPr>
      </w:pPr>
      <w:r w:rsidRPr="009E0143">
        <w:rPr>
          <w:sz w:val="22"/>
          <w:szCs w:val="22"/>
          <w:lang w:val="lt-LT"/>
        </w:rPr>
        <w:t>Jeigu kiltų daugiau klausimų dėl šio vaisto vartojimo, kreipkitės į gydytoją arba vaistininką.</w:t>
      </w:r>
    </w:p>
    <w:p w14:paraId="42B7E6C5" w14:textId="77777777" w:rsidR="00BD51A6" w:rsidRPr="009E0143" w:rsidRDefault="00BD51A6" w:rsidP="007F555B">
      <w:pPr>
        <w:rPr>
          <w:b/>
          <w:caps/>
          <w:noProof w:val="0"/>
          <w:sz w:val="22"/>
          <w:szCs w:val="22"/>
          <w:lang w:val="lt-LT"/>
        </w:rPr>
      </w:pPr>
    </w:p>
    <w:p w14:paraId="241CFBCB" w14:textId="77777777" w:rsidR="00063C4C" w:rsidRPr="009E0143" w:rsidRDefault="00063C4C" w:rsidP="007F555B">
      <w:pPr>
        <w:rPr>
          <w:b/>
          <w:caps/>
          <w:noProof w:val="0"/>
          <w:sz w:val="22"/>
          <w:szCs w:val="22"/>
          <w:lang w:val="lt-LT"/>
        </w:rPr>
      </w:pPr>
    </w:p>
    <w:p w14:paraId="06F467A0" w14:textId="77777777" w:rsidR="00FA7F2B" w:rsidRPr="009E0143" w:rsidRDefault="00FA7F2B" w:rsidP="007F555B">
      <w:pPr>
        <w:keepNext/>
        <w:keepLines/>
        <w:tabs>
          <w:tab w:val="left" w:pos="567"/>
        </w:tabs>
        <w:outlineLvl w:val="2"/>
        <w:rPr>
          <w:sz w:val="22"/>
          <w:szCs w:val="22"/>
          <w:lang w:val="lt-LT"/>
        </w:rPr>
      </w:pPr>
      <w:r w:rsidRPr="009E0143">
        <w:rPr>
          <w:b/>
          <w:sz w:val="22"/>
          <w:szCs w:val="22"/>
          <w:lang w:val="lt-LT"/>
        </w:rPr>
        <w:t>4.</w:t>
      </w:r>
      <w:r w:rsidRPr="009E0143">
        <w:rPr>
          <w:b/>
          <w:sz w:val="22"/>
          <w:szCs w:val="22"/>
          <w:lang w:val="lt-LT"/>
        </w:rPr>
        <w:tab/>
        <w:t>Galimas šalutinis poveikis</w:t>
      </w:r>
    </w:p>
    <w:p w14:paraId="69382689" w14:textId="77777777" w:rsidR="00B250FB" w:rsidRPr="009E0143" w:rsidRDefault="00B250FB" w:rsidP="007F555B">
      <w:pPr>
        <w:rPr>
          <w:rFonts w:eastAsia="MS Mincho"/>
          <w:noProof w:val="0"/>
          <w:sz w:val="22"/>
          <w:szCs w:val="22"/>
          <w:lang w:val="lt-LT" w:eastAsia="fr-FR"/>
        </w:rPr>
      </w:pPr>
    </w:p>
    <w:p w14:paraId="2A2B4590" w14:textId="77777777" w:rsidR="00FA7F2B" w:rsidRPr="009E0143" w:rsidRDefault="00FA7F2B" w:rsidP="007F555B">
      <w:pPr>
        <w:ind w:right="-29"/>
        <w:rPr>
          <w:sz w:val="22"/>
          <w:szCs w:val="22"/>
          <w:lang w:val="lt-LT"/>
        </w:rPr>
      </w:pPr>
      <w:r w:rsidRPr="009E0143">
        <w:rPr>
          <w:sz w:val="22"/>
          <w:szCs w:val="22"/>
          <w:lang w:val="lt-LT"/>
        </w:rPr>
        <w:t>Šis vaistas, kaip ir visi kiti, gali sukelti šalutinį poveikį, nors jis pasireiškia ne visiems žmonėms.</w:t>
      </w:r>
    </w:p>
    <w:p w14:paraId="59187F73" w14:textId="77777777" w:rsidR="00BD51A6" w:rsidRPr="009E0143" w:rsidRDefault="00BD51A6" w:rsidP="007F555B">
      <w:pPr>
        <w:rPr>
          <w:i/>
          <w:noProof w:val="0"/>
          <w:sz w:val="22"/>
          <w:szCs w:val="22"/>
          <w:lang w:val="lt-LT"/>
        </w:rPr>
      </w:pPr>
    </w:p>
    <w:p w14:paraId="1BDE4C53" w14:textId="77777777" w:rsidR="000D47D1" w:rsidRPr="009E0143" w:rsidRDefault="000D47D1" w:rsidP="007F555B">
      <w:pPr>
        <w:rPr>
          <w:b/>
          <w:noProof w:val="0"/>
          <w:sz w:val="22"/>
          <w:szCs w:val="22"/>
          <w:lang w:val="lt-LT"/>
        </w:rPr>
      </w:pPr>
      <w:r w:rsidRPr="009E0143">
        <w:rPr>
          <w:b/>
          <w:noProof w:val="0"/>
          <w:sz w:val="22"/>
          <w:szCs w:val="22"/>
          <w:lang w:val="lt-LT"/>
        </w:rPr>
        <w:t>Tuoj pat nutraukite vaisto vartojimą ir nedelsdami kreipkitės medicininės pagalbos, jei pasireiškia bet kuris iš šių šalutinio poveikio reiškinių:</w:t>
      </w:r>
    </w:p>
    <w:p w14:paraId="3A22D50F" w14:textId="77777777" w:rsidR="000D47D1" w:rsidRPr="009E0143" w:rsidRDefault="000D47D1" w:rsidP="007F555B">
      <w:pPr>
        <w:numPr>
          <w:ilvl w:val="0"/>
          <w:numId w:val="6"/>
        </w:numPr>
        <w:ind w:left="567" w:hanging="567"/>
        <w:rPr>
          <w:noProof w:val="0"/>
          <w:sz w:val="22"/>
          <w:szCs w:val="22"/>
          <w:lang w:val="lt-LT"/>
        </w:rPr>
      </w:pPr>
      <w:r w:rsidRPr="009E0143">
        <w:rPr>
          <w:noProof w:val="0"/>
          <w:sz w:val="22"/>
          <w:szCs w:val="22"/>
          <w:lang w:val="lt-LT"/>
        </w:rPr>
        <w:t>Alerginės reakcijos, tokios kaip išbėrimas ar niežėjimas (reti šalutinio poveikio reiškiniai − gali pasireikšti rečiau kaip 1 iš 1</w:t>
      </w:r>
      <w:r w:rsidR="0052109F" w:rsidRPr="009E0143">
        <w:rPr>
          <w:noProof w:val="0"/>
          <w:sz w:val="22"/>
          <w:szCs w:val="22"/>
          <w:lang w:val="lt-LT"/>
        </w:rPr>
        <w:t> </w:t>
      </w:r>
      <w:r w:rsidRPr="009E0143">
        <w:rPr>
          <w:noProof w:val="0"/>
          <w:sz w:val="22"/>
          <w:szCs w:val="22"/>
          <w:lang w:val="lt-LT"/>
        </w:rPr>
        <w:t xml:space="preserve">000 asmenų), kartais kartu pasireiškiant kvėpavimo sutrikimui, lūpų, liežuvio, gerklės ar skruostų patinimui (labai reti šalutinio poveikio reiškiniai </w:t>
      </w:r>
      <w:r w:rsidR="0052109F" w:rsidRPr="009E0143">
        <w:rPr>
          <w:noProof w:val="0"/>
          <w:sz w:val="22"/>
          <w:szCs w:val="22"/>
          <w:lang w:val="lt-LT"/>
        </w:rPr>
        <w:t>–</w:t>
      </w:r>
      <w:r w:rsidRPr="009E0143">
        <w:rPr>
          <w:noProof w:val="0"/>
          <w:sz w:val="22"/>
          <w:szCs w:val="22"/>
          <w:lang w:val="lt-LT"/>
        </w:rPr>
        <w:t xml:space="preserve"> gali pasireikšti rečiau kaip 1 iš 10</w:t>
      </w:r>
      <w:r w:rsidR="0052109F" w:rsidRPr="009E0143">
        <w:rPr>
          <w:noProof w:val="0"/>
          <w:sz w:val="22"/>
          <w:szCs w:val="22"/>
          <w:lang w:val="lt-LT"/>
        </w:rPr>
        <w:t> </w:t>
      </w:r>
      <w:r w:rsidRPr="009E0143">
        <w:rPr>
          <w:noProof w:val="0"/>
          <w:sz w:val="22"/>
          <w:szCs w:val="22"/>
          <w:lang w:val="lt-LT"/>
        </w:rPr>
        <w:t>000 asmenų).</w:t>
      </w:r>
    </w:p>
    <w:p w14:paraId="6554702C" w14:textId="77777777" w:rsidR="000D47D1" w:rsidRPr="009E0143" w:rsidRDefault="000D47D1" w:rsidP="007F555B">
      <w:pPr>
        <w:numPr>
          <w:ilvl w:val="0"/>
          <w:numId w:val="6"/>
        </w:numPr>
        <w:ind w:left="567" w:hanging="567"/>
        <w:rPr>
          <w:noProof w:val="0"/>
          <w:sz w:val="22"/>
          <w:szCs w:val="22"/>
          <w:lang w:val="lt-LT"/>
        </w:rPr>
      </w:pPr>
      <w:r w:rsidRPr="009E0143">
        <w:rPr>
          <w:noProof w:val="0"/>
          <w:sz w:val="22"/>
          <w:szCs w:val="22"/>
          <w:lang w:val="lt-LT"/>
        </w:rPr>
        <w:t>Sunki odos reakcija, įskaitant odos lupimąsi arba pūslių susidarymą burnoje (labai reti šalutinio poveikio reiškiniai − gali pasireikšti rečiau kaip 1 iš 10</w:t>
      </w:r>
      <w:r w:rsidR="0052109F" w:rsidRPr="009E0143">
        <w:rPr>
          <w:noProof w:val="0"/>
          <w:sz w:val="22"/>
          <w:szCs w:val="22"/>
          <w:lang w:val="lt-LT"/>
        </w:rPr>
        <w:t> </w:t>
      </w:r>
      <w:r w:rsidRPr="009E0143">
        <w:rPr>
          <w:noProof w:val="0"/>
          <w:sz w:val="22"/>
          <w:szCs w:val="22"/>
          <w:lang w:val="lt-LT"/>
        </w:rPr>
        <w:t>000 asmenų).</w:t>
      </w:r>
    </w:p>
    <w:p w14:paraId="73602C03" w14:textId="77777777" w:rsidR="000D47D1" w:rsidRPr="009E0143" w:rsidRDefault="000D47D1" w:rsidP="007F555B">
      <w:pPr>
        <w:numPr>
          <w:ilvl w:val="0"/>
          <w:numId w:val="6"/>
        </w:numPr>
        <w:ind w:left="567" w:hanging="567"/>
        <w:rPr>
          <w:noProof w:val="0"/>
          <w:sz w:val="22"/>
          <w:szCs w:val="22"/>
          <w:lang w:val="lt-LT"/>
        </w:rPr>
      </w:pPr>
      <w:r w:rsidRPr="009E0143">
        <w:rPr>
          <w:noProof w:val="0"/>
          <w:sz w:val="22"/>
          <w:szCs w:val="22"/>
          <w:lang w:val="lt-LT"/>
        </w:rPr>
        <w:t xml:space="preserve">Jei yra buvę kvėpavimo sutrikimų pavartojus acetilsalicilo rūgšties ar kitų skausmą malšinančių vaistų, priklausančių nesteroidinių vaistų nuo uždegimo grupei, panašių problemų gali atsirasti pavartojus </w:t>
      </w:r>
      <w:r w:rsidR="0052109F" w:rsidRPr="009E0143">
        <w:rPr>
          <w:noProof w:val="0"/>
          <w:sz w:val="22"/>
          <w:szCs w:val="22"/>
          <w:lang w:val="lt-LT"/>
        </w:rPr>
        <w:t>Paracetamol Zentiva</w:t>
      </w:r>
      <w:r w:rsidRPr="009E0143">
        <w:rPr>
          <w:noProof w:val="0"/>
          <w:sz w:val="22"/>
          <w:szCs w:val="22"/>
          <w:lang w:val="lt-LT"/>
        </w:rPr>
        <w:t xml:space="preserve"> (labai reti šalutinio poveikio reiškiniai − gali pasireikšti rečiau kaip 1 iš 10</w:t>
      </w:r>
      <w:r w:rsidR="0052109F" w:rsidRPr="009E0143">
        <w:rPr>
          <w:noProof w:val="0"/>
          <w:sz w:val="22"/>
          <w:szCs w:val="22"/>
          <w:lang w:val="lt-LT"/>
        </w:rPr>
        <w:t> </w:t>
      </w:r>
      <w:r w:rsidRPr="009E0143">
        <w:rPr>
          <w:noProof w:val="0"/>
          <w:sz w:val="22"/>
          <w:szCs w:val="22"/>
          <w:lang w:val="lt-LT"/>
        </w:rPr>
        <w:t>000 asmenų).</w:t>
      </w:r>
    </w:p>
    <w:p w14:paraId="4B855BBC" w14:textId="77777777" w:rsidR="000D47D1" w:rsidRPr="009E0143" w:rsidRDefault="000D47D1" w:rsidP="007F555B">
      <w:pPr>
        <w:numPr>
          <w:ilvl w:val="0"/>
          <w:numId w:val="6"/>
        </w:numPr>
        <w:ind w:left="567" w:hanging="567"/>
        <w:rPr>
          <w:noProof w:val="0"/>
          <w:sz w:val="22"/>
          <w:szCs w:val="22"/>
          <w:lang w:val="lt-LT"/>
        </w:rPr>
      </w:pPr>
      <w:r w:rsidRPr="009E0143">
        <w:rPr>
          <w:noProof w:val="0"/>
          <w:sz w:val="22"/>
          <w:szCs w:val="22"/>
          <w:lang w:val="lt-LT"/>
        </w:rPr>
        <w:t>Dėl nežinomų priežasčių atsiradusios kraujosruvos (labai reti šalutinio poveikio reiškiniai − gali pasireikšti rečiau kaip 1 iš 10</w:t>
      </w:r>
      <w:r w:rsidR="0052109F" w:rsidRPr="009E0143">
        <w:rPr>
          <w:noProof w:val="0"/>
          <w:sz w:val="22"/>
          <w:szCs w:val="22"/>
          <w:lang w:val="lt-LT"/>
        </w:rPr>
        <w:t> </w:t>
      </w:r>
      <w:r w:rsidRPr="009E0143">
        <w:rPr>
          <w:noProof w:val="0"/>
          <w:sz w:val="22"/>
          <w:szCs w:val="22"/>
          <w:lang w:val="lt-LT"/>
        </w:rPr>
        <w:t>000 asmenų).</w:t>
      </w:r>
    </w:p>
    <w:p w14:paraId="561D23D2" w14:textId="77777777" w:rsidR="00F6167E" w:rsidRPr="009E0143" w:rsidRDefault="00F6167E" w:rsidP="00D2751E">
      <w:pPr>
        <w:rPr>
          <w:noProof w:val="0"/>
          <w:sz w:val="22"/>
          <w:szCs w:val="22"/>
          <w:highlight w:val="yellow"/>
          <w:lang w:val="lt-LT"/>
        </w:rPr>
      </w:pPr>
    </w:p>
    <w:p w14:paraId="36F4180A" w14:textId="77777777" w:rsidR="00B459D7" w:rsidRPr="009E0143" w:rsidRDefault="00B459D7" w:rsidP="00D2751E">
      <w:pPr>
        <w:rPr>
          <w:b/>
          <w:bCs/>
          <w:noProof w:val="0"/>
          <w:sz w:val="22"/>
          <w:szCs w:val="22"/>
          <w:lang w:val="lt-LT"/>
        </w:rPr>
      </w:pPr>
      <w:r w:rsidRPr="009E0143">
        <w:rPr>
          <w:b/>
          <w:bCs/>
          <w:noProof w:val="0"/>
          <w:sz w:val="22"/>
          <w:szCs w:val="22"/>
          <w:lang w:val="lt-LT"/>
        </w:rPr>
        <w:t>Kitas šalutinis poveikis</w:t>
      </w:r>
    </w:p>
    <w:p w14:paraId="4D4B0EEC" w14:textId="77777777" w:rsidR="00B459D7" w:rsidRPr="009E0143" w:rsidRDefault="00B459D7" w:rsidP="00D2751E">
      <w:pPr>
        <w:rPr>
          <w:noProof w:val="0"/>
          <w:sz w:val="22"/>
          <w:szCs w:val="22"/>
          <w:lang w:val="lt-LT"/>
        </w:rPr>
      </w:pPr>
      <w:r w:rsidRPr="009E0143">
        <w:rPr>
          <w:noProof w:val="0"/>
          <w:sz w:val="22"/>
          <w:szCs w:val="22"/>
          <w:u w:val="single"/>
          <w:lang w:val="lt-LT"/>
        </w:rPr>
        <w:t>Labai reti šalutinio poveikio reiškiniai</w:t>
      </w:r>
      <w:r w:rsidRPr="009E0143">
        <w:rPr>
          <w:noProof w:val="0"/>
          <w:sz w:val="22"/>
          <w:szCs w:val="22"/>
          <w:lang w:val="lt-LT"/>
        </w:rPr>
        <w:t xml:space="preserve"> (gali pasireikšti rečiau kaip 1 iš 10 000 asmenų):</w:t>
      </w:r>
    </w:p>
    <w:p w14:paraId="53886506" w14:textId="77777777" w:rsidR="00B459D7" w:rsidRPr="009E0143" w:rsidRDefault="00B459D7" w:rsidP="007F555B">
      <w:pPr>
        <w:numPr>
          <w:ilvl w:val="0"/>
          <w:numId w:val="6"/>
        </w:numPr>
        <w:ind w:left="567" w:hanging="567"/>
        <w:rPr>
          <w:noProof w:val="0"/>
          <w:sz w:val="22"/>
          <w:szCs w:val="22"/>
          <w:lang w:val="lt-LT"/>
        </w:rPr>
      </w:pPr>
      <w:r w:rsidRPr="009E0143">
        <w:rPr>
          <w:noProof w:val="0"/>
          <w:sz w:val="22"/>
          <w:szCs w:val="22"/>
          <w:lang w:val="lt-LT"/>
        </w:rPr>
        <w:t>Kepenų funkcijos sutrikimas.</w:t>
      </w:r>
    </w:p>
    <w:p w14:paraId="32988999" w14:textId="77777777" w:rsidR="00B459D7" w:rsidRDefault="00B459D7" w:rsidP="00D2751E">
      <w:pPr>
        <w:rPr>
          <w:noProof w:val="0"/>
          <w:sz w:val="22"/>
          <w:szCs w:val="22"/>
          <w:u w:val="single"/>
          <w:lang w:val="lt-LT"/>
        </w:rPr>
      </w:pPr>
    </w:p>
    <w:p w14:paraId="7170110B" w14:textId="77777777" w:rsidR="00493C02" w:rsidRPr="00493C02" w:rsidRDefault="00493C02" w:rsidP="00493C02">
      <w:pPr>
        <w:rPr>
          <w:noProof w:val="0"/>
          <w:sz w:val="22"/>
          <w:szCs w:val="22"/>
          <w:u w:val="single"/>
          <w:lang w:val="lt-LT"/>
        </w:rPr>
      </w:pPr>
      <w:r w:rsidRPr="00493C02">
        <w:rPr>
          <w:noProof w:val="0"/>
          <w:sz w:val="22"/>
          <w:szCs w:val="22"/>
          <w:u w:val="single"/>
          <w:lang w:val="lt-LT"/>
        </w:rPr>
        <w:t>Šalutinio poveikio reiškiniai, kurių dažnis nežinomas (negali būti apskaičiuotas pagal turimus duomenis):</w:t>
      </w:r>
    </w:p>
    <w:p w14:paraId="191F1712" w14:textId="76888B3E" w:rsidR="00493C02" w:rsidRPr="001E2631" w:rsidRDefault="00493C02" w:rsidP="001E2631">
      <w:pPr>
        <w:numPr>
          <w:ilvl w:val="0"/>
          <w:numId w:val="40"/>
        </w:numPr>
        <w:ind w:left="567" w:hanging="567"/>
        <w:rPr>
          <w:noProof w:val="0"/>
          <w:sz w:val="22"/>
          <w:szCs w:val="22"/>
          <w:lang w:val="lt-LT"/>
        </w:rPr>
      </w:pPr>
      <w:r w:rsidRPr="001E2631">
        <w:rPr>
          <w:noProof w:val="0"/>
          <w:sz w:val="22"/>
          <w:szCs w:val="22"/>
          <w:lang w:val="lt-LT"/>
        </w:rPr>
        <w:t>Sunkus sutrikimas, dėl kurio gali padidėti kraujo rūgštingumas (vadinamas metaboline acidoze) sunkia liga sergantiems pacientams, vartojantiems paracetamolį (žr. 2 skyrių).</w:t>
      </w:r>
    </w:p>
    <w:p w14:paraId="2449BCEE" w14:textId="77777777" w:rsidR="00493C02" w:rsidRPr="009E0143" w:rsidRDefault="00493C02" w:rsidP="00D2751E">
      <w:pPr>
        <w:rPr>
          <w:noProof w:val="0"/>
          <w:sz w:val="22"/>
          <w:szCs w:val="22"/>
          <w:u w:val="single"/>
          <w:lang w:val="lt-LT"/>
        </w:rPr>
      </w:pPr>
    </w:p>
    <w:p w14:paraId="20E37412" w14:textId="77777777" w:rsidR="00FA7F2B" w:rsidRPr="009E0143" w:rsidRDefault="00FA7F2B" w:rsidP="00F56562">
      <w:pPr>
        <w:tabs>
          <w:tab w:val="left" w:pos="567"/>
        </w:tabs>
        <w:rPr>
          <w:b/>
          <w:sz w:val="22"/>
          <w:szCs w:val="22"/>
          <w:lang w:val="lt-LT"/>
        </w:rPr>
      </w:pPr>
      <w:r w:rsidRPr="009E0143">
        <w:rPr>
          <w:b/>
          <w:sz w:val="22"/>
          <w:szCs w:val="22"/>
          <w:lang w:val="lt-LT"/>
        </w:rPr>
        <w:t>Pranešimas apie šalutinį poveikį</w:t>
      </w:r>
    </w:p>
    <w:p w14:paraId="50E8A6F0" w14:textId="108E4239" w:rsidR="00FA7F2B" w:rsidRPr="009E0143" w:rsidRDefault="00FA7F2B" w:rsidP="00F56562">
      <w:pPr>
        <w:tabs>
          <w:tab w:val="left" w:pos="567"/>
        </w:tabs>
        <w:ind w:right="-1"/>
        <w:rPr>
          <w:sz w:val="22"/>
          <w:szCs w:val="22"/>
          <w:lang w:val="lt-LT"/>
        </w:rPr>
      </w:pPr>
      <w:r w:rsidRPr="009E0143">
        <w:rPr>
          <w:sz w:val="22"/>
          <w:szCs w:val="22"/>
          <w:lang w:val="lt-LT"/>
        </w:rPr>
        <w:t xml:space="preserve">Jeigu pasireiškė šalutinis poveikis, įskaitant šiame lapelyje nenurodytą, pasakykite gydytojui arba vaistininkui. </w:t>
      </w:r>
      <w:r w:rsidR="00493C02" w:rsidRPr="00493C02">
        <w:rPr>
          <w:rFonts w:eastAsia="Times New Roman"/>
          <w:noProof w:val="0"/>
          <w:sz w:val="22"/>
          <w:szCs w:val="20"/>
          <w:lang w:val="lt-LT" w:eastAsia="en-US"/>
        </w:rPr>
        <w:t xml:space="preserve">&gt;. </w:t>
      </w:r>
      <w:bookmarkStart w:id="11" w:name="_Hlk174378802"/>
      <w:r w:rsidR="00493C02" w:rsidRPr="00493C02">
        <w:rPr>
          <w:rFonts w:eastAsia="Times New Roman"/>
          <w:noProof w:val="0"/>
          <w:color w:val="000000"/>
          <w:sz w:val="22"/>
          <w:szCs w:val="18"/>
          <w:lang w:val="lt-LT" w:eastAsia="en-US"/>
        </w:rPr>
        <w:t xml:space="preserve">Pranešimą apie šalutinį poveikį galite užpildyti ir pateikti Valstybinės vaistų kontrolės tarnybos prie Lietuvos Respublikos sveikatos apsaugos ministerijos tinklalapyje </w:t>
      </w:r>
      <w:r w:rsidR="00493C02" w:rsidRPr="00493C02">
        <w:rPr>
          <w:rFonts w:eastAsia="Times New Roman"/>
          <w:noProof w:val="0"/>
          <w:color w:val="0000EE"/>
          <w:sz w:val="22"/>
          <w:szCs w:val="18"/>
          <w:u w:val="single"/>
          <w:lang w:val="lt-LT" w:eastAsia="en-US"/>
        </w:rPr>
        <w:t>https://vvkt.lrv.lt/lt/</w:t>
      </w:r>
      <w:r w:rsidR="00493C02" w:rsidRPr="00493C02">
        <w:rPr>
          <w:rFonts w:eastAsia="Times New Roman"/>
          <w:noProof w:val="0"/>
          <w:color w:val="000000"/>
          <w:sz w:val="22"/>
          <w:szCs w:val="18"/>
          <w:lang w:val="lt-LT" w:eastAsia="en-US"/>
        </w:rPr>
        <w:t xml:space="preserve"> nurodytais būdais arba paskambinti nemokamu telefonu </w:t>
      </w:r>
      <w:r w:rsidR="004B02DA">
        <w:rPr>
          <w:rFonts w:eastAsia="Times New Roman"/>
          <w:noProof w:val="0"/>
          <w:color w:val="000000"/>
          <w:sz w:val="22"/>
          <w:szCs w:val="18"/>
          <w:lang w:val="lt-LT" w:eastAsia="en-US"/>
        </w:rPr>
        <w:t>+370</w:t>
      </w:r>
      <w:r w:rsidR="00493C02" w:rsidRPr="00493C02">
        <w:rPr>
          <w:rFonts w:eastAsia="Times New Roman"/>
          <w:noProof w:val="0"/>
          <w:color w:val="000000"/>
          <w:sz w:val="22"/>
          <w:szCs w:val="18"/>
          <w:lang w:val="lt-LT" w:eastAsia="en-US"/>
        </w:rPr>
        <w:t xml:space="preserve"> 800 73 568. Pranešdami apie šalutinį poveikį galite mums padėti gauti daugiau informacijos apie šio vaisto saugumą.</w:t>
      </w:r>
      <w:bookmarkEnd w:id="11"/>
    </w:p>
    <w:p w14:paraId="08591B35" w14:textId="77777777" w:rsidR="00BD51A6" w:rsidRPr="009E0143" w:rsidRDefault="00BD51A6" w:rsidP="00F56562">
      <w:pPr>
        <w:jc w:val="both"/>
        <w:rPr>
          <w:noProof w:val="0"/>
          <w:sz w:val="22"/>
          <w:szCs w:val="22"/>
          <w:lang w:val="lt-LT"/>
        </w:rPr>
      </w:pPr>
    </w:p>
    <w:p w14:paraId="5D7587CF" w14:textId="77777777" w:rsidR="00F37155" w:rsidRPr="009E0143" w:rsidRDefault="00F37155" w:rsidP="00F56562">
      <w:pPr>
        <w:jc w:val="both"/>
        <w:rPr>
          <w:noProof w:val="0"/>
          <w:sz w:val="22"/>
          <w:szCs w:val="22"/>
          <w:lang w:val="lt-LT"/>
        </w:rPr>
      </w:pPr>
    </w:p>
    <w:p w14:paraId="00E7FBF3" w14:textId="77777777" w:rsidR="00FA7F2B" w:rsidRPr="009E0143" w:rsidRDefault="00FA7F2B" w:rsidP="00F56562">
      <w:pPr>
        <w:keepNext/>
        <w:keepLines/>
        <w:tabs>
          <w:tab w:val="left" w:pos="567"/>
        </w:tabs>
        <w:outlineLvl w:val="2"/>
        <w:rPr>
          <w:sz w:val="22"/>
          <w:szCs w:val="22"/>
          <w:lang w:val="lt-LT"/>
        </w:rPr>
      </w:pPr>
      <w:r w:rsidRPr="009E0143">
        <w:rPr>
          <w:b/>
          <w:sz w:val="22"/>
          <w:szCs w:val="22"/>
          <w:lang w:val="lt-LT"/>
        </w:rPr>
        <w:t>5.</w:t>
      </w:r>
      <w:r w:rsidRPr="009E0143">
        <w:rPr>
          <w:b/>
          <w:sz w:val="22"/>
          <w:szCs w:val="22"/>
          <w:lang w:val="lt-LT"/>
        </w:rPr>
        <w:tab/>
        <w:t xml:space="preserve">Kaip laikyti </w:t>
      </w:r>
      <w:r w:rsidR="006E4A39" w:rsidRPr="009E0143">
        <w:rPr>
          <w:b/>
          <w:sz w:val="22"/>
          <w:szCs w:val="22"/>
          <w:lang w:val="lt-LT"/>
        </w:rPr>
        <w:t>Paracetamol Zentiva</w:t>
      </w:r>
    </w:p>
    <w:p w14:paraId="5EB95465" w14:textId="77777777" w:rsidR="00FA7F2B" w:rsidRPr="009E0143" w:rsidRDefault="00FA7F2B" w:rsidP="00F56562">
      <w:pPr>
        <w:numPr>
          <w:ilvl w:val="12"/>
          <w:numId w:val="0"/>
        </w:numPr>
        <w:ind w:right="-2"/>
        <w:rPr>
          <w:sz w:val="22"/>
          <w:szCs w:val="22"/>
          <w:lang w:val="lt-LT"/>
        </w:rPr>
      </w:pPr>
    </w:p>
    <w:p w14:paraId="06E78C99" w14:textId="77777777" w:rsidR="00FA7F2B" w:rsidRPr="009E0143" w:rsidRDefault="00FA7F2B" w:rsidP="00F56562">
      <w:pPr>
        <w:numPr>
          <w:ilvl w:val="12"/>
          <w:numId w:val="0"/>
        </w:numPr>
        <w:ind w:right="-2"/>
        <w:rPr>
          <w:sz w:val="22"/>
          <w:szCs w:val="22"/>
          <w:lang w:val="lt-LT"/>
        </w:rPr>
      </w:pPr>
      <w:r w:rsidRPr="009E0143">
        <w:rPr>
          <w:sz w:val="22"/>
          <w:szCs w:val="22"/>
          <w:lang w:val="lt-LT"/>
        </w:rPr>
        <w:t>Šį vaistą laikykite vaikams nepastebimoje ir nepasiekiamoje vietoje.</w:t>
      </w:r>
    </w:p>
    <w:p w14:paraId="7C0989B8" w14:textId="77777777" w:rsidR="00FA7F2B" w:rsidRPr="009E0143" w:rsidRDefault="00FA7F2B" w:rsidP="00F56562">
      <w:pPr>
        <w:numPr>
          <w:ilvl w:val="12"/>
          <w:numId w:val="0"/>
        </w:numPr>
        <w:ind w:right="-2"/>
        <w:rPr>
          <w:sz w:val="22"/>
          <w:szCs w:val="22"/>
          <w:lang w:val="lt-LT"/>
        </w:rPr>
      </w:pPr>
      <w:r w:rsidRPr="009E0143">
        <w:rPr>
          <w:sz w:val="22"/>
          <w:szCs w:val="22"/>
          <w:lang w:val="lt-LT"/>
        </w:rPr>
        <w:t>Ant dėžutės ir lizdinės plokštelės po „EXP“ nurodytam tinkamumo laikui pasibaigus, šio vaisto vartoti negalima. Vaistas tinkamas vartoti iki paskutinės nurodyto mėnesio dienos.</w:t>
      </w:r>
    </w:p>
    <w:p w14:paraId="14F54445" w14:textId="77777777" w:rsidR="006E4A39" w:rsidRPr="009E0143" w:rsidRDefault="006E4A39" w:rsidP="00505A64">
      <w:pPr>
        <w:tabs>
          <w:tab w:val="left" w:pos="567"/>
        </w:tabs>
        <w:rPr>
          <w:sz w:val="22"/>
          <w:szCs w:val="22"/>
          <w:lang w:val="lt-LT" w:eastAsia="en-US"/>
        </w:rPr>
      </w:pPr>
      <w:r w:rsidRPr="009E0143">
        <w:rPr>
          <w:sz w:val="22"/>
          <w:szCs w:val="22"/>
          <w:lang w:val="lt-LT" w:eastAsia="en-US"/>
        </w:rPr>
        <w:t>Šiam vaistui specialių laikymo sąlygų nereikia.</w:t>
      </w:r>
    </w:p>
    <w:p w14:paraId="2048B840" w14:textId="77777777" w:rsidR="006E13FC" w:rsidRPr="009E0143" w:rsidRDefault="006E13FC" w:rsidP="00F56562">
      <w:pPr>
        <w:numPr>
          <w:ilvl w:val="12"/>
          <w:numId w:val="0"/>
        </w:numPr>
        <w:ind w:right="-2"/>
        <w:rPr>
          <w:i/>
          <w:sz w:val="22"/>
          <w:szCs w:val="22"/>
          <w:lang w:val="lt-LT"/>
        </w:rPr>
      </w:pPr>
      <w:r w:rsidRPr="009E0143">
        <w:rPr>
          <w:sz w:val="22"/>
          <w:szCs w:val="22"/>
          <w:lang w:val="lt-LT"/>
        </w:rPr>
        <w:t>Vaistų negalima išmesti į kanalizaciją arba su buitinėmis atliekomis. Kaip išmesti nereikalingus vaistus, klauskite vaistininko. Šios priemonės padės apsaugoti aplinką.</w:t>
      </w:r>
    </w:p>
    <w:p w14:paraId="20D13709" w14:textId="77777777" w:rsidR="00BD51A6" w:rsidRPr="009E0143" w:rsidRDefault="00BD51A6" w:rsidP="00F56562">
      <w:pPr>
        <w:jc w:val="both"/>
        <w:rPr>
          <w:b/>
          <w:caps/>
          <w:noProof w:val="0"/>
          <w:sz w:val="22"/>
          <w:szCs w:val="22"/>
          <w:lang w:val="lt-LT"/>
        </w:rPr>
      </w:pPr>
    </w:p>
    <w:p w14:paraId="15390833" w14:textId="77777777" w:rsidR="00F37155" w:rsidRPr="009E0143" w:rsidRDefault="00F37155" w:rsidP="00F56562">
      <w:pPr>
        <w:jc w:val="both"/>
        <w:rPr>
          <w:b/>
          <w:caps/>
          <w:noProof w:val="0"/>
          <w:sz w:val="22"/>
          <w:szCs w:val="22"/>
          <w:lang w:val="lt-LT"/>
        </w:rPr>
      </w:pPr>
    </w:p>
    <w:p w14:paraId="47FC3B48" w14:textId="77777777" w:rsidR="00E95F4B" w:rsidRPr="009E0143" w:rsidRDefault="00E95F4B" w:rsidP="00F56562">
      <w:pPr>
        <w:keepNext/>
        <w:keepLines/>
        <w:tabs>
          <w:tab w:val="left" w:pos="567"/>
        </w:tabs>
        <w:outlineLvl w:val="2"/>
        <w:rPr>
          <w:sz w:val="22"/>
          <w:szCs w:val="22"/>
          <w:lang w:val="lt-LT"/>
        </w:rPr>
      </w:pPr>
      <w:r w:rsidRPr="009E0143">
        <w:rPr>
          <w:b/>
          <w:sz w:val="22"/>
          <w:szCs w:val="22"/>
          <w:lang w:val="lt-LT"/>
        </w:rPr>
        <w:t>6.</w:t>
      </w:r>
      <w:r w:rsidRPr="009E0143">
        <w:rPr>
          <w:sz w:val="22"/>
          <w:szCs w:val="22"/>
          <w:lang w:val="lt-LT"/>
        </w:rPr>
        <w:tab/>
      </w:r>
      <w:r w:rsidRPr="009E0143">
        <w:rPr>
          <w:b/>
          <w:sz w:val="22"/>
          <w:szCs w:val="22"/>
          <w:lang w:val="lt-LT"/>
        </w:rPr>
        <w:t>Pakuotės turinys ir kita informacija</w:t>
      </w:r>
    </w:p>
    <w:p w14:paraId="327B202F" w14:textId="77777777" w:rsidR="00BD51A6" w:rsidRPr="009E0143" w:rsidRDefault="00BD51A6" w:rsidP="00F56562">
      <w:pPr>
        <w:keepNext/>
        <w:jc w:val="both"/>
        <w:rPr>
          <w:rFonts w:eastAsia="MS Mincho"/>
          <w:noProof w:val="0"/>
          <w:sz w:val="22"/>
          <w:szCs w:val="22"/>
          <w:lang w:val="lt-LT" w:eastAsia="fr-FR"/>
        </w:rPr>
      </w:pPr>
    </w:p>
    <w:p w14:paraId="388E7B8C" w14:textId="77777777" w:rsidR="00E95F4B" w:rsidRPr="009E0143" w:rsidRDefault="006E4A39" w:rsidP="00F56562">
      <w:pPr>
        <w:keepNext/>
        <w:tabs>
          <w:tab w:val="left" w:pos="567"/>
        </w:tabs>
        <w:jc w:val="both"/>
        <w:outlineLvl w:val="3"/>
        <w:rPr>
          <w:b/>
          <w:sz w:val="22"/>
          <w:szCs w:val="22"/>
          <w:lang w:val="lt-LT"/>
        </w:rPr>
      </w:pPr>
      <w:r w:rsidRPr="009E0143">
        <w:rPr>
          <w:b/>
          <w:sz w:val="22"/>
          <w:szCs w:val="22"/>
          <w:lang w:val="lt-LT"/>
        </w:rPr>
        <w:t>Paracetamol Zentiva</w:t>
      </w:r>
      <w:r w:rsidR="00E95F4B" w:rsidRPr="009E0143">
        <w:rPr>
          <w:b/>
          <w:sz w:val="22"/>
          <w:szCs w:val="22"/>
          <w:lang w:val="lt-LT"/>
        </w:rPr>
        <w:t xml:space="preserve"> sudėtis</w:t>
      </w:r>
    </w:p>
    <w:p w14:paraId="4D2686D8" w14:textId="77777777" w:rsidR="00B42F74" w:rsidRPr="009E0143" w:rsidRDefault="00E95F4B" w:rsidP="007F555B">
      <w:pPr>
        <w:numPr>
          <w:ilvl w:val="0"/>
          <w:numId w:val="6"/>
        </w:numPr>
        <w:ind w:left="567" w:hanging="567"/>
        <w:rPr>
          <w:noProof w:val="0"/>
          <w:sz w:val="22"/>
          <w:szCs w:val="22"/>
          <w:lang w:val="lt-LT"/>
        </w:rPr>
      </w:pPr>
      <w:r w:rsidRPr="009E0143">
        <w:rPr>
          <w:noProof w:val="0"/>
          <w:sz w:val="22"/>
          <w:szCs w:val="22"/>
          <w:lang w:val="lt-LT"/>
        </w:rPr>
        <w:t>Veiklioji medžiaga yra</w:t>
      </w:r>
      <w:r w:rsidR="00BD51A6" w:rsidRPr="009E0143">
        <w:rPr>
          <w:noProof w:val="0"/>
          <w:sz w:val="22"/>
          <w:szCs w:val="22"/>
          <w:lang w:val="lt-LT"/>
        </w:rPr>
        <w:t xml:space="preserve"> paracetamol</w:t>
      </w:r>
      <w:r w:rsidR="00B42F74" w:rsidRPr="009E0143">
        <w:rPr>
          <w:noProof w:val="0"/>
          <w:sz w:val="22"/>
          <w:szCs w:val="22"/>
          <w:lang w:val="lt-LT"/>
        </w:rPr>
        <w:t>is</w:t>
      </w:r>
      <w:r w:rsidR="00BD51A6" w:rsidRPr="009E0143">
        <w:rPr>
          <w:noProof w:val="0"/>
          <w:sz w:val="22"/>
          <w:szCs w:val="22"/>
          <w:lang w:val="lt-LT"/>
        </w:rPr>
        <w:t xml:space="preserve">. </w:t>
      </w:r>
      <w:r w:rsidR="00B42F74" w:rsidRPr="009E0143">
        <w:rPr>
          <w:noProof w:val="0"/>
          <w:sz w:val="22"/>
          <w:szCs w:val="22"/>
          <w:lang w:val="lt-LT"/>
        </w:rPr>
        <w:t>Kiekvienoje tabletėje yra 500 mg paracetamolio.</w:t>
      </w:r>
    </w:p>
    <w:p w14:paraId="5A0FF644" w14:textId="697B812B" w:rsidR="00BD51A6" w:rsidRPr="009E0143" w:rsidRDefault="00E95F4B" w:rsidP="007F555B">
      <w:pPr>
        <w:numPr>
          <w:ilvl w:val="0"/>
          <w:numId w:val="6"/>
        </w:numPr>
        <w:ind w:left="567" w:hanging="567"/>
        <w:rPr>
          <w:noProof w:val="0"/>
          <w:sz w:val="22"/>
          <w:szCs w:val="22"/>
          <w:lang w:val="lt-LT"/>
        </w:rPr>
      </w:pPr>
      <w:r w:rsidRPr="009E0143">
        <w:rPr>
          <w:noProof w:val="0"/>
          <w:sz w:val="22"/>
          <w:szCs w:val="22"/>
          <w:lang w:val="lt-LT"/>
        </w:rPr>
        <w:lastRenderedPageBreak/>
        <w:t>Pagalbinės medžiagos yra</w:t>
      </w:r>
      <w:r w:rsidR="00BD51A6" w:rsidRPr="009E0143">
        <w:rPr>
          <w:noProof w:val="0"/>
          <w:sz w:val="22"/>
          <w:szCs w:val="22"/>
          <w:lang w:val="lt-LT"/>
        </w:rPr>
        <w:t xml:space="preserve"> </w:t>
      </w:r>
      <w:r w:rsidR="00C33F60" w:rsidRPr="009E0143">
        <w:rPr>
          <w:noProof w:val="0"/>
          <w:sz w:val="22"/>
          <w:szCs w:val="22"/>
          <w:lang w:val="lt-LT"/>
        </w:rPr>
        <w:t>pregelifikuotas kukurūzų krakmolas</w:t>
      </w:r>
      <w:r w:rsidR="00DA79D6" w:rsidRPr="009E0143">
        <w:rPr>
          <w:noProof w:val="0"/>
          <w:sz w:val="22"/>
          <w:szCs w:val="22"/>
          <w:lang w:val="lt-LT"/>
        </w:rPr>
        <w:t>,</w:t>
      </w:r>
      <w:r w:rsidR="0082001E" w:rsidRPr="009E0143">
        <w:rPr>
          <w:noProof w:val="0"/>
          <w:sz w:val="22"/>
          <w:szCs w:val="22"/>
          <w:lang w:val="lt-LT"/>
        </w:rPr>
        <w:t xml:space="preserve"> </w:t>
      </w:r>
      <w:r w:rsidR="00C33F60" w:rsidRPr="009E0143">
        <w:rPr>
          <w:noProof w:val="0"/>
          <w:sz w:val="22"/>
          <w:szCs w:val="22"/>
          <w:lang w:val="lt-LT"/>
        </w:rPr>
        <w:t>kukurūzų krakmolas</w:t>
      </w:r>
      <w:r w:rsidR="00DA79D6" w:rsidRPr="009E0143">
        <w:rPr>
          <w:noProof w:val="0"/>
          <w:sz w:val="22"/>
          <w:szCs w:val="22"/>
          <w:lang w:val="lt-LT"/>
        </w:rPr>
        <w:t>,</w:t>
      </w:r>
      <w:r w:rsidR="0082001E" w:rsidRPr="009E0143">
        <w:rPr>
          <w:noProof w:val="0"/>
          <w:sz w:val="22"/>
          <w:szCs w:val="22"/>
          <w:lang w:val="lt-LT"/>
        </w:rPr>
        <w:t xml:space="preserve"> tal</w:t>
      </w:r>
      <w:r w:rsidR="00C33F60" w:rsidRPr="009E0143">
        <w:rPr>
          <w:noProof w:val="0"/>
          <w:sz w:val="22"/>
          <w:szCs w:val="22"/>
          <w:lang w:val="lt-LT"/>
        </w:rPr>
        <w:t>kas</w:t>
      </w:r>
      <w:r w:rsidR="005B3E94" w:rsidRPr="009E0143">
        <w:rPr>
          <w:noProof w:val="0"/>
          <w:sz w:val="22"/>
          <w:szCs w:val="22"/>
          <w:lang w:val="lt-LT"/>
        </w:rPr>
        <w:t xml:space="preserve"> (E553)</w:t>
      </w:r>
      <w:r w:rsidR="00DA79D6" w:rsidRPr="009E0143">
        <w:rPr>
          <w:noProof w:val="0"/>
          <w:sz w:val="22"/>
          <w:szCs w:val="22"/>
          <w:lang w:val="lt-LT"/>
        </w:rPr>
        <w:t>,</w:t>
      </w:r>
      <w:r w:rsidR="0082001E" w:rsidRPr="009E0143">
        <w:rPr>
          <w:noProof w:val="0"/>
          <w:sz w:val="22"/>
          <w:szCs w:val="22"/>
          <w:lang w:val="lt-LT"/>
        </w:rPr>
        <w:t xml:space="preserve"> </w:t>
      </w:r>
      <w:r w:rsidR="00C33F60" w:rsidRPr="009E0143">
        <w:rPr>
          <w:noProof w:val="0"/>
          <w:sz w:val="22"/>
          <w:szCs w:val="22"/>
          <w:lang w:val="lt-LT"/>
        </w:rPr>
        <w:t>stearino rūgštis</w:t>
      </w:r>
      <w:r w:rsidR="001F17F4" w:rsidRPr="009E0143">
        <w:rPr>
          <w:noProof w:val="0"/>
          <w:sz w:val="22"/>
          <w:szCs w:val="22"/>
          <w:lang w:val="lt-LT"/>
        </w:rPr>
        <w:t xml:space="preserve"> </w:t>
      </w:r>
      <w:r w:rsidR="005B3E94" w:rsidRPr="009E0143">
        <w:rPr>
          <w:noProof w:val="0"/>
          <w:sz w:val="22"/>
          <w:szCs w:val="22"/>
          <w:lang w:val="lt-LT"/>
        </w:rPr>
        <w:t>(E570)</w:t>
      </w:r>
      <w:r w:rsidR="00DA79D6" w:rsidRPr="009E0143">
        <w:rPr>
          <w:noProof w:val="0"/>
          <w:sz w:val="22"/>
          <w:szCs w:val="22"/>
          <w:lang w:val="lt-LT"/>
        </w:rPr>
        <w:t>,</w:t>
      </w:r>
      <w:r w:rsidR="0082001E" w:rsidRPr="009E0143">
        <w:rPr>
          <w:noProof w:val="0"/>
          <w:sz w:val="22"/>
          <w:szCs w:val="22"/>
          <w:lang w:val="lt-LT"/>
        </w:rPr>
        <w:t xml:space="preserve"> povidon</w:t>
      </w:r>
      <w:r w:rsidR="00C33F60" w:rsidRPr="009E0143">
        <w:rPr>
          <w:noProof w:val="0"/>
          <w:sz w:val="22"/>
          <w:szCs w:val="22"/>
          <w:lang w:val="lt-LT"/>
        </w:rPr>
        <w:t>as</w:t>
      </w:r>
      <w:r w:rsidR="0082001E" w:rsidRPr="009E0143">
        <w:rPr>
          <w:noProof w:val="0"/>
          <w:sz w:val="22"/>
          <w:szCs w:val="22"/>
          <w:lang w:val="lt-LT"/>
        </w:rPr>
        <w:t xml:space="preserve"> </w:t>
      </w:r>
      <w:r w:rsidR="005B3E94" w:rsidRPr="009E0143">
        <w:rPr>
          <w:noProof w:val="0"/>
          <w:sz w:val="22"/>
          <w:szCs w:val="22"/>
          <w:lang w:val="lt-LT"/>
        </w:rPr>
        <w:t>(E1201)</w:t>
      </w:r>
      <w:r w:rsidR="00BD51A6" w:rsidRPr="009E0143">
        <w:rPr>
          <w:noProof w:val="0"/>
          <w:sz w:val="22"/>
          <w:szCs w:val="22"/>
          <w:lang w:val="lt-LT"/>
        </w:rPr>
        <w:t>.</w:t>
      </w:r>
    </w:p>
    <w:p w14:paraId="31677AD3" w14:textId="77777777" w:rsidR="00C33F60" w:rsidRPr="009E0143" w:rsidRDefault="00C33F60" w:rsidP="00F56562">
      <w:pPr>
        <w:keepNext/>
        <w:tabs>
          <w:tab w:val="left" w:pos="567"/>
        </w:tabs>
        <w:jc w:val="both"/>
        <w:outlineLvl w:val="3"/>
        <w:rPr>
          <w:noProof w:val="0"/>
          <w:sz w:val="22"/>
          <w:szCs w:val="22"/>
          <w:lang w:val="lt-LT"/>
        </w:rPr>
      </w:pPr>
    </w:p>
    <w:p w14:paraId="69DFCE9C" w14:textId="77777777" w:rsidR="00E95F4B" w:rsidRPr="009E0143" w:rsidRDefault="006E4A39" w:rsidP="00F56562">
      <w:pPr>
        <w:keepNext/>
        <w:tabs>
          <w:tab w:val="left" w:pos="567"/>
        </w:tabs>
        <w:jc w:val="both"/>
        <w:outlineLvl w:val="3"/>
        <w:rPr>
          <w:sz w:val="22"/>
          <w:szCs w:val="22"/>
          <w:lang w:val="lt-LT"/>
        </w:rPr>
      </w:pPr>
      <w:r w:rsidRPr="009E0143">
        <w:rPr>
          <w:b/>
          <w:sz w:val="22"/>
          <w:szCs w:val="22"/>
          <w:lang w:val="lt-LT"/>
        </w:rPr>
        <w:t>Paracetamol Zentiva</w:t>
      </w:r>
      <w:r w:rsidR="00E95F4B" w:rsidRPr="009E0143">
        <w:rPr>
          <w:b/>
          <w:sz w:val="22"/>
          <w:szCs w:val="22"/>
          <w:lang w:val="lt-LT"/>
        </w:rPr>
        <w:t xml:space="preserve"> išvaizda ir kiekis pakuotėje</w:t>
      </w:r>
    </w:p>
    <w:p w14:paraId="4A062E55" w14:textId="77777777" w:rsidR="00BB6F9C" w:rsidRPr="009E0143" w:rsidRDefault="00BB6F9C" w:rsidP="00F56562">
      <w:pPr>
        <w:jc w:val="both"/>
        <w:rPr>
          <w:noProof w:val="0"/>
          <w:sz w:val="22"/>
          <w:szCs w:val="22"/>
          <w:lang w:val="lt-LT"/>
        </w:rPr>
      </w:pPr>
      <w:r w:rsidRPr="009E0143">
        <w:rPr>
          <w:noProof w:val="0"/>
          <w:sz w:val="22"/>
          <w:szCs w:val="22"/>
          <w:lang w:val="lt-LT"/>
        </w:rPr>
        <w:t>Tablet</w:t>
      </w:r>
      <w:r w:rsidR="00E95F4B" w:rsidRPr="009E0143">
        <w:rPr>
          <w:noProof w:val="0"/>
          <w:sz w:val="22"/>
          <w:szCs w:val="22"/>
          <w:lang w:val="lt-LT"/>
        </w:rPr>
        <w:t>ė</w:t>
      </w:r>
      <w:r w:rsidRPr="009E0143">
        <w:rPr>
          <w:noProof w:val="0"/>
          <w:sz w:val="22"/>
          <w:szCs w:val="22"/>
          <w:lang w:val="lt-LT"/>
        </w:rPr>
        <w:t>.</w:t>
      </w:r>
    </w:p>
    <w:p w14:paraId="6A2C4FCA" w14:textId="77777777" w:rsidR="00C33F60" w:rsidRPr="009E0143" w:rsidRDefault="008E56AF" w:rsidP="00D2751E">
      <w:pPr>
        <w:tabs>
          <w:tab w:val="left" w:pos="567"/>
        </w:tabs>
        <w:rPr>
          <w:sz w:val="22"/>
          <w:szCs w:val="22"/>
          <w:lang w:val="lt-LT" w:eastAsia="en-US"/>
        </w:rPr>
      </w:pPr>
      <w:r w:rsidRPr="009E0143">
        <w:rPr>
          <w:noProof w:val="0"/>
          <w:sz w:val="22"/>
          <w:szCs w:val="22"/>
          <w:lang w:val="lt-LT"/>
        </w:rPr>
        <w:t>Balta kapsulės formos tabletė nuožulniais kraštais, kurios matmenys yra maždaug 17×7</w:t>
      </w:r>
      <w:r w:rsidR="00355FCF" w:rsidRPr="009E0143">
        <w:rPr>
          <w:noProof w:val="0"/>
          <w:sz w:val="22"/>
          <w:szCs w:val="22"/>
          <w:lang w:val="lt-LT"/>
        </w:rPr>
        <w:t> </w:t>
      </w:r>
      <w:r w:rsidRPr="009E0143">
        <w:rPr>
          <w:noProof w:val="0"/>
          <w:sz w:val="22"/>
          <w:szCs w:val="22"/>
          <w:lang w:val="lt-LT"/>
        </w:rPr>
        <w:t xml:space="preserve">mm, su vagele vienoje pusėje, kuri skiria „S“ ir „1“ žymenis (S|1). </w:t>
      </w:r>
      <w:r w:rsidR="00C33F60" w:rsidRPr="009E0143">
        <w:rPr>
          <w:sz w:val="22"/>
          <w:szCs w:val="22"/>
          <w:lang w:val="lt-LT" w:eastAsia="en-US"/>
        </w:rPr>
        <w:t>Tabletę galima padalyti į lygias dozes.</w:t>
      </w:r>
    </w:p>
    <w:p w14:paraId="40FDDB37" w14:textId="77777777" w:rsidR="00C51FC4" w:rsidRPr="009E0143" w:rsidRDefault="00C51FC4" w:rsidP="00D2751E">
      <w:pPr>
        <w:rPr>
          <w:bCs/>
          <w:noProof w:val="0"/>
          <w:sz w:val="22"/>
          <w:szCs w:val="22"/>
          <w:highlight w:val="lightGray"/>
          <w:lang w:val="lt-LT"/>
        </w:rPr>
      </w:pPr>
    </w:p>
    <w:p w14:paraId="65CF96DC" w14:textId="77777777" w:rsidR="00C33F60" w:rsidRPr="009E0143" w:rsidRDefault="00143DC6" w:rsidP="00D2751E">
      <w:pPr>
        <w:rPr>
          <w:noProof w:val="0"/>
          <w:sz w:val="22"/>
          <w:szCs w:val="22"/>
          <w:lang w:val="lt-LT"/>
        </w:rPr>
      </w:pPr>
      <w:r w:rsidRPr="009E0143">
        <w:rPr>
          <w:noProof w:val="0"/>
          <w:sz w:val="22"/>
          <w:szCs w:val="22"/>
          <w:lang w:val="lt-LT"/>
        </w:rPr>
        <w:t xml:space="preserve">Paracetamol Zentiva yra supakuotas </w:t>
      </w:r>
      <w:r w:rsidR="00C33F60" w:rsidRPr="009E0143">
        <w:rPr>
          <w:noProof w:val="0"/>
          <w:sz w:val="22"/>
          <w:szCs w:val="22"/>
          <w:lang w:val="lt-LT"/>
        </w:rPr>
        <w:t>PVC/Aliuminio lizdinė</w:t>
      </w:r>
      <w:r w:rsidRPr="009E0143">
        <w:rPr>
          <w:noProof w:val="0"/>
          <w:sz w:val="22"/>
          <w:szCs w:val="22"/>
          <w:lang w:val="lt-LT"/>
        </w:rPr>
        <w:t>se</w:t>
      </w:r>
      <w:r w:rsidR="00C33F60" w:rsidRPr="009E0143">
        <w:rPr>
          <w:noProof w:val="0"/>
          <w:sz w:val="22"/>
          <w:szCs w:val="22"/>
          <w:lang w:val="lt-LT"/>
        </w:rPr>
        <w:t xml:space="preserve"> plokštelė</w:t>
      </w:r>
      <w:r w:rsidRPr="009E0143">
        <w:rPr>
          <w:noProof w:val="0"/>
          <w:sz w:val="22"/>
          <w:szCs w:val="22"/>
          <w:lang w:val="lt-LT"/>
        </w:rPr>
        <w:t>se</w:t>
      </w:r>
      <w:r w:rsidR="00C33F60" w:rsidRPr="009E0143">
        <w:rPr>
          <w:noProof w:val="0"/>
          <w:sz w:val="22"/>
          <w:szCs w:val="22"/>
          <w:lang w:val="lt-LT"/>
        </w:rPr>
        <w:t>.</w:t>
      </w:r>
    </w:p>
    <w:p w14:paraId="67DB5381" w14:textId="77777777" w:rsidR="00DA79D6" w:rsidRPr="009E0143" w:rsidRDefault="00DA79D6" w:rsidP="00D2751E">
      <w:pPr>
        <w:rPr>
          <w:noProof w:val="0"/>
          <w:sz w:val="22"/>
          <w:szCs w:val="22"/>
          <w:lang w:val="lt-LT"/>
        </w:rPr>
      </w:pPr>
      <w:r w:rsidRPr="009E0143">
        <w:rPr>
          <w:noProof w:val="0"/>
          <w:sz w:val="22"/>
          <w:szCs w:val="22"/>
          <w:lang w:val="lt-LT"/>
        </w:rPr>
        <w:t>Pakuotės dydžiai:</w:t>
      </w:r>
    </w:p>
    <w:p w14:paraId="641F770B" w14:textId="77777777" w:rsidR="00C33F60" w:rsidRPr="009E0143" w:rsidRDefault="00143DC6" w:rsidP="00D2751E">
      <w:pPr>
        <w:rPr>
          <w:bCs/>
          <w:noProof w:val="0"/>
          <w:sz w:val="22"/>
          <w:szCs w:val="22"/>
          <w:lang w:val="lt-LT"/>
        </w:rPr>
      </w:pPr>
      <w:r w:rsidRPr="009E0143">
        <w:rPr>
          <w:noProof w:val="0"/>
          <w:sz w:val="22"/>
          <w:szCs w:val="22"/>
          <w:lang w:val="lt-LT"/>
        </w:rPr>
        <w:t xml:space="preserve">Paracetamol Zentiva 500 mg tabletės yra tiekiamos pakuotėse po </w:t>
      </w:r>
      <w:r w:rsidR="00C33F60" w:rsidRPr="009E0143">
        <w:rPr>
          <w:noProof w:val="0"/>
          <w:sz w:val="22"/>
          <w:szCs w:val="22"/>
          <w:lang w:val="lt-LT"/>
        </w:rPr>
        <w:t>50, 100, 120, 300 tablečių.</w:t>
      </w:r>
    </w:p>
    <w:p w14:paraId="2626D284" w14:textId="77777777" w:rsidR="00C33F60" w:rsidRPr="009E0143" w:rsidRDefault="00C33F60" w:rsidP="00D2751E">
      <w:pPr>
        <w:rPr>
          <w:sz w:val="22"/>
          <w:szCs w:val="22"/>
          <w:lang w:val="lt-LT"/>
        </w:rPr>
      </w:pPr>
      <w:r w:rsidRPr="009E0143">
        <w:rPr>
          <w:sz w:val="22"/>
          <w:szCs w:val="22"/>
          <w:lang w:val="lt-LT"/>
        </w:rPr>
        <w:t>Gali būti tiekiamos ne visų dydžių pakuotės.</w:t>
      </w:r>
    </w:p>
    <w:p w14:paraId="3A66CC8C" w14:textId="77777777" w:rsidR="00C33F60" w:rsidRPr="009E0143" w:rsidRDefault="00C33F60" w:rsidP="00D2751E">
      <w:pPr>
        <w:rPr>
          <w:noProof w:val="0"/>
          <w:sz w:val="22"/>
          <w:szCs w:val="22"/>
          <w:lang w:val="lt-LT"/>
        </w:rPr>
      </w:pPr>
    </w:p>
    <w:p w14:paraId="14C1F25A" w14:textId="77777777" w:rsidR="00E95F4B" w:rsidRPr="009E0143" w:rsidRDefault="00E95F4B" w:rsidP="00F56562">
      <w:pPr>
        <w:keepNext/>
        <w:tabs>
          <w:tab w:val="left" w:pos="567"/>
        </w:tabs>
        <w:jc w:val="both"/>
        <w:outlineLvl w:val="3"/>
        <w:rPr>
          <w:sz w:val="22"/>
          <w:szCs w:val="22"/>
          <w:lang w:val="lt-LT"/>
        </w:rPr>
      </w:pPr>
      <w:r w:rsidRPr="009E0143">
        <w:rPr>
          <w:b/>
          <w:sz w:val="22"/>
          <w:szCs w:val="22"/>
          <w:lang w:val="lt-LT"/>
        </w:rPr>
        <w:t>Registruotojas ir gamintojas</w:t>
      </w:r>
    </w:p>
    <w:p w14:paraId="6F7B11DA" w14:textId="77777777" w:rsidR="00E95F4B" w:rsidRPr="009E0143" w:rsidRDefault="00E95F4B" w:rsidP="00F56562">
      <w:pPr>
        <w:numPr>
          <w:ilvl w:val="12"/>
          <w:numId w:val="0"/>
        </w:numPr>
        <w:ind w:right="-2"/>
        <w:rPr>
          <w:sz w:val="22"/>
          <w:szCs w:val="22"/>
          <w:lang w:val="lt-LT"/>
        </w:rPr>
      </w:pPr>
    </w:p>
    <w:p w14:paraId="5F68CA03" w14:textId="77777777" w:rsidR="00692F04" w:rsidRPr="009E0143" w:rsidRDefault="00692F04" w:rsidP="00F56562">
      <w:pPr>
        <w:rPr>
          <w:i/>
          <w:iCs/>
          <w:sz w:val="22"/>
          <w:szCs w:val="22"/>
          <w:lang w:val="lt-LT"/>
        </w:rPr>
      </w:pPr>
      <w:r w:rsidRPr="009E0143">
        <w:rPr>
          <w:i/>
          <w:iCs/>
          <w:sz w:val="22"/>
          <w:szCs w:val="22"/>
          <w:lang w:val="lt-LT"/>
        </w:rPr>
        <w:t>Registruotojas</w:t>
      </w:r>
    </w:p>
    <w:p w14:paraId="521AABA2" w14:textId="77777777" w:rsidR="00692F04" w:rsidRPr="009E0143" w:rsidRDefault="00692F04" w:rsidP="00F56562">
      <w:pPr>
        <w:rPr>
          <w:noProof w:val="0"/>
          <w:sz w:val="22"/>
          <w:szCs w:val="22"/>
          <w:lang w:val="lt-LT" w:eastAsia="lt-LT"/>
        </w:rPr>
      </w:pPr>
      <w:r w:rsidRPr="009E0143">
        <w:rPr>
          <w:sz w:val="22"/>
          <w:szCs w:val="22"/>
          <w:lang w:val="lt-LT"/>
        </w:rPr>
        <w:t>Zentiva, k.s.</w:t>
      </w:r>
    </w:p>
    <w:p w14:paraId="643737D2" w14:textId="77777777" w:rsidR="00692F04" w:rsidRPr="009E0143" w:rsidRDefault="00692F04" w:rsidP="00F56562">
      <w:pPr>
        <w:rPr>
          <w:sz w:val="22"/>
          <w:szCs w:val="22"/>
          <w:lang w:val="lt-LT"/>
        </w:rPr>
      </w:pPr>
      <w:r w:rsidRPr="009E0143">
        <w:rPr>
          <w:sz w:val="22"/>
          <w:szCs w:val="22"/>
          <w:lang w:val="lt-LT"/>
        </w:rPr>
        <w:t>U kabelovny 130</w:t>
      </w:r>
    </w:p>
    <w:p w14:paraId="3565688E" w14:textId="77777777" w:rsidR="00692F04" w:rsidRPr="009E0143" w:rsidRDefault="00692F04" w:rsidP="00F56562">
      <w:pPr>
        <w:rPr>
          <w:sz w:val="22"/>
          <w:szCs w:val="22"/>
          <w:lang w:val="lt-LT"/>
        </w:rPr>
      </w:pPr>
      <w:r w:rsidRPr="009E0143">
        <w:rPr>
          <w:sz w:val="22"/>
          <w:szCs w:val="22"/>
          <w:lang w:val="lt-LT"/>
        </w:rPr>
        <w:t>Dolní Měcholupy</w:t>
      </w:r>
    </w:p>
    <w:p w14:paraId="0E68CD55" w14:textId="77777777" w:rsidR="00692F04" w:rsidRPr="009E0143" w:rsidRDefault="00692F04" w:rsidP="00F56562">
      <w:pPr>
        <w:rPr>
          <w:sz w:val="22"/>
          <w:szCs w:val="22"/>
          <w:lang w:val="lt-LT"/>
        </w:rPr>
      </w:pPr>
      <w:r w:rsidRPr="009E0143">
        <w:rPr>
          <w:sz w:val="22"/>
          <w:szCs w:val="22"/>
          <w:lang w:val="lt-LT"/>
        </w:rPr>
        <w:t>102 37 Praha 10</w:t>
      </w:r>
    </w:p>
    <w:p w14:paraId="6599DCC4" w14:textId="77777777" w:rsidR="00692F04" w:rsidRPr="009E0143" w:rsidRDefault="00692F04" w:rsidP="00F56562">
      <w:pPr>
        <w:rPr>
          <w:sz w:val="22"/>
          <w:szCs w:val="22"/>
          <w:lang w:val="lt-LT"/>
        </w:rPr>
      </w:pPr>
      <w:r w:rsidRPr="009E0143">
        <w:rPr>
          <w:sz w:val="22"/>
          <w:szCs w:val="22"/>
          <w:lang w:val="lt-LT"/>
        </w:rPr>
        <w:t>Čekija</w:t>
      </w:r>
    </w:p>
    <w:p w14:paraId="5AB72F75" w14:textId="77777777" w:rsidR="00692F04" w:rsidRPr="009E0143" w:rsidRDefault="00692F04" w:rsidP="00F56562">
      <w:pPr>
        <w:rPr>
          <w:sz w:val="22"/>
          <w:szCs w:val="22"/>
          <w:lang w:val="lt-LT"/>
        </w:rPr>
      </w:pPr>
    </w:p>
    <w:p w14:paraId="40A476B1" w14:textId="77777777" w:rsidR="00692F04" w:rsidRPr="009E0143" w:rsidRDefault="00692F04" w:rsidP="00F56562">
      <w:pPr>
        <w:numPr>
          <w:ilvl w:val="12"/>
          <w:numId w:val="0"/>
        </w:numPr>
        <w:ind w:right="-2"/>
        <w:rPr>
          <w:i/>
          <w:iCs/>
          <w:sz w:val="22"/>
          <w:szCs w:val="22"/>
          <w:lang w:val="lt-LT"/>
        </w:rPr>
      </w:pPr>
      <w:r w:rsidRPr="009E0143">
        <w:rPr>
          <w:i/>
          <w:iCs/>
          <w:sz w:val="22"/>
          <w:szCs w:val="22"/>
          <w:lang w:val="lt-LT"/>
        </w:rPr>
        <w:t>Gamintojas</w:t>
      </w:r>
    </w:p>
    <w:p w14:paraId="006A4051" w14:textId="77777777" w:rsidR="007F3518" w:rsidRPr="009E0143" w:rsidRDefault="007F3518" w:rsidP="007F3518">
      <w:pPr>
        <w:tabs>
          <w:tab w:val="left" w:pos="567"/>
        </w:tabs>
        <w:rPr>
          <w:sz w:val="22"/>
          <w:szCs w:val="22"/>
          <w:lang w:val="lt-LT"/>
        </w:rPr>
      </w:pPr>
      <w:r w:rsidRPr="009E0143">
        <w:rPr>
          <w:sz w:val="22"/>
          <w:szCs w:val="22"/>
          <w:lang w:val="lt-LT"/>
        </w:rPr>
        <w:t>Zentiva S.A.</w:t>
      </w:r>
    </w:p>
    <w:p w14:paraId="07321901" w14:textId="77777777" w:rsidR="007F3518" w:rsidRPr="009E0143" w:rsidRDefault="007F3518" w:rsidP="007F3518">
      <w:pPr>
        <w:tabs>
          <w:tab w:val="left" w:pos="567"/>
        </w:tabs>
        <w:rPr>
          <w:sz w:val="22"/>
          <w:szCs w:val="22"/>
          <w:lang w:val="lt-LT"/>
        </w:rPr>
      </w:pPr>
      <w:r w:rsidRPr="009E0143">
        <w:rPr>
          <w:sz w:val="22"/>
          <w:szCs w:val="22"/>
          <w:lang w:val="lt-LT"/>
        </w:rPr>
        <w:t>Bulevardul Pallady Theodor  Nr. 50, Sector 3</w:t>
      </w:r>
    </w:p>
    <w:p w14:paraId="27F5E9F9" w14:textId="77777777" w:rsidR="007F3518" w:rsidRPr="009E0143" w:rsidRDefault="00A32F9C" w:rsidP="007F3518">
      <w:pPr>
        <w:tabs>
          <w:tab w:val="left" w:pos="567"/>
        </w:tabs>
        <w:rPr>
          <w:sz w:val="22"/>
          <w:szCs w:val="22"/>
          <w:lang w:val="lt-LT"/>
        </w:rPr>
      </w:pPr>
      <w:r w:rsidRPr="009E0143">
        <w:rPr>
          <w:sz w:val="22"/>
          <w:szCs w:val="22"/>
          <w:lang w:val="lt-LT"/>
        </w:rPr>
        <w:t xml:space="preserve">032266 </w:t>
      </w:r>
      <w:r w:rsidR="007F3518" w:rsidRPr="009E0143">
        <w:rPr>
          <w:sz w:val="22"/>
          <w:szCs w:val="22"/>
          <w:lang w:val="lt-LT"/>
        </w:rPr>
        <w:t xml:space="preserve">Bucharest </w:t>
      </w:r>
    </w:p>
    <w:p w14:paraId="201DB3B0" w14:textId="77777777" w:rsidR="007F3518" w:rsidRPr="009E0143" w:rsidRDefault="007F3518" w:rsidP="007F3518">
      <w:pPr>
        <w:tabs>
          <w:tab w:val="left" w:pos="567"/>
        </w:tabs>
        <w:rPr>
          <w:sz w:val="22"/>
          <w:szCs w:val="22"/>
          <w:lang w:val="lt-LT"/>
        </w:rPr>
      </w:pPr>
      <w:r w:rsidRPr="009E0143">
        <w:rPr>
          <w:sz w:val="22"/>
          <w:szCs w:val="22"/>
          <w:lang w:val="lt-LT"/>
        </w:rPr>
        <w:t>Rumunija</w:t>
      </w:r>
    </w:p>
    <w:p w14:paraId="2E8327F0" w14:textId="77777777" w:rsidR="00BD51A6" w:rsidRPr="009E0143" w:rsidRDefault="00BD51A6" w:rsidP="00F56562">
      <w:pPr>
        <w:jc w:val="both"/>
        <w:rPr>
          <w:noProof w:val="0"/>
          <w:sz w:val="22"/>
          <w:szCs w:val="22"/>
          <w:lang w:val="lt-LT"/>
        </w:rPr>
      </w:pPr>
    </w:p>
    <w:p w14:paraId="789FFED5" w14:textId="77777777" w:rsidR="00E95F4B" w:rsidRPr="009E0143" w:rsidRDefault="00E95F4B" w:rsidP="00F56562">
      <w:pPr>
        <w:numPr>
          <w:ilvl w:val="12"/>
          <w:numId w:val="0"/>
        </w:numPr>
        <w:tabs>
          <w:tab w:val="left" w:pos="567"/>
        </w:tabs>
        <w:ind w:right="-2"/>
        <w:rPr>
          <w:sz w:val="22"/>
          <w:szCs w:val="22"/>
          <w:lang w:val="lt-LT"/>
        </w:rPr>
      </w:pPr>
      <w:r w:rsidRPr="009E0143">
        <w:rPr>
          <w:b/>
          <w:sz w:val="22"/>
          <w:szCs w:val="22"/>
          <w:lang w:val="lt-LT"/>
        </w:rPr>
        <w:t>Šis vaistas Europos ekonominės erdvės valstybėse narėse registruotas tokiais pavadinimais:</w:t>
      </w:r>
    </w:p>
    <w:p w14:paraId="556AA2D8" w14:textId="709604A0" w:rsidR="00696DDC" w:rsidRPr="009E0143" w:rsidRDefault="00696DDC" w:rsidP="00F56562">
      <w:pPr>
        <w:jc w:val="both"/>
        <w:rPr>
          <w:noProof w:val="0"/>
          <w:sz w:val="22"/>
          <w:szCs w:val="22"/>
          <w:lang w:val="lt-LT"/>
        </w:rPr>
      </w:pPr>
    </w:p>
    <w:tbl>
      <w:tblPr>
        <w:tblStyle w:val="Lentelstinklelis"/>
        <w:tblW w:w="0" w:type="auto"/>
        <w:tblLook w:val="04A0" w:firstRow="1" w:lastRow="0" w:firstColumn="1" w:lastColumn="0" w:noHBand="0" w:noVBand="1"/>
      </w:tblPr>
      <w:tblGrid>
        <w:gridCol w:w="6641"/>
        <w:gridCol w:w="2419"/>
      </w:tblGrid>
      <w:tr w:rsidR="006E3786" w:rsidRPr="009E0143" w14:paraId="58CF431B" w14:textId="77777777" w:rsidTr="006E3786">
        <w:tc>
          <w:tcPr>
            <w:tcW w:w="0" w:type="auto"/>
          </w:tcPr>
          <w:p w14:paraId="0EFB6D51" w14:textId="7EC21D06" w:rsidR="006E3786" w:rsidRPr="009E0143" w:rsidRDefault="006E3786" w:rsidP="006A51BA">
            <w:pPr>
              <w:rPr>
                <w:noProof w:val="0"/>
                <w:sz w:val="22"/>
                <w:szCs w:val="22"/>
                <w:lang w:val="lt-LT"/>
              </w:rPr>
            </w:pPr>
            <w:r w:rsidRPr="009E0143">
              <w:rPr>
                <w:noProof w:val="0"/>
                <w:sz w:val="22"/>
                <w:szCs w:val="22"/>
                <w:lang w:val="lt-LT"/>
              </w:rPr>
              <w:t>Čekija, Danija, Estija, Airija, Latvija, Lietuva, Norvegija, Lenkija, Slovakija, Švedija</w:t>
            </w:r>
          </w:p>
        </w:tc>
        <w:tc>
          <w:tcPr>
            <w:tcW w:w="0" w:type="auto"/>
          </w:tcPr>
          <w:p w14:paraId="5E9D6F9A" w14:textId="349FCDF2" w:rsidR="006E3786" w:rsidRPr="009E0143" w:rsidRDefault="006E3786" w:rsidP="006A51BA">
            <w:pPr>
              <w:rPr>
                <w:noProof w:val="0"/>
                <w:sz w:val="22"/>
                <w:szCs w:val="22"/>
                <w:lang w:val="lt-LT"/>
              </w:rPr>
            </w:pPr>
            <w:r w:rsidRPr="009E0143">
              <w:rPr>
                <w:noProof w:val="0"/>
                <w:sz w:val="22"/>
                <w:szCs w:val="22"/>
                <w:lang w:val="lt-LT"/>
              </w:rPr>
              <w:t>Paracetamol Zentiva</w:t>
            </w:r>
          </w:p>
        </w:tc>
      </w:tr>
      <w:tr w:rsidR="006E3786" w:rsidRPr="009E0143" w14:paraId="34BF3DD0" w14:textId="77777777" w:rsidTr="006E3786">
        <w:tc>
          <w:tcPr>
            <w:tcW w:w="0" w:type="auto"/>
          </w:tcPr>
          <w:p w14:paraId="224E4CAF" w14:textId="3F7659DF" w:rsidR="006E3786" w:rsidRPr="009E0143" w:rsidRDefault="006E3786" w:rsidP="006A51BA">
            <w:pPr>
              <w:rPr>
                <w:noProof w:val="0"/>
                <w:sz w:val="22"/>
                <w:szCs w:val="22"/>
                <w:lang w:val="lt-LT"/>
              </w:rPr>
            </w:pPr>
            <w:r w:rsidRPr="009E0143">
              <w:rPr>
                <w:noProof w:val="0"/>
                <w:sz w:val="22"/>
                <w:szCs w:val="22"/>
                <w:lang w:val="lt-LT"/>
              </w:rPr>
              <w:t>Prancūzija</w:t>
            </w:r>
          </w:p>
        </w:tc>
        <w:tc>
          <w:tcPr>
            <w:tcW w:w="0" w:type="auto"/>
          </w:tcPr>
          <w:p w14:paraId="30E0A24D" w14:textId="5B3CB4CB" w:rsidR="006E3786" w:rsidRPr="009E0143" w:rsidRDefault="006E3786" w:rsidP="006A51BA">
            <w:pPr>
              <w:rPr>
                <w:noProof w:val="0"/>
                <w:sz w:val="22"/>
                <w:szCs w:val="22"/>
                <w:lang w:val="lt-LT"/>
              </w:rPr>
            </w:pPr>
            <w:r w:rsidRPr="009E0143">
              <w:rPr>
                <w:noProof w:val="0"/>
                <w:sz w:val="22"/>
                <w:szCs w:val="22"/>
                <w:lang w:val="lt-LT"/>
              </w:rPr>
              <w:t>Paracetamol Zentiva LAB</w:t>
            </w:r>
          </w:p>
        </w:tc>
      </w:tr>
      <w:tr w:rsidR="006E3786" w:rsidRPr="001E2631" w14:paraId="78A3F0A9" w14:textId="77777777" w:rsidTr="006E3786">
        <w:tc>
          <w:tcPr>
            <w:tcW w:w="0" w:type="auto"/>
          </w:tcPr>
          <w:p w14:paraId="27B3263C" w14:textId="12DDF4FF" w:rsidR="006E3786" w:rsidRPr="009E0143" w:rsidRDefault="006E3786" w:rsidP="006A51BA">
            <w:pPr>
              <w:rPr>
                <w:noProof w:val="0"/>
                <w:sz w:val="22"/>
                <w:szCs w:val="22"/>
                <w:lang w:val="lt-LT"/>
              </w:rPr>
            </w:pPr>
            <w:r w:rsidRPr="009E0143">
              <w:rPr>
                <w:noProof w:val="0"/>
                <w:sz w:val="22"/>
                <w:szCs w:val="22"/>
                <w:lang w:val="lt-LT"/>
              </w:rPr>
              <w:t>Italija</w:t>
            </w:r>
          </w:p>
        </w:tc>
        <w:tc>
          <w:tcPr>
            <w:tcW w:w="0" w:type="auto"/>
          </w:tcPr>
          <w:p w14:paraId="1ECEA530" w14:textId="25D3B144" w:rsidR="006E3786" w:rsidRPr="009E0143" w:rsidRDefault="006E3786" w:rsidP="006A51BA">
            <w:pPr>
              <w:rPr>
                <w:noProof w:val="0"/>
                <w:sz w:val="22"/>
                <w:szCs w:val="22"/>
                <w:lang w:val="lt-LT"/>
              </w:rPr>
            </w:pPr>
            <w:r w:rsidRPr="009E0143">
              <w:rPr>
                <w:noProof w:val="0"/>
                <w:sz w:val="22"/>
                <w:szCs w:val="22"/>
                <w:lang w:val="lt-LT"/>
              </w:rPr>
              <w:t>Paracetamolo Zentiva S.r.l.</w:t>
            </w:r>
          </w:p>
        </w:tc>
      </w:tr>
      <w:tr w:rsidR="006E3786" w:rsidRPr="009E0143" w14:paraId="11CBF16F" w14:textId="77777777" w:rsidTr="006E3786">
        <w:tc>
          <w:tcPr>
            <w:tcW w:w="0" w:type="auto"/>
          </w:tcPr>
          <w:p w14:paraId="44547583" w14:textId="544005F5" w:rsidR="006E3786" w:rsidRPr="009E0143" w:rsidRDefault="006E3786" w:rsidP="006A51BA">
            <w:pPr>
              <w:rPr>
                <w:noProof w:val="0"/>
                <w:sz w:val="22"/>
                <w:szCs w:val="22"/>
                <w:lang w:val="lt-LT"/>
              </w:rPr>
            </w:pPr>
            <w:r w:rsidRPr="009E0143">
              <w:rPr>
                <w:noProof w:val="0"/>
                <w:sz w:val="22"/>
                <w:szCs w:val="22"/>
                <w:lang w:val="lt-LT"/>
              </w:rPr>
              <w:t>Rumunija</w:t>
            </w:r>
          </w:p>
        </w:tc>
        <w:tc>
          <w:tcPr>
            <w:tcW w:w="0" w:type="auto"/>
          </w:tcPr>
          <w:p w14:paraId="772CEEA4" w14:textId="50DF4759" w:rsidR="006E3786" w:rsidRPr="009E0143" w:rsidRDefault="006E3786" w:rsidP="006A51BA">
            <w:pPr>
              <w:rPr>
                <w:noProof w:val="0"/>
                <w:sz w:val="22"/>
                <w:szCs w:val="22"/>
                <w:lang w:val="lt-LT"/>
              </w:rPr>
            </w:pPr>
            <w:r w:rsidRPr="009E0143">
              <w:rPr>
                <w:noProof w:val="0"/>
                <w:sz w:val="22"/>
                <w:szCs w:val="22"/>
                <w:lang w:val="lt-LT"/>
              </w:rPr>
              <w:t>Pacetral</w:t>
            </w:r>
          </w:p>
        </w:tc>
      </w:tr>
    </w:tbl>
    <w:p w14:paraId="76F62064" w14:textId="77777777" w:rsidR="00BE108E" w:rsidRPr="009E0143" w:rsidRDefault="00BE108E" w:rsidP="00F56562">
      <w:pPr>
        <w:jc w:val="both"/>
        <w:rPr>
          <w:noProof w:val="0"/>
          <w:sz w:val="22"/>
          <w:szCs w:val="22"/>
          <w:lang w:val="lt-LT"/>
        </w:rPr>
      </w:pPr>
    </w:p>
    <w:p w14:paraId="5B459A0E" w14:textId="5D1AB85E" w:rsidR="001D0481" w:rsidRPr="009E0143" w:rsidRDefault="00E95F4B" w:rsidP="00F56562">
      <w:pPr>
        <w:jc w:val="both"/>
        <w:rPr>
          <w:sz w:val="22"/>
          <w:szCs w:val="22"/>
          <w:lang w:val="lt-LT"/>
        </w:rPr>
      </w:pPr>
      <w:r w:rsidRPr="009E0143">
        <w:rPr>
          <w:b/>
          <w:sz w:val="22"/>
          <w:szCs w:val="22"/>
          <w:lang w:val="lt-LT"/>
        </w:rPr>
        <w:t xml:space="preserve">Šis pakuotės lapelis paskutinį kartą peržiūrėtas </w:t>
      </w:r>
      <w:r w:rsidR="00267263" w:rsidRPr="009E0143">
        <w:rPr>
          <w:b/>
          <w:sz w:val="22"/>
          <w:szCs w:val="22"/>
          <w:lang w:val="lt-LT"/>
        </w:rPr>
        <w:t>202</w:t>
      </w:r>
      <w:r w:rsidR="00493C02">
        <w:rPr>
          <w:b/>
          <w:sz w:val="22"/>
          <w:szCs w:val="22"/>
          <w:lang w:val="lt-LT"/>
        </w:rPr>
        <w:t>5-01-24</w:t>
      </w:r>
      <w:r w:rsidR="00267263" w:rsidRPr="009E0143">
        <w:rPr>
          <w:b/>
          <w:sz w:val="22"/>
          <w:szCs w:val="22"/>
          <w:lang w:val="lt-LT"/>
        </w:rPr>
        <w:t>.</w:t>
      </w:r>
    </w:p>
    <w:p w14:paraId="18340380" w14:textId="77777777" w:rsidR="00E95F4B" w:rsidRPr="009E0143" w:rsidRDefault="00E95F4B" w:rsidP="00F56562">
      <w:pPr>
        <w:jc w:val="both"/>
        <w:rPr>
          <w:sz w:val="22"/>
          <w:szCs w:val="22"/>
          <w:lang w:val="lt-LT"/>
        </w:rPr>
      </w:pPr>
    </w:p>
    <w:p w14:paraId="1E76F502" w14:textId="77777777" w:rsidR="00E95F4B" w:rsidRPr="009E0143" w:rsidRDefault="00E95F4B" w:rsidP="00F56562">
      <w:pPr>
        <w:numPr>
          <w:ilvl w:val="12"/>
          <w:numId w:val="0"/>
        </w:numPr>
        <w:ind w:right="-2"/>
        <w:rPr>
          <w:b/>
          <w:sz w:val="22"/>
          <w:szCs w:val="22"/>
          <w:lang w:val="lt-LT"/>
        </w:rPr>
      </w:pPr>
      <w:r w:rsidRPr="009E0143">
        <w:rPr>
          <w:b/>
          <w:sz w:val="22"/>
          <w:szCs w:val="22"/>
          <w:lang w:val="lt-LT"/>
        </w:rPr>
        <w:t>Kiti informacijos šaltiniai</w:t>
      </w:r>
    </w:p>
    <w:p w14:paraId="54A20758" w14:textId="77777777" w:rsidR="00E95F4B" w:rsidRPr="009E0143" w:rsidRDefault="00E95F4B" w:rsidP="00F56562">
      <w:pPr>
        <w:numPr>
          <w:ilvl w:val="12"/>
          <w:numId w:val="0"/>
        </w:numPr>
        <w:tabs>
          <w:tab w:val="left" w:pos="567"/>
        </w:tabs>
        <w:ind w:right="-2"/>
        <w:rPr>
          <w:i/>
          <w:sz w:val="22"/>
          <w:szCs w:val="22"/>
          <w:lang w:val="lt-LT"/>
        </w:rPr>
      </w:pPr>
    </w:p>
    <w:p w14:paraId="6700AEF5" w14:textId="683BEECB" w:rsidR="00E95F4B" w:rsidRPr="009E0143" w:rsidRDefault="00E95F4B" w:rsidP="00F56562">
      <w:pPr>
        <w:numPr>
          <w:ilvl w:val="12"/>
          <w:numId w:val="0"/>
        </w:numPr>
        <w:tabs>
          <w:tab w:val="left" w:pos="567"/>
        </w:tabs>
        <w:ind w:right="-2"/>
        <w:rPr>
          <w:sz w:val="22"/>
          <w:szCs w:val="22"/>
          <w:lang w:val="lt-LT"/>
        </w:rPr>
      </w:pPr>
      <w:r w:rsidRPr="009E0143">
        <w:rPr>
          <w:sz w:val="22"/>
          <w:szCs w:val="22"/>
          <w:lang w:val="lt-LT"/>
        </w:rPr>
        <w:t>Išsami informacija apie šį vaistą pateikiama Valstybinės vaistų kontrolės tarnybos prie Lietuvos Respublikos sveikatos apsaugos ministerijos tinklalapyje</w:t>
      </w:r>
      <w:r w:rsidRPr="009E0143">
        <w:rPr>
          <w:i/>
          <w:sz w:val="22"/>
          <w:szCs w:val="22"/>
          <w:lang w:val="lt-LT"/>
        </w:rPr>
        <w:t xml:space="preserve"> </w:t>
      </w:r>
      <w:bookmarkStart w:id="12" w:name="_Hlk174378907"/>
      <w:r w:rsidR="00493C02" w:rsidRPr="00493C02">
        <w:rPr>
          <w:noProof w:val="0"/>
          <w:color w:val="0000FF"/>
          <w:sz w:val="22"/>
          <w:szCs w:val="20"/>
          <w:u w:val="single"/>
          <w:lang w:val="lt-LT" w:eastAsia="en-US"/>
        </w:rPr>
        <w:t>https://vvkt.lrv.lt/lt/</w:t>
      </w:r>
      <w:r w:rsidR="00493C02" w:rsidRPr="00493C02">
        <w:rPr>
          <w:rFonts w:eastAsia="Times New Roman"/>
          <w:noProof w:val="0"/>
          <w:sz w:val="22"/>
          <w:szCs w:val="20"/>
          <w:lang w:val="lt-LT" w:eastAsia="en-US"/>
        </w:rPr>
        <w:t>.</w:t>
      </w:r>
      <w:bookmarkEnd w:id="12"/>
    </w:p>
    <w:p w14:paraId="2044CDBD" w14:textId="77777777" w:rsidR="00E95F4B" w:rsidRPr="009E0143" w:rsidRDefault="00E95F4B" w:rsidP="00F56562">
      <w:pPr>
        <w:jc w:val="both"/>
        <w:rPr>
          <w:noProof w:val="0"/>
          <w:sz w:val="22"/>
          <w:szCs w:val="22"/>
          <w:lang w:val="lt-LT"/>
        </w:rPr>
      </w:pPr>
    </w:p>
    <w:sectPr w:rsidR="00E95F4B" w:rsidRPr="009E0143" w:rsidSect="000665A4">
      <w:headerReference w:type="default" r:id="rId10"/>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F57D" w14:textId="77777777" w:rsidR="00FD4B97" w:rsidRDefault="00FD4B97">
      <w:r>
        <w:separator/>
      </w:r>
    </w:p>
    <w:p w14:paraId="09A69727" w14:textId="77777777" w:rsidR="00FD4B97" w:rsidRDefault="00FD4B97"/>
  </w:endnote>
  <w:endnote w:type="continuationSeparator" w:id="0">
    <w:p w14:paraId="6B9ABBCF" w14:textId="77777777" w:rsidR="00FD4B97" w:rsidRDefault="00FD4B97">
      <w:r>
        <w:continuationSeparator/>
      </w:r>
    </w:p>
    <w:p w14:paraId="2A23ED49" w14:textId="77777777" w:rsidR="00FD4B97" w:rsidRDefault="00FD4B97"/>
  </w:endnote>
  <w:endnote w:type="continuationNotice" w:id="1">
    <w:p w14:paraId="67373121" w14:textId="77777777" w:rsidR="00FD4B97" w:rsidRDefault="00FD4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923F" w14:textId="77777777" w:rsidR="00405BE4" w:rsidRDefault="00405BE4" w:rsidP="00F9656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183269" w14:textId="77777777" w:rsidR="00405BE4" w:rsidRDefault="00405BE4">
    <w:pPr>
      <w:pStyle w:val="Porat"/>
    </w:pPr>
  </w:p>
  <w:p w14:paraId="6652B079" w14:textId="77777777" w:rsidR="00405BE4" w:rsidRDefault="00405B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B65E" w14:textId="2958FE32" w:rsidR="00405BE4" w:rsidRDefault="00405BE4" w:rsidP="00F9656E">
    <w:pPr>
      <w:pStyle w:val="Porat"/>
      <w:framePr w:wrap="around" w:vAnchor="text" w:hAnchor="margin" w:xAlign="center" w:y="1"/>
      <w:rPr>
        <w:rStyle w:val="Puslapionumeris"/>
      </w:rPr>
    </w:pPr>
    <w:r w:rsidRPr="001D7C56">
      <w:rPr>
        <w:rStyle w:val="Puslapionumeris"/>
      </w:rPr>
      <w:fldChar w:fldCharType="begin"/>
    </w:r>
    <w:r w:rsidRPr="001D7C56">
      <w:rPr>
        <w:rStyle w:val="Puslapionumeris"/>
      </w:rPr>
      <w:instrText xml:space="preserve">PAGE </w:instrText>
    </w:r>
    <w:r>
      <w:rPr>
        <w:rStyle w:val="Puslapionumeris"/>
      </w:rPr>
      <w:instrText xml:space="preserve"> </w:instrText>
    </w:r>
    <w:r w:rsidRPr="001D7C56">
      <w:rPr>
        <w:rStyle w:val="Puslapionumeris"/>
      </w:rPr>
      <w:fldChar w:fldCharType="separate"/>
    </w:r>
    <w:r w:rsidR="006A51BA">
      <w:rPr>
        <w:rStyle w:val="Puslapionumeris"/>
      </w:rPr>
      <w:t>20</w:t>
    </w:r>
    <w:r w:rsidRPr="001D7C56">
      <w:rPr>
        <w:rStyle w:val="Puslapionumeris"/>
      </w:rPr>
      <w:fldChar w:fldCharType="end"/>
    </w:r>
  </w:p>
  <w:p w14:paraId="5DC7018C" w14:textId="77777777" w:rsidR="00405BE4" w:rsidRDefault="00405BE4" w:rsidP="004D214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2EB5" w14:textId="77777777" w:rsidR="00FD4B97" w:rsidRDefault="00FD4B97">
      <w:r>
        <w:separator/>
      </w:r>
    </w:p>
    <w:p w14:paraId="1513AB1A" w14:textId="77777777" w:rsidR="00FD4B97" w:rsidRDefault="00FD4B97"/>
  </w:footnote>
  <w:footnote w:type="continuationSeparator" w:id="0">
    <w:p w14:paraId="0CD3D1C8" w14:textId="77777777" w:rsidR="00FD4B97" w:rsidRDefault="00FD4B97">
      <w:r>
        <w:continuationSeparator/>
      </w:r>
    </w:p>
    <w:p w14:paraId="35239D67" w14:textId="77777777" w:rsidR="00FD4B97" w:rsidRDefault="00FD4B97"/>
  </w:footnote>
  <w:footnote w:type="continuationNotice" w:id="1">
    <w:p w14:paraId="4EE17656" w14:textId="77777777" w:rsidR="00FD4B97" w:rsidRDefault="00FD4B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B96D" w14:textId="77777777" w:rsidR="00277E4B" w:rsidRDefault="00277E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1431F"/>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2" w15:restartNumberingAfterBreak="0">
    <w:nsid w:val="1320551C"/>
    <w:multiLevelType w:val="hybridMultilevel"/>
    <w:tmpl w:val="A7224EE2"/>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1F1DA8"/>
    <w:multiLevelType w:val="hybridMultilevel"/>
    <w:tmpl w:val="EE9C80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766367"/>
    <w:multiLevelType w:val="hybridMultilevel"/>
    <w:tmpl w:val="83E212E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1C5055C5"/>
    <w:multiLevelType w:val="hybridMultilevel"/>
    <w:tmpl w:val="626C5D2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E0FDF"/>
    <w:multiLevelType w:val="hybridMultilevel"/>
    <w:tmpl w:val="7894578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053AC"/>
    <w:multiLevelType w:val="hybridMultilevel"/>
    <w:tmpl w:val="7D64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E17AE"/>
    <w:multiLevelType w:val="hybridMultilevel"/>
    <w:tmpl w:val="F764740E"/>
    <w:lvl w:ilvl="0" w:tplc="0409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3B5B3C"/>
    <w:multiLevelType w:val="hybridMultilevel"/>
    <w:tmpl w:val="3C88BBD2"/>
    <w:lvl w:ilvl="0" w:tplc="E398C8F6">
      <w:start w:val="4"/>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FD5FC8"/>
    <w:multiLevelType w:val="hybridMultilevel"/>
    <w:tmpl w:val="9B4C543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CA4189"/>
    <w:multiLevelType w:val="hybridMultilevel"/>
    <w:tmpl w:val="AF1653B2"/>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1C30F8"/>
    <w:multiLevelType w:val="hybridMultilevel"/>
    <w:tmpl w:val="C9520A4E"/>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7B3169"/>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14" w15:restartNumberingAfterBreak="0">
    <w:nsid w:val="3C0257F4"/>
    <w:multiLevelType w:val="hybridMultilevel"/>
    <w:tmpl w:val="E1E0E5DC"/>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C14AA"/>
    <w:multiLevelType w:val="hybridMultilevel"/>
    <w:tmpl w:val="3D962464"/>
    <w:lvl w:ilvl="0" w:tplc="3D38D5E2">
      <w:start w:val="4"/>
      <w:numFmt w:val="bullet"/>
      <w:lvlText w:val="‒"/>
      <w:lvlJc w:val="left"/>
      <w:pPr>
        <w:ind w:left="720" w:hanging="360"/>
      </w:pPr>
      <w:rPr>
        <w:rFonts w:ascii="Times New Roman" w:hAnsi="Times New Roman" w:cs="Times New Roman" w:hint="default"/>
      </w:rPr>
    </w:lvl>
    <w:lvl w:ilvl="1" w:tplc="862CEF22">
      <w:numFmt w:val="bullet"/>
      <w:lvlText w:val="-"/>
      <w:lvlJc w:val="left"/>
      <w:pPr>
        <w:ind w:left="1440" w:hanging="360"/>
      </w:pPr>
      <w:rPr>
        <w:rFonts w:ascii="Times New Roman" w:eastAsia="SimSu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F20E01"/>
    <w:multiLevelType w:val="hybridMultilevel"/>
    <w:tmpl w:val="EC6EE872"/>
    <w:lvl w:ilvl="0" w:tplc="D4D81200">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29299E"/>
    <w:multiLevelType w:val="hybridMultilevel"/>
    <w:tmpl w:val="7508521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61A16"/>
    <w:multiLevelType w:val="hybridMultilevel"/>
    <w:tmpl w:val="15ACBCD8"/>
    <w:lvl w:ilvl="0" w:tplc="29ECAFFC">
      <w:start w:val="1"/>
      <w:numFmt w:val="bullet"/>
      <w:lvlText w:val="-"/>
      <w:lvlJc w:val="left"/>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A74E6D"/>
    <w:multiLevelType w:val="hybridMultilevel"/>
    <w:tmpl w:val="E9DC5CC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78865CC"/>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21" w15:restartNumberingAfterBreak="0">
    <w:nsid w:val="497146AC"/>
    <w:multiLevelType w:val="hybridMultilevel"/>
    <w:tmpl w:val="069E434C"/>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CF04B08"/>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23" w15:restartNumberingAfterBreak="0">
    <w:nsid w:val="4FF40BAD"/>
    <w:multiLevelType w:val="hybridMultilevel"/>
    <w:tmpl w:val="01488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996B84"/>
    <w:multiLevelType w:val="hybridMultilevel"/>
    <w:tmpl w:val="D4C8BF3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9387ACD"/>
    <w:multiLevelType w:val="hybridMultilevel"/>
    <w:tmpl w:val="CEF0744C"/>
    <w:lvl w:ilvl="0" w:tplc="127A1C4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2D3720"/>
    <w:multiLevelType w:val="hybridMultilevel"/>
    <w:tmpl w:val="9ABA6A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A78DF"/>
    <w:multiLevelType w:val="hybridMultilevel"/>
    <w:tmpl w:val="45BE0C6E"/>
    <w:lvl w:ilvl="0" w:tplc="2374838E">
      <w:numFmt w:val="bullet"/>
      <w:lvlText w:val="-"/>
      <w:lvlJc w:val="left"/>
      <w:pPr>
        <w:ind w:left="930" w:hanging="57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808E4"/>
    <w:multiLevelType w:val="hybridMultilevel"/>
    <w:tmpl w:val="A5460D58"/>
    <w:lvl w:ilvl="0" w:tplc="0405000B">
      <w:start w:val="1"/>
      <w:numFmt w:val="bullet"/>
      <w:lvlText w:val=""/>
      <w:lvlJc w:val="left"/>
      <w:pPr>
        <w:tabs>
          <w:tab w:val="num" w:pos="644"/>
        </w:tabs>
        <w:ind w:left="64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E84C49"/>
    <w:multiLevelType w:val="hybridMultilevel"/>
    <w:tmpl w:val="A9603AC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8F718F0"/>
    <w:multiLevelType w:val="hybridMultilevel"/>
    <w:tmpl w:val="EBB297C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CA1E51"/>
    <w:multiLevelType w:val="multilevel"/>
    <w:tmpl w:val="A58A2658"/>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1A171C"/>
        <w:spacing w:val="0"/>
        <w:w w:val="100"/>
        <w:position w:val="0"/>
        <w:sz w:val="19"/>
        <w:szCs w:val="19"/>
        <w:u w:val="none"/>
        <w:effect w:val="none"/>
      </w:rPr>
    </w:lvl>
    <w:lvl w:ilvl="1">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2">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3">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4">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5">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6">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7">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8">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abstractNum>
  <w:abstractNum w:abstractNumId="33" w15:restartNumberingAfterBreak="0">
    <w:nsid w:val="6F81711F"/>
    <w:multiLevelType w:val="hybridMultilevel"/>
    <w:tmpl w:val="20164D3A"/>
    <w:lvl w:ilvl="0" w:tplc="3D38D5E2">
      <w:start w:val="4"/>
      <w:numFmt w:val="bullet"/>
      <w:lvlText w:val="‒"/>
      <w:lvlJc w:val="left"/>
      <w:pPr>
        <w:ind w:left="785" w:hanging="360"/>
      </w:pPr>
      <w:rPr>
        <w:rFonts w:ascii="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4" w15:restartNumberingAfterBreak="0">
    <w:nsid w:val="6FC3573C"/>
    <w:multiLevelType w:val="hybridMultilevel"/>
    <w:tmpl w:val="B5F282BA"/>
    <w:lvl w:ilvl="0" w:tplc="3D38D5E2">
      <w:start w:val="4"/>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06A5A94"/>
    <w:multiLevelType w:val="hybridMultilevel"/>
    <w:tmpl w:val="5D1A1972"/>
    <w:lvl w:ilvl="0" w:tplc="54C6CA18">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6" w15:restartNumberingAfterBreak="0">
    <w:nsid w:val="74A402C5"/>
    <w:multiLevelType w:val="hybridMultilevel"/>
    <w:tmpl w:val="DF2667E4"/>
    <w:lvl w:ilvl="0" w:tplc="54C6CA18">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6AA1A91"/>
    <w:multiLevelType w:val="hybridMultilevel"/>
    <w:tmpl w:val="AD0C4FD6"/>
    <w:lvl w:ilvl="0" w:tplc="0409000F">
      <w:start w:val="1"/>
      <w:numFmt w:val="decimal"/>
      <w:lvlText w:val="%1."/>
      <w:lvlJc w:val="left"/>
      <w:pPr>
        <w:ind w:left="617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BA160C"/>
    <w:multiLevelType w:val="hybridMultilevel"/>
    <w:tmpl w:val="EBE443B0"/>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87B6948"/>
    <w:multiLevelType w:val="hybridMultilevel"/>
    <w:tmpl w:val="9AE0E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24896673">
    <w:abstractNumId w:val="13"/>
  </w:num>
  <w:num w:numId="2" w16cid:durableId="34546889">
    <w:abstractNumId w:val="37"/>
  </w:num>
  <w:num w:numId="3" w16cid:durableId="548885595">
    <w:abstractNumId w:val="31"/>
  </w:num>
  <w:num w:numId="4" w16cid:durableId="2105105880">
    <w:abstractNumId w:val="0"/>
  </w:num>
  <w:num w:numId="5" w16cid:durableId="1352535305">
    <w:abstractNumId w:val="2"/>
  </w:num>
  <w:num w:numId="6" w16cid:durableId="1422872755">
    <w:abstractNumId w:val="29"/>
  </w:num>
  <w:num w:numId="7" w16cid:durableId="353573835">
    <w:abstractNumId w:val="26"/>
  </w:num>
  <w:num w:numId="8" w16cid:durableId="991298808">
    <w:abstractNumId w:val="23"/>
  </w:num>
  <w:num w:numId="9" w16cid:durableId="1368411713">
    <w:abstractNumId w:val="38"/>
  </w:num>
  <w:num w:numId="10" w16cid:durableId="1027759435">
    <w:abstractNumId w:val="6"/>
  </w:num>
  <w:num w:numId="11" w16cid:durableId="59644180">
    <w:abstractNumId w:val="28"/>
  </w:num>
  <w:num w:numId="12" w16cid:durableId="224680812">
    <w:abstractNumId w:val="11"/>
  </w:num>
  <w:num w:numId="13" w16cid:durableId="503514789">
    <w:abstractNumId w:val="7"/>
  </w:num>
  <w:num w:numId="14" w16cid:durableId="641471563">
    <w:abstractNumId w:val="14"/>
  </w:num>
  <w:num w:numId="15" w16cid:durableId="1826556128">
    <w:abstractNumId w:val="12"/>
  </w:num>
  <w:num w:numId="16" w16cid:durableId="710808658">
    <w:abstractNumId w:val="21"/>
  </w:num>
  <w:num w:numId="17" w16cid:durableId="799498191">
    <w:abstractNumId w:val="8"/>
  </w:num>
  <w:num w:numId="18" w16cid:durableId="887835423">
    <w:abstractNumId w:val="39"/>
  </w:num>
  <w:num w:numId="19" w16cid:durableId="618221423">
    <w:abstractNumId w:val="24"/>
  </w:num>
  <w:num w:numId="20" w16cid:durableId="194277491">
    <w:abstractNumId w:val="33"/>
  </w:num>
  <w:num w:numId="21" w16cid:durableId="1480683158">
    <w:abstractNumId w:val="1"/>
  </w:num>
  <w:num w:numId="22" w16cid:durableId="144709180">
    <w:abstractNumId w:val="22"/>
  </w:num>
  <w:num w:numId="23" w16cid:durableId="2130318452">
    <w:abstractNumId w:val="20"/>
  </w:num>
  <w:num w:numId="24" w16cid:durableId="802620780">
    <w:abstractNumId w:val="15"/>
  </w:num>
  <w:num w:numId="25" w16cid:durableId="277033553">
    <w:abstractNumId w:val="4"/>
  </w:num>
  <w:num w:numId="26" w16cid:durableId="464665477">
    <w:abstractNumId w:val="35"/>
  </w:num>
  <w:num w:numId="27" w16cid:durableId="2086564727">
    <w:abstractNumId w:val="32"/>
  </w:num>
  <w:num w:numId="28" w16cid:durableId="1649941331">
    <w:abstractNumId w:val="34"/>
  </w:num>
  <w:num w:numId="29" w16cid:durableId="591857781">
    <w:abstractNumId w:val="3"/>
  </w:num>
  <w:num w:numId="30" w16cid:durableId="1402220228">
    <w:abstractNumId w:val="9"/>
  </w:num>
  <w:num w:numId="31" w16cid:durableId="1463160162">
    <w:abstractNumId w:val="10"/>
  </w:num>
  <w:num w:numId="32" w16cid:durableId="211306817">
    <w:abstractNumId w:val="30"/>
  </w:num>
  <w:num w:numId="33" w16cid:durableId="1316685144">
    <w:abstractNumId w:val="36"/>
  </w:num>
  <w:num w:numId="34" w16cid:durableId="2049836030">
    <w:abstractNumId w:val="19"/>
  </w:num>
  <w:num w:numId="35" w16cid:durableId="1394085671">
    <w:abstractNumId w:val="25"/>
  </w:num>
  <w:num w:numId="36" w16cid:durableId="1850439626">
    <w:abstractNumId w:val="18"/>
  </w:num>
  <w:num w:numId="37" w16cid:durableId="1502545918">
    <w:abstractNumId w:val="16"/>
  </w:num>
  <w:num w:numId="38" w16cid:durableId="1927691093">
    <w:abstractNumId w:val="17"/>
  </w:num>
  <w:num w:numId="39" w16cid:durableId="388648894">
    <w:abstractNumId w:val="27"/>
  </w:num>
  <w:num w:numId="40" w16cid:durableId="173076794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F5B"/>
    <w:rsid w:val="0000195F"/>
    <w:rsid w:val="00003F2C"/>
    <w:rsid w:val="000064EA"/>
    <w:rsid w:val="00010404"/>
    <w:rsid w:val="0001665C"/>
    <w:rsid w:val="0002244C"/>
    <w:rsid w:val="000233A1"/>
    <w:rsid w:val="000258C3"/>
    <w:rsid w:val="00026ED9"/>
    <w:rsid w:val="0002786E"/>
    <w:rsid w:val="00030AEE"/>
    <w:rsid w:val="000338DA"/>
    <w:rsid w:val="00033EC5"/>
    <w:rsid w:val="000340B1"/>
    <w:rsid w:val="00034B4E"/>
    <w:rsid w:val="00035BAC"/>
    <w:rsid w:val="00037E4C"/>
    <w:rsid w:val="00042190"/>
    <w:rsid w:val="00045BEC"/>
    <w:rsid w:val="00046D5D"/>
    <w:rsid w:val="00046EC0"/>
    <w:rsid w:val="000471AC"/>
    <w:rsid w:val="00047D6E"/>
    <w:rsid w:val="00050A59"/>
    <w:rsid w:val="000516C4"/>
    <w:rsid w:val="00052977"/>
    <w:rsid w:val="000533BF"/>
    <w:rsid w:val="000534DD"/>
    <w:rsid w:val="00054028"/>
    <w:rsid w:val="000553D4"/>
    <w:rsid w:val="00056E56"/>
    <w:rsid w:val="000570A9"/>
    <w:rsid w:val="00057AFD"/>
    <w:rsid w:val="00060FC7"/>
    <w:rsid w:val="00063C4C"/>
    <w:rsid w:val="000665A4"/>
    <w:rsid w:val="0006717B"/>
    <w:rsid w:val="0007021B"/>
    <w:rsid w:val="000725A4"/>
    <w:rsid w:val="00073464"/>
    <w:rsid w:val="00074D03"/>
    <w:rsid w:val="00076197"/>
    <w:rsid w:val="000765BC"/>
    <w:rsid w:val="0008298C"/>
    <w:rsid w:val="00082C21"/>
    <w:rsid w:val="00084BB0"/>
    <w:rsid w:val="000850E3"/>
    <w:rsid w:val="0009129C"/>
    <w:rsid w:val="000A0077"/>
    <w:rsid w:val="000A09C6"/>
    <w:rsid w:val="000A3BF1"/>
    <w:rsid w:val="000B4F47"/>
    <w:rsid w:val="000B4FF2"/>
    <w:rsid w:val="000B5287"/>
    <w:rsid w:val="000B530E"/>
    <w:rsid w:val="000B5384"/>
    <w:rsid w:val="000B5A10"/>
    <w:rsid w:val="000C4E6B"/>
    <w:rsid w:val="000C5255"/>
    <w:rsid w:val="000C5B27"/>
    <w:rsid w:val="000C6268"/>
    <w:rsid w:val="000C7840"/>
    <w:rsid w:val="000D0036"/>
    <w:rsid w:val="000D038C"/>
    <w:rsid w:val="000D03AD"/>
    <w:rsid w:val="000D0CF7"/>
    <w:rsid w:val="000D12D7"/>
    <w:rsid w:val="000D32ED"/>
    <w:rsid w:val="000D47D1"/>
    <w:rsid w:val="000D48DA"/>
    <w:rsid w:val="000D4F71"/>
    <w:rsid w:val="000D5131"/>
    <w:rsid w:val="000D62AB"/>
    <w:rsid w:val="000E0C18"/>
    <w:rsid w:val="000E40BF"/>
    <w:rsid w:val="000E5481"/>
    <w:rsid w:val="000F09CB"/>
    <w:rsid w:val="000F47FC"/>
    <w:rsid w:val="000F4CD0"/>
    <w:rsid w:val="000F5FF9"/>
    <w:rsid w:val="000F705A"/>
    <w:rsid w:val="001066F2"/>
    <w:rsid w:val="00112AFF"/>
    <w:rsid w:val="00115D93"/>
    <w:rsid w:val="00116083"/>
    <w:rsid w:val="00117AD9"/>
    <w:rsid w:val="00120330"/>
    <w:rsid w:val="00120A91"/>
    <w:rsid w:val="00123B58"/>
    <w:rsid w:val="00125005"/>
    <w:rsid w:val="00125C22"/>
    <w:rsid w:val="001272BD"/>
    <w:rsid w:val="00132198"/>
    <w:rsid w:val="0013238A"/>
    <w:rsid w:val="00136DB1"/>
    <w:rsid w:val="00141036"/>
    <w:rsid w:val="00143854"/>
    <w:rsid w:val="00143AC0"/>
    <w:rsid w:val="00143DC6"/>
    <w:rsid w:val="00144F6E"/>
    <w:rsid w:val="00146692"/>
    <w:rsid w:val="00150632"/>
    <w:rsid w:val="001507D1"/>
    <w:rsid w:val="001513D0"/>
    <w:rsid w:val="00151FBD"/>
    <w:rsid w:val="00152D91"/>
    <w:rsid w:val="001556CE"/>
    <w:rsid w:val="0015756B"/>
    <w:rsid w:val="00157A1F"/>
    <w:rsid w:val="00157F32"/>
    <w:rsid w:val="00161648"/>
    <w:rsid w:val="00163F68"/>
    <w:rsid w:val="0016470D"/>
    <w:rsid w:val="00171170"/>
    <w:rsid w:val="00172429"/>
    <w:rsid w:val="00172DC2"/>
    <w:rsid w:val="0017479A"/>
    <w:rsid w:val="00181979"/>
    <w:rsid w:val="0018323B"/>
    <w:rsid w:val="0018330E"/>
    <w:rsid w:val="00183F42"/>
    <w:rsid w:val="001873A6"/>
    <w:rsid w:val="00197F92"/>
    <w:rsid w:val="001A51F5"/>
    <w:rsid w:val="001A55E3"/>
    <w:rsid w:val="001A5D91"/>
    <w:rsid w:val="001B7855"/>
    <w:rsid w:val="001C0914"/>
    <w:rsid w:val="001C19A3"/>
    <w:rsid w:val="001C20F6"/>
    <w:rsid w:val="001C2715"/>
    <w:rsid w:val="001C5459"/>
    <w:rsid w:val="001C6589"/>
    <w:rsid w:val="001D00E4"/>
    <w:rsid w:val="001D0481"/>
    <w:rsid w:val="001D3595"/>
    <w:rsid w:val="001D3B0D"/>
    <w:rsid w:val="001D5E73"/>
    <w:rsid w:val="001D6868"/>
    <w:rsid w:val="001D6B23"/>
    <w:rsid w:val="001D75F7"/>
    <w:rsid w:val="001D7C56"/>
    <w:rsid w:val="001E061E"/>
    <w:rsid w:val="001E24D4"/>
    <w:rsid w:val="001E2631"/>
    <w:rsid w:val="001E3CE3"/>
    <w:rsid w:val="001E3EEE"/>
    <w:rsid w:val="001F17F4"/>
    <w:rsid w:val="001F2624"/>
    <w:rsid w:val="001F6F17"/>
    <w:rsid w:val="002009BD"/>
    <w:rsid w:val="00202358"/>
    <w:rsid w:val="00204BDC"/>
    <w:rsid w:val="002067DA"/>
    <w:rsid w:val="00210BDE"/>
    <w:rsid w:val="0021280D"/>
    <w:rsid w:val="00213DE5"/>
    <w:rsid w:val="00216915"/>
    <w:rsid w:val="00216A60"/>
    <w:rsid w:val="00220E94"/>
    <w:rsid w:val="002210EA"/>
    <w:rsid w:val="00221820"/>
    <w:rsid w:val="00222815"/>
    <w:rsid w:val="0022406C"/>
    <w:rsid w:val="00224BEA"/>
    <w:rsid w:val="00225DFD"/>
    <w:rsid w:val="00227E02"/>
    <w:rsid w:val="00231D20"/>
    <w:rsid w:val="002329DE"/>
    <w:rsid w:val="0023527F"/>
    <w:rsid w:val="00236165"/>
    <w:rsid w:val="00236F95"/>
    <w:rsid w:val="00237612"/>
    <w:rsid w:val="002438BB"/>
    <w:rsid w:val="00243B13"/>
    <w:rsid w:val="00245161"/>
    <w:rsid w:val="00246BA0"/>
    <w:rsid w:val="00246FFA"/>
    <w:rsid w:val="00247DD1"/>
    <w:rsid w:val="0025076F"/>
    <w:rsid w:val="002513C0"/>
    <w:rsid w:val="00252C2F"/>
    <w:rsid w:val="0026642C"/>
    <w:rsid w:val="00267263"/>
    <w:rsid w:val="00270631"/>
    <w:rsid w:val="002716D4"/>
    <w:rsid w:val="00275935"/>
    <w:rsid w:val="00277E4B"/>
    <w:rsid w:val="002810EC"/>
    <w:rsid w:val="0028448C"/>
    <w:rsid w:val="0029224D"/>
    <w:rsid w:val="0029306A"/>
    <w:rsid w:val="002933B9"/>
    <w:rsid w:val="00296B3B"/>
    <w:rsid w:val="00297333"/>
    <w:rsid w:val="0029797C"/>
    <w:rsid w:val="002A0012"/>
    <w:rsid w:val="002A11E0"/>
    <w:rsid w:val="002A372B"/>
    <w:rsid w:val="002A3FBB"/>
    <w:rsid w:val="002A631F"/>
    <w:rsid w:val="002B7401"/>
    <w:rsid w:val="002C11CE"/>
    <w:rsid w:val="002C27A7"/>
    <w:rsid w:val="002C506D"/>
    <w:rsid w:val="002D15EB"/>
    <w:rsid w:val="002D51B9"/>
    <w:rsid w:val="002E3989"/>
    <w:rsid w:val="002E4661"/>
    <w:rsid w:val="002E5083"/>
    <w:rsid w:val="002E66CB"/>
    <w:rsid w:val="002E684F"/>
    <w:rsid w:val="002E6F85"/>
    <w:rsid w:val="002E73B2"/>
    <w:rsid w:val="002E7B16"/>
    <w:rsid w:val="002F2BF8"/>
    <w:rsid w:val="002F36C4"/>
    <w:rsid w:val="002F4BAA"/>
    <w:rsid w:val="002F5201"/>
    <w:rsid w:val="002F6896"/>
    <w:rsid w:val="00301A05"/>
    <w:rsid w:val="00301A19"/>
    <w:rsid w:val="00310241"/>
    <w:rsid w:val="00310C0F"/>
    <w:rsid w:val="00311D2E"/>
    <w:rsid w:val="00312C9F"/>
    <w:rsid w:val="00316C57"/>
    <w:rsid w:val="0032353B"/>
    <w:rsid w:val="003315FD"/>
    <w:rsid w:val="003331F6"/>
    <w:rsid w:val="003363C8"/>
    <w:rsid w:val="00346A64"/>
    <w:rsid w:val="00351609"/>
    <w:rsid w:val="00352738"/>
    <w:rsid w:val="00353336"/>
    <w:rsid w:val="00353EC4"/>
    <w:rsid w:val="00355FCF"/>
    <w:rsid w:val="003564AE"/>
    <w:rsid w:val="003578DC"/>
    <w:rsid w:val="00357E7D"/>
    <w:rsid w:val="003607D4"/>
    <w:rsid w:val="00361268"/>
    <w:rsid w:val="00361639"/>
    <w:rsid w:val="00362935"/>
    <w:rsid w:val="00364260"/>
    <w:rsid w:val="00364C50"/>
    <w:rsid w:val="00364D13"/>
    <w:rsid w:val="00367C5D"/>
    <w:rsid w:val="00371B26"/>
    <w:rsid w:val="00381F97"/>
    <w:rsid w:val="00382B32"/>
    <w:rsid w:val="00383CD7"/>
    <w:rsid w:val="003842E6"/>
    <w:rsid w:val="003860D5"/>
    <w:rsid w:val="00393AD1"/>
    <w:rsid w:val="00396C56"/>
    <w:rsid w:val="00397807"/>
    <w:rsid w:val="003A2D7F"/>
    <w:rsid w:val="003A4B1A"/>
    <w:rsid w:val="003A4E91"/>
    <w:rsid w:val="003A5622"/>
    <w:rsid w:val="003A6E29"/>
    <w:rsid w:val="003B14E9"/>
    <w:rsid w:val="003B2024"/>
    <w:rsid w:val="003B3E33"/>
    <w:rsid w:val="003B4313"/>
    <w:rsid w:val="003B5BFF"/>
    <w:rsid w:val="003B5EF1"/>
    <w:rsid w:val="003B70B7"/>
    <w:rsid w:val="003C146E"/>
    <w:rsid w:val="003C1E53"/>
    <w:rsid w:val="003C5966"/>
    <w:rsid w:val="003C5FCD"/>
    <w:rsid w:val="003D3908"/>
    <w:rsid w:val="003D4AA8"/>
    <w:rsid w:val="003D585E"/>
    <w:rsid w:val="003D6FE2"/>
    <w:rsid w:val="003E4B87"/>
    <w:rsid w:val="003E4C69"/>
    <w:rsid w:val="003E7DCC"/>
    <w:rsid w:val="003F000E"/>
    <w:rsid w:val="003F09FD"/>
    <w:rsid w:val="003F193E"/>
    <w:rsid w:val="003F3BDB"/>
    <w:rsid w:val="003F4E40"/>
    <w:rsid w:val="003F53D9"/>
    <w:rsid w:val="004029F0"/>
    <w:rsid w:val="00404305"/>
    <w:rsid w:val="00405BE4"/>
    <w:rsid w:val="00406882"/>
    <w:rsid w:val="004114E4"/>
    <w:rsid w:val="00414446"/>
    <w:rsid w:val="0041598E"/>
    <w:rsid w:val="00417B12"/>
    <w:rsid w:val="004200FE"/>
    <w:rsid w:val="004253A7"/>
    <w:rsid w:val="00430F2B"/>
    <w:rsid w:val="00432392"/>
    <w:rsid w:val="004339A7"/>
    <w:rsid w:val="0043582A"/>
    <w:rsid w:val="00440F25"/>
    <w:rsid w:val="004456BD"/>
    <w:rsid w:val="00446EE8"/>
    <w:rsid w:val="00447277"/>
    <w:rsid w:val="00447EB5"/>
    <w:rsid w:val="0045535B"/>
    <w:rsid w:val="0045718E"/>
    <w:rsid w:val="00460768"/>
    <w:rsid w:val="00461D91"/>
    <w:rsid w:val="004620D8"/>
    <w:rsid w:val="00463088"/>
    <w:rsid w:val="00465954"/>
    <w:rsid w:val="004766BB"/>
    <w:rsid w:val="00476FA8"/>
    <w:rsid w:val="00477908"/>
    <w:rsid w:val="00477ADF"/>
    <w:rsid w:val="004827B7"/>
    <w:rsid w:val="00483A6B"/>
    <w:rsid w:val="00486E24"/>
    <w:rsid w:val="00486FCA"/>
    <w:rsid w:val="00490298"/>
    <w:rsid w:val="00491287"/>
    <w:rsid w:val="0049139E"/>
    <w:rsid w:val="004917B5"/>
    <w:rsid w:val="004933D5"/>
    <w:rsid w:val="00493B97"/>
    <w:rsid w:val="00493C02"/>
    <w:rsid w:val="004A35A2"/>
    <w:rsid w:val="004A3CD8"/>
    <w:rsid w:val="004A6E75"/>
    <w:rsid w:val="004B02DA"/>
    <w:rsid w:val="004B2720"/>
    <w:rsid w:val="004B2E5C"/>
    <w:rsid w:val="004B3734"/>
    <w:rsid w:val="004B459C"/>
    <w:rsid w:val="004B6559"/>
    <w:rsid w:val="004B6D96"/>
    <w:rsid w:val="004C270E"/>
    <w:rsid w:val="004C5AAA"/>
    <w:rsid w:val="004D0571"/>
    <w:rsid w:val="004D0E04"/>
    <w:rsid w:val="004D2149"/>
    <w:rsid w:val="004D2354"/>
    <w:rsid w:val="004D25C4"/>
    <w:rsid w:val="004D6AD8"/>
    <w:rsid w:val="004D7513"/>
    <w:rsid w:val="004E08F0"/>
    <w:rsid w:val="004E123A"/>
    <w:rsid w:val="004E1A24"/>
    <w:rsid w:val="004E3156"/>
    <w:rsid w:val="004E5213"/>
    <w:rsid w:val="004F0101"/>
    <w:rsid w:val="004F2B56"/>
    <w:rsid w:val="004F62D2"/>
    <w:rsid w:val="004F7ADD"/>
    <w:rsid w:val="00501DDD"/>
    <w:rsid w:val="00502A53"/>
    <w:rsid w:val="00505A64"/>
    <w:rsid w:val="00506A78"/>
    <w:rsid w:val="005073EA"/>
    <w:rsid w:val="00511493"/>
    <w:rsid w:val="00511832"/>
    <w:rsid w:val="00515E29"/>
    <w:rsid w:val="005163F7"/>
    <w:rsid w:val="00516969"/>
    <w:rsid w:val="005173EC"/>
    <w:rsid w:val="0052074A"/>
    <w:rsid w:val="0052109F"/>
    <w:rsid w:val="00521515"/>
    <w:rsid w:val="005219E7"/>
    <w:rsid w:val="00521BBA"/>
    <w:rsid w:val="00526F65"/>
    <w:rsid w:val="00534724"/>
    <w:rsid w:val="00540092"/>
    <w:rsid w:val="00540EFD"/>
    <w:rsid w:val="005439A2"/>
    <w:rsid w:val="00544C78"/>
    <w:rsid w:val="0054620F"/>
    <w:rsid w:val="00553098"/>
    <w:rsid w:val="005547DD"/>
    <w:rsid w:val="00560D50"/>
    <w:rsid w:val="00561A61"/>
    <w:rsid w:val="00562227"/>
    <w:rsid w:val="00562796"/>
    <w:rsid w:val="0056412A"/>
    <w:rsid w:val="00564207"/>
    <w:rsid w:val="005643F5"/>
    <w:rsid w:val="005647DA"/>
    <w:rsid w:val="0056481E"/>
    <w:rsid w:val="00564EF8"/>
    <w:rsid w:val="0056522E"/>
    <w:rsid w:val="0057085A"/>
    <w:rsid w:val="0057392E"/>
    <w:rsid w:val="00573B2C"/>
    <w:rsid w:val="005763E4"/>
    <w:rsid w:val="005764AD"/>
    <w:rsid w:val="00580DD3"/>
    <w:rsid w:val="00581918"/>
    <w:rsid w:val="005848DA"/>
    <w:rsid w:val="00586C57"/>
    <w:rsid w:val="005878E7"/>
    <w:rsid w:val="005905FC"/>
    <w:rsid w:val="0059081F"/>
    <w:rsid w:val="00590BCE"/>
    <w:rsid w:val="00592FEB"/>
    <w:rsid w:val="005932E8"/>
    <w:rsid w:val="00594B2C"/>
    <w:rsid w:val="005959FA"/>
    <w:rsid w:val="005960F0"/>
    <w:rsid w:val="005974A5"/>
    <w:rsid w:val="00597660"/>
    <w:rsid w:val="00597FDA"/>
    <w:rsid w:val="005A07FF"/>
    <w:rsid w:val="005A0A2C"/>
    <w:rsid w:val="005A1F5B"/>
    <w:rsid w:val="005A35A6"/>
    <w:rsid w:val="005A6076"/>
    <w:rsid w:val="005B1BB9"/>
    <w:rsid w:val="005B3E94"/>
    <w:rsid w:val="005B411F"/>
    <w:rsid w:val="005B4DF8"/>
    <w:rsid w:val="005B5408"/>
    <w:rsid w:val="005B6147"/>
    <w:rsid w:val="005B61DB"/>
    <w:rsid w:val="005B6932"/>
    <w:rsid w:val="005C0704"/>
    <w:rsid w:val="005C1BA4"/>
    <w:rsid w:val="005C4964"/>
    <w:rsid w:val="005C4A0A"/>
    <w:rsid w:val="005C4F6B"/>
    <w:rsid w:val="005C5A46"/>
    <w:rsid w:val="005C7CB0"/>
    <w:rsid w:val="005D6E76"/>
    <w:rsid w:val="005E01D9"/>
    <w:rsid w:val="005E53FB"/>
    <w:rsid w:val="005F3D51"/>
    <w:rsid w:val="006016A8"/>
    <w:rsid w:val="00601A47"/>
    <w:rsid w:val="00602E73"/>
    <w:rsid w:val="00604436"/>
    <w:rsid w:val="00606376"/>
    <w:rsid w:val="00606BC3"/>
    <w:rsid w:val="0061053A"/>
    <w:rsid w:val="006114BC"/>
    <w:rsid w:val="00613A44"/>
    <w:rsid w:val="006146C6"/>
    <w:rsid w:val="0061526D"/>
    <w:rsid w:val="00620369"/>
    <w:rsid w:val="0062299E"/>
    <w:rsid w:val="00626045"/>
    <w:rsid w:val="0062643E"/>
    <w:rsid w:val="00631DF3"/>
    <w:rsid w:val="00637CD3"/>
    <w:rsid w:val="00642311"/>
    <w:rsid w:val="00643CB8"/>
    <w:rsid w:val="00643FD8"/>
    <w:rsid w:val="00652AAD"/>
    <w:rsid w:val="00656250"/>
    <w:rsid w:val="006564E4"/>
    <w:rsid w:val="00657A6B"/>
    <w:rsid w:val="006603F3"/>
    <w:rsid w:val="00660CD1"/>
    <w:rsid w:val="00663D21"/>
    <w:rsid w:val="006640EB"/>
    <w:rsid w:val="006654CB"/>
    <w:rsid w:val="00665A8E"/>
    <w:rsid w:val="00666ED8"/>
    <w:rsid w:val="00670590"/>
    <w:rsid w:val="00671DB1"/>
    <w:rsid w:val="00677B7B"/>
    <w:rsid w:val="00677F04"/>
    <w:rsid w:val="006802C8"/>
    <w:rsid w:val="0068166A"/>
    <w:rsid w:val="006867D6"/>
    <w:rsid w:val="006871EC"/>
    <w:rsid w:val="00687805"/>
    <w:rsid w:val="00691252"/>
    <w:rsid w:val="00691B7F"/>
    <w:rsid w:val="0069248C"/>
    <w:rsid w:val="00692F04"/>
    <w:rsid w:val="00693D53"/>
    <w:rsid w:val="00695B88"/>
    <w:rsid w:val="00696DDC"/>
    <w:rsid w:val="006A1D4B"/>
    <w:rsid w:val="006A51BA"/>
    <w:rsid w:val="006A7DB5"/>
    <w:rsid w:val="006B0767"/>
    <w:rsid w:val="006B203E"/>
    <w:rsid w:val="006C383F"/>
    <w:rsid w:val="006C6687"/>
    <w:rsid w:val="006C6D35"/>
    <w:rsid w:val="006C7507"/>
    <w:rsid w:val="006C79AE"/>
    <w:rsid w:val="006D19EC"/>
    <w:rsid w:val="006D1A57"/>
    <w:rsid w:val="006D1F75"/>
    <w:rsid w:val="006D2733"/>
    <w:rsid w:val="006D2B12"/>
    <w:rsid w:val="006D480E"/>
    <w:rsid w:val="006D6D6A"/>
    <w:rsid w:val="006D7495"/>
    <w:rsid w:val="006D74A9"/>
    <w:rsid w:val="006E04EE"/>
    <w:rsid w:val="006E1180"/>
    <w:rsid w:val="006E13FC"/>
    <w:rsid w:val="006E19C8"/>
    <w:rsid w:val="006E255A"/>
    <w:rsid w:val="006E2DA4"/>
    <w:rsid w:val="006E3391"/>
    <w:rsid w:val="006E3786"/>
    <w:rsid w:val="006E494E"/>
    <w:rsid w:val="006E4A39"/>
    <w:rsid w:val="006E513B"/>
    <w:rsid w:val="006F41A3"/>
    <w:rsid w:val="006F51BD"/>
    <w:rsid w:val="006F52E6"/>
    <w:rsid w:val="006F592C"/>
    <w:rsid w:val="006F6823"/>
    <w:rsid w:val="00700123"/>
    <w:rsid w:val="00701403"/>
    <w:rsid w:val="00701C86"/>
    <w:rsid w:val="00702BD7"/>
    <w:rsid w:val="007035D3"/>
    <w:rsid w:val="00706035"/>
    <w:rsid w:val="00706473"/>
    <w:rsid w:val="007071D4"/>
    <w:rsid w:val="007121D5"/>
    <w:rsid w:val="00712F89"/>
    <w:rsid w:val="00713362"/>
    <w:rsid w:val="00715CB3"/>
    <w:rsid w:val="0071638C"/>
    <w:rsid w:val="00717D94"/>
    <w:rsid w:val="00720905"/>
    <w:rsid w:val="00721B1B"/>
    <w:rsid w:val="00723204"/>
    <w:rsid w:val="00724F5F"/>
    <w:rsid w:val="00732E6F"/>
    <w:rsid w:val="00733AB8"/>
    <w:rsid w:val="0073417C"/>
    <w:rsid w:val="00734412"/>
    <w:rsid w:val="00734F2B"/>
    <w:rsid w:val="0073588F"/>
    <w:rsid w:val="00737B13"/>
    <w:rsid w:val="00741161"/>
    <w:rsid w:val="00741587"/>
    <w:rsid w:val="00743531"/>
    <w:rsid w:val="007475C7"/>
    <w:rsid w:val="007477B0"/>
    <w:rsid w:val="007478FF"/>
    <w:rsid w:val="00747FCA"/>
    <w:rsid w:val="00750AF8"/>
    <w:rsid w:val="00750D7C"/>
    <w:rsid w:val="0075224D"/>
    <w:rsid w:val="00754469"/>
    <w:rsid w:val="007552DB"/>
    <w:rsid w:val="0075588C"/>
    <w:rsid w:val="00755BB8"/>
    <w:rsid w:val="007636C6"/>
    <w:rsid w:val="00764ED4"/>
    <w:rsid w:val="00765AA4"/>
    <w:rsid w:val="00771714"/>
    <w:rsid w:val="00772BE9"/>
    <w:rsid w:val="007748D3"/>
    <w:rsid w:val="00782A1F"/>
    <w:rsid w:val="0078361F"/>
    <w:rsid w:val="0078412D"/>
    <w:rsid w:val="0078516A"/>
    <w:rsid w:val="00785755"/>
    <w:rsid w:val="00786752"/>
    <w:rsid w:val="007868AC"/>
    <w:rsid w:val="00790CBD"/>
    <w:rsid w:val="00790DB5"/>
    <w:rsid w:val="00790E91"/>
    <w:rsid w:val="00793A26"/>
    <w:rsid w:val="0079796B"/>
    <w:rsid w:val="007A4D0D"/>
    <w:rsid w:val="007A7B37"/>
    <w:rsid w:val="007B1E21"/>
    <w:rsid w:val="007B28D4"/>
    <w:rsid w:val="007B336F"/>
    <w:rsid w:val="007B7560"/>
    <w:rsid w:val="007C4F8F"/>
    <w:rsid w:val="007C51DC"/>
    <w:rsid w:val="007C58F3"/>
    <w:rsid w:val="007D1C42"/>
    <w:rsid w:val="007D4F38"/>
    <w:rsid w:val="007E03DF"/>
    <w:rsid w:val="007E0B0D"/>
    <w:rsid w:val="007E1BA8"/>
    <w:rsid w:val="007E2518"/>
    <w:rsid w:val="007F05FE"/>
    <w:rsid w:val="007F26B5"/>
    <w:rsid w:val="007F3518"/>
    <w:rsid w:val="007F36A4"/>
    <w:rsid w:val="007F555B"/>
    <w:rsid w:val="00801868"/>
    <w:rsid w:val="00801CCB"/>
    <w:rsid w:val="00805278"/>
    <w:rsid w:val="00805B31"/>
    <w:rsid w:val="00806453"/>
    <w:rsid w:val="00807A64"/>
    <w:rsid w:val="0081293C"/>
    <w:rsid w:val="0081416F"/>
    <w:rsid w:val="00817924"/>
    <w:rsid w:val="0082001E"/>
    <w:rsid w:val="0082074E"/>
    <w:rsid w:val="0082098F"/>
    <w:rsid w:val="00821AEA"/>
    <w:rsid w:val="00821DCC"/>
    <w:rsid w:val="00822948"/>
    <w:rsid w:val="00824BBF"/>
    <w:rsid w:val="008268ED"/>
    <w:rsid w:val="008277D4"/>
    <w:rsid w:val="00827EB4"/>
    <w:rsid w:val="00833F45"/>
    <w:rsid w:val="008463A4"/>
    <w:rsid w:val="00846E36"/>
    <w:rsid w:val="00847A01"/>
    <w:rsid w:val="00851389"/>
    <w:rsid w:val="00854A6E"/>
    <w:rsid w:val="00854DA4"/>
    <w:rsid w:val="0085638E"/>
    <w:rsid w:val="00856523"/>
    <w:rsid w:val="008567E7"/>
    <w:rsid w:val="00857F75"/>
    <w:rsid w:val="00863089"/>
    <w:rsid w:val="008656A1"/>
    <w:rsid w:val="008666B8"/>
    <w:rsid w:val="00867BEE"/>
    <w:rsid w:val="00872E54"/>
    <w:rsid w:val="00873BF8"/>
    <w:rsid w:val="008744B9"/>
    <w:rsid w:val="00874682"/>
    <w:rsid w:val="00875C94"/>
    <w:rsid w:val="00877B3D"/>
    <w:rsid w:val="0088086F"/>
    <w:rsid w:val="0088142B"/>
    <w:rsid w:val="00881E39"/>
    <w:rsid w:val="008854B8"/>
    <w:rsid w:val="008854C9"/>
    <w:rsid w:val="00885974"/>
    <w:rsid w:val="00885B6D"/>
    <w:rsid w:val="008907D4"/>
    <w:rsid w:val="00890916"/>
    <w:rsid w:val="00893F4B"/>
    <w:rsid w:val="00894FA9"/>
    <w:rsid w:val="00895527"/>
    <w:rsid w:val="008A4C75"/>
    <w:rsid w:val="008A5436"/>
    <w:rsid w:val="008A61F5"/>
    <w:rsid w:val="008A73CC"/>
    <w:rsid w:val="008A7788"/>
    <w:rsid w:val="008B0D3B"/>
    <w:rsid w:val="008B109F"/>
    <w:rsid w:val="008B10B5"/>
    <w:rsid w:val="008B28BA"/>
    <w:rsid w:val="008B4181"/>
    <w:rsid w:val="008B5A47"/>
    <w:rsid w:val="008C0538"/>
    <w:rsid w:val="008C27F5"/>
    <w:rsid w:val="008C6893"/>
    <w:rsid w:val="008D1179"/>
    <w:rsid w:val="008D421E"/>
    <w:rsid w:val="008E0776"/>
    <w:rsid w:val="008E365D"/>
    <w:rsid w:val="008E470A"/>
    <w:rsid w:val="008E553C"/>
    <w:rsid w:val="008E56AF"/>
    <w:rsid w:val="008E6B83"/>
    <w:rsid w:val="008E70DF"/>
    <w:rsid w:val="008E730D"/>
    <w:rsid w:val="008F0277"/>
    <w:rsid w:val="008F125A"/>
    <w:rsid w:val="008F2737"/>
    <w:rsid w:val="008F31C2"/>
    <w:rsid w:val="008F407D"/>
    <w:rsid w:val="008F45E0"/>
    <w:rsid w:val="008F46DD"/>
    <w:rsid w:val="008F4771"/>
    <w:rsid w:val="008F64AD"/>
    <w:rsid w:val="008F6CD5"/>
    <w:rsid w:val="0090130C"/>
    <w:rsid w:val="00902D7B"/>
    <w:rsid w:val="0091153B"/>
    <w:rsid w:val="009129FF"/>
    <w:rsid w:val="00914739"/>
    <w:rsid w:val="00914A8F"/>
    <w:rsid w:val="00914B90"/>
    <w:rsid w:val="00915340"/>
    <w:rsid w:val="00922291"/>
    <w:rsid w:val="0092491C"/>
    <w:rsid w:val="00925DC0"/>
    <w:rsid w:val="00926FB7"/>
    <w:rsid w:val="009274B5"/>
    <w:rsid w:val="00933168"/>
    <w:rsid w:val="00934004"/>
    <w:rsid w:val="009366B8"/>
    <w:rsid w:val="00937C19"/>
    <w:rsid w:val="00941A19"/>
    <w:rsid w:val="00941FC3"/>
    <w:rsid w:val="00942835"/>
    <w:rsid w:val="0094650E"/>
    <w:rsid w:val="00947B52"/>
    <w:rsid w:val="009534E7"/>
    <w:rsid w:val="00953553"/>
    <w:rsid w:val="00954BA0"/>
    <w:rsid w:val="009563C7"/>
    <w:rsid w:val="00956FD7"/>
    <w:rsid w:val="0096074A"/>
    <w:rsid w:val="00964A5C"/>
    <w:rsid w:val="00966F4C"/>
    <w:rsid w:val="00976F6D"/>
    <w:rsid w:val="00981419"/>
    <w:rsid w:val="0098226E"/>
    <w:rsid w:val="00982DAE"/>
    <w:rsid w:val="009843C8"/>
    <w:rsid w:val="009866E9"/>
    <w:rsid w:val="0099032B"/>
    <w:rsid w:val="00991F99"/>
    <w:rsid w:val="00994FC5"/>
    <w:rsid w:val="009968E5"/>
    <w:rsid w:val="00997202"/>
    <w:rsid w:val="009A19F1"/>
    <w:rsid w:val="009A208C"/>
    <w:rsid w:val="009A321E"/>
    <w:rsid w:val="009A56FE"/>
    <w:rsid w:val="009A71BC"/>
    <w:rsid w:val="009B004F"/>
    <w:rsid w:val="009B2642"/>
    <w:rsid w:val="009B4DD7"/>
    <w:rsid w:val="009B5FB5"/>
    <w:rsid w:val="009B63F8"/>
    <w:rsid w:val="009B6DD9"/>
    <w:rsid w:val="009B7719"/>
    <w:rsid w:val="009C22A6"/>
    <w:rsid w:val="009C2ED5"/>
    <w:rsid w:val="009D15CB"/>
    <w:rsid w:val="009D3352"/>
    <w:rsid w:val="009D33B8"/>
    <w:rsid w:val="009E0143"/>
    <w:rsid w:val="009E1E50"/>
    <w:rsid w:val="009F172D"/>
    <w:rsid w:val="009F2DCE"/>
    <w:rsid w:val="009F31E0"/>
    <w:rsid w:val="009F3E34"/>
    <w:rsid w:val="00A01B81"/>
    <w:rsid w:val="00A03D81"/>
    <w:rsid w:val="00A06556"/>
    <w:rsid w:val="00A06715"/>
    <w:rsid w:val="00A06C48"/>
    <w:rsid w:val="00A06EEC"/>
    <w:rsid w:val="00A13969"/>
    <w:rsid w:val="00A1471B"/>
    <w:rsid w:val="00A1563A"/>
    <w:rsid w:val="00A15F98"/>
    <w:rsid w:val="00A22558"/>
    <w:rsid w:val="00A23444"/>
    <w:rsid w:val="00A23570"/>
    <w:rsid w:val="00A23AC8"/>
    <w:rsid w:val="00A23FDC"/>
    <w:rsid w:val="00A2552B"/>
    <w:rsid w:val="00A25DA0"/>
    <w:rsid w:val="00A261DD"/>
    <w:rsid w:val="00A32F9C"/>
    <w:rsid w:val="00A336C0"/>
    <w:rsid w:val="00A33B14"/>
    <w:rsid w:val="00A35B8E"/>
    <w:rsid w:val="00A36FB6"/>
    <w:rsid w:val="00A370F2"/>
    <w:rsid w:val="00A40651"/>
    <w:rsid w:val="00A41740"/>
    <w:rsid w:val="00A44111"/>
    <w:rsid w:val="00A44D3C"/>
    <w:rsid w:val="00A44DA9"/>
    <w:rsid w:val="00A5156F"/>
    <w:rsid w:val="00A51D5B"/>
    <w:rsid w:val="00A52C92"/>
    <w:rsid w:val="00A537E2"/>
    <w:rsid w:val="00A62039"/>
    <w:rsid w:val="00A62D11"/>
    <w:rsid w:val="00A6405D"/>
    <w:rsid w:val="00A71A82"/>
    <w:rsid w:val="00A7259F"/>
    <w:rsid w:val="00A7454E"/>
    <w:rsid w:val="00A771F1"/>
    <w:rsid w:val="00A779DD"/>
    <w:rsid w:val="00A77DEA"/>
    <w:rsid w:val="00A90FEF"/>
    <w:rsid w:val="00A92513"/>
    <w:rsid w:val="00A93EDF"/>
    <w:rsid w:val="00A96EC5"/>
    <w:rsid w:val="00A97A06"/>
    <w:rsid w:val="00A97D14"/>
    <w:rsid w:val="00AA3692"/>
    <w:rsid w:val="00AA4B67"/>
    <w:rsid w:val="00AA5080"/>
    <w:rsid w:val="00AA5C19"/>
    <w:rsid w:val="00AA6E48"/>
    <w:rsid w:val="00AA6E53"/>
    <w:rsid w:val="00AB09C0"/>
    <w:rsid w:val="00AB4A95"/>
    <w:rsid w:val="00AB5AF4"/>
    <w:rsid w:val="00AB5E93"/>
    <w:rsid w:val="00AC0075"/>
    <w:rsid w:val="00AC0814"/>
    <w:rsid w:val="00AC133F"/>
    <w:rsid w:val="00AC1778"/>
    <w:rsid w:val="00AC2140"/>
    <w:rsid w:val="00AC2E4D"/>
    <w:rsid w:val="00AC3B9B"/>
    <w:rsid w:val="00AD02DB"/>
    <w:rsid w:val="00AD13FC"/>
    <w:rsid w:val="00AD3210"/>
    <w:rsid w:val="00AE0032"/>
    <w:rsid w:val="00AE15E4"/>
    <w:rsid w:val="00AE16A4"/>
    <w:rsid w:val="00AE1C87"/>
    <w:rsid w:val="00AE4B1D"/>
    <w:rsid w:val="00AE657B"/>
    <w:rsid w:val="00AE71E6"/>
    <w:rsid w:val="00AF1FEC"/>
    <w:rsid w:val="00AF2C91"/>
    <w:rsid w:val="00AF4A00"/>
    <w:rsid w:val="00AF4F1C"/>
    <w:rsid w:val="00AF5EA0"/>
    <w:rsid w:val="00AF7967"/>
    <w:rsid w:val="00B0464C"/>
    <w:rsid w:val="00B0503C"/>
    <w:rsid w:val="00B060D6"/>
    <w:rsid w:val="00B1045B"/>
    <w:rsid w:val="00B11D2D"/>
    <w:rsid w:val="00B12389"/>
    <w:rsid w:val="00B1257E"/>
    <w:rsid w:val="00B1265F"/>
    <w:rsid w:val="00B152BF"/>
    <w:rsid w:val="00B160B3"/>
    <w:rsid w:val="00B2412F"/>
    <w:rsid w:val="00B24EB4"/>
    <w:rsid w:val="00B250FB"/>
    <w:rsid w:val="00B2778A"/>
    <w:rsid w:val="00B33854"/>
    <w:rsid w:val="00B42F74"/>
    <w:rsid w:val="00B43997"/>
    <w:rsid w:val="00B459D7"/>
    <w:rsid w:val="00B46269"/>
    <w:rsid w:val="00B472FB"/>
    <w:rsid w:val="00B512A9"/>
    <w:rsid w:val="00B5297B"/>
    <w:rsid w:val="00B55932"/>
    <w:rsid w:val="00B564D7"/>
    <w:rsid w:val="00B57F37"/>
    <w:rsid w:val="00B601A5"/>
    <w:rsid w:val="00B61B3B"/>
    <w:rsid w:val="00B62A18"/>
    <w:rsid w:val="00B62F7B"/>
    <w:rsid w:val="00B71B47"/>
    <w:rsid w:val="00B72657"/>
    <w:rsid w:val="00B7384A"/>
    <w:rsid w:val="00B73AC3"/>
    <w:rsid w:val="00B74B8D"/>
    <w:rsid w:val="00B80BF7"/>
    <w:rsid w:val="00B81124"/>
    <w:rsid w:val="00B81160"/>
    <w:rsid w:val="00B85CD5"/>
    <w:rsid w:val="00B85E8D"/>
    <w:rsid w:val="00B85F01"/>
    <w:rsid w:val="00B8699E"/>
    <w:rsid w:val="00B91366"/>
    <w:rsid w:val="00B925E5"/>
    <w:rsid w:val="00B93DD4"/>
    <w:rsid w:val="00B97890"/>
    <w:rsid w:val="00B97C38"/>
    <w:rsid w:val="00BA3879"/>
    <w:rsid w:val="00BA3F6E"/>
    <w:rsid w:val="00BA433D"/>
    <w:rsid w:val="00BA4A2D"/>
    <w:rsid w:val="00BA4D86"/>
    <w:rsid w:val="00BA64F2"/>
    <w:rsid w:val="00BB18A0"/>
    <w:rsid w:val="00BB2AA5"/>
    <w:rsid w:val="00BB69CE"/>
    <w:rsid w:val="00BB6F9C"/>
    <w:rsid w:val="00BB7132"/>
    <w:rsid w:val="00BC1588"/>
    <w:rsid w:val="00BC1D95"/>
    <w:rsid w:val="00BC211E"/>
    <w:rsid w:val="00BC4499"/>
    <w:rsid w:val="00BC47A4"/>
    <w:rsid w:val="00BC4B8E"/>
    <w:rsid w:val="00BC7B72"/>
    <w:rsid w:val="00BD0E0F"/>
    <w:rsid w:val="00BD4424"/>
    <w:rsid w:val="00BD51A6"/>
    <w:rsid w:val="00BD53B3"/>
    <w:rsid w:val="00BD56D3"/>
    <w:rsid w:val="00BD6579"/>
    <w:rsid w:val="00BE0772"/>
    <w:rsid w:val="00BE108E"/>
    <w:rsid w:val="00BE17B4"/>
    <w:rsid w:val="00BE1EA9"/>
    <w:rsid w:val="00BE3593"/>
    <w:rsid w:val="00BE391A"/>
    <w:rsid w:val="00BE7520"/>
    <w:rsid w:val="00BF73FD"/>
    <w:rsid w:val="00C021A4"/>
    <w:rsid w:val="00C054BD"/>
    <w:rsid w:val="00C120EE"/>
    <w:rsid w:val="00C14F04"/>
    <w:rsid w:val="00C21399"/>
    <w:rsid w:val="00C223B1"/>
    <w:rsid w:val="00C24041"/>
    <w:rsid w:val="00C26350"/>
    <w:rsid w:val="00C327BA"/>
    <w:rsid w:val="00C33F60"/>
    <w:rsid w:val="00C36501"/>
    <w:rsid w:val="00C3685E"/>
    <w:rsid w:val="00C40001"/>
    <w:rsid w:val="00C41F33"/>
    <w:rsid w:val="00C4225E"/>
    <w:rsid w:val="00C43881"/>
    <w:rsid w:val="00C441A3"/>
    <w:rsid w:val="00C47553"/>
    <w:rsid w:val="00C50FCF"/>
    <w:rsid w:val="00C512CF"/>
    <w:rsid w:val="00C51FC4"/>
    <w:rsid w:val="00C53F93"/>
    <w:rsid w:val="00C54DAB"/>
    <w:rsid w:val="00C555B2"/>
    <w:rsid w:val="00C56379"/>
    <w:rsid w:val="00C61385"/>
    <w:rsid w:val="00C61AC3"/>
    <w:rsid w:val="00C65103"/>
    <w:rsid w:val="00C67114"/>
    <w:rsid w:val="00C67263"/>
    <w:rsid w:val="00C700B1"/>
    <w:rsid w:val="00C720C8"/>
    <w:rsid w:val="00C7326E"/>
    <w:rsid w:val="00C7395C"/>
    <w:rsid w:val="00C757BC"/>
    <w:rsid w:val="00C76FB2"/>
    <w:rsid w:val="00C820D8"/>
    <w:rsid w:val="00C82104"/>
    <w:rsid w:val="00C84988"/>
    <w:rsid w:val="00C920F1"/>
    <w:rsid w:val="00C93FAE"/>
    <w:rsid w:val="00C97C4A"/>
    <w:rsid w:val="00CA0532"/>
    <w:rsid w:val="00CA2246"/>
    <w:rsid w:val="00CA3FCA"/>
    <w:rsid w:val="00CA40DC"/>
    <w:rsid w:val="00CA44FB"/>
    <w:rsid w:val="00CB333C"/>
    <w:rsid w:val="00CB3AD2"/>
    <w:rsid w:val="00CB3ED7"/>
    <w:rsid w:val="00CB50D3"/>
    <w:rsid w:val="00CB6706"/>
    <w:rsid w:val="00CB7D81"/>
    <w:rsid w:val="00CC1BC7"/>
    <w:rsid w:val="00CC2718"/>
    <w:rsid w:val="00CC53E3"/>
    <w:rsid w:val="00CD3D26"/>
    <w:rsid w:val="00CD5FAA"/>
    <w:rsid w:val="00CD6330"/>
    <w:rsid w:val="00CD6849"/>
    <w:rsid w:val="00CE01E2"/>
    <w:rsid w:val="00CE1408"/>
    <w:rsid w:val="00CE292B"/>
    <w:rsid w:val="00CE372B"/>
    <w:rsid w:val="00CE78CB"/>
    <w:rsid w:val="00CE7A0B"/>
    <w:rsid w:val="00CF2247"/>
    <w:rsid w:val="00CF46B8"/>
    <w:rsid w:val="00CF4A67"/>
    <w:rsid w:val="00CF5CD0"/>
    <w:rsid w:val="00D0189B"/>
    <w:rsid w:val="00D0287E"/>
    <w:rsid w:val="00D03D52"/>
    <w:rsid w:val="00D03DA1"/>
    <w:rsid w:val="00D0503C"/>
    <w:rsid w:val="00D07821"/>
    <w:rsid w:val="00D10104"/>
    <w:rsid w:val="00D1050A"/>
    <w:rsid w:val="00D11B3E"/>
    <w:rsid w:val="00D13824"/>
    <w:rsid w:val="00D15103"/>
    <w:rsid w:val="00D1787D"/>
    <w:rsid w:val="00D20F04"/>
    <w:rsid w:val="00D22625"/>
    <w:rsid w:val="00D243FA"/>
    <w:rsid w:val="00D2751E"/>
    <w:rsid w:val="00D31027"/>
    <w:rsid w:val="00D35E76"/>
    <w:rsid w:val="00D36267"/>
    <w:rsid w:val="00D374BF"/>
    <w:rsid w:val="00D37A30"/>
    <w:rsid w:val="00D40A6A"/>
    <w:rsid w:val="00D41663"/>
    <w:rsid w:val="00D42991"/>
    <w:rsid w:val="00D43F2C"/>
    <w:rsid w:val="00D43FC8"/>
    <w:rsid w:val="00D46820"/>
    <w:rsid w:val="00D515EF"/>
    <w:rsid w:val="00D52BBB"/>
    <w:rsid w:val="00D53A3B"/>
    <w:rsid w:val="00D54A77"/>
    <w:rsid w:val="00D550A3"/>
    <w:rsid w:val="00D653EA"/>
    <w:rsid w:val="00D6618D"/>
    <w:rsid w:val="00D73E82"/>
    <w:rsid w:val="00D74AD0"/>
    <w:rsid w:val="00D75F59"/>
    <w:rsid w:val="00D76EB2"/>
    <w:rsid w:val="00D80E97"/>
    <w:rsid w:val="00D81660"/>
    <w:rsid w:val="00D83EE5"/>
    <w:rsid w:val="00D83F91"/>
    <w:rsid w:val="00D84250"/>
    <w:rsid w:val="00D854C6"/>
    <w:rsid w:val="00D875BD"/>
    <w:rsid w:val="00D909CE"/>
    <w:rsid w:val="00D940CD"/>
    <w:rsid w:val="00D95972"/>
    <w:rsid w:val="00DA2143"/>
    <w:rsid w:val="00DA79D6"/>
    <w:rsid w:val="00DB029F"/>
    <w:rsid w:val="00DB1CE1"/>
    <w:rsid w:val="00DB447F"/>
    <w:rsid w:val="00DB5B05"/>
    <w:rsid w:val="00DC124A"/>
    <w:rsid w:val="00DC1FD0"/>
    <w:rsid w:val="00DC5DCB"/>
    <w:rsid w:val="00DC647A"/>
    <w:rsid w:val="00DD239E"/>
    <w:rsid w:val="00DD29C8"/>
    <w:rsid w:val="00DD39EF"/>
    <w:rsid w:val="00DD3BFF"/>
    <w:rsid w:val="00DD50AA"/>
    <w:rsid w:val="00DD5EF5"/>
    <w:rsid w:val="00DE0439"/>
    <w:rsid w:val="00DE1B16"/>
    <w:rsid w:val="00DE2A6D"/>
    <w:rsid w:val="00DE50B4"/>
    <w:rsid w:val="00DE7938"/>
    <w:rsid w:val="00DF0B1F"/>
    <w:rsid w:val="00DF17F4"/>
    <w:rsid w:val="00DF45BD"/>
    <w:rsid w:val="00DF68FA"/>
    <w:rsid w:val="00DF6D74"/>
    <w:rsid w:val="00E031C6"/>
    <w:rsid w:val="00E05419"/>
    <w:rsid w:val="00E05CFF"/>
    <w:rsid w:val="00E12DE4"/>
    <w:rsid w:val="00E13B78"/>
    <w:rsid w:val="00E13E42"/>
    <w:rsid w:val="00E15B93"/>
    <w:rsid w:val="00E17C9D"/>
    <w:rsid w:val="00E20D82"/>
    <w:rsid w:val="00E21FFA"/>
    <w:rsid w:val="00E248C7"/>
    <w:rsid w:val="00E265DA"/>
    <w:rsid w:val="00E2687D"/>
    <w:rsid w:val="00E27D24"/>
    <w:rsid w:val="00E310AE"/>
    <w:rsid w:val="00E338ED"/>
    <w:rsid w:val="00E33EFB"/>
    <w:rsid w:val="00E34129"/>
    <w:rsid w:val="00E3544C"/>
    <w:rsid w:val="00E36FA5"/>
    <w:rsid w:val="00E417E7"/>
    <w:rsid w:val="00E43B07"/>
    <w:rsid w:val="00E46E0D"/>
    <w:rsid w:val="00E471C9"/>
    <w:rsid w:val="00E506DE"/>
    <w:rsid w:val="00E5204A"/>
    <w:rsid w:val="00E62A18"/>
    <w:rsid w:val="00E6472C"/>
    <w:rsid w:val="00E6568A"/>
    <w:rsid w:val="00E8234F"/>
    <w:rsid w:val="00E82BE7"/>
    <w:rsid w:val="00E85855"/>
    <w:rsid w:val="00E85FC5"/>
    <w:rsid w:val="00E95F4B"/>
    <w:rsid w:val="00E97365"/>
    <w:rsid w:val="00EA0856"/>
    <w:rsid w:val="00EA1C89"/>
    <w:rsid w:val="00EA1FDC"/>
    <w:rsid w:val="00EA2B53"/>
    <w:rsid w:val="00EA3FDA"/>
    <w:rsid w:val="00EB03BA"/>
    <w:rsid w:val="00EB188B"/>
    <w:rsid w:val="00EB28B9"/>
    <w:rsid w:val="00EB40A7"/>
    <w:rsid w:val="00EB44DC"/>
    <w:rsid w:val="00EB5E3D"/>
    <w:rsid w:val="00EC0A95"/>
    <w:rsid w:val="00EC3BCB"/>
    <w:rsid w:val="00EC432F"/>
    <w:rsid w:val="00EC53BF"/>
    <w:rsid w:val="00EC69E8"/>
    <w:rsid w:val="00ED0079"/>
    <w:rsid w:val="00ED0534"/>
    <w:rsid w:val="00ED5B06"/>
    <w:rsid w:val="00EE364B"/>
    <w:rsid w:val="00EE3CE0"/>
    <w:rsid w:val="00EE658E"/>
    <w:rsid w:val="00EF0297"/>
    <w:rsid w:val="00EF1527"/>
    <w:rsid w:val="00EF2FB8"/>
    <w:rsid w:val="00EF5BD0"/>
    <w:rsid w:val="00EF5EC5"/>
    <w:rsid w:val="00EF7CD1"/>
    <w:rsid w:val="00F005D9"/>
    <w:rsid w:val="00F00E1E"/>
    <w:rsid w:val="00F0210C"/>
    <w:rsid w:val="00F036BF"/>
    <w:rsid w:val="00F03F69"/>
    <w:rsid w:val="00F04607"/>
    <w:rsid w:val="00F10141"/>
    <w:rsid w:val="00F11A55"/>
    <w:rsid w:val="00F133AE"/>
    <w:rsid w:val="00F14B95"/>
    <w:rsid w:val="00F15F80"/>
    <w:rsid w:val="00F1661A"/>
    <w:rsid w:val="00F228D3"/>
    <w:rsid w:val="00F23B87"/>
    <w:rsid w:val="00F25DE0"/>
    <w:rsid w:val="00F2601F"/>
    <w:rsid w:val="00F26C25"/>
    <w:rsid w:val="00F311BD"/>
    <w:rsid w:val="00F313E4"/>
    <w:rsid w:val="00F33EC4"/>
    <w:rsid w:val="00F34365"/>
    <w:rsid w:val="00F347F3"/>
    <w:rsid w:val="00F355AB"/>
    <w:rsid w:val="00F36A62"/>
    <w:rsid w:val="00F37155"/>
    <w:rsid w:val="00F37CFE"/>
    <w:rsid w:val="00F40DA1"/>
    <w:rsid w:val="00F4238D"/>
    <w:rsid w:val="00F43367"/>
    <w:rsid w:val="00F43C39"/>
    <w:rsid w:val="00F474F5"/>
    <w:rsid w:val="00F47890"/>
    <w:rsid w:val="00F47F3A"/>
    <w:rsid w:val="00F47F46"/>
    <w:rsid w:val="00F53789"/>
    <w:rsid w:val="00F56562"/>
    <w:rsid w:val="00F60EC0"/>
    <w:rsid w:val="00F60EC5"/>
    <w:rsid w:val="00F61305"/>
    <w:rsid w:val="00F6167E"/>
    <w:rsid w:val="00F7173B"/>
    <w:rsid w:val="00F7731B"/>
    <w:rsid w:val="00F83AA4"/>
    <w:rsid w:val="00F84023"/>
    <w:rsid w:val="00F84FF4"/>
    <w:rsid w:val="00F852EC"/>
    <w:rsid w:val="00F86555"/>
    <w:rsid w:val="00F87611"/>
    <w:rsid w:val="00F9656E"/>
    <w:rsid w:val="00F96AF3"/>
    <w:rsid w:val="00F96BAB"/>
    <w:rsid w:val="00FA0045"/>
    <w:rsid w:val="00FA0349"/>
    <w:rsid w:val="00FA1342"/>
    <w:rsid w:val="00FA1C13"/>
    <w:rsid w:val="00FA2552"/>
    <w:rsid w:val="00FA2640"/>
    <w:rsid w:val="00FA6340"/>
    <w:rsid w:val="00FA6A72"/>
    <w:rsid w:val="00FA7F2B"/>
    <w:rsid w:val="00FB0537"/>
    <w:rsid w:val="00FB1490"/>
    <w:rsid w:val="00FB60F4"/>
    <w:rsid w:val="00FC0E2C"/>
    <w:rsid w:val="00FC2E92"/>
    <w:rsid w:val="00FC45BB"/>
    <w:rsid w:val="00FC6BAF"/>
    <w:rsid w:val="00FD204A"/>
    <w:rsid w:val="00FD4525"/>
    <w:rsid w:val="00FD4B97"/>
    <w:rsid w:val="00FD6820"/>
    <w:rsid w:val="00FD7FAA"/>
    <w:rsid w:val="00FE1387"/>
    <w:rsid w:val="00FE13FE"/>
    <w:rsid w:val="00FF55BE"/>
    <w:rsid w:val="00FF7C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5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30AEE"/>
    <w:rPr>
      <w:noProof/>
      <w:sz w:val="24"/>
      <w:szCs w:val="24"/>
      <w:lang w:val="en-US" w:eastAsia="zh-CN"/>
    </w:rPr>
  </w:style>
  <w:style w:type="paragraph" w:styleId="Antrat1">
    <w:name w:val="heading 1"/>
    <w:basedOn w:val="prastasis"/>
    <w:next w:val="prastasis"/>
    <w:link w:val="Antrat1Diagrama"/>
    <w:qFormat/>
    <w:rsid w:val="007E03DF"/>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7E03DF"/>
    <w:pPr>
      <w:keepNext/>
      <w:spacing w:before="240" w:after="60"/>
      <w:outlineLvl w:val="1"/>
    </w:pPr>
    <w:rPr>
      <w:rFonts w:ascii="Cambria" w:eastAsia="Times New Roman"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urinys5">
    <w:name w:val="toc 5"/>
    <w:basedOn w:val="prastasis"/>
    <w:next w:val="prastasis"/>
    <w:autoRedefine/>
    <w:semiHidden/>
    <w:rsid w:val="006F52E6"/>
    <w:pPr>
      <w:ind w:left="960"/>
    </w:pPr>
    <w:rPr>
      <w:sz w:val="22"/>
    </w:rPr>
  </w:style>
  <w:style w:type="paragraph" w:styleId="Turinys4">
    <w:name w:val="toc 4"/>
    <w:basedOn w:val="prastasis"/>
    <w:next w:val="prastasis"/>
    <w:autoRedefine/>
    <w:semiHidden/>
    <w:rsid w:val="006F52E6"/>
    <w:pPr>
      <w:ind w:left="720"/>
    </w:pPr>
    <w:rPr>
      <w:sz w:val="22"/>
    </w:rPr>
  </w:style>
  <w:style w:type="paragraph" w:styleId="Pagrindinistekstas">
    <w:name w:val="Body Text"/>
    <w:basedOn w:val="prastasis"/>
    <w:rsid w:val="005A1F5B"/>
    <w:pPr>
      <w:widowControl w:val="0"/>
      <w:snapToGrid w:val="0"/>
    </w:pPr>
    <w:rPr>
      <w:rFonts w:eastAsia="Times New Roman"/>
      <w:noProof w:val="0"/>
      <w:color w:val="000000"/>
      <w:szCs w:val="20"/>
      <w:lang w:val="cs-CZ" w:eastAsia="cs-CZ"/>
    </w:rPr>
  </w:style>
  <w:style w:type="paragraph" w:styleId="Antrats">
    <w:name w:val="header"/>
    <w:basedOn w:val="prastasis"/>
    <w:rsid w:val="008E0776"/>
    <w:pPr>
      <w:tabs>
        <w:tab w:val="center" w:pos="4536"/>
        <w:tab w:val="right" w:pos="9072"/>
      </w:tabs>
    </w:pPr>
  </w:style>
  <w:style w:type="paragraph" w:styleId="Porat">
    <w:name w:val="footer"/>
    <w:basedOn w:val="prastasis"/>
    <w:rsid w:val="008E0776"/>
    <w:pPr>
      <w:tabs>
        <w:tab w:val="center" w:pos="4536"/>
        <w:tab w:val="right" w:pos="9072"/>
      </w:tabs>
    </w:pPr>
  </w:style>
  <w:style w:type="paragraph" w:styleId="Debesliotekstas">
    <w:name w:val="Balloon Text"/>
    <w:basedOn w:val="prastasis"/>
    <w:semiHidden/>
    <w:rsid w:val="00822948"/>
    <w:rPr>
      <w:rFonts w:ascii="Tahoma" w:hAnsi="Tahoma" w:cs="Tahoma"/>
      <w:sz w:val="16"/>
      <w:szCs w:val="16"/>
    </w:rPr>
  </w:style>
  <w:style w:type="paragraph" w:customStyle="1" w:styleId="Texttabulky1">
    <w:name w:val="Text tabulky 1"/>
    <w:autoRedefine/>
    <w:rsid w:val="0000195F"/>
    <w:pPr>
      <w:ind w:left="72"/>
      <w:jc w:val="both"/>
    </w:pPr>
    <w:rPr>
      <w:rFonts w:eastAsia="Times New Roman"/>
      <w:noProof/>
      <w:sz w:val="24"/>
      <w:lang w:val="cs-CZ" w:eastAsia="cs-CZ"/>
    </w:rPr>
  </w:style>
  <w:style w:type="paragraph" w:styleId="Pagrindinistekstas2">
    <w:name w:val="Body Text 2"/>
    <w:basedOn w:val="prastasis"/>
    <w:link w:val="Pagrindinistekstas2Diagrama"/>
    <w:rsid w:val="001D0481"/>
    <w:pPr>
      <w:spacing w:after="120" w:line="480" w:lineRule="auto"/>
    </w:pPr>
  </w:style>
  <w:style w:type="character" w:customStyle="1" w:styleId="Pagrindinistekstas2Diagrama">
    <w:name w:val="Pagrindinis tekstas 2 Diagrama"/>
    <w:link w:val="Pagrindinistekstas2"/>
    <w:rsid w:val="001D0481"/>
    <w:rPr>
      <w:noProof/>
      <w:sz w:val="24"/>
      <w:szCs w:val="24"/>
      <w:lang w:val="en-US" w:eastAsia="zh-CN"/>
    </w:rPr>
  </w:style>
  <w:style w:type="paragraph" w:customStyle="1" w:styleId="Paragraph">
    <w:name w:val="Paragraph"/>
    <w:basedOn w:val="prastasis"/>
    <w:rsid w:val="001D0481"/>
    <w:pPr>
      <w:spacing w:after="120" w:line="300" w:lineRule="atLeast"/>
    </w:pPr>
    <w:rPr>
      <w:rFonts w:ascii="Arial" w:eastAsia="Times New Roman" w:hAnsi="Arial" w:cs="Arial"/>
      <w:noProof w:val="0"/>
      <w:sz w:val="22"/>
      <w:szCs w:val="22"/>
      <w:lang w:val="en-GB" w:eastAsia="nl-NL"/>
    </w:rPr>
  </w:style>
  <w:style w:type="table" w:styleId="Lentelstinklelis">
    <w:name w:val="Table Grid"/>
    <w:basedOn w:val="prastojilentel"/>
    <w:rsid w:val="001D0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7E03DF"/>
    <w:rPr>
      <w:rFonts w:ascii="Cambria" w:eastAsia="Times New Roman" w:hAnsi="Cambria" w:cs="Times New Roman"/>
      <w:b/>
      <w:bCs/>
      <w:noProof/>
      <w:kern w:val="32"/>
      <w:sz w:val="32"/>
      <w:szCs w:val="32"/>
      <w:lang w:val="en-US" w:eastAsia="zh-CN"/>
    </w:rPr>
  </w:style>
  <w:style w:type="character" w:customStyle="1" w:styleId="Antrat2Diagrama">
    <w:name w:val="Antraštė 2 Diagrama"/>
    <w:link w:val="Antrat2"/>
    <w:rsid w:val="007E03DF"/>
    <w:rPr>
      <w:rFonts w:ascii="Cambria" w:eastAsia="Times New Roman" w:hAnsi="Cambria" w:cs="Times New Roman"/>
      <w:b/>
      <w:bCs/>
      <w:i/>
      <w:iCs/>
      <w:noProof/>
      <w:sz w:val="28"/>
      <w:szCs w:val="28"/>
      <w:lang w:val="en-US" w:eastAsia="zh-CN"/>
    </w:rPr>
  </w:style>
  <w:style w:type="character" w:styleId="Komentaronuoroda">
    <w:name w:val="annotation reference"/>
    <w:semiHidden/>
    <w:rsid w:val="00DD5EF5"/>
    <w:rPr>
      <w:sz w:val="16"/>
      <w:szCs w:val="16"/>
    </w:rPr>
  </w:style>
  <w:style w:type="paragraph" w:styleId="Komentarotekstas">
    <w:name w:val="annotation text"/>
    <w:basedOn w:val="prastasis"/>
    <w:link w:val="KomentarotekstasDiagrama"/>
    <w:semiHidden/>
    <w:rsid w:val="00DD5EF5"/>
    <w:rPr>
      <w:sz w:val="20"/>
      <w:szCs w:val="20"/>
    </w:rPr>
  </w:style>
  <w:style w:type="paragraph" w:styleId="Komentarotema">
    <w:name w:val="annotation subject"/>
    <w:basedOn w:val="Komentarotekstas"/>
    <w:next w:val="Komentarotekstas"/>
    <w:semiHidden/>
    <w:rsid w:val="00DD5EF5"/>
    <w:rPr>
      <w:b/>
      <w:bCs/>
    </w:rPr>
  </w:style>
  <w:style w:type="character" w:styleId="Puslapionumeris">
    <w:name w:val="page number"/>
    <w:basedOn w:val="Numatytasispastraiposriftas"/>
    <w:rsid w:val="00B93DD4"/>
  </w:style>
  <w:style w:type="paragraph" w:styleId="Sraopastraipa">
    <w:name w:val="List Paragraph"/>
    <w:basedOn w:val="prastasis"/>
    <w:uiPriority w:val="34"/>
    <w:qFormat/>
    <w:rsid w:val="00BD51A6"/>
    <w:pPr>
      <w:ind w:left="720"/>
      <w:contextualSpacing/>
    </w:pPr>
  </w:style>
  <w:style w:type="paragraph" w:styleId="Pataisymai">
    <w:name w:val="Revision"/>
    <w:hidden/>
    <w:uiPriority w:val="99"/>
    <w:semiHidden/>
    <w:rsid w:val="00D83F91"/>
    <w:rPr>
      <w:noProof/>
      <w:sz w:val="24"/>
      <w:szCs w:val="24"/>
      <w:lang w:val="en-US" w:eastAsia="zh-CN"/>
    </w:rPr>
  </w:style>
  <w:style w:type="paragraph" w:customStyle="1" w:styleId="Default">
    <w:name w:val="Default"/>
    <w:uiPriority w:val="99"/>
    <w:rsid w:val="00152D91"/>
    <w:pPr>
      <w:autoSpaceDE w:val="0"/>
      <w:autoSpaceDN w:val="0"/>
      <w:adjustRightInd w:val="0"/>
    </w:pPr>
    <w:rPr>
      <w:rFonts w:eastAsia="Times New Roman"/>
      <w:color w:val="000000"/>
      <w:sz w:val="24"/>
      <w:szCs w:val="24"/>
      <w:lang w:val="cs-CZ" w:eastAsia="cs-CZ"/>
    </w:rPr>
  </w:style>
  <w:style w:type="paragraph" w:customStyle="1" w:styleId="Fliesstext">
    <w:name w:val="Fliesstext"/>
    <w:basedOn w:val="prastasis"/>
    <w:uiPriority w:val="99"/>
    <w:rsid w:val="005974A5"/>
    <w:pPr>
      <w:jc w:val="both"/>
    </w:pPr>
    <w:rPr>
      <w:rFonts w:eastAsia="Arial Unicode MS"/>
      <w:bCs/>
      <w:noProof w:val="0"/>
      <w:lang w:val="de-DE" w:eastAsia="de-DE"/>
    </w:rPr>
  </w:style>
  <w:style w:type="paragraph" w:customStyle="1" w:styleId="2PIL">
    <w:name w:val="2 PIL"/>
    <w:basedOn w:val="Antrat2"/>
    <w:link w:val="2PILChar"/>
    <w:autoRedefine/>
    <w:uiPriority w:val="4"/>
    <w:qFormat/>
    <w:rsid w:val="00371B26"/>
    <w:pPr>
      <w:spacing w:before="0"/>
      <w:ind w:left="567" w:hanging="567"/>
      <w:jc w:val="both"/>
    </w:pPr>
    <w:rPr>
      <w:rFonts w:ascii="Times New Roman" w:eastAsia="MS Mincho" w:hAnsi="Times New Roman" w:cs="Arial"/>
      <w:i w:val="0"/>
      <w:iCs w:val="0"/>
      <w:sz w:val="24"/>
      <w:szCs w:val="24"/>
      <w:lang w:val="en-GB" w:eastAsia="de-DE"/>
    </w:rPr>
  </w:style>
  <w:style w:type="character" w:customStyle="1" w:styleId="2PILChar">
    <w:name w:val="2 PIL Char"/>
    <w:link w:val="2PIL"/>
    <w:uiPriority w:val="4"/>
    <w:rsid w:val="00371B26"/>
    <w:rPr>
      <w:rFonts w:ascii="Cambria" w:eastAsia="MS Mincho" w:hAnsi="Cambria" w:cs="Arial"/>
      <w:b/>
      <w:bCs/>
      <w:i w:val="0"/>
      <w:iCs w:val="0"/>
      <w:noProof/>
      <w:sz w:val="24"/>
      <w:szCs w:val="24"/>
      <w:lang w:val="en-GB" w:eastAsia="de-DE"/>
    </w:rPr>
  </w:style>
  <w:style w:type="paragraph" w:customStyle="1" w:styleId="2LAB">
    <w:name w:val="2 LAB"/>
    <w:basedOn w:val="Antrat2"/>
    <w:link w:val="2LABChar"/>
    <w:uiPriority w:val="3"/>
    <w:qFormat/>
    <w:rsid w:val="00B250FB"/>
    <w:pPr>
      <w:pBdr>
        <w:top w:val="single" w:sz="4" w:space="1" w:color="auto"/>
        <w:left w:val="single" w:sz="4" w:space="4" w:color="auto"/>
        <w:bottom w:val="single" w:sz="4" w:space="1" w:color="auto"/>
        <w:right w:val="single" w:sz="4" w:space="4" w:color="auto"/>
      </w:pBdr>
      <w:spacing w:before="0" w:after="0"/>
      <w:jc w:val="both"/>
    </w:pPr>
    <w:rPr>
      <w:rFonts w:eastAsia="MS Mincho" w:cs="Arial"/>
      <w:i w:val="0"/>
      <w:iCs w:val="0"/>
      <w:caps/>
      <w:sz w:val="24"/>
      <w:szCs w:val="24"/>
      <w:lang w:eastAsia="de-DE"/>
    </w:rPr>
  </w:style>
  <w:style w:type="character" w:customStyle="1" w:styleId="2LABChar">
    <w:name w:val="2 LAB Char"/>
    <w:link w:val="2LAB"/>
    <w:uiPriority w:val="3"/>
    <w:rsid w:val="00B250FB"/>
    <w:rPr>
      <w:rFonts w:ascii="Cambria" w:eastAsia="MS Mincho" w:hAnsi="Cambria" w:cs="Arial"/>
      <w:b/>
      <w:bCs/>
      <w:i w:val="0"/>
      <w:iCs w:val="0"/>
      <w:caps/>
      <w:noProof/>
      <w:sz w:val="24"/>
      <w:szCs w:val="24"/>
      <w:lang w:val="en-US" w:eastAsia="de-DE"/>
    </w:rPr>
  </w:style>
  <w:style w:type="paragraph" w:customStyle="1" w:styleId="Normln">
    <w:name w:val="Norm‡ln’"/>
    <w:rsid w:val="00657A6B"/>
    <w:pPr>
      <w:spacing w:after="200" w:line="276" w:lineRule="auto"/>
    </w:pPr>
    <w:rPr>
      <w:rFonts w:eastAsia="MS Mincho"/>
      <w:sz w:val="22"/>
      <w:szCs w:val="22"/>
      <w:lang w:val="cs-CZ" w:eastAsia="cs-CZ"/>
    </w:rPr>
  </w:style>
  <w:style w:type="paragraph" w:customStyle="1" w:styleId="TableParagraph">
    <w:name w:val="Table Paragraph"/>
    <w:basedOn w:val="prastasis"/>
    <w:uiPriority w:val="1"/>
    <w:qFormat/>
    <w:rsid w:val="00D243FA"/>
    <w:pPr>
      <w:widowControl w:val="0"/>
      <w:autoSpaceDE w:val="0"/>
      <w:autoSpaceDN w:val="0"/>
      <w:spacing w:line="252" w:lineRule="exact"/>
      <w:ind w:left="68"/>
    </w:pPr>
    <w:rPr>
      <w:rFonts w:eastAsia="Times New Roman"/>
      <w:noProof w:val="0"/>
      <w:sz w:val="22"/>
      <w:szCs w:val="22"/>
      <w:lang w:val="de-DE" w:eastAsia="de-DE" w:bidi="de-DE"/>
    </w:rPr>
  </w:style>
  <w:style w:type="character" w:customStyle="1" w:styleId="KomentarotekstasDiagrama">
    <w:name w:val="Komentaro tekstas Diagrama"/>
    <w:link w:val="Komentarotekstas"/>
    <w:semiHidden/>
    <w:rsid w:val="008F407D"/>
    <w:rPr>
      <w:noProof/>
      <w:lang w:val="en-US" w:eastAsia="zh-CN"/>
    </w:rPr>
  </w:style>
  <w:style w:type="paragraph" w:styleId="Pagrindiniotekstotrauka2">
    <w:name w:val="Body Text Indent 2"/>
    <w:basedOn w:val="prastasis"/>
    <w:link w:val="Pagrindiniotekstotrauka2Diagrama"/>
    <w:semiHidden/>
    <w:unhideWhenUsed/>
    <w:rsid w:val="00BD6579"/>
    <w:pPr>
      <w:spacing w:after="120" w:line="480" w:lineRule="auto"/>
      <w:ind w:left="283"/>
    </w:pPr>
  </w:style>
  <w:style w:type="character" w:customStyle="1" w:styleId="Pagrindiniotekstotrauka2Diagrama">
    <w:name w:val="Pagrindinio teksto įtrauka 2 Diagrama"/>
    <w:link w:val="Pagrindiniotekstotrauka2"/>
    <w:semiHidden/>
    <w:rsid w:val="00BD6579"/>
    <w:rPr>
      <w:noProof/>
      <w:sz w:val="24"/>
      <w:szCs w:val="24"/>
      <w:lang w:val="en-US" w:eastAsia="zh-CN"/>
    </w:rPr>
  </w:style>
  <w:style w:type="character" w:customStyle="1" w:styleId="BTEMEASMCAChar">
    <w:name w:val="BT EMEA_SMCA Char"/>
    <w:link w:val="BTEMEASMCA"/>
    <w:locked/>
    <w:rsid w:val="00074D03"/>
    <w:rPr>
      <w:rFonts w:eastAsia="Times New Roman"/>
      <w:noProof/>
      <w:sz w:val="22"/>
      <w:szCs w:val="22"/>
    </w:rPr>
  </w:style>
  <w:style w:type="paragraph" w:customStyle="1" w:styleId="BTEMEASMCA">
    <w:name w:val="BT EMEA_SMCA"/>
    <w:basedOn w:val="prastasis"/>
    <w:link w:val="BTEMEASMCAChar"/>
    <w:autoRedefine/>
    <w:rsid w:val="00074D03"/>
    <w:pPr>
      <w:ind w:right="-569"/>
    </w:pPr>
    <w:rPr>
      <w:rFonts w:eastAsia="Times New Roman"/>
      <w:sz w:val="22"/>
      <w:szCs w:val="22"/>
      <w:lang w:val="lt-LT" w:eastAsia="lt-LT"/>
    </w:rPr>
  </w:style>
  <w:style w:type="paragraph" w:customStyle="1" w:styleId="Spalvotassraas1parykinimas1">
    <w:name w:val="Spalvotas sąrašas – 1 paryškinimas1"/>
    <w:basedOn w:val="prastasis"/>
    <w:uiPriority w:val="34"/>
    <w:qFormat/>
    <w:rsid w:val="00125005"/>
    <w:pPr>
      <w:ind w:left="720"/>
      <w:contextualSpacing/>
    </w:pPr>
    <w:rPr>
      <w:rFonts w:eastAsia="Times New Roman"/>
      <w:noProof w:val="0"/>
      <w:lang w:val="en-GB" w:eastAsia="en-US"/>
    </w:rPr>
  </w:style>
  <w:style w:type="character" w:styleId="Hipersaitas">
    <w:name w:val="Hyperlink"/>
    <w:unhideWhenUsed/>
    <w:rsid w:val="00E34129"/>
    <w:rPr>
      <w:color w:val="0563C1"/>
      <w:u w:val="single"/>
    </w:rPr>
  </w:style>
  <w:style w:type="character" w:customStyle="1" w:styleId="UnresolvedMention1">
    <w:name w:val="Unresolved Mention1"/>
    <w:uiPriority w:val="99"/>
    <w:semiHidden/>
    <w:unhideWhenUsed/>
    <w:rsid w:val="00E34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361">
      <w:bodyDiv w:val="1"/>
      <w:marLeft w:val="0"/>
      <w:marRight w:val="0"/>
      <w:marTop w:val="0"/>
      <w:marBottom w:val="0"/>
      <w:divBdr>
        <w:top w:val="none" w:sz="0" w:space="0" w:color="auto"/>
        <w:left w:val="none" w:sz="0" w:space="0" w:color="auto"/>
        <w:bottom w:val="none" w:sz="0" w:space="0" w:color="auto"/>
        <w:right w:val="none" w:sz="0" w:space="0" w:color="auto"/>
      </w:divBdr>
    </w:div>
    <w:div w:id="199325136">
      <w:bodyDiv w:val="1"/>
      <w:marLeft w:val="0"/>
      <w:marRight w:val="0"/>
      <w:marTop w:val="0"/>
      <w:marBottom w:val="0"/>
      <w:divBdr>
        <w:top w:val="none" w:sz="0" w:space="0" w:color="auto"/>
        <w:left w:val="none" w:sz="0" w:space="0" w:color="auto"/>
        <w:bottom w:val="none" w:sz="0" w:space="0" w:color="auto"/>
        <w:right w:val="none" w:sz="0" w:space="0" w:color="auto"/>
      </w:divBdr>
    </w:div>
    <w:div w:id="277681543">
      <w:bodyDiv w:val="1"/>
      <w:marLeft w:val="0"/>
      <w:marRight w:val="0"/>
      <w:marTop w:val="0"/>
      <w:marBottom w:val="0"/>
      <w:divBdr>
        <w:top w:val="none" w:sz="0" w:space="0" w:color="auto"/>
        <w:left w:val="none" w:sz="0" w:space="0" w:color="auto"/>
        <w:bottom w:val="none" w:sz="0" w:space="0" w:color="auto"/>
        <w:right w:val="none" w:sz="0" w:space="0" w:color="auto"/>
      </w:divBdr>
    </w:div>
    <w:div w:id="286745795">
      <w:bodyDiv w:val="1"/>
      <w:marLeft w:val="0"/>
      <w:marRight w:val="0"/>
      <w:marTop w:val="0"/>
      <w:marBottom w:val="0"/>
      <w:divBdr>
        <w:top w:val="none" w:sz="0" w:space="0" w:color="auto"/>
        <w:left w:val="none" w:sz="0" w:space="0" w:color="auto"/>
        <w:bottom w:val="none" w:sz="0" w:space="0" w:color="auto"/>
        <w:right w:val="none" w:sz="0" w:space="0" w:color="auto"/>
      </w:divBdr>
      <w:divsChild>
        <w:div w:id="412237832">
          <w:marLeft w:val="0"/>
          <w:marRight w:val="0"/>
          <w:marTop w:val="0"/>
          <w:marBottom w:val="0"/>
          <w:divBdr>
            <w:top w:val="none" w:sz="0" w:space="0" w:color="auto"/>
            <w:left w:val="none" w:sz="0" w:space="0" w:color="auto"/>
            <w:bottom w:val="none" w:sz="0" w:space="0" w:color="auto"/>
            <w:right w:val="none" w:sz="0" w:space="0" w:color="auto"/>
          </w:divBdr>
          <w:divsChild>
            <w:div w:id="1226792667">
              <w:marLeft w:val="0"/>
              <w:marRight w:val="0"/>
              <w:marTop w:val="0"/>
              <w:marBottom w:val="0"/>
              <w:divBdr>
                <w:top w:val="none" w:sz="0" w:space="0" w:color="auto"/>
                <w:left w:val="none" w:sz="0" w:space="0" w:color="auto"/>
                <w:bottom w:val="none" w:sz="0" w:space="0" w:color="auto"/>
                <w:right w:val="none" w:sz="0" w:space="0" w:color="auto"/>
              </w:divBdr>
              <w:divsChild>
                <w:div w:id="940651869">
                  <w:marLeft w:val="0"/>
                  <w:marRight w:val="0"/>
                  <w:marTop w:val="0"/>
                  <w:marBottom w:val="0"/>
                  <w:divBdr>
                    <w:top w:val="none" w:sz="0" w:space="0" w:color="auto"/>
                    <w:left w:val="none" w:sz="0" w:space="0" w:color="auto"/>
                    <w:bottom w:val="none" w:sz="0" w:space="0" w:color="auto"/>
                    <w:right w:val="none" w:sz="0" w:space="0" w:color="auto"/>
                  </w:divBdr>
                  <w:divsChild>
                    <w:div w:id="1680809544">
                      <w:marLeft w:val="0"/>
                      <w:marRight w:val="0"/>
                      <w:marTop w:val="0"/>
                      <w:marBottom w:val="0"/>
                      <w:divBdr>
                        <w:top w:val="none" w:sz="0" w:space="0" w:color="auto"/>
                        <w:left w:val="none" w:sz="0" w:space="0" w:color="auto"/>
                        <w:bottom w:val="none" w:sz="0" w:space="0" w:color="auto"/>
                        <w:right w:val="none" w:sz="0" w:space="0" w:color="auto"/>
                      </w:divBdr>
                      <w:divsChild>
                        <w:div w:id="2014410883">
                          <w:marLeft w:val="0"/>
                          <w:marRight w:val="0"/>
                          <w:marTop w:val="0"/>
                          <w:marBottom w:val="0"/>
                          <w:divBdr>
                            <w:top w:val="none" w:sz="0" w:space="0" w:color="auto"/>
                            <w:left w:val="none" w:sz="0" w:space="0" w:color="auto"/>
                            <w:bottom w:val="none" w:sz="0" w:space="0" w:color="auto"/>
                            <w:right w:val="none" w:sz="0" w:space="0" w:color="auto"/>
                          </w:divBdr>
                          <w:divsChild>
                            <w:div w:id="251554206">
                              <w:marLeft w:val="0"/>
                              <w:marRight w:val="0"/>
                              <w:marTop w:val="0"/>
                              <w:marBottom w:val="0"/>
                              <w:divBdr>
                                <w:top w:val="none" w:sz="0" w:space="0" w:color="auto"/>
                                <w:left w:val="none" w:sz="0" w:space="0" w:color="auto"/>
                                <w:bottom w:val="none" w:sz="0" w:space="0" w:color="auto"/>
                                <w:right w:val="none" w:sz="0" w:space="0" w:color="auto"/>
                              </w:divBdr>
                              <w:divsChild>
                                <w:div w:id="1308777162">
                                  <w:marLeft w:val="0"/>
                                  <w:marRight w:val="0"/>
                                  <w:marTop w:val="0"/>
                                  <w:marBottom w:val="0"/>
                                  <w:divBdr>
                                    <w:top w:val="none" w:sz="0" w:space="0" w:color="auto"/>
                                    <w:left w:val="none" w:sz="0" w:space="0" w:color="auto"/>
                                    <w:bottom w:val="none" w:sz="0" w:space="0" w:color="auto"/>
                                    <w:right w:val="none" w:sz="0" w:space="0" w:color="auto"/>
                                  </w:divBdr>
                                  <w:divsChild>
                                    <w:div w:id="607813573">
                                      <w:marLeft w:val="0"/>
                                      <w:marRight w:val="0"/>
                                      <w:marTop w:val="0"/>
                                      <w:marBottom w:val="0"/>
                                      <w:divBdr>
                                        <w:top w:val="single" w:sz="6" w:space="0" w:color="F5F5F5"/>
                                        <w:left w:val="single" w:sz="6" w:space="0" w:color="F5F5F5"/>
                                        <w:bottom w:val="single" w:sz="6" w:space="0" w:color="F5F5F5"/>
                                        <w:right w:val="single" w:sz="6" w:space="0" w:color="F5F5F5"/>
                                      </w:divBdr>
                                      <w:divsChild>
                                        <w:div w:id="1928074993">
                                          <w:marLeft w:val="0"/>
                                          <w:marRight w:val="0"/>
                                          <w:marTop w:val="0"/>
                                          <w:marBottom w:val="0"/>
                                          <w:divBdr>
                                            <w:top w:val="none" w:sz="0" w:space="0" w:color="auto"/>
                                            <w:left w:val="none" w:sz="0" w:space="0" w:color="auto"/>
                                            <w:bottom w:val="none" w:sz="0" w:space="0" w:color="auto"/>
                                            <w:right w:val="none" w:sz="0" w:space="0" w:color="auto"/>
                                          </w:divBdr>
                                          <w:divsChild>
                                            <w:div w:id="20902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0112179">
      <w:bodyDiv w:val="1"/>
      <w:marLeft w:val="0"/>
      <w:marRight w:val="0"/>
      <w:marTop w:val="0"/>
      <w:marBottom w:val="0"/>
      <w:divBdr>
        <w:top w:val="none" w:sz="0" w:space="0" w:color="auto"/>
        <w:left w:val="none" w:sz="0" w:space="0" w:color="auto"/>
        <w:bottom w:val="none" w:sz="0" w:space="0" w:color="auto"/>
        <w:right w:val="none" w:sz="0" w:space="0" w:color="auto"/>
      </w:divBdr>
    </w:div>
    <w:div w:id="457801020">
      <w:bodyDiv w:val="1"/>
      <w:marLeft w:val="0"/>
      <w:marRight w:val="0"/>
      <w:marTop w:val="0"/>
      <w:marBottom w:val="0"/>
      <w:divBdr>
        <w:top w:val="none" w:sz="0" w:space="0" w:color="auto"/>
        <w:left w:val="none" w:sz="0" w:space="0" w:color="auto"/>
        <w:bottom w:val="none" w:sz="0" w:space="0" w:color="auto"/>
        <w:right w:val="none" w:sz="0" w:space="0" w:color="auto"/>
      </w:divBdr>
    </w:div>
    <w:div w:id="512063874">
      <w:bodyDiv w:val="1"/>
      <w:marLeft w:val="0"/>
      <w:marRight w:val="0"/>
      <w:marTop w:val="0"/>
      <w:marBottom w:val="0"/>
      <w:divBdr>
        <w:top w:val="none" w:sz="0" w:space="0" w:color="auto"/>
        <w:left w:val="none" w:sz="0" w:space="0" w:color="auto"/>
        <w:bottom w:val="none" w:sz="0" w:space="0" w:color="auto"/>
        <w:right w:val="none" w:sz="0" w:space="0" w:color="auto"/>
      </w:divBdr>
    </w:div>
    <w:div w:id="539706678">
      <w:bodyDiv w:val="1"/>
      <w:marLeft w:val="0"/>
      <w:marRight w:val="0"/>
      <w:marTop w:val="0"/>
      <w:marBottom w:val="0"/>
      <w:divBdr>
        <w:top w:val="none" w:sz="0" w:space="0" w:color="auto"/>
        <w:left w:val="none" w:sz="0" w:space="0" w:color="auto"/>
        <w:bottom w:val="none" w:sz="0" w:space="0" w:color="auto"/>
        <w:right w:val="none" w:sz="0" w:space="0" w:color="auto"/>
      </w:divBdr>
    </w:div>
    <w:div w:id="575362023">
      <w:bodyDiv w:val="1"/>
      <w:marLeft w:val="0"/>
      <w:marRight w:val="0"/>
      <w:marTop w:val="0"/>
      <w:marBottom w:val="0"/>
      <w:divBdr>
        <w:top w:val="none" w:sz="0" w:space="0" w:color="auto"/>
        <w:left w:val="none" w:sz="0" w:space="0" w:color="auto"/>
        <w:bottom w:val="none" w:sz="0" w:space="0" w:color="auto"/>
        <w:right w:val="none" w:sz="0" w:space="0" w:color="auto"/>
      </w:divBdr>
    </w:div>
    <w:div w:id="583609560">
      <w:bodyDiv w:val="1"/>
      <w:marLeft w:val="0"/>
      <w:marRight w:val="0"/>
      <w:marTop w:val="0"/>
      <w:marBottom w:val="0"/>
      <w:divBdr>
        <w:top w:val="none" w:sz="0" w:space="0" w:color="auto"/>
        <w:left w:val="none" w:sz="0" w:space="0" w:color="auto"/>
        <w:bottom w:val="none" w:sz="0" w:space="0" w:color="auto"/>
        <w:right w:val="none" w:sz="0" w:space="0" w:color="auto"/>
      </w:divBdr>
    </w:div>
    <w:div w:id="742488777">
      <w:bodyDiv w:val="1"/>
      <w:marLeft w:val="0"/>
      <w:marRight w:val="0"/>
      <w:marTop w:val="0"/>
      <w:marBottom w:val="0"/>
      <w:divBdr>
        <w:top w:val="none" w:sz="0" w:space="0" w:color="auto"/>
        <w:left w:val="none" w:sz="0" w:space="0" w:color="auto"/>
        <w:bottom w:val="none" w:sz="0" w:space="0" w:color="auto"/>
        <w:right w:val="none" w:sz="0" w:space="0" w:color="auto"/>
      </w:divBdr>
    </w:div>
    <w:div w:id="837766638">
      <w:bodyDiv w:val="1"/>
      <w:marLeft w:val="0"/>
      <w:marRight w:val="0"/>
      <w:marTop w:val="0"/>
      <w:marBottom w:val="0"/>
      <w:divBdr>
        <w:top w:val="none" w:sz="0" w:space="0" w:color="auto"/>
        <w:left w:val="none" w:sz="0" w:space="0" w:color="auto"/>
        <w:bottom w:val="none" w:sz="0" w:space="0" w:color="auto"/>
        <w:right w:val="none" w:sz="0" w:space="0" w:color="auto"/>
      </w:divBdr>
    </w:div>
    <w:div w:id="1060597234">
      <w:bodyDiv w:val="1"/>
      <w:marLeft w:val="0"/>
      <w:marRight w:val="0"/>
      <w:marTop w:val="0"/>
      <w:marBottom w:val="0"/>
      <w:divBdr>
        <w:top w:val="none" w:sz="0" w:space="0" w:color="auto"/>
        <w:left w:val="none" w:sz="0" w:space="0" w:color="auto"/>
        <w:bottom w:val="none" w:sz="0" w:space="0" w:color="auto"/>
        <w:right w:val="none" w:sz="0" w:space="0" w:color="auto"/>
      </w:divBdr>
    </w:div>
    <w:div w:id="1133331964">
      <w:bodyDiv w:val="1"/>
      <w:marLeft w:val="0"/>
      <w:marRight w:val="0"/>
      <w:marTop w:val="0"/>
      <w:marBottom w:val="0"/>
      <w:divBdr>
        <w:top w:val="none" w:sz="0" w:space="0" w:color="auto"/>
        <w:left w:val="none" w:sz="0" w:space="0" w:color="auto"/>
        <w:bottom w:val="none" w:sz="0" w:space="0" w:color="auto"/>
        <w:right w:val="none" w:sz="0" w:space="0" w:color="auto"/>
      </w:divBdr>
    </w:div>
    <w:div w:id="1178537984">
      <w:bodyDiv w:val="1"/>
      <w:marLeft w:val="0"/>
      <w:marRight w:val="0"/>
      <w:marTop w:val="0"/>
      <w:marBottom w:val="0"/>
      <w:divBdr>
        <w:top w:val="none" w:sz="0" w:space="0" w:color="auto"/>
        <w:left w:val="none" w:sz="0" w:space="0" w:color="auto"/>
        <w:bottom w:val="none" w:sz="0" w:space="0" w:color="auto"/>
        <w:right w:val="none" w:sz="0" w:space="0" w:color="auto"/>
      </w:divBdr>
    </w:div>
    <w:div w:id="1221019992">
      <w:bodyDiv w:val="1"/>
      <w:marLeft w:val="0"/>
      <w:marRight w:val="0"/>
      <w:marTop w:val="0"/>
      <w:marBottom w:val="0"/>
      <w:divBdr>
        <w:top w:val="none" w:sz="0" w:space="0" w:color="auto"/>
        <w:left w:val="none" w:sz="0" w:space="0" w:color="auto"/>
        <w:bottom w:val="none" w:sz="0" w:space="0" w:color="auto"/>
        <w:right w:val="none" w:sz="0" w:space="0" w:color="auto"/>
      </w:divBdr>
    </w:div>
    <w:div w:id="1276446616">
      <w:bodyDiv w:val="1"/>
      <w:marLeft w:val="0"/>
      <w:marRight w:val="0"/>
      <w:marTop w:val="0"/>
      <w:marBottom w:val="0"/>
      <w:divBdr>
        <w:top w:val="none" w:sz="0" w:space="0" w:color="auto"/>
        <w:left w:val="none" w:sz="0" w:space="0" w:color="auto"/>
        <w:bottom w:val="none" w:sz="0" w:space="0" w:color="auto"/>
        <w:right w:val="none" w:sz="0" w:space="0" w:color="auto"/>
      </w:divBdr>
    </w:div>
    <w:div w:id="1295864230">
      <w:bodyDiv w:val="1"/>
      <w:marLeft w:val="0"/>
      <w:marRight w:val="0"/>
      <w:marTop w:val="0"/>
      <w:marBottom w:val="0"/>
      <w:divBdr>
        <w:top w:val="none" w:sz="0" w:space="0" w:color="auto"/>
        <w:left w:val="none" w:sz="0" w:space="0" w:color="auto"/>
        <w:bottom w:val="none" w:sz="0" w:space="0" w:color="auto"/>
        <w:right w:val="none" w:sz="0" w:space="0" w:color="auto"/>
      </w:divBdr>
    </w:div>
    <w:div w:id="1320500742">
      <w:bodyDiv w:val="1"/>
      <w:marLeft w:val="0"/>
      <w:marRight w:val="0"/>
      <w:marTop w:val="0"/>
      <w:marBottom w:val="0"/>
      <w:divBdr>
        <w:top w:val="none" w:sz="0" w:space="0" w:color="auto"/>
        <w:left w:val="none" w:sz="0" w:space="0" w:color="auto"/>
        <w:bottom w:val="none" w:sz="0" w:space="0" w:color="auto"/>
        <w:right w:val="none" w:sz="0" w:space="0" w:color="auto"/>
      </w:divBdr>
      <w:divsChild>
        <w:div w:id="1606231208">
          <w:marLeft w:val="0"/>
          <w:marRight w:val="0"/>
          <w:marTop w:val="0"/>
          <w:marBottom w:val="0"/>
          <w:divBdr>
            <w:top w:val="none" w:sz="0" w:space="0" w:color="auto"/>
            <w:left w:val="none" w:sz="0" w:space="0" w:color="auto"/>
            <w:bottom w:val="none" w:sz="0" w:space="0" w:color="auto"/>
            <w:right w:val="none" w:sz="0" w:space="0" w:color="auto"/>
          </w:divBdr>
          <w:divsChild>
            <w:div w:id="1565096020">
              <w:marLeft w:val="0"/>
              <w:marRight w:val="0"/>
              <w:marTop w:val="0"/>
              <w:marBottom w:val="0"/>
              <w:divBdr>
                <w:top w:val="none" w:sz="0" w:space="0" w:color="auto"/>
                <w:left w:val="none" w:sz="0" w:space="0" w:color="auto"/>
                <w:bottom w:val="none" w:sz="0" w:space="0" w:color="auto"/>
                <w:right w:val="none" w:sz="0" w:space="0" w:color="auto"/>
              </w:divBdr>
              <w:divsChild>
                <w:div w:id="1318337993">
                  <w:marLeft w:val="0"/>
                  <w:marRight w:val="0"/>
                  <w:marTop w:val="0"/>
                  <w:marBottom w:val="0"/>
                  <w:divBdr>
                    <w:top w:val="none" w:sz="0" w:space="0" w:color="auto"/>
                    <w:left w:val="none" w:sz="0" w:space="0" w:color="auto"/>
                    <w:bottom w:val="none" w:sz="0" w:space="0" w:color="auto"/>
                    <w:right w:val="none" w:sz="0" w:space="0" w:color="auto"/>
                  </w:divBdr>
                  <w:divsChild>
                    <w:div w:id="1479951737">
                      <w:marLeft w:val="0"/>
                      <w:marRight w:val="0"/>
                      <w:marTop w:val="0"/>
                      <w:marBottom w:val="0"/>
                      <w:divBdr>
                        <w:top w:val="none" w:sz="0" w:space="0" w:color="auto"/>
                        <w:left w:val="none" w:sz="0" w:space="0" w:color="auto"/>
                        <w:bottom w:val="none" w:sz="0" w:space="0" w:color="auto"/>
                        <w:right w:val="none" w:sz="0" w:space="0" w:color="auto"/>
                      </w:divBdr>
                      <w:divsChild>
                        <w:div w:id="561672235">
                          <w:marLeft w:val="0"/>
                          <w:marRight w:val="0"/>
                          <w:marTop w:val="0"/>
                          <w:marBottom w:val="0"/>
                          <w:divBdr>
                            <w:top w:val="none" w:sz="0" w:space="0" w:color="auto"/>
                            <w:left w:val="none" w:sz="0" w:space="0" w:color="auto"/>
                            <w:bottom w:val="none" w:sz="0" w:space="0" w:color="auto"/>
                            <w:right w:val="none" w:sz="0" w:space="0" w:color="auto"/>
                          </w:divBdr>
                          <w:divsChild>
                            <w:div w:id="1106652351">
                              <w:marLeft w:val="0"/>
                              <w:marRight w:val="0"/>
                              <w:marTop w:val="0"/>
                              <w:marBottom w:val="0"/>
                              <w:divBdr>
                                <w:top w:val="none" w:sz="0" w:space="0" w:color="auto"/>
                                <w:left w:val="none" w:sz="0" w:space="0" w:color="auto"/>
                                <w:bottom w:val="none" w:sz="0" w:space="0" w:color="auto"/>
                                <w:right w:val="none" w:sz="0" w:space="0" w:color="auto"/>
                              </w:divBdr>
                              <w:divsChild>
                                <w:div w:id="2145155482">
                                  <w:marLeft w:val="0"/>
                                  <w:marRight w:val="0"/>
                                  <w:marTop w:val="0"/>
                                  <w:marBottom w:val="0"/>
                                  <w:divBdr>
                                    <w:top w:val="none" w:sz="0" w:space="0" w:color="auto"/>
                                    <w:left w:val="none" w:sz="0" w:space="0" w:color="auto"/>
                                    <w:bottom w:val="none" w:sz="0" w:space="0" w:color="auto"/>
                                    <w:right w:val="none" w:sz="0" w:space="0" w:color="auto"/>
                                  </w:divBdr>
                                  <w:divsChild>
                                    <w:div w:id="1602488757">
                                      <w:marLeft w:val="0"/>
                                      <w:marRight w:val="0"/>
                                      <w:marTop w:val="0"/>
                                      <w:marBottom w:val="0"/>
                                      <w:divBdr>
                                        <w:top w:val="single" w:sz="6" w:space="0" w:color="F5F5F5"/>
                                        <w:left w:val="single" w:sz="6" w:space="0" w:color="F5F5F5"/>
                                        <w:bottom w:val="single" w:sz="6" w:space="0" w:color="F5F5F5"/>
                                        <w:right w:val="single" w:sz="6" w:space="0" w:color="F5F5F5"/>
                                      </w:divBdr>
                                      <w:divsChild>
                                        <w:div w:id="288780005">
                                          <w:marLeft w:val="0"/>
                                          <w:marRight w:val="0"/>
                                          <w:marTop w:val="0"/>
                                          <w:marBottom w:val="0"/>
                                          <w:divBdr>
                                            <w:top w:val="none" w:sz="0" w:space="0" w:color="auto"/>
                                            <w:left w:val="none" w:sz="0" w:space="0" w:color="auto"/>
                                            <w:bottom w:val="none" w:sz="0" w:space="0" w:color="auto"/>
                                            <w:right w:val="none" w:sz="0" w:space="0" w:color="auto"/>
                                          </w:divBdr>
                                          <w:divsChild>
                                            <w:div w:id="6119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322530">
      <w:bodyDiv w:val="1"/>
      <w:marLeft w:val="0"/>
      <w:marRight w:val="0"/>
      <w:marTop w:val="0"/>
      <w:marBottom w:val="0"/>
      <w:divBdr>
        <w:top w:val="none" w:sz="0" w:space="0" w:color="auto"/>
        <w:left w:val="none" w:sz="0" w:space="0" w:color="auto"/>
        <w:bottom w:val="none" w:sz="0" w:space="0" w:color="auto"/>
        <w:right w:val="none" w:sz="0" w:space="0" w:color="auto"/>
      </w:divBdr>
    </w:div>
    <w:div w:id="1447508354">
      <w:bodyDiv w:val="1"/>
      <w:marLeft w:val="0"/>
      <w:marRight w:val="0"/>
      <w:marTop w:val="0"/>
      <w:marBottom w:val="0"/>
      <w:divBdr>
        <w:top w:val="none" w:sz="0" w:space="0" w:color="auto"/>
        <w:left w:val="none" w:sz="0" w:space="0" w:color="auto"/>
        <w:bottom w:val="none" w:sz="0" w:space="0" w:color="auto"/>
        <w:right w:val="none" w:sz="0" w:space="0" w:color="auto"/>
      </w:divBdr>
      <w:divsChild>
        <w:div w:id="1928537116">
          <w:marLeft w:val="0"/>
          <w:marRight w:val="0"/>
          <w:marTop w:val="0"/>
          <w:marBottom w:val="0"/>
          <w:divBdr>
            <w:top w:val="none" w:sz="0" w:space="0" w:color="auto"/>
            <w:left w:val="none" w:sz="0" w:space="0" w:color="auto"/>
            <w:bottom w:val="none" w:sz="0" w:space="0" w:color="auto"/>
            <w:right w:val="none" w:sz="0" w:space="0" w:color="auto"/>
          </w:divBdr>
          <w:divsChild>
            <w:div w:id="1802461721">
              <w:marLeft w:val="0"/>
              <w:marRight w:val="0"/>
              <w:marTop w:val="0"/>
              <w:marBottom w:val="0"/>
              <w:divBdr>
                <w:top w:val="none" w:sz="0" w:space="0" w:color="auto"/>
                <w:left w:val="none" w:sz="0" w:space="0" w:color="auto"/>
                <w:bottom w:val="none" w:sz="0" w:space="0" w:color="auto"/>
                <w:right w:val="none" w:sz="0" w:space="0" w:color="auto"/>
              </w:divBdr>
              <w:divsChild>
                <w:div w:id="1661958419">
                  <w:marLeft w:val="0"/>
                  <w:marRight w:val="0"/>
                  <w:marTop w:val="0"/>
                  <w:marBottom w:val="0"/>
                  <w:divBdr>
                    <w:top w:val="none" w:sz="0" w:space="0" w:color="auto"/>
                    <w:left w:val="none" w:sz="0" w:space="0" w:color="auto"/>
                    <w:bottom w:val="none" w:sz="0" w:space="0" w:color="auto"/>
                    <w:right w:val="none" w:sz="0" w:space="0" w:color="auto"/>
                  </w:divBdr>
                  <w:divsChild>
                    <w:div w:id="1971931714">
                      <w:marLeft w:val="0"/>
                      <w:marRight w:val="0"/>
                      <w:marTop w:val="0"/>
                      <w:marBottom w:val="0"/>
                      <w:divBdr>
                        <w:top w:val="none" w:sz="0" w:space="0" w:color="auto"/>
                        <w:left w:val="none" w:sz="0" w:space="0" w:color="auto"/>
                        <w:bottom w:val="none" w:sz="0" w:space="0" w:color="auto"/>
                        <w:right w:val="none" w:sz="0" w:space="0" w:color="auto"/>
                      </w:divBdr>
                      <w:divsChild>
                        <w:div w:id="1360592899">
                          <w:marLeft w:val="0"/>
                          <w:marRight w:val="0"/>
                          <w:marTop w:val="0"/>
                          <w:marBottom w:val="0"/>
                          <w:divBdr>
                            <w:top w:val="none" w:sz="0" w:space="0" w:color="auto"/>
                            <w:left w:val="none" w:sz="0" w:space="0" w:color="auto"/>
                            <w:bottom w:val="none" w:sz="0" w:space="0" w:color="auto"/>
                            <w:right w:val="none" w:sz="0" w:space="0" w:color="auto"/>
                          </w:divBdr>
                          <w:divsChild>
                            <w:div w:id="1123038317">
                              <w:marLeft w:val="0"/>
                              <w:marRight w:val="0"/>
                              <w:marTop w:val="0"/>
                              <w:marBottom w:val="0"/>
                              <w:divBdr>
                                <w:top w:val="none" w:sz="0" w:space="0" w:color="auto"/>
                                <w:left w:val="none" w:sz="0" w:space="0" w:color="auto"/>
                                <w:bottom w:val="none" w:sz="0" w:space="0" w:color="auto"/>
                                <w:right w:val="none" w:sz="0" w:space="0" w:color="auto"/>
                              </w:divBdr>
                              <w:divsChild>
                                <w:div w:id="1467552104">
                                  <w:marLeft w:val="0"/>
                                  <w:marRight w:val="0"/>
                                  <w:marTop w:val="0"/>
                                  <w:marBottom w:val="0"/>
                                  <w:divBdr>
                                    <w:top w:val="none" w:sz="0" w:space="0" w:color="auto"/>
                                    <w:left w:val="none" w:sz="0" w:space="0" w:color="auto"/>
                                    <w:bottom w:val="none" w:sz="0" w:space="0" w:color="auto"/>
                                    <w:right w:val="none" w:sz="0" w:space="0" w:color="auto"/>
                                  </w:divBdr>
                                  <w:divsChild>
                                    <w:div w:id="1542328250">
                                      <w:marLeft w:val="0"/>
                                      <w:marRight w:val="0"/>
                                      <w:marTop w:val="0"/>
                                      <w:marBottom w:val="0"/>
                                      <w:divBdr>
                                        <w:top w:val="single" w:sz="6" w:space="0" w:color="F5F5F5"/>
                                        <w:left w:val="single" w:sz="6" w:space="0" w:color="F5F5F5"/>
                                        <w:bottom w:val="single" w:sz="6" w:space="0" w:color="F5F5F5"/>
                                        <w:right w:val="single" w:sz="6" w:space="0" w:color="F5F5F5"/>
                                      </w:divBdr>
                                      <w:divsChild>
                                        <w:div w:id="1618368504">
                                          <w:marLeft w:val="0"/>
                                          <w:marRight w:val="0"/>
                                          <w:marTop w:val="0"/>
                                          <w:marBottom w:val="0"/>
                                          <w:divBdr>
                                            <w:top w:val="none" w:sz="0" w:space="0" w:color="auto"/>
                                            <w:left w:val="none" w:sz="0" w:space="0" w:color="auto"/>
                                            <w:bottom w:val="none" w:sz="0" w:space="0" w:color="auto"/>
                                            <w:right w:val="none" w:sz="0" w:space="0" w:color="auto"/>
                                          </w:divBdr>
                                          <w:divsChild>
                                            <w:div w:id="4507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2478590">
      <w:bodyDiv w:val="1"/>
      <w:marLeft w:val="0"/>
      <w:marRight w:val="0"/>
      <w:marTop w:val="0"/>
      <w:marBottom w:val="0"/>
      <w:divBdr>
        <w:top w:val="none" w:sz="0" w:space="0" w:color="auto"/>
        <w:left w:val="none" w:sz="0" w:space="0" w:color="auto"/>
        <w:bottom w:val="none" w:sz="0" w:space="0" w:color="auto"/>
        <w:right w:val="none" w:sz="0" w:space="0" w:color="auto"/>
      </w:divBdr>
    </w:div>
    <w:div w:id="1504854834">
      <w:bodyDiv w:val="1"/>
      <w:marLeft w:val="0"/>
      <w:marRight w:val="0"/>
      <w:marTop w:val="0"/>
      <w:marBottom w:val="0"/>
      <w:divBdr>
        <w:top w:val="none" w:sz="0" w:space="0" w:color="auto"/>
        <w:left w:val="none" w:sz="0" w:space="0" w:color="auto"/>
        <w:bottom w:val="none" w:sz="0" w:space="0" w:color="auto"/>
        <w:right w:val="none" w:sz="0" w:space="0" w:color="auto"/>
      </w:divBdr>
    </w:div>
    <w:div w:id="1506170964">
      <w:bodyDiv w:val="1"/>
      <w:marLeft w:val="0"/>
      <w:marRight w:val="0"/>
      <w:marTop w:val="0"/>
      <w:marBottom w:val="0"/>
      <w:divBdr>
        <w:top w:val="none" w:sz="0" w:space="0" w:color="auto"/>
        <w:left w:val="none" w:sz="0" w:space="0" w:color="auto"/>
        <w:bottom w:val="none" w:sz="0" w:space="0" w:color="auto"/>
        <w:right w:val="none" w:sz="0" w:space="0" w:color="auto"/>
      </w:divBdr>
    </w:div>
    <w:div w:id="1569072347">
      <w:bodyDiv w:val="1"/>
      <w:marLeft w:val="0"/>
      <w:marRight w:val="0"/>
      <w:marTop w:val="0"/>
      <w:marBottom w:val="0"/>
      <w:divBdr>
        <w:top w:val="none" w:sz="0" w:space="0" w:color="auto"/>
        <w:left w:val="none" w:sz="0" w:space="0" w:color="auto"/>
        <w:bottom w:val="none" w:sz="0" w:space="0" w:color="auto"/>
        <w:right w:val="none" w:sz="0" w:space="0" w:color="auto"/>
      </w:divBdr>
    </w:div>
    <w:div w:id="1614941090">
      <w:bodyDiv w:val="1"/>
      <w:marLeft w:val="0"/>
      <w:marRight w:val="0"/>
      <w:marTop w:val="0"/>
      <w:marBottom w:val="0"/>
      <w:divBdr>
        <w:top w:val="none" w:sz="0" w:space="0" w:color="auto"/>
        <w:left w:val="none" w:sz="0" w:space="0" w:color="auto"/>
        <w:bottom w:val="none" w:sz="0" w:space="0" w:color="auto"/>
        <w:right w:val="none" w:sz="0" w:space="0" w:color="auto"/>
      </w:divBdr>
    </w:div>
    <w:div w:id="1718049281">
      <w:bodyDiv w:val="1"/>
      <w:marLeft w:val="0"/>
      <w:marRight w:val="0"/>
      <w:marTop w:val="0"/>
      <w:marBottom w:val="0"/>
      <w:divBdr>
        <w:top w:val="none" w:sz="0" w:space="0" w:color="auto"/>
        <w:left w:val="none" w:sz="0" w:space="0" w:color="auto"/>
        <w:bottom w:val="none" w:sz="0" w:space="0" w:color="auto"/>
        <w:right w:val="none" w:sz="0" w:space="0" w:color="auto"/>
      </w:divBdr>
    </w:div>
    <w:div w:id="1785465346">
      <w:bodyDiv w:val="1"/>
      <w:marLeft w:val="0"/>
      <w:marRight w:val="0"/>
      <w:marTop w:val="0"/>
      <w:marBottom w:val="0"/>
      <w:divBdr>
        <w:top w:val="none" w:sz="0" w:space="0" w:color="auto"/>
        <w:left w:val="none" w:sz="0" w:space="0" w:color="auto"/>
        <w:bottom w:val="none" w:sz="0" w:space="0" w:color="auto"/>
        <w:right w:val="none" w:sz="0" w:space="0" w:color="auto"/>
      </w:divBdr>
    </w:div>
    <w:div w:id="1810324789">
      <w:bodyDiv w:val="1"/>
      <w:marLeft w:val="0"/>
      <w:marRight w:val="0"/>
      <w:marTop w:val="0"/>
      <w:marBottom w:val="0"/>
      <w:divBdr>
        <w:top w:val="none" w:sz="0" w:space="0" w:color="auto"/>
        <w:left w:val="none" w:sz="0" w:space="0" w:color="auto"/>
        <w:bottom w:val="none" w:sz="0" w:space="0" w:color="auto"/>
        <w:right w:val="none" w:sz="0" w:space="0" w:color="auto"/>
      </w:divBdr>
    </w:div>
    <w:div w:id="1879976116">
      <w:bodyDiv w:val="1"/>
      <w:marLeft w:val="0"/>
      <w:marRight w:val="0"/>
      <w:marTop w:val="0"/>
      <w:marBottom w:val="0"/>
      <w:divBdr>
        <w:top w:val="none" w:sz="0" w:space="0" w:color="auto"/>
        <w:left w:val="none" w:sz="0" w:space="0" w:color="auto"/>
        <w:bottom w:val="none" w:sz="0" w:space="0" w:color="auto"/>
        <w:right w:val="none" w:sz="0" w:space="0" w:color="auto"/>
      </w:divBdr>
    </w:div>
    <w:div w:id="1892308549">
      <w:bodyDiv w:val="1"/>
      <w:marLeft w:val="0"/>
      <w:marRight w:val="0"/>
      <w:marTop w:val="0"/>
      <w:marBottom w:val="0"/>
      <w:divBdr>
        <w:top w:val="none" w:sz="0" w:space="0" w:color="auto"/>
        <w:left w:val="none" w:sz="0" w:space="0" w:color="auto"/>
        <w:bottom w:val="none" w:sz="0" w:space="0" w:color="auto"/>
        <w:right w:val="none" w:sz="0" w:space="0" w:color="auto"/>
      </w:divBdr>
    </w:div>
    <w:div w:id="1969047202">
      <w:bodyDiv w:val="1"/>
      <w:marLeft w:val="0"/>
      <w:marRight w:val="0"/>
      <w:marTop w:val="0"/>
      <w:marBottom w:val="0"/>
      <w:divBdr>
        <w:top w:val="none" w:sz="0" w:space="0" w:color="auto"/>
        <w:left w:val="none" w:sz="0" w:space="0" w:color="auto"/>
        <w:bottom w:val="none" w:sz="0" w:space="0" w:color="auto"/>
        <w:right w:val="none" w:sz="0" w:space="0" w:color="auto"/>
      </w:divBdr>
    </w:div>
    <w:div w:id="2013949968">
      <w:bodyDiv w:val="1"/>
      <w:marLeft w:val="0"/>
      <w:marRight w:val="0"/>
      <w:marTop w:val="0"/>
      <w:marBottom w:val="0"/>
      <w:divBdr>
        <w:top w:val="none" w:sz="0" w:space="0" w:color="auto"/>
        <w:left w:val="none" w:sz="0" w:space="0" w:color="auto"/>
        <w:bottom w:val="none" w:sz="0" w:space="0" w:color="auto"/>
        <w:right w:val="none" w:sz="0" w:space="0" w:color="auto"/>
      </w:divBdr>
    </w:div>
    <w:div w:id="213104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890AA5-E09C-47CD-904F-5F355FB9EB79}">
  <ds:schemaRefs>
    <ds:schemaRef ds:uri="http://schemas.openxmlformats.org/officeDocument/2006/bibliography"/>
  </ds:schemaRefs>
</ds:datastoreItem>
</file>

<file path=customXml/itemProps2.xml><?xml version="1.0" encoding="utf-8"?>
<ds:datastoreItem xmlns:ds="http://schemas.openxmlformats.org/officeDocument/2006/customXml" ds:itemID="{DEFE0297-1535-48E4-81C6-740429F02626}">
  <ds:schemaRefs>
    <ds:schemaRef ds:uri="http://schemas.openxmlformats.org/officeDocument/2006/bibliography"/>
  </ds:schemaRefs>
</ds:datastoreItem>
</file>

<file path=customXml/itemProps3.xml><?xml version="1.0" encoding="utf-8"?>
<ds:datastoreItem xmlns:ds="http://schemas.openxmlformats.org/officeDocument/2006/customXml" ds:itemID="{62F31F43-7B68-4C1E-894C-EBCC5382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4173</Words>
  <Characters>29055</Characters>
  <Application>Microsoft Office Word</Application>
  <DocSecurity>4</DocSecurity>
  <Lines>242</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33162</CharactersWithSpaces>
  <SharedDoc>false</SharedDoc>
  <HLinks>
    <vt:vector size="30" baseType="variant">
      <vt:variant>
        <vt:i4>2162708</vt:i4>
      </vt:variant>
      <vt:variant>
        <vt:i4>12</vt:i4>
      </vt:variant>
      <vt:variant>
        <vt:i4>0</vt:i4>
      </vt:variant>
      <vt:variant>
        <vt:i4>5</vt:i4>
      </vt:variant>
      <vt:variant>
        <vt:lpwstr>mailto:NepageidaujamaR@vvkt.lt</vt:lpwstr>
      </vt:variant>
      <vt:variant>
        <vt:lpwstr/>
      </vt:variant>
      <vt:variant>
        <vt:i4>4522058</vt:i4>
      </vt:variant>
      <vt:variant>
        <vt:i4>9</vt:i4>
      </vt:variant>
      <vt:variant>
        <vt:i4>0</vt:i4>
      </vt:variant>
      <vt:variant>
        <vt:i4>5</vt:i4>
      </vt:variant>
      <vt:variant>
        <vt:lpwstr>https://www.vvkt.lt/index.php?4004286486</vt:lpwstr>
      </vt:variant>
      <vt:variant>
        <vt:lpwstr/>
      </vt:variant>
      <vt:variant>
        <vt:i4>3014769</vt:i4>
      </vt:variant>
      <vt:variant>
        <vt:i4>6</vt:i4>
      </vt:variant>
      <vt:variant>
        <vt:i4>0</vt:i4>
      </vt:variant>
      <vt:variant>
        <vt:i4>5</vt:i4>
      </vt:variant>
      <vt:variant>
        <vt:lpwstr>https://vapris.vvkt.lt/vvkt-web/public/nrv</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2025-07-30T13:31:00Z</dcterms:created>
  <dcterms:modified xsi:type="dcterms:W3CDTF">2025-07-30T13:31:00Z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2022-07-20T06:48:01Z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bc285d9c-1c30-47b5-a1c3-a499e149fc4f</vt:lpwstr>
  </property>
  <property fmtid="{D5CDD505-2E9C-101B-9397-08002B2CF9AE}" pid="8" name="MSIP_Label_c63a0701-319b-41bf-8431-58956e491e60_ContentBits">
    <vt:lpwstr>0</vt:lpwstr>
  </property>
</Properties>
</file>