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5BF8" w14:textId="77777777" w:rsidR="00CA598F" w:rsidRPr="008A4655" w:rsidRDefault="00CA598F" w:rsidP="00CA598F">
      <w:pPr>
        <w:widowControl w:val="0"/>
        <w:tabs>
          <w:tab w:val="clear" w:pos="567"/>
        </w:tabs>
        <w:spacing w:line="240" w:lineRule="auto"/>
        <w:ind w:left="567" w:hanging="567"/>
        <w:jc w:val="center"/>
        <w:rPr>
          <w:b/>
          <w:bCs/>
          <w:snapToGrid/>
          <w:szCs w:val="22"/>
          <w:lang w:val="lt-LT"/>
        </w:rPr>
      </w:pPr>
      <w:r w:rsidRPr="008A4655">
        <w:rPr>
          <w:b/>
          <w:bCs/>
          <w:snapToGrid/>
          <w:szCs w:val="22"/>
          <w:lang w:val="lt-LT"/>
        </w:rPr>
        <w:t>Pakuotės lapelis: informacija vartotojui</w:t>
      </w:r>
    </w:p>
    <w:p w14:paraId="56DFF69C" w14:textId="77777777" w:rsidR="00CA598F" w:rsidRPr="008A4655" w:rsidRDefault="00CA598F" w:rsidP="00CA598F">
      <w:pPr>
        <w:widowControl w:val="0"/>
        <w:tabs>
          <w:tab w:val="clear" w:pos="567"/>
        </w:tabs>
        <w:spacing w:line="240" w:lineRule="auto"/>
        <w:ind w:left="567" w:hanging="567"/>
        <w:jc w:val="center"/>
        <w:rPr>
          <w:b/>
          <w:snapToGrid/>
          <w:szCs w:val="22"/>
          <w:lang w:val="lt-LT"/>
        </w:rPr>
      </w:pPr>
    </w:p>
    <w:p w14:paraId="69049D61" w14:textId="77777777" w:rsidR="00CA598F" w:rsidRPr="008A4655" w:rsidRDefault="00CA598F" w:rsidP="00CA598F">
      <w:pPr>
        <w:widowControl w:val="0"/>
        <w:tabs>
          <w:tab w:val="clear" w:pos="567"/>
        </w:tabs>
        <w:autoSpaceDE w:val="0"/>
        <w:autoSpaceDN w:val="0"/>
        <w:adjustRightInd w:val="0"/>
        <w:spacing w:line="240" w:lineRule="auto"/>
        <w:jc w:val="center"/>
        <w:rPr>
          <w:snapToGrid/>
          <w:szCs w:val="22"/>
          <w:lang w:val="lt-LT"/>
        </w:rPr>
      </w:pPr>
      <w:proofErr w:type="spellStart"/>
      <w:r>
        <w:rPr>
          <w:b/>
          <w:bCs/>
          <w:snapToGrid/>
          <w:color w:val="000000"/>
          <w:szCs w:val="22"/>
          <w:lang w:val="lt-LT"/>
        </w:rPr>
        <w:t>Ibuliq</w:t>
      </w:r>
      <w:proofErr w:type="spellEnd"/>
      <w:r w:rsidRPr="008A4655">
        <w:rPr>
          <w:b/>
          <w:bCs/>
          <w:snapToGrid/>
          <w:color w:val="000000"/>
          <w:szCs w:val="22"/>
          <w:lang w:val="lt-LT"/>
        </w:rPr>
        <w:t xml:space="preserve"> 200 mg minkštosios kapsulės</w:t>
      </w:r>
    </w:p>
    <w:p w14:paraId="711682DA" w14:textId="77777777" w:rsidR="00CA598F" w:rsidRPr="008A4655" w:rsidRDefault="00CA598F" w:rsidP="00CA598F">
      <w:pPr>
        <w:widowControl w:val="0"/>
        <w:tabs>
          <w:tab w:val="clear" w:pos="567"/>
        </w:tabs>
        <w:spacing w:line="240" w:lineRule="auto"/>
        <w:ind w:left="567" w:hanging="567"/>
        <w:jc w:val="center"/>
        <w:rPr>
          <w:snapToGrid/>
          <w:szCs w:val="22"/>
          <w:lang w:val="lt-LT"/>
        </w:rPr>
      </w:pPr>
      <w:proofErr w:type="spellStart"/>
      <w:r w:rsidRPr="008A4655">
        <w:rPr>
          <w:snapToGrid/>
          <w:szCs w:val="22"/>
          <w:lang w:val="lt-LT"/>
        </w:rPr>
        <w:t>ibuprofenas</w:t>
      </w:r>
      <w:proofErr w:type="spellEnd"/>
    </w:p>
    <w:p w14:paraId="07A6E5A0" w14:textId="77777777" w:rsidR="00CA598F" w:rsidRPr="008A4655" w:rsidRDefault="00CA598F" w:rsidP="00CA598F">
      <w:pPr>
        <w:widowControl w:val="0"/>
        <w:tabs>
          <w:tab w:val="clear" w:pos="567"/>
        </w:tabs>
        <w:spacing w:line="240" w:lineRule="auto"/>
        <w:rPr>
          <w:snapToGrid/>
          <w:szCs w:val="22"/>
          <w:lang w:val="lt-LT"/>
        </w:rPr>
      </w:pPr>
    </w:p>
    <w:p w14:paraId="28C3EB7D" w14:textId="77777777" w:rsidR="00CA598F" w:rsidRPr="008A4655" w:rsidRDefault="00CA598F" w:rsidP="00CA598F">
      <w:pPr>
        <w:numPr>
          <w:ilvl w:val="12"/>
          <w:numId w:val="0"/>
        </w:numPr>
        <w:tabs>
          <w:tab w:val="clear" w:pos="567"/>
        </w:tabs>
        <w:spacing w:line="240" w:lineRule="auto"/>
        <w:ind w:right="-2"/>
        <w:rPr>
          <w:b/>
          <w:szCs w:val="22"/>
          <w:lang w:val="lt-LT"/>
        </w:rPr>
      </w:pPr>
      <w:r w:rsidRPr="008A4655">
        <w:rPr>
          <w:b/>
          <w:szCs w:val="22"/>
          <w:lang w:val="lt-LT"/>
        </w:rPr>
        <w:t>Atidžiai perskaitykite visą šį lapelį, prieš pradėdami vartoti šį vaistą, nes jame pateikiama Jums svarbi informacija.</w:t>
      </w:r>
    </w:p>
    <w:p w14:paraId="7F2DF55F" w14:textId="77777777" w:rsidR="00CA598F" w:rsidRPr="008A4655" w:rsidRDefault="00CA598F" w:rsidP="00CA598F">
      <w:pPr>
        <w:numPr>
          <w:ilvl w:val="12"/>
          <w:numId w:val="0"/>
        </w:numPr>
        <w:tabs>
          <w:tab w:val="clear" w:pos="567"/>
        </w:tabs>
        <w:spacing w:line="240" w:lineRule="auto"/>
        <w:rPr>
          <w:szCs w:val="22"/>
          <w:lang w:val="lt-LT"/>
        </w:rPr>
      </w:pPr>
      <w:r w:rsidRPr="008A4655">
        <w:rPr>
          <w:szCs w:val="22"/>
          <w:lang w:val="lt-LT"/>
        </w:rPr>
        <w:t>Visada vartokite šį vaistą tiksliai kaip aprašyta šiame lapelyje arba kaip nurodė gydytojas arba vaistininkas.</w:t>
      </w:r>
    </w:p>
    <w:p w14:paraId="212B2AFC" w14:textId="77777777" w:rsidR="00CA598F" w:rsidRPr="008A4655" w:rsidRDefault="00CA598F" w:rsidP="00CA598F">
      <w:pPr>
        <w:numPr>
          <w:ilvl w:val="0"/>
          <w:numId w:val="1"/>
        </w:numPr>
        <w:spacing w:line="240" w:lineRule="auto"/>
        <w:ind w:left="567" w:hanging="567"/>
        <w:rPr>
          <w:szCs w:val="22"/>
          <w:lang w:val="lt-LT"/>
        </w:rPr>
      </w:pPr>
      <w:r w:rsidRPr="008A4655">
        <w:rPr>
          <w:szCs w:val="22"/>
          <w:lang w:val="lt-LT"/>
        </w:rPr>
        <w:t xml:space="preserve">Neišmeskite šio lapelio, nes vėl gali prireikti jį perskaityti. </w:t>
      </w:r>
    </w:p>
    <w:p w14:paraId="101CC790" w14:textId="77777777" w:rsidR="00CA598F" w:rsidRPr="008A4655" w:rsidRDefault="00CA598F" w:rsidP="00CA598F">
      <w:pPr>
        <w:numPr>
          <w:ilvl w:val="0"/>
          <w:numId w:val="1"/>
        </w:numPr>
        <w:spacing w:line="240" w:lineRule="auto"/>
        <w:ind w:left="567" w:hanging="567"/>
        <w:rPr>
          <w:szCs w:val="22"/>
          <w:lang w:val="lt-LT"/>
        </w:rPr>
      </w:pPr>
      <w:r w:rsidRPr="008A4655">
        <w:rPr>
          <w:szCs w:val="22"/>
          <w:lang w:val="lt-LT"/>
        </w:rPr>
        <w:t>Jeigu norite sužinoti daugiau arba pasitarti, kreipkitės į vaistininką.</w:t>
      </w:r>
    </w:p>
    <w:p w14:paraId="3B2093C3" w14:textId="77777777" w:rsidR="00CA598F" w:rsidRPr="008A4655" w:rsidRDefault="00CA598F" w:rsidP="00CA598F">
      <w:pPr>
        <w:numPr>
          <w:ilvl w:val="0"/>
          <w:numId w:val="1"/>
        </w:numPr>
        <w:spacing w:line="240" w:lineRule="auto"/>
        <w:ind w:left="567" w:hanging="567"/>
        <w:rPr>
          <w:szCs w:val="22"/>
          <w:lang w:val="lt-LT"/>
        </w:rPr>
      </w:pPr>
      <w:r w:rsidRPr="008A4655">
        <w:rPr>
          <w:szCs w:val="22"/>
          <w:lang w:val="lt-LT"/>
        </w:rPr>
        <w:t>Jeigu pasireiškė šalutinis poveikis (net jeigu jis šiame lapelyje nenurodytas), kreipkitės į gydytoją arba vaistininką. Žr. 4 skyrių.</w:t>
      </w:r>
    </w:p>
    <w:p w14:paraId="6BD17F5F" w14:textId="77777777" w:rsidR="00CA598F" w:rsidRPr="008A4655" w:rsidRDefault="00CA598F" w:rsidP="00CA598F">
      <w:pPr>
        <w:numPr>
          <w:ilvl w:val="0"/>
          <w:numId w:val="1"/>
        </w:numPr>
        <w:spacing w:line="240" w:lineRule="auto"/>
        <w:ind w:left="567" w:hanging="567"/>
        <w:rPr>
          <w:szCs w:val="22"/>
          <w:lang w:val="lt-LT"/>
        </w:rPr>
      </w:pPr>
      <w:r w:rsidRPr="008A4655">
        <w:rPr>
          <w:szCs w:val="22"/>
          <w:lang w:val="lt-LT"/>
        </w:rPr>
        <w:t>Kreipkitės į gydytoją, jeigu Jūsų savijauta nepagerėjo arba net pablogėjo, jei karščiavimas tęsiasi ilgiau kaip 3 dienas arba skausmas trunka ilgiau kaip 3 dienas (paaugliams) ar 5 dienas (suaugusiesiems).</w:t>
      </w:r>
    </w:p>
    <w:p w14:paraId="5F10500D" w14:textId="77777777" w:rsidR="00CA598F" w:rsidRPr="008A4655" w:rsidRDefault="00CA598F" w:rsidP="00CA598F">
      <w:pPr>
        <w:widowControl w:val="0"/>
        <w:autoSpaceDE w:val="0"/>
        <w:autoSpaceDN w:val="0"/>
        <w:adjustRightInd w:val="0"/>
        <w:spacing w:line="240" w:lineRule="auto"/>
        <w:ind w:left="567" w:hanging="567"/>
        <w:rPr>
          <w:bCs/>
          <w:snapToGrid/>
          <w:szCs w:val="22"/>
          <w:lang w:val="lt-LT"/>
        </w:rPr>
      </w:pPr>
    </w:p>
    <w:p w14:paraId="0FDBFC56" w14:textId="77777777" w:rsidR="00CA598F" w:rsidRPr="008A4655" w:rsidRDefault="00CA598F" w:rsidP="00CA598F">
      <w:pPr>
        <w:widowControl w:val="0"/>
        <w:tabs>
          <w:tab w:val="clear" w:pos="567"/>
        </w:tabs>
        <w:spacing w:line="240" w:lineRule="auto"/>
        <w:ind w:left="567" w:hanging="567"/>
        <w:rPr>
          <w:b/>
          <w:snapToGrid/>
          <w:szCs w:val="22"/>
          <w:lang w:val="lt-LT"/>
        </w:rPr>
      </w:pPr>
      <w:r w:rsidRPr="008A4655">
        <w:rPr>
          <w:b/>
          <w:snapToGrid/>
          <w:szCs w:val="22"/>
          <w:lang w:val="lt-LT"/>
        </w:rPr>
        <w:t>Apie ką rašoma šiame lapelyje?</w:t>
      </w:r>
    </w:p>
    <w:p w14:paraId="056C1B27" w14:textId="77777777" w:rsidR="00CA598F" w:rsidRPr="008A4655" w:rsidRDefault="00CA598F" w:rsidP="00CA598F">
      <w:pPr>
        <w:widowControl w:val="0"/>
        <w:tabs>
          <w:tab w:val="clear" w:pos="567"/>
        </w:tabs>
        <w:spacing w:line="240" w:lineRule="auto"/>
        <w:ind w:left="567" w:hanging="567"/>
        <w:rPr>
          <w:snapToGrid/>
          <w:szCs w:val="22"/>
          <w:lang w:val="lt-LT"/>
        </w:rPr>
      </w:pPr>
      <w:r w:rsidRPr="008A4655">
        <w:rPr>
          <w:snapToGrid/>
          <w:szCs w:val="22"/>
          <w:lang w:val="lt-LT"/>
        </w:rPr>
        <w:t>1.</w:t>
      </w:r>
      <w:r w:rsidRPr="008A4655">
        <w:rPr>
          <w:snapToGrid/>
          <w:szCs w:val="22"/>
          <w:lang w:val="lt-LT"/>
        </w:rPr>
        <w:tab/>
        <w:t xml:space="preserve">Kas yra </w:t>
      </w:r>
      <w:proofErr w:type="spellStart"/>
      <w:r>
        <w:rPr>
          <w:snapToGrid/>
          <w:szCs w:val="22"/>
          <w:lang w:val="lt-LT"/>
        </w:rPr>
        <w:t>Ibuliq</w:t>
      </w:r>
      <w:proofErr w:type="spellEnd"/>
      <w:r w:rsidRPr="008A4655">
        <w:rPr>
          <w:snapToGrid/>
          <w:szCs w:val="22"/>
          <w:lang w:val="lt-LT"/>
        </w:rPr>
        <w:t xml:space="preserve"> ir kam jis vartojamas</w:t>
      </w:r>
    </w:p>
    <w:p w14:paraId="1F5A6B94" w14:textId="77777777" w:rsidR="00CA598F" w:rsidRPr="008A4655" w:rsidRDefault="00CA598F" w:rsidP="00CA598F">
      <w:pPr>
        <w:widowControl w:val="0"/>
        <w:tabs>
          <w:tab w:val="clear" w:pos="567"/>
        </w:tabs>
        <w:spacing w:line="240" w:lineRule="auto"/>
        <w:ind w:left="567" w:hanging="567"/>
        <w:rPr>
          <w:snapToGrid/>
          <w:szCs w:val="22"/>
          <w:lang w:val="lt-LT"/>
        </w:rPr>
      </w:pPr>
      <w:r w:rsidRPr="008A4655">
        <w:rPr>
          <w:snapToGrid/>
          <w:szCs w:val="22"/>
          <w:lang w:val="lt-LT"/>
        </w:rPr>
        <w:t>2.</w:t>
      </w:r>
      <w:r w:rsidRPr="008A4655">
        <w:rPr>
          <w:snapToGrid/>
          <w:szCs w:val="22"/>
          <w:lang w:val="lt-LT"/>
        </w:rPr>
        <w:tab/>
        <w:t xml:space="preserve">Kas žinotina prieš vartojant </w:t>
      </w:r>
      <w:proofErr w:type="spellStart"/>
      <w:r>
        <w:rPr>
          <w:snapToGrid/>
          <w:szCs w:val="22"/>
          <w:lang w:val="lt-LT"/>
        </w:rPr>
        <w:t>Ibuliq</w:t>
      </w:r>
      <w:proofErr w:type="spellEnd"/>
    </w:p>
    <w:p w14:paraId="6ADDE062" w14:textId="77777777" w:rsidR="00CA598F" w:rsidRPr="008A4655" w:rsidRDefault="00CA598F" w:rsidP="00CA598F">
      <w:pPr>
        <w:widowControl w:val="0"/>
        <w:tabs>
          <w:tab w:val="clear" w:pos="567"/>
        </w:tabs>
        <w:spacing w:line="240" w:lineRule="auto"/>
        <w:ind w:left="567" w:hanging="567"/>
        <w:rPr>
          <w:snapToGrid/>
          <w:szCs w:val="22"/>
          <w:lang w:val="lt-LT"/>
        </w:rPr>
      </w:pPr>
      <w:r w:rsidRPr="008A4655">
        <w:rPr>
          <w:snapToGrid/>
          <w:szCs w:val="22"/>
          <w:lang w:val="lt-LT"/>
        </w:rPr>
        <w:t>3.</w:t>
      </w:r>
      <w:r w:rsidRPr="008A4655">
        <w:rPr>
          <w:snapToGrid/>
          <w:szCs w:val="22"/>
          <w:lang w:val="lt-LT"/>
        </w:rPr>
        <w:tab/>
        <w:t xml:space="preserve">Kaip vartoti </w:t>
      </w:r>
      <w:proofErr w:type="spellStart"/>
      <w:r>
        <w:rPr>
          <w:snapToGrid/>
          <w:szCs w:val="22"/>
          <w:lang w:val="lt-LT"/>
        </w:rPr>
        <w:t>Ibuliq</w:t>
      </w:r>
      <w:proofErr w:type="spellEnd"/>
    </w:p>
    <w:p w14:paraId="5CF604B7" w14:textId="77777777" w:rsidR="00CA598F" w:rsidRPr="008A4655" w:rsidRDefault="00CA598F" w:rsidP="00CA598F">
      <w:pPr>
        <w:widowControl w:val="0"/>
        <w:tabs>
          <w:tab w:val="clear" w:pos="567"/>
        </w:tabs>
        <w:spacing w:line="240" w:lineRule="auto"/>
        <w:ind w:left="567" w:hanging="567"/>
        <w:rPr>
          <w:snapToGrid/>
          <w:szCs w:val="22"/>
          <w:lang w:val="lt-LT"/>
        </w:rPr>
      </w:pPr>
      <w:r w:rsidRPr="008A4655">
        <w:rPr>
          <w:snapToGrid/>
          <w:szCs w:val="22"/>
          <w:lang w:val="lt-LT"/>
        </w:rPr>
        <w:t>4.</w:t>
      </w:r>
      <w:r w:rsidRPr="008A4655">
        <w:rPr>
          <w:snapToGrid/>
          <w:szCs w:val="22"/>
          <w:lang w:val="lt-LT"/>
        </w:rPr>
        <w:tab/>
        <w:t>Galimas šalutinis poveikis</w:t>
      </w:r>
    </w:p>
    <w:p w14:paraId="651FB6B9" w14:textId="77777777" w:rsidR="00CA598F" w:rsidRPr="008A4655" w:rsidRDefault="00CA598F" w:rsidP="00CA598F">
      <w:pPr>
        <w:widowControl w:val="0"/>
        <w:tabs>
          <w:tab w:val="clear" w:pos="567"/>
        </w:tabs>
        <w:spacing w:line="240" w:lineRule="auto"/>
        <w:ind w:left="567" w:hanging="567"/>
        <w:rPr>
          <w:snapToGrid/>
          <w:szCs w:val="22"/>
          <w:lang w:val="lt-LT"/>
        </w:rPr>
      </w:pPr>
      <w:r w:rsidRPr="008A4655">
        <w:rPr>
          <w:snapToGrid/>
          <w:szCs w:val="22"/>
          <w:lang w:val="lt-LT"/>
        </w:rPr>
        <w:t>5.</w:t>
      </w:r>
      <w:r w:rsidRPr="008A4655">
        <w:rPr>
          <w:snapToGrid/>
          <w:szCs w:val="22"/>
          <w:lang w:val="lt-LT"/>
        </w:rPr>
        <w:tab/>
        <w:t xml:space="preserve">Kaip laikyti </w:t>
      </w:r>
      <w:proofErr w:type="spellStart"/>
      <w:r>
        <w:rPr>
          <w:snapToGrid/>
          <w:szCs w:val="22"/>
          <w:lang w:val="lt-LT"/>
        </w:rPr>
        <w:t>Ibuliq</w:t>
      </w:r>
      <w:proofErr w:type="spellEnd"/>
    </w:p>
    <w:p w14:paraId="0CB1B3AC" w14:textId="77777777" w:rsidR="00CA598F" w:rsidRPr="008A4655" w:rsidRDefault="00CA598F" w:rsidP="00CA598F">
      <w:pPr>
        <w:widowControl w:val="0"/>
        <w:tabs>
          <w:tab w:val="clear" w:pos="567"/>
        </w:tabs>
        <w:spacing w:line="240" w:lineRule="auto"/>
        <w:ind w:left="567" w:hanging="567"/>
        <w:rPr>
          <w:snapToGrid/>
          <w:szCs w:val="22"/>
          <w:lang w:val="lt-LT"/>
        </w:rPr>
      </w:pPr>
      <w:r w:rsidRPr="008A4655">
        <w:rPr>
          <w:snapToGrid/>
          <w:szCs w:val="22"/>
          <w:lang w:val="lt-LT"/>
        </w:rPr>
        <w:t>6.</w:t>
      </w:r>
      <w:r w:rsidRPr="008A4655">
        <w:rPr>
          <w:snapToGrid/>
          <w:szCs w:val="22"/>
          <w:lang w:val="lt-LT"/>
        </w:rPr>
        <w:tab/>
        <w:t>Pakuotės turinys ir kita informacija</w:t>
      </w:r>
    </w:p>
    <w:p w14:paraId="18468682" w14:textId="77777777" w:rsidR="00CA598F" w:rsidRPr="008A4655" w:rsidRDefault="00CA598F" w:rsidP="00CA598F">
      <w:pPr>
        <w:widowControl w:val="0"/>
        <w:numPr>
          <w:ilvl w:val="12"/>
          <w:numId w:val="0"/>
        </w:numPr>
        <w:tabs>
          <w:tab w:val="clear" w:pos="567"/>
        </w:tabs>
        <w:spacing w:line="240" w:lineRule="auto"/>
        <w:rPr>
          <w:snapToGrid/>
          <w:szCs w:val="22"/>
          <w:lang w:val="lt-LT"/>
        </w:rPr>
      </w:pPr>
    </w:p>
    <w:p w14:paraId="64A2E578" w14:textId="77777777" w:rsidR="00CA598F" w:rsidRPr="008A4655" w:rsidRDefault="00CA598F" w:rsidP="00CA598F">
      <w:pPr>
        <w:widowControl w:val="0"/>
        <w:numPr>
          <w:ilvl w:val="12"/>
          <w:numId w:val="0"/>
        </w:numPr>
        <w:tabs>
          <w:tab w:val="clear" w:pos="567"/>
        </w:tabs>
        <w:spacing w:line="240" w:lineRule="auto"/>
        <w:rPr>
          <w:snapToGrid/>
          <w:szCs w:val="22"/>
          <w:lang w:val="lt-LT"/>
        </w:rPr>
      </w:pPr>
    </w:p>
    <w:p w14:paraId="584A07EE" w14:textId="77777777" w:rsidR="00CA598F" w:rsidRPr="008A4655" w:rsidRDefault="00CA598F" w:rsidP="00CA598F">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1.</w:t>
      </w:r>
      <w:r w:rsidRPr="008A4655">
        <w:rPr>
          <w:b/>
          <w:snapToGrid/>
          <w:szCs w:val="22"/>
          <w:lang w:val="lt-LT"/>
        </w:rPr>
        <w:tab/>
        <w:t xml:space="preserve">Kas yra </w:t>
      </w:r>
      <w:proofErr w:type="spellStart"/>
      <w:r>
        <w:rPr>
          <w:b/>
          <w:bCs/>
          <w:snapToGrid/>
          <w:szCs w:val="22"/>
          <w:lang w:val="lt-LT"/>
        </w:rPr>
        <w:t>Ibuliq</w:t>
      </w:r>
      <w:proofErr w:type="spellEnd"/>
      <w:r w:rsidRPr="008A4655">
        <w:rPr>
          <w:b/>
          <w:bCs/>
          <w:snapToGrid/>
          <w:szCs w:val="22"/>
          <w:lang w:val="lt-LT"/>
        </w:rPr>
        <w:t xml:space="preserve"> </w:t>
      </w:r>
      <w:r w:rsidRPr="008A4655">
        <w:rPr>
          <w:b/>
          <w:snapToGrid/>
          <w:szCs w:val="22"/>
          <w:lang w:val="lt-LT"/>
        </w:rPr>
        <w:t>ir kam jis vartojamas</w:t>
      </w:r>
    </w:p>
    <w:p w14:paraId="2B1F1F69" w14:textId="77777777" w:rsidR="00CA598F" w:rsidRPr="008A4655" w:rsidRDefault="00CA598F" w:rsidP="00CA598F">
      <w:pPr>
        <w:widowControl w:val="0"/>
        <w:tabs>
          <w:tab w:val="clear" w:pos="567"/>
        </w:tabs>
        <w:spacing w:line="240" w:lineRule="auto"/>
        <w:ind w:left="567" w:hanging="567"/>
        <w:rPr>
          <w:snapToGrid/>
          <w:szCs w:val="22"/>
          <w:lang w:val="lt-LT"/>
        </w:rPr>
      </w:pPr>
    </w:p>
    <w:p w14:paraId="6404D2D6"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 xml:space="preserve">Veiklioji šio vaisto medžiaga </w:t>
      </w:r>
      <w:proofErr w:type="spellStart"/>
      <w:r w:rsidRPr="008A4655">
        <w:rPr>
          <w:snapToGrid/>
          <w:szCs w:val="22"/>
          <w:lang w:val="lt-LT"/>
        </w:rPr>
        <w:t>ibuprofenas</w:t>
      </w:r>
      <w:proofErr w:type="spellEnd"/>
      <w:r w:rsidRPr="008A4655">
        <w:rPr>
          <w:snapToGrid/>
          <w:szCs w:val="22"/>
          <w:lang w:val="lt-LT"/>
        </w:rPr>
        <w:t xml:space="preserve"> poveikį sukelia malšindama skausmą ir mažindama karščiavimą.</w:t>
      </w:r>
    </w:p>
    <w:p w14:paraId="281957D3"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p>
    <w:p w14:paraId="6F4B0BB2"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Šio vaisto rekomenduojama vartoti suaugusi</w:t>
      </w:r>
      <w:r>
        <w:rPr>
          <w:snapToGrid/>
          <w:szCs w:val="22"/>
          <w:lang w:val="lt-LT"/>
        </w:rPr>
        <w:t>ųjų</w:t>
      </w:r>
      <w:r w:rsidRPr="008A4655">
        <w:rPr>
          <w:snapToGrid/>
          <w:szCs w:val="22"/>
          <w:lang w:val="lt-LT"/>
        </w:rPr>
        <w:t xml:space="preserve"> ir vyresni</w:t>
      </w:r>
      <w:r>
        <w:rPr>
          <w:snapToGrid/>
          <w:szCs w:val="22"/>
          <w:lang w:val="lt-LT"/>
        </w:rPr>
        <w:t>ų</w:t>
      </w:r>
      <w:r w:rsidRPr="008A4655">
        <w:rPr>
          <w:snapToGrid/>
          <w:szCs w:val="22"/>
          <w:lang w:val="lt-LT"/>
        </w:rPr>
        <w:t xml:space="preserve"> kaip 12 metų paaugli</w:t>
      </w:r>
      <w:r>
        <w:rPr>
          <w:snapToGrid/>
          <w:szCs w:val="22"/>
          <w:lang w:val="lt-LT"/>
        </w:rPr>
        <w:t>ų</w:t>
      </w:r>
      <w:r w:rsidRPr="008A4655">
        <w:rPr>
          <w:snapToGrid/>
          <w:szCs w:val="22"/>
          <w:lang w:val="lt-LT"/>
        </w:rPr>
        <w:t xml:space="preserve"> simptomini</w:t>
      </w:r>
      <w:r>
        <w:rPr>
          <w:snapToGrid/>
          <w:szCs w:val="22"/>
          <w:lang w:val="lt-LT"/>
        </w:rPr>
        <w:t>o</w:t>
      </w:r>
      <w:r w:rsidRPr="008A4655">
        <w:rPr>
          <w:snapToGrid/>
          <w:szCs w:val="22"/>
          <w:lang w:val="lt-LT"/>
        </w:rPr>
        <w:t xml:space="preserve"> kartais pasireiškianči</w:t>
      </w:r>
      <w:r>
        <w:rPr>
          <w:snapToGrid/>
          <w:szCs w:val="22"/>
          <w:lang w:val="lt-LT"/>
        </w:rPr>
        <w:t>o</w:t>
      </w:r>
      <w:r w:rsidRPr="008A4655">
        <w:rPr>
          <w:snapToGrid/>
          <w:szCs w:val="22"/>
          <w:lang w:val="lt-LT"/>
        </w:rPr>
        <w:t xml:space="preserve"> lengv</w:t>
      </w:r>
      <w:r>
        <w:rPr>
          <w:snapToGrid/>
          <w:szCs w:val="22"/>
          <w:lang w:val="lt-LT"/>
        </w:rPr>
        <w:t>o</w:t>
      </w:r>
      <w:r w:rsidRPr="008A4655">
        <w:rPr>
          <w:snapToGrid/>
          <w:szCs w:val="22"/>
          <w:lang w:val="lt-LT"/>
        </w:rPr>
        <w:t xml:space="preserve"> arba vidutinio stiprumo skausm</w:t>
      </w:r>
      <w:r>
        <w:rPr>
          <w:snapToGrid/>
          <w:szCs w:val="22"/>
          <w:lang w:val="lt-LT"/>
        </w:rPr>
        <w:t>o</w:t>
      </w:r>
      <w:r w:rsidRPr="008A4655">
        <w:rPr>
          <w:snapToGrid/>
          <w:szCs w:val="22"/>
          <w:lang w:val="lt-LT"/>
        </w:rPr>
        <w:t>, pvz., galvos skausm</w:t>
      </w:r>
      <w:r>
        <w:rPr>
          <w:snapToGrid/>
          <w:szCs w:val="22"/>
          <w:lang w:val="lt-LT"/>
        </w:rPr>
        <w:t>o</w:t>
      </w:r>
      <w:r w:rsidRPr="008A4655">
        <w:rPr>
          <w:snapToGrid/>
          <w:szCs w:val="22"/>
          <w:lang w:val="lt-LT"/>
        </w:rPr>
        <w:t>, dantų skausm</w:t>
      </w:r>
      <w:r>
        <w:rPr>
          <w:snapToGrid/>
          <w:szCs w:val="22"/>
          <w:lang w:val="lt-LT"/>
        </w:rPr>
        <w:t>o</w:t>
      </w:r>
      <w:r w:rsidRPr="008A4655">
        <w:rPr>
          <w:snapToGrid/>
          <w:szCs w:val="22"/>
          <w:lang w:val="lt-LT"/>
        </w:rPr>
        <w:t>, menstruacijų skausm</w:t>
      </w:r>
      <w:r>
        <w:rPr>
          <w:snapToGrid/>
          <w:szCs w:val="22"/>
          <w:lang w:val="lt-LT"/>
        </w:rPr>
        <w:t>o</w:t>
      </w:r>
      <w:r w:rsidRPr="008A4655">
        <w:rPr>
          <w:snapToGrid/>
          <w:szCs w:val="22"/>
          <w:lang w:val="lt-LT"/>
        </w:rPr>
        <w:t>, raumenų skausm</w:t>
      </w:r>
      <w:r>
        <w:rPr>
          <w:snapToGrid/>
          <w:szCs w:val="22"/>
          <w:lang w:val="lt-LT"/>
        </w:rPr>
        <w:t>o</w:t>
      </w:r>
      <w:r w:rsidRPr="008A4655">
        <w:rPr>
          <w:snapToGrid/>
          <w:szCs w:val="22"/>
          <w:lang w:val="lt-LT"/>
        </w:rPr>
        <w:t xml:space="preserve"> (</w:t>
      </w:r>
      <w:proofErr w:type="spellStart"/>
      <w:r w:rsidRPr="008A4655">
        <w:rPr>
          <w:snapToGrid/>
          <w:szCs w:val="22"/>
          <w:lang w:val="lt-LT"/>
        </w:rPr>
        <w:t>kontraktūr</w:t>
      </w:r>
      <w:r>
        <w:rPr>
          <w:snapToGrid/>
          <w:szCs w:val="22"/>
          <w:lang w:val="lt-LT"/>
        </w:rPr>
        <w:t>ų</w:t>
      </w:r>
      <w:proofErr w:type="spellEnd"/>
      <w:r w:rsidRPr="008A4655">
        <w:rPr>
          <w:snapToGrid/>
          <w:szCs w:val="22"/>
          <w:lang w:val="lt-LT"/>
        </w:rPr>
        <w:t>) ar nugaros skausm</w:t>
      </w:r>
      <w:r>
        <w:rPr>
          <w:snapToGrid/>
          <w:szCs w:val="22"/>
          <w:lang w:val="lt-LT"/>
        </w:rPr>
        <w:t>o</w:t>
      </w:r>
      <w:r w:rsidRPr="008A4655">
        <w:rPr>
          <w:snapToGrid/>
          <w:szCs w:val="22"/>
          <w:lang w:val="lt-LT"/>
        </w:rPr>
        <w:t xml:space="preserve"> (strėnų gėl</w:t>
      </w:r>
      <w:r>
        <w:rPr>
          <w:snapToGrid/>
          <w:szCs w:val="22"/>
          <w:lang w:val="lt-LT"/>
        </w:rPr>
        <w:t>os</w:t>
      </w:r>
      <w:r w:rsidRPr="008A4655">
        <w:rPr>
          <w:snapToGrid/>
          <w:szCs w:val="22"/>
          <w:lang w:val="lt-LT"/>
        </w:rPr>
        <w:t>) malšin</w:t>
      </w:r>
      <w:r>
        <w:rPr>
          <w:snapToGrid/>
          <w:szCs w:val="22"/>
          <w:lang w:val="lt-LT"/>
        </w:rPr>
        <w:t>imui</w:t>
      </w:r>
      <w:r w:rsidRPr="008A4655">
        <w:rPr>
          <w:snapToGrid/>
          <w:szCs w:val="22"/>
          <w:lang w:val="lt-LT"/>
        </w:rPr>
        <w:t xml:space="preserve"> bei karščiavim</w:t>
      </w:r>
      <w:r>
        <w:rPr>
          <w:snapToGrid/>
          <w:szCs w:val="22"/>
          <w:lang w:val="lt-LT"/>
        </w:rPr>
        <w:t>o</w:t>
      </w:r>
      <w:r w:rsidRPr="008A4655">
        <w:rPr>
          <w:snapToGrid/>
          <w:szCs w:val="22"/>
          <w:lang w:val="lt-LT"/>
        </w:rPr>
        <w:t xml:space="preserve"> mažin</w:t>
      </w:r>
      <w:r>
        <w:rPr>
          <w:snapToGrid/>
          <w:szCs w:val="22"/>
          <w:lang w:val="lt-LT"/>
        </w:rPr>
        <w:t xml:space="preserve">imui, o taip pat </w:t>
      </w:r>
      <w:r w:rsidRPr="008A4655">
        <w:rPr>
          <w:rFonts w:eastAsia="TimesNewRoman"/>
          <w:snapToGrid/>
          <w:szCs w:val="22"/>
          <w:lang w:val="lt-LT"/>
        </w:rPr>
        <w:t>karščiavim</w:t>
      </w:r>
      <w:r>
        <w:rPr>
          <w:rFonts w:eastAsia="TimesNewRoman"/>
          <w:snapToGrid/>
          <w:szCs w:val="22"/>
          <w:lang w:val="lt-LT"/>
        </w:rPr>
        <w:t>o</w:t>
      </w:r>
      <w:r w:rsidRPr="008A4655">
        <w:rPr>
          <w:rFonts w:eastAsia="TimesNewRoman"/>
          <w:snapToGrid/>
          <w:szCs w:val="22"/>
          <w:lang w:val="lt-LT"/>
        </w:rPr>
        <w:t xml:space="preserve"> </w:t>
      </w:r>
      <w:r>
        <w:rPr>
          <w:rFonts w:eastAsia="TimesNewRoman"/>
          <w:snapToGrid/>
          <w:szCs w:val="22"/>
          <w:lang w:val="lt-LT"/>
        </w:rPr>
        <w:t>ir</w:t>
      </w:r>
      <w:r w:rsidRPr="008A4655">
        <w:rPr>
          <w:rFonts w:eastAsia="TimesNewRoman"/>
          <w:snapToGrid/>
          <w:szCs w:val="22"/>
          <w:lang w:val="lt-LT"/>
        </w:rPr>
        <w:t xml:space="preserve"> skausm</w:t>
      </w:r>
      <w:r>
        <w:rPr>
          <w:rFonts w:eastAsia="TimesNewRoman"/>
          <w:snapToGrid/>
          <w:szCs w:val="22"/>
          <w:lang w:val="lt-LT"/>
        </w:rPr>
        <w:t>o</w:t>
      </w:r>
      <w:r w:rsidRPr="008A4655">
        <w:rPr>
          <w:rFonts w:eastAsia="TimesNewRoman"/>
          <w:snapToGrid/>
          <w:szCs w:val="22"/>
          <w:lang w:val="lt-LT"/>
        </w:rPr>
        <w:t xml:space="preserve"> po vakcinacijos malšin</w:t>
      </w:r>
      <w:r>
        <w:rPr>
          <w:rFonts w:eastAsia="TimesNewRoman"/>
          <w:snapToGrid/>
          <w:szCs w:val="22"/>
          <w:lang w:val="lt-LT"/>
        </w:rPr>
        <w:t>imui</w:t>
      </w:r>
      <w:r w:rsidRPr="008A4655">
        <w:rPr>
          <w:snapToGrid/>
          <w:szCs w:val="22"/>
          <w:lang w:val="lt-LT"/>
        </w:rPr>
        <w:t>.</w:t>
      </w:r>
    </w:p>
    <w:p w14:paraId="2D0CA7E6"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p>
    <w:p w14:paraId="5991DC53" w14:textId="77777777" w:rsidR="00CA598F" w:rsidRPr="008A4655" w:rsidRDefault="00CA598F" w:rsidP="00CA598F">
      <w:pPr>
        <w:spacing w:line="240" w:lineRule="auto"/>
        <w:rPr>
          <w:szCs w:val="22"/>
          <w:lang w:val="lt-LT"/>
        </w:rPr>
      </w:pPr>
      <w:r w:rsidRPr="008A4655">
        <w:rPr>
          <w:szCs w:val="22"/>
          <w:lang w:val="lt-LT"/>
        </w:rPr>
        <w:t>Kreipkitės į gydytoją, jeigu Jūsų simptomai nepagerėjo arba pablogėjo, jei karščiavimas tęsiasi ilgiau kaip 3 dienas arba skausmas trunka ilgiau kaip 3 dienas (paaugliams) ar 5 dienas (suaugusiesiems).</w:t>
      </w:r>
    </w:p>
    <w:p w14:paraId="4BBE37B7" w14:textId="77777777" w:rsidR="00CA598F" w:rsidRPr="008A4655" w:rsidRDefault="00CA598F" w:rsidP="00CA598F">
      <w:pPr>
        <w:widowControl w:val="0"/>
        <w:numPr>
          <w:ilvl w:val="12"/>
          <w:numId w:val="0"/>
        </w:numPr>
        <w:tabs>
          <w:tab w:val="clear" w:pos="567"/>
        </w:tabs>
        <w:spacing w:line="240" w:lineRule="auto"/>
        <w:rPr>
          <w:snapToGrid/>
          <w:szCs w:val="22"/>
          <w:lang w:val="lt-LT"/>
        </w:rPr>
      </w:pPr>
    </w:p>
    <w:p w14:paraId="5B6C3FF8" w14:textId="77777777" w:rsidR="00CA598F" w:rsidRPr="008A4655" w:rsidRDefault="00CA598F" w:rsidP="00CA598F">
      <w:pPr>
        <w:widowControl w:val="0"/>
        <w:numPr>
          <w:ilvl w:val="12"/>
          <w:numId w:val="0"/>
        </w:numPr>
        <w:tabs>
          <w:tab w:val="clear" w:pos="567"/>
        </w:tabs>
        <w:spacing w:line="240" w:lineRule="auto"/>
        <w:rPr>
          <w:snapToGrid/>
          <w:szCs w:val="22"/>
          <w:lang w:val="lt-LT"/>
        </w:rPr>
      </w:pPr>
    </w:p>
    <w:p w14:paraId="62DEFAC9" w14:textId="77777777" w:rsidR="00CA598F" w:rsidRPr="008A4655" w:rsidRDefault="00CA598F" w:rsidP="00CA598F">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2.</w:t>
      </w:r>
      <w:r w:rsidRPr="008A4655">
        <w:rPr>
          <w:b/>
          <w:snapToGrid/>
          <w:szCs w:val="22"/>
          <w:lang w:val="lt-LT"/>
        </w:rPr>
        <w:tab/>
        <w:t xml:space="preserve">Kas žinotina prieš vartojant </w:t>
      </w:r>
      <w:proofErr w:type="spellStart"/>
      <w:r>
        <w:rPr>
          <w:b/>
          <w:bCs/>
          <w:snapToGrid/>
          <w:szCs w:val="22"/>
          <w:lang w:val="lt-LT"/>
        </w:rPr>
        <w:t>Ibuliq</w:t>
      </w:r>
      <w:proofErr w:type="spellEnd"/>
    </w:p>
    <w:p w14:paraId="1F47EE3A" w14:textId="77777777" w:rsidR="00CA598F" w:rsidRPr="008A4655" w:rsidRDefault="00CA598F" w:rsidP="00CA598F">
      <w:pPr>
        <w:widowControl w:val="0"/>
        <w:tabs>
          <w:tab w:val="clear" w:pos="567"/>
        </w:tabs>
        <w:spacing w:line="240" w:lineRule="auto"/>
        <w:ind w:left="567" w:hanging="567"/>
        <w:rPr>
          <w:snapToGrid/>
          <w:szCs w:val="22"/>
          <w:lang w:val="lt-LT"/>
        </w:rPr>
      </w:pPr>
    </w:p>
    <w:p w14:paraId="258AEE8E" w14:textId="77777777" w:rsidR="00CA598F" w:rsidRPr="008A4655" w:rsidRDefault="00CA598F" w:rsidP="00CA598F">
      <w:pPr>
        <w:widowControl w:val="0"/>
        <w:tabs>
          <w:tab w:val="clear" w:pos="567"/>
        </w:tabs>
        <w:spacing w:line="240" w:lineRule="auto"/>
        <w:ind w:left="567" w:hanging="567"/>
        <w:rPr>
          <w:b/>
          <w:bCs/>
          <w:caps/>
          <w:snapToGrid/>
          <w:szCs w:val="22"/>
          <w:lang w:val="lt-LT"/>
        </w:rPr>
      </w:pPr>
      <w:proofErr w:type="spellStart"/>
      <w:r>
        <w:rPr>
          <w:b/>
          <w:bCs/>
          <w:snapToGrid/>
          <w:szCs w:val="22"/>
          <w:lang w:val="lt-LT"/>
        </w:rPr>
        <w:t>Ibuliq</w:t>
      </w:r>
      <w:proofErr w:type="spellEnd"/>
      <w:r w:rsidRPr="008A4655">
        <w:rPr>
          <w:b/>
          <w:bCs/>
          <w:snapToGrid/>
          <w:szCs w:val="22"/>
          <w:lang w:val="lt-LT"/>
        </w:rPr>
        <w:t xml:space="preserve"> vartoti draudžiama:</w:t>
      </w:r>
    </w:p>
    <w:p w14:paraId="5DEE7C00"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alergija </w:t>
      </w:r>
      <w:proofErr w:type="spellStart"/>
      <w:r w:rsidRPr="008A4655">
        <w:rPr>
          <w:snapToGrid/>
          <w:szCs w:val="22"/>
          <w:lang w:val="lt-LT"/>
        </w:rPr>
        <w:t>ibuprofenui</w:t>
      </w:r>
      <w:proofErr w:type="spellEnd"/>
      <w:r w:rsidRPr="008A4655">
        <w:rPr>
          <w:snapToGrid/>
          <w:szCs w:val="22"/>
          <w:lang w:val="lt-LT"/>
        </w:rPr>
        <w:t xml:space="preserve">, kitokiam nesteroidiniam vaistui nuo uždegimo (NVNU) (pvz., </w:t>
      </w:r>
      <w:proofErr w:type="spellStart"/>
      <w:r w:rsidRPr="008A4655">
        <w:rPr>
          <w:snapToGrid/>
          <w:szCs w:val="22"/>
          <w:lang w:val="lt-LT"/>
        </w:rPr>
        <w:t>acetilsalicilo</w:t>
      </w:r>
      <w:proofErr w:type="spellEnd"/>
      <w:r w:rsidRPr="008A4655">
        <w:rPr>
          <w:snapToGrid/>
          <w:szCs w:val="22"/>
          <w:lang w:val="lt-LT"/>
        </w:rPr>
        <w:t xml:space="preserve"> rūgščiai, </w:t>
      </w:r>
      <w:proofErr w:type="spellStart"/>
      <w:r>
        <w:rPr>
          <w:snapToGrid/>
          <w:szCs w:val="22"/>
          <w:lang w:val="lt-LT"/>
        </w:rPr>
        <w:t>naproksenui</w:t>
      </w:r>
      <w:proofErr w:type="spellEnd"/>
      <w:r w:rsidRPr="008A4655">
        <w:rPr>
          <w:snapToGrid/>
          <w:szCs w:val="22"/>
          <w:lang w:val="lt-LT"/>
        </w:rPr>
        <w:t xml:space="preserve"> ar kt.) arba bet kuriai pagalbinei šio vaisto medžiagai (jos išvardytos 6 skyriuje). Alergijai būdingos reakcijos gali būti niežtintis išbėrimas, lūpų, veido ar liežuvio patinimas, sloga, kvėpavimo pasunkėjimas arba astma;</w:t>
      </w:r>
    </w:p>
    <w:p w14:paraId="2117F19B"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buvusi opa, kraujavimas iš skrandžio ar dvylikapirštės žarnos arba virškinimo trakto prakiurimas;</w:t>
      </w:r>
    </w:p>
    <w:p w14:paraId="2E9C8679"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vemiate krauju;</w:t>
      </w:r>
    </w:p>
    <w:p w14:paraId="45DFAE84"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Krono liga (lėtine liga, kai imuninė sistema atakuoja žarnyną,</w:t>
      </w:r>
      <w:r>
        <w:rPr>
          <w:snapToGrid/>
          <w:szCs w:val="22"/>
          <w:lang w:val="lt-LT"/>
        </w:rPr>
        <w:t xml:space="preserve"> dėl to kyla uždegimas,</w:t>
      </w:r>
      <w:r w:rsidRPr="008A4655">
        <w:rPr>
          <w:snapToGrid/>
          <w:szCs w:val="22"/>
          <w:lang w:val="lt-LT"/>
        </w:rPr>
        <w:t xml:space="preserve"> paprastai pasireiškianti</w:t>
      </w:r>
      <w:r>
        <w:rPr>
          <w:snapToGrid/>
          <w:szCs w:val="22"/>
          <w:lang w:val="lt-LT"/>
        </w:rPr>
        <w:t>s</w:t>
      </w:r>
      <w:r w:rsidRPr="008A4655">
        <w:rPr>
          <w:snapToGrid/>
          <w:szCs w:val="22"/>
          <w:lang w:val="lt-LT"/>
        </w:rPr>
        <w:t xml:space="preserve"> viduriavimu kraujingomis išmatomis) arba opiniu kolitu, nes vartojant </w:t>
      </w:r>
      <w:proofErr w:type="spellStart"/>
      <w:r w:rsidRPr="008A4655">
        <w:rPr>
          <w:snapToGrid/>
          <w:szCs w:val="22"/>
          <w:lang w:val="lt-LT"/>
        </w:rPr>
        <w:t>ibuprofeno</w:t>
      </w:r>
      <w:proofErr w:type="spellEnd"/>
      <w:r w:rsidRPr="008A4655">
        <w:rPr>
          <w:snapToGrid/>
          <w:szCs w:val="22"/>
          <w:lang w:val="lt-LT"/>
        </w:rPr>
        <w:t xml:space="preserve"> šios ligos gali pasunkėti;</w:t>
      </w:r>
    </w:p>
    <w:p w14:paraId="3136E0A3"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tuštinatės juodomis išmatomis arba viduriuojate kraujingomis išmatomis;</w:t>
      </w:r>
    </w:p>
    <w:p w14:paraId="21548929"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sunkia kepenų ar inkstų liga;</w:t>
      </w:r>
    </w:p>
    <w:p w14:paraId="431EA95C" w14:textId="77777777" w:rsidR="00CA598F" w:rsidRPr="008A4655" w:rsidRDefault="00CA598F" w:rsidP="00CA598F">
      <w:pPr>
        <w:keepNext/>
        <w:keepLines/>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lastRenderedPageBreak/>
        <w:t>jeigu yra kraujavimo ar kraujo krešėjimo sutrikimų arba jeigu vartojate antikoaguliantų (kraują skystinančių vaistų). Jei turite tuo pačiu metu vartoti antikoaguliantus, gydytojas atliks kraujo krešėjimo tyrimą;</w:t>
      </w:r>
    </w:p>
    <w:p w14:paraId="0A54027F"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sunkių širdies sutrikimų;</w:t>
      </w:r>
    </w:p>
    <w:p w14:paraId="53F06DF8"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paskutinieji trys nėštumo mėnesiai.</w:t>
      </w:r>
    </w:p>
    <w:p w14:paraId="49B7A6E6"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p>
    <w:p w14:paraId="258A9D4C" w14:textId="77777777" w:rsidR="00CA598F" w:rsidRPr="008A4655" w:rsidRDefault="00CA598F" w:rsidP="00CA598F">
      <w:pPr>
        <w:widowControl w:val="0"/>
        <w:tabs>
          <w:tab w:val="clear" w:pos="567"/>
        </w:tabs>
        <w:spacing w:line="240" w:lineRule="auto"/>
        <w:ind w:left="567" w:hanging="567"/>
        <w:rPr>
          <w:b/>
          <w:snapToGrid/>
          <w:szCs w:val="22"/>
          <w:lang w:val="lt-LT"/>
        </w:rPr>
      </w:pPr>
      <w:r w:rsidRPr="008A4655">
        <w:rPr>
          <w:b/>
          <w:snapToGrid/>
          <w:szCs w:val="22"/>
          <w:lang w:val="lt-LT"/>
        </w:rPr>
        <w:t>Įspėjimai ir atsargumo priemonės</w:t>
      </w:r>
    </w:p>
    <w:p w14:paraId="51C13AFC" w14:textId="77777777" w:rsidR="00CA598F" w:rsidRPr="008A4655" w:rsidRDefault="00CA598F" w:rsidP="00CA598F">
      <w:pPr>
        <w:widowControl w:val="0"/>
        <w:numPr>
          <w:ilvl w:val="12"/>
          <w:numId w:val="0"/>
        </w:numPr>
        <w:tabs>
          <w:tab w:val="clear" w:pos="567"/>
        </w:tabs>
        <w:spacing w:line="240" w:lineRule="auto"/>
        <w:rPr>
          <w:snapToGrid/>
          <w:szCs w:val="22"/>
          <w:lang w:val="lt-LT"/>
        </w:rPr>
      </w:pPr>
      <w:r w:rsidRPr="008A4655">
        <w:rPr>
          <w:snapToGrid/>
          <w:szCs w:val="22"/>
          <w:lang w:val="lt-LT"/>
        </w:rPr>
        <w:t xml:space="preserve">Pasitarkite su gydytoju arba vaistininku, prieš pradėdami vartoti </w:t>
      </w:r>
      <w:proofErr w:type="spellStart"/>
      <w:r>
        <w:rPr>
          <w:snapToGrid/>
          <w:szCs w:val="22"/>
          <w:lang w:val="lt-LT"/>
        </w:rPr>
        <w:t>Ibuliq</w:t>
      </w:r>
      <w:proofErr w:type="spellEnd"/>
      <w:r w:rsidRPr="008A4655">
        <w:rPr>
          <w:snapToGrid/>
          <w:szCs w:val="22"/>
          <w:lang w:val="lt-LT"/>
        </w:rPr>
        <w:t>:</w:t>
      </w:r>
    </w:p>
    <w:p w14:paraId="7D00AF3C"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ar anksčiau buvo skrandžio ar dvylikapirštės žarnos opa, kraujavimas ar prakiurimas, kurie gali pasireikšti stipriu ar išliekančiu pilvo skausmu ir (arba) tuštinimusi juodomis išmatomis net be įspėjamųjų simptomų. Tokia rizika yra didesnė, jei vartojama didelė dozė, gydoma ilgai, pacientui jau yra buvę </w:t>
      </w:r>
      <w:proofErr w:type="spellStart"/>
      <w:r w:rsidRPr="008A4655">
        <w:rPr>
          <w:snapToGrid/>
          <w:szCs w:val="22"/>
          <w:lang w:val="lt-LT"/>
        </w:rPr>
        <w:t>peptinių</w:t>
      </w:r>
      <w:proofErr w:type="spellEnd"/>
      <w:r w:rsidRPr="008A4655">
        <w:rPr>
          <w:snapToGrid/>
          <w:szCs w:val="22"/>
          <w:lang w:val="lt-LT"/>
        </w:rPr>
        <w:t xml:space="preserve"> opų arba pacientas yra senyvas;</w:t>
      </w:r>
    </w:p>
    <w:p w14:paraId="1E4F7AE6"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edema (skysčių susilaikymas);</w:t>
      </w:r>
    </w:p>
    <w:p w14:paraId="6A2A84D2"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astma ar kita kvėpavimo sistemos liga;</w:t>
      </w:r>
    </w:p>
    <w:p w14:paraId="7C366020"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yra ar anksčiau buvo širdies sutrikimų arba yra didelis kraujospūdis;</w:t>
      </w:r>
    </w:p>
    <w:p w14:paraId="4D12A4C9"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sergate inkstų ar kepenų liga, esate vyresni nei 60 metų arba šį vaistą vartojate ilgai (ilgiau kaip 1</w:t>
      </w:r>
      <w:r w:rsidRPr="008A4655">
        <w:rPr>
          <w:snapToGrid/>
          <w:szCs w:val="22"/>
          <w:lang w:val="lt-LT"/>
        </w:rPr>
        <w:noBreakHyphen/>
        <w:t>2 savaites), nes gydytojui gali reikėti reguliariai tikrinti Jūsų būklę;</w:t>
      </w:r>
    </w:p>
    <w:p w14:paraId="5F4881EB"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yra skysčių stoka organizme (dehidratacija), pvz., stipriai viduriuojate arba vemiate, būtina gerti daug skysčių ir nedelsiant kreiptis į gydytoją, nes tokiu atveju </w:t>
      </w:r>
      <w:proofErr w:type="spellStart"/>
      <w:r w:rsidRPr="008A4655">
        <w:rPr>
          <w:snapToGrid/>
          <w:szCs w:val="22"/>
          <w:lang w:val="lt-LT"/>
        </w:rPr>
        <w:t>ibuprofenas</w:t>
      </w:r>
      <w:proofErr w:type="spellEnd"/>
      <w:r w:rsidRPr="008A4655">
        <w:rPr>
          <w:snapToGrid/>
          <w:szCs w:val="22"/>
          <w:lang w:val="lt-LT"/>
        </w:rPr>
        <w:t xml:space="preserve"> dėl dehidratacijos gali sukelti inkstų nepakankamumą.</w:t>
      </w:r>
    </w:p>
    <w:p w14:paraId="7BACF879" w14:textId="77777777" w:rsidR="00CA598F" w:rsidRPr="008A4655" w:rsidRDefault="00CA598F" w:rsidP="00CA598F">
      <w:pPr>
        <w:widowControl w:val="0"/>
        <w:tabs>
          <w:tab w:val="clear" w:pos="567"/>
        </w:tabs>
        <w:autoSpaceDE w:val="0"/>
        <w:autoSpaceDN w:val="0"/>
        <w:adjustRightInd w:val="0"/>
        <w:spacing w:line="240" w:lineRule="auto"/>
        <w:ind w:left="567"/>
        <w:rPr>
          <w:snapToGrid/>
          <w:szCs w:val="22"/>
          <w:lang w:val="lt-LT"/>
        </w:rPr>
      </w:pPr>
      <w:r w:rsidRPr="008A4655">
        <w:rPr>
          <w:snapToGrid/>
          <w:szCs w:val="22"/>
          <w:lang w:val="lt-LT"/>
        </w:rPr>
        <w:t>Paaugliams, kurių organizme trūksta skysčio, yra inkstų funkcijos pablogėjimo rizika;</w:t>
      </w:r>
    </w:p>
    <w:p w14:paraId="35C52D93"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tuo pat metu vartojate kraujo krešėjimą veikiančių vaistų, tokių kaip geriamieji antikoaguliantai, trombocitus slopinantys vaistai ar </w:t>
      </w:r>
      <w:proofErr w:type="spellStart"/>
      <w:r w:rsidRPr="008A4655">
        <w:rPr>
          <w:snapToGrid/>
          <w:szCs w:val="22"/>
          <w:lang w:val="lt-LT"/>
        </w:rPr>
        <w:t>acetilsalicilo</w:t>
      </w:r>
      <w:proofErr w:type="spellEnd"/>
      <w:r w:rsidRPr="008A4655">
        <w:rPr>
          <w:snapToGrid/>
          <w:szCs w:val="22"/>
          <w:lang w:val="lt-LT"/>
        </w:rPr>
        <w:t xml:space="preserve"> rūgšties tipo vaistai. Jūs turite aptarti ir kitų kraujavimo riziką didinti galinčių vaistų, tokių kaip kortikosteroidai ir selektyviųjų </w:t>
      </w:r>
      <w:proofErr w:type="spellStart"/>
      <w:r w:rsidRPr="008A4655">
        <w:rPr>
          <w:snapToGrid/>
          <w:szCs w:val="22"/>
          <w:lang w:val="lt-LT"/>
        </w:rPr>
        <w:t>serotonino</w:t>
      </w:r>
      <w:proofErr w:type="spellEnd"/>
      <w:r w:rsidRPr="008A4655">
        <w:rPr>
          <w:snapToGrid/>
          <w:szCs w:val="22"/>
          <w:lang w:val="lt-LT"/>
        </w:rPr>
        <w:t xml:space="preserve"> reabsorbcijos inhibitorių grupės antidepresantai, vartojimą;</w:t>
      </w:r>
    </w:p>
    <w:p w14:paraId="68721E5E"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vartojate diuretikų (šlapimo išsiskyrimą skatinančių vaistų), kadangi gydytojas turės stebėti inkstų funkciją;</w:t>
      </w:r>
    </w:p>
    <w:p w14:paraId="7D03DE4D"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raudonąja vilklige (lėtine liga, kuri paveikia imuninę sistemą ir gali paveikti įvairius gyvybinius organus, nervų sistemą, kraujagysles, odą ir sąnarius), kadangi gali pasireikšti </w:t>
      </w:r>
      <w:proofErr w:type="spellStart"/>
      <w:r w:rsidRPr="008A4655">
        <w:rPr>
          <w:snapToGrid/>
          <w:szCs w:val="22"/>
          <w:lang w:val="lt-LT"/>
        </w:rPr>
        <w:t>aseptinis</w:t>
      </w:r>
      <w:proofErr w:type="spellEnd"/>
      <w:r w:rsidRPr="008A4655">
        <w:rPr>
          <w:snapToGrid/>
          <w:szCs w:val="22"/>
          <w:lang w:val="lt-LT"/>
        </w:rPr>
        <w:t xml:space="preserve"> meningitas;</w:t>
      </w:r>
    </w:p>
    <w:p w14:paraId="18742E3B"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sergate ūmine </w:t>
      </w:r>
      <w:proofErr w:type="spellStart"/>
      <w:r w:rsidRPr="008A4655">
        <w:rPr>
          <w:snapToGrid/>
          <w:szCs w:val="22"/>
          <w:lang w:val="lt-LT"/>
        </w:rPr>
        <w:t>intermituojančia</w:t>
      </w:r>
      <w:proofErr w:type="spellEnd"/>
      <w:r w:rsidRPr="008A4655">
        <w:rPr>
          <w:snapToGrid/>
          <w:szCs w:val="22"/>
          <w:lang w:val="lt-LT"/>
        </w:rPr>
        <w:t xml:space="preserve"> </w:t>
      </w:r>
      <w:proofErr w:type="spellStart"/>
      <w:r w:rsidRPr="008A4655">
        <w:rPr>
          <w:snapToGrid/>
          <w:szCs w:val="22"/>
          <w:lang w:val="lt-LT"/>
        </w:rPr>
        <w:t>porfirija</w:t>
      </w:r>
      <w:proofErr w:type="spellEnd"/>
      <w:r w:rsidRPr="008A4655">
        <w:rPr>
          <w:snapToGrid/>
          <w:szCs w:val="22"/>
          <w:lang w:val="lt-LT"/>
        </w:rPr>
        <w:t xml:space="preserve"> (medžiagų apykaitos liga, kuri paveikia kraują ir gali sukelti tokius simptomus kaip šlapimo paraudimas ar kepenų sutrikimas), nes tokiu atveju būtina įvertinti, ar Jums tinka gydymas </w:t>
      </w:r>
      <w:proofErr w:type="spellStart"/>
      <w:r w:rsidRPr="008A4655">
        <w:rPr>
          <w:snapToGrid/>
          <w:szCs w:val="22"/>
          <w:lang w:val="lt-LT"/>
        </w:rPr>
        <w:t>ibuprofenu</w:t>
      </w:r>
      <w:proofErr w:type="spellEnd"/>
      <w:r w:rsidRPr="008A4655">
        <w:rPr>
          <w:snapToGrid/>
          <w:szCs w:val="22"/>
          <w:lang w:val="lt-LT"/>
        </w:rPr>
        <w:t>.</w:t>
      </w:r>
    </w:p>
    <w:p w14:paraId="3C1E4375"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Jeigu esate gydomi </w:t>
      </w:r>
      <w:proofErr w:type="spellStart"/>
      <w:r w:rsidRPr="008A4655">
        <w:rPr>
          <w:snapToGrid/>
          <w:szCs w:val="22"/>
          <w:lang w:val="lt-LT"/>
        </w:rPr>
        <w:t>ibuprofenu</w:t>
      </w:r>
      <w:proofErr w:type="spellEnd"/>
      <w:r w:rsidRPr="008A4655">
        <w:rPr>
          <w:snapToGrid/>
          <w:szCs w:val="22"/>
          <w:lang w:val="lt-LT"/>
        </w:rPr>
        <w:t xml:space="preserve">, gali būti sunku diagnozuoti infekciją, nes </w:t>
      </w:r>
      <w:proofErr w:type="spellStart"/>
      <w:r w:rsidRPr="008A4655">
        <w:rPr>
          <w:snapToGrid/>
          <w:szCs w:val="22"/>
          <w:lang w:val="lt-LT"/>
        </w:rPr>
        <w:t>ibuprofenas</w:t>
      </w:r>
      <w:proofErr w:type="spellEnd"/>
      <w:r w:rsidRPr="008A4655">
        <w:rPr>
          <w:snapToGrid/>
          <w:szCs w:val="22"/>
          <w:lang w:val="lt-LT"/>
        </w:rPr>
        <w:t xml:space="preserve"> gali mažinti karščiavimą, kuris yra svarbus infekcijos požymis.</w:t>
      </w:r>
    </w:p>
    <w:p w14:paraId="700EB7EB"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po ilgalaikio gydymo pasireiškia galvos skausmas, negalima vartoti didesnių šio vaisto dozių.</w:t>
      </w:r>
    </w:p>
    <w:p w14:paraId="7FB29918"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Gali pasireikšti alerginių reakcijų į šį vaistą.</w:t>
      </w:r>
    </w:p>
    <w:p w14:paraId="01A82F20"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 xml:space="preserve">Gydytojas atidžiau kontroliuos Jūsų būklę, jeigu </w:t>
      </w:r>
      <w:proofErr w:type="spellStart"/>
      <w:r w:rsidRPr="008A4655">
        <w:rPr>
          <w:snapToGrid/>
          <w:szCs w:val="22"/>
          <w:lang w:val="lt-LT"/>
        </w:rPr>
        <w:t>ibuprofeno</w:t>
      </w:r>
      <w:proofErr w:type="spellEnd"/>
      <w:r w:rsidRPr="008A4655">
        <w:rPr>
          <w:snapToGrid/>
          <w:szCs w:val="22"/>
          <w:lang w:val="lt-LT"/>
        </w:rPr>
        <w:t xml:space="preserve"> vartojate po didelės operacijos.</w:t>
      </w:r>
    </w:p>
    <w:p w14:paraId="2C24866A"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Jeigu Jums yra infekcija, žr. toliau esantį poskyrį „Infekcija“.</w:t>
      </w:r>
    </w:p>
    <w:p w14:paraId="1045554C"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Šio vaisto nerekomenduojama vartoti sergant vėjaraupiais.</w:t>
      </w:r>
    </w:p>
    <w:p w14:paraId="4EE5F9D8" w14:textId="77777777" w:rsidR="00CA598F" w:rsidRPr="008A4655" w:rsidRDefault="00CA598F" w:rsidP="00CA598F">
      <w:pPr>
        <w:widowControl w:val="0"/>
        <w:numPr>
          <w:ilvl w:val="1"/>
          <w:numId w:val="3"/>
        </w:numPr>
        <w:tabs>
          <w:tab w:val="clear" w:pos="567"/>
        </w:tabs>
        <w:autoSpaceDE w:val="0"/>
        <w:autoSpaceDN w:val="0"/>
        <w:adjustRightInd w:val="0"/>
        <w:spacing w:line="240" w:lineRule="auto"/>
        <w:ind w:left="567" w:hanging="567"/>
        <w:rPr>
          <w:snapToGrid/>
          <w:szCs w:val="22"/>
          <w:lang w:val="lt-LT"/>
        </w:rPr>
      </w:pPr>
      <w:r w:rsidRPr="008A4655">
        <w:rPr>
          <w:snapToGrid/>
          <w:szCs w:val="22"/>
          <w:lang w:val="lt-LT"/>
        </w:rPr>
        <w:t>Svarbu vartoti mažiausią skausmą malšinančią ar kontroliuojančią dozę bei nevartoti šio vaisto ilgiau, nei reikia simptomams kontroliuoti.</w:t>
      </w:r>
    </w:p>
    <w:p w14:paraId="67AEC29F" w14:textId="77777777" w:rsidR="00CA598F" w:rsidRPr="008A4655" w:rsidRDefault="00CA598F" w:rsidP="00CA598F">
      <w:pPr>
        <w:widowControl w:val="0"/>
        <w:tabs>
          <w:tab w:val="clear" w:pos="567"/>
        </w:tabs>
        <w:autoSpaceDE w:val="0"/>
        <w:autoSpaceDN w:val="0"/>
        <w:spacing w:line="240" w:lineRule="auto"/>
        <w:rPr>
          <w:snapToGrid/>
          <w:szCs w:val="22"/>
          <w:lang w:val="lt-LT"/>
        </w:rPr>
      </w:pPr>
    </w:p>
    <w:p w14:paraId="366D4C8B" w14:textId="77777777" w:rsidR="00CA598F" w:rsidRPr="008A4655" w:rsidRDefault="00CA598F" w:rsidP="00CA598F">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Atsargumo priemonės, susijusios su širdies ir kraujagyslių sistema</w:t>
      </w:r>
    </w:p>
    <w:p w14:paraId="1A1E30DD" w14:textId="77777777" w:rsidR="00CA598F" w:rsidRPr="008A4655" w:rsidRDefault="00CA598F" w:rsidP="00CA598F">
      <w:pPr>
        <w:widowControl w:val="0"/>
        <w:tabs>
          <w:tab w:val="clear" w:pos="567"/>
        </w:tabs>
        <w:autoSpaceDE w:val="0"/>
        <w:autoSpaceDN w:val="0"/>
        <w:spacing w:line="240" w:lineRule="auto"/>
        <w:ind w:right="109"/>
        <w:rPr>
          <w:snapToGrid/>
          <w:szCs w:val="22"/>
          <w:lang w:val="lt-LT"/>
        </w:rPr>
      </w:pPr>
      <w:r w:rsidRPr="008A4655">
        <w:rPr>
          <w:snapToGrid/>
          <w:szCs w:val="22"/>
          <w:lang w:val="lt-LT"/>
        </w:rPr>
        <w:t xml:space="preserve">Tokie uždegimą slopinantys ir skausmą malšinantys vaistai kaip </w:t>
      </w:r>
      <w:proofErr w:type="spellStart"/>
      <w:r w:rsidRPr="008A4655">
        <w:rPr>
          <w:snapToGrid/>
          <w:szCs w:val="22"/>
          <w:lang w:val="lt-LT"/>
        </w:rPr>
        <w:t>ibuprofenas</w:t>
      </w:r>
      <w:proofErr w:type="spellEnd"/>
      <w:r w:rsidRPr="008A4655">
        <w:rPr>
          <w:snapToGrid/>
          <w:szCs w:val="22"/>
          <w:lang w:val="lt-LT"/>
        </w:rPr>
        <w:t>, ypač vartojami didelėmis dozėmis, gali būti susiję su nedideliu širdies priepuolio arba insulto rizikos padidėjimu. Neviršykite rekomenduojamos dozės ir gydymo trukmės.</w:t>
      </w:r>
    </w:p>
    <w:p w14:paraId="134542E3" w14:textId="77777777" w:rsidR="00CA598F" w:rsidRPr="008A4655" w:rsidRDefault="00CA598F" w:rsidP="00CA598F">
      <w:pPr>
        <w:widowControl w:val="0"/>
        <w:tabs>
          <w:tab w:val="clear" w:pos="567"/>
        </w:tabs>
        <w:autoSpaceDE w:val="0"/>
        <w:autoSpaceDN w:val="0"/>
        <w:spacing w:line="240" w:lineRule="auto"/>
        <w:ind w:right="109"/>
        <w:jc w:val="both"/>
        <w:rPr>
          <w:snapToGrid/>
          <w:szCs w:val="22"/>
          <w:lang w:val="lt-LT"/>
        </w:rPr>
      </w:pPr>
    </w:p>
    <w:p w14:paraId="6323C592" w14:textId="77777777" w:rsidR="00CA598F" w:rsidRPr="008A4655" w:rsidRDefault="00CA598F" w:rsidP="00CA598F">
      <w:pPr>
        <w:spacing w:line="240" w:lineRule="auto"/>
        <w:rPr>
          <w:snapToGrid/>
          <w:szCs w:val="22"/>
          <w:u w:val="single"/>
          <w:lang w:val="lt-LT" w:eastAsia="x-none"/>
        </w:rPr>
      </w:pPr>
      <w:r w:rsidRPr="008A4655">
        <w:rPr>
          <w:szCs w:val="22"/>
          <w:u w:val="single"/>
          <w:lang w:val="lt-LT" w:eastAsia="x-none"/>
        </w:rPr>
        <w:t xml:space="preserve">Prieš pradėdami vartoti </w:t>
      </w:r>
      <w:proofErr w:type="spellStart"/>
      <w:r>
        <w:rPr>
          <w:snapToGrid/>
          <w:szCs w:val="22"/>
          <w:u w:val="single"/>
          <w:lang w:val="lt-LT"/>
        </w:rPr>
        <w:t>Ibuliq</w:t>
      </w:r>
      <w:proofErr w:type="spellEnd"/>
      <w:r w:rsidRPr="008A4655">
        <w:rPr>
          <w:szCs w:val="22"/>
          <w:u w:val="single"/>
          <w:lang w:val="lt-LT" w:eastAsia="x-none"/>
        </w:rPr>
        <w:t xml:space="preserve"> dėl gydymo pasitarkite su gydytoju arba vaistininku, jeigu:</w:t>
      </w:r>
    </w:p>
    <w:p w14:paraId="6E5F5A56" w14:textId="77777777" w:rsidR="00CA598F" w:rsidRPr="008A4655" w:rsidRDefault="00CA598F" w:rsidP="00CA598F">
      <w:pPr>
        <w:numPr>
          <w:ilvl w:val="0"/>
          <w:numId w:val="5"/>
        </w:numPr>
        <w:tabs>
          <w:tab w:val="clear" w:pos="567"/>
        </w:tabs>
        <w:spacing w:line="240" w:lineRule="auto"/>
        <w:ind w:left="567" w:hanging="567"/>
        <w:rPr>
          <w:szCs w:val="22"/>
          <w:lang w:val="lt-LT" w:eastAsia="x-none"/>
        </w:rPr>
      </w:pPr>
      <w:r w:rsidRPr="008A4655">
        <w:rPr>
          <w:szCs w:val="22"/>
          <w:lang w:val="lt-LT" w:eastAsia="x-none"/>
        </w:rPr>
        <w:t xml:space="preserve">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kojose ar pėdose dėl susiaurėjusių ar užsikimšusių arterijų) arba buvo ištikęs bet kokios rūšies insultas (įskaitant </w:t>
      </w:r>
      <w:r>
        <w:rPr>
          <w:szCs w:val="22"/>
          <w:lang w:val="lt-LT" w:eastAsia="x-none"/>
        </w:rPr>
        <w:t>„</w:t>
      </w:r>
      <w:r w:rsidRPr="008A4655">
        <w:rPr>
          <w:szCs w:val="22"/>
          <w:lang w:val="lt-LT" w:eastAsia="x-none"/>
        </w:rPr>
        <w:t>mini</w:t>
      </w:r>
      <w:r>
        <w:rPr>
          <w:szCs w:val="22"/>
          <w:lang w:val="lt-LT" w:eastAsia="x-none"/>
        </w:rPr>
        <w:t>“</w:t>
      </w:r>
      <w:r w:rsidRPr="008A4655">
        <w:rPr>
          <w:szCs w:val="22"/>
          <w:lang w:val="lt-LT" w:eastAsia="x-none"/>
        </w:rPr>
        <w:t xml:space="preserve"> insultą arba praeinantį smegenų išemijos priepuolį </w:t>
      </w:r>
      <w:r>
        <w:rPr>
          <w:szCs w:val="22"/>
          <w:lang w:val="lt-LT" w:eastAsia="x-none"/>
        </w:rPr>
        <w:t>[</w:t>
      </w:r>
      <w:r w:rsidRPr="008A4655">
        <w:rPr>
          <w:szCs w:val="22"/>
          <w:lang w:val="lt-LT" w:eastAsia="x-none"/>
        </w:rPr>
        <w:t>PSIP</w:t>
      </w:r>
      <w:r>
        <w:rPr>
          <w:szCs w:val="22"/>
          <w:lang w:val="lt-LT" w:eastAsia="x-none"/>
        </w:rPr>
        <w:t>]</w:t>
      </w:r>
      <w:r w:rsidRPr="008A4655">
        <w:rPr>
          <w:szCs w:val="22"/>
          <w:lang w:val="lt-LT" w:eastAsia="x-none"/>
        </w:rPr>
        <w:t>);</w:t>
      </w:r>
    </w:p>
    <w:p w14:paraId="5B198F73" w14:textId="77777777" w:rsidR="00CA598F" w:rsidRPr="008A4655" w:rsidRDefault="00CA598F" w:rsidP="00CA598F">
      <w:pPr>
        <w:numPr>
          <w:ilvl w:val="0"/>
          <w:numId w:val="5"/>
        </w:numPr>
        <w:tabs>
          <w:tab w:val="clear" w:pos="567"/>
        </w:tabs>
        <w:spacing w:line="240" w:lineRule="auto"/>
        <w:ind w:left="567" w:hanging="567"/>
        <w:rPr>
          <w:szCs w:val="22"/>
          <w:lang w:val="lt-LT" w:eastAsia="x-none"/>
        </w:rPr>
      </w:pPr>
      <w:r w:rsidRPr="008A4655">
        <w:rPr>
          <w:szCs w:val="22"/>
          <w:lang w:val="lt-LT" w:eastAsia="x-none"/>
        </w:rPr>
        <w:lastRenderedPageBreak/>
        <w:t>Jūsų kraujospūdis yra padidėjęs, sergate cukriniu diabetu, nustatytas didelis cholesterolio kiekis, buvo širdies liga arba insultu sirgusių giminaičių arba jeigu rūkote.</w:t>
      </w:r>
    </w:p>
    <w:p w14:paraId="7EA11281" w14:textId="77777777" w:rsidR="00CA598F" w:rsidRPr="008A4655" w:rsidRDefault="00CA598F" w:rsidP="00CA598F">
      <w:pPr>
        <w:tabs>
          <w:tab w:val="left" w:pos="426"/>
        </w:tabs>
        <w:spacing w:line="240" w:lineRule="auto"/>
        <w:rPr>
          <w:szCs w:val="22"/>
          <w:lang w:val="lt-LT"/>
        </w:rPr>
      </w:pPr>
      <w:r w:rsidRPr="008A4655">
        <w:rPr>
          <w:szCs w:val="22"/>
          <w:lang w:val="lt-LT"/>
        </w:rPr>
        <w:t>Šios grupės vaistai taip pat gali sukelti skysčių susilaikymą, ypač pacientams, sergantiems širdies nepakankamumu ir (arba) turintiems aukštą kraujospūdį (sergantiems hipertenzija).</w:t>
      </w:r>
    </w:p>
    <w:p w14:paraId="044FD601" w14:textId="77777777" w:rsidR="00CA598F" w:rsidRDefault="00CA598F" w:rsidP="00CA598F">
      <w:pPr>
        <w:widowControl w:val="0"/>
        <w:tabs>
          <w:tab w:val="clear" w:pos="567"/>
        </w:tabs>
        <w:autoSpaceDE w:val="0"/>
        <w:autoSpaceDN w:val="0"/>
        <w:spacing w:line="240" w:lineRule="auto"/>
        <w:ind w:right="116"/>
        <w:jc w:val="both"/>
        <w:rPr>
          <w:snapToGrid/>
          <w:szCs w:val="22"/>
          <w:lang w:val="lt-LT"/>
        </w:rPr>
      </w:pPr>
    </w:p>
    <w:p w14:paraId="05D190A6" w14:textId="77777777" w:rsidR="00CA598F" w:rsidRPr="00A13BF5" w:rsidRDefault="00CA598F" w:rsidP="00CA598F">
      <w:pPr>
        <w:spacing w:line="240" w:lineRule="auto"/>
        <w:rPr>
          <w:lang w:val="lt-LT"/>
        </w:rPr>
      </w:pPr>
      <w:r w:rsidRPr="00A13BF5">
        <w:rPr>
          <w:lang w:val="lt-LT"/>
        </w:rPr>
        <w:t>Buvo pranešta apie alerginės reakcijos į šį vaistą požymius, įskaitant kvėpavimo sutrikimus, veido ir kaklo srities patinimą (</w:t>
      </w:r>
      <w:proofErr w:type="spellStart"/>
      <w:r w:rsidRPr="00A13BF5">
        <w:rPr>
          <w:lang w:val="lt-LT"/>
        </w:rPr>
        <w:t>angioneurozinę</w:t>
      </w:r>
      <w:proofErr w:type="spellEnd"/>
      <w:r w:rsidRPr="00A13BF5">
        <w:rPr>
          <w:lang w:val="lt-LT"/>
        </w:rPr>
        <w:t xml:space="preserve"> edemą), krūtinės skausmą. Pastebėję bet kurį iš šių požymių, nedelsdami nutraukite </w:t>
      </w:r>
      <w:proofErr w:type="spellStart"/>
      <w:r>
        <w:rPr>
          <w:lang w:val="lt-LT"/>
        </w:rPr>
        <w:t>Ibuliq</w:t>
      </w:r>
      <w:proofErr w:type="spellEnd"/>
      <w:r w:rsidRPr="00A13BF5">
        <w:rPr>
          <w:lang w:val="lt-LT"/>
        </w:rPr>
        <w:t xml:space="preserve"> vartojimą ir nedelsdami kreipkitės į gydytoją arba greitosios medicinos pagalbos tarnybą.</w:t>
      </w:r>
    </w:p>
    <w:p w14:paraId="53A6F131" w14:textId="77777777" w:rsidR="00CA598F" w:rsidRPr="008A4655" w:rsidRDefault="00CA598F" w:rsidP="00CA598F">
      <w:pPr>
        <w:widowControl w:val="0"/>
        <w:tabs>
          <w:tab w:val="clear" w:pos="567"/>
        </w:tabs>
        <w:autoSpaceDE w:val="0"/>
        <w:autoSpaceDN w:val="0"/>
        <w:spacing w:line="240" w:lineRule="auto"/>
        <w:ind w:right="116"/>
        <w:jc w:val="both"/>
        <w:rPr>
          <w:snapToGrid/>
          <w:szCs w:val="22"/>
          <w:lang w:val="lt-LT"/>
        </w:rPr>
      </w:pPr>
    </w:p>
    <w:p w14:paraId="467FCA2E" w14:textId="77777777" w:rsidR="00CA598F" w:rsidRPr="008A4655" w:rsidRDefault="00CA598F" w:rsidP="00CA598F">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Odos reakcijos</w:t>
      </w:r>
    </w:p>
    <w:p w14:paraId="2F7C1756" w14:textId="77777777" w:rsidR="00CA598F" w:rsidRPr="008A4655" w:rsidRDefault="00CA598F" w:rsidP="00CA598F">
      <w:pPr>
        <w:tabs>
          <w:tab w:val="left" w:pos="720"/>
        </w:tabs>
        <w:spacing w:line="240" w:lineRule="auto"/>
        <w:rPr>
          <w:color w:val="000000"/>
          <w:szCs w:val="22"/>
          <w:lang w:val="lt-LT"/>
        </w:rPr>
      </w:pPr>
      <w:r w:rsidRPr="000817A1">
        <w:rPr>
          <w:color w:val="000000"/>
          <w:szCs w:val="22"/>
          <w:lang w:val="lt-LT"/>
        </w:rPr>
        <w:t xml:space="preserve">Gydant </w:t>
      </w:r>
      <w:proofErr w:type="spellStart"/>
      <w:r w:rsidRPr="000817A1">
        <w:rPr>
          <w:color w:val="000000"/>
          <w:szCs w:val="22"/>
          <w:lang w:val="lt-LT"/>
        </w:rPr>
        <w:t>ibuprofenu</w:t>
      </w:r>
      <w:proofErr w:type="spellEnd"/>
      <w:r w:rsidRPr="000817A1">
        <w:rPr>
          <w:color w:val="000000"/>
          <w:szCs w:val="22"/>
          <w:lang w:val="lt-LT"/>
        </w:rPr>
        <w:t xml:space="preserve"> buvo pranešta apie sunkias odos reakcijas, įskaitant </w:t>
      </w:r>
      <w:proofErr w:type="spellStart"/>
      <w:r w:rsidRPr="000817A1">
        <w:rPr>
          <w:color w:val="000000"/>
          <w:szCs w:val="22"/>
          <w:lang w:val="lt-LT"/>
        </w:rPr>
        <w:t>eksfoliacinį</w:t>
      </w:r>
      <w:proofErr w:type="spellEnd"/>
      <w:r w:rsidRPr="000817A1">
        <w:rPr>
          <w:color w:val="000000"/>
          <w:szCs w:val="22"/>
          <w:lang w:val="lt-LT"/>
        </w:rPr>
        <w:t xml:space="preserve"> dermatitą, daugiaformę </w:t>
      </w:r>
      <w:proofErr w:type="spellStart"/>
      <w:r w:rsidRPr="000817A1">
        <w:rPr>
          <w:color w:val="000000"/>
          <w:szCs w:val="22"/>
          <w:lang w:val="lt-LT"/>
        </w:rPr>
        <w:t>eritemą</w:t>
      </w:r>
      <w:proofErr w:type="spellEnd"/>
      <w:r w:rsidRPr="000817A1">
        <w:rPr>
          <w:color w:val="000000"/>
          <w:szCs w:val="22"/>
          <w:lang w:val="lt-LT"/>
        </w:rPr>
        <w:t xml:space="preserve">, </w:t>
      </w:r>
      <w:proofErr w:type="spellStart"/>
      <w:r w:rsidRPr="000817A1">
        <w:rPr>
          <w:color w:val="000000"/>
          <w:szCs w:val="22"/>
          <w:lang w:val="lt-LT"/>
        </w:rPr>
        <w:t>Stivenso</w:t>
      </w:r>
      <w:proofErr w:type="spellEnd"/>
      <w:r w:rsidRPr="000817A1">
        <w:rPr>
          <w:color w:val="000000"/>
          <w:szCs w:val="22"/>
          <w:lang w:val="lt-LT"/>
        </w:rPr>
        <w:t xml:space="preserve">-Džonsono sindromą, toksinę epidermio </w:t>
      </w:r>
      <w:proofErr w:type="spellStart"/>
      <w:r w:rsidRPr="000817A1">
        <w:rPr>
          <w:color w:val="000000"/>
          <w:szCs w:val="22"/>
          <w:lang w:val="lt-LT"/>
        </w:rPr>
        <w:t>nekrolizę</w:t>
      </w:r>
      <w:proofErr w:type="spellEnd"/>
      <w:r w:rsidRPr="000817A1">
        <w:rPr>
          <w:color w:val="000000"/>
          <w:szCs w:val="22"/>
          <w:lang w:val="lt-LT"/>
        </w:rPr>
        <w:t xml:space="preserve">, vaistinio preparato reakciją su </w:t>
      </w:r>
      <w:proofErr w:type="spellStart"/>
      <w:r w:rsidRPr="000817A1">
        <w:rPr>
          <w:color w:val="000000"/>
          <w:szCs w:val="22"/>
          <w:lang w:val="lt-LT"/>
        </w:rPr>
        <w:t>eozinofilija</w:t>
      </w:r>
      <w:proofErr w:type="spellEnd"/>
      <w:r w:rsidRPr="000817A1">
        <w:rPr>
          <w:color w:val="000000"/>
          <w:szCs w:val="22"/>
          <w:lang w:val="lt-LT"/>
        </w:rPr>
        <w:t xml:space="preserve"> ir sisteminiais simptomais (VRESS), ūminę </w:t>
      </w:r>
      <w:proofErr w:type="spellStart"/>
      <w:r w:rsidRPr="000817A1">
        <w:rPr>
          <w:color w:val="000000"/>
          <w:szCs w:val="22"/>
          <w:lang w:val="lt-LT"/>
        </w:rPr>
        <w:t>generalizuotą</w:t>
      </w:r>
      <w:proofErr w:type="spellEnd"/>
      <w:r w:rsidRPr="000817A1">
        <w:rPr>
          <w:color w:val="000000"/>
          <w:szCs w:val="22"/>
          <w:lang w:val="lt-LT"/>
        </w:rPr>
        <w:t xml:space="preserve"> </w:t>
      </w:r>
      <w:proofErr w:type="spellStart"/>
      <w:r w:rsidRPr="000817A1">
        <w:rPr>
          <w:color w:val="000000"/>
          <w:szCs w:val="22"/>
          <w:lang w:val="lt-LT"/>
        </w:rPr>
        <w:t>egzanteminę</w:t>
      </w:r>
      <w:proofErr w:type="spellEnd"/>
      <w:r w:rsidRPr="000817A1">
        <w:rPr>
          <w:color w:val="000000"/>
          <w:szCs w:val="22"/>
          <w:lang w:val="lt-LT"/>
        </w:rPr>
        <w:t xml:space="preserve"> </w:t>
      </w:r>
      <w:proofErr w:type="spellStart"/>
      <w:r w:rsidRPr="000817A1">
        <w:rPr>
          <w:color w:val="000000"/>
          <w:szCs w:val="22"/>
          <w:lang w:val="lt-LT"/>
        </w:rPr>
        <w:t>pustuliozę</w:t>
      </w:r>
      <w:proofErr w:type="spellEnd"/>
      <w:r w:rsidRPr="000817A1">
        <w:rPr>
          <w:color w:val="000000"/>
          <w:szCs w:val="22"/>
          <w:lang w:val="lt-LT"/>
        </w:rPr>
        <w:t xml:space="preserve"> (ŪGEP). Jei pastebėjote bet kurį iš 4</w:t>
      </w:r>
      <w:r>
        <w:rPr>
          <w:color w:val="000000"/>
          <w:szCs w:val="22"/>
          <w:lang w:val="lt-LT"/>
        </w:rPr>
        <w:t> </w:t>
      </w:r>
      <w:r w:rsidRPr="000817A1">
        <w:rPr>
          <w:color w:val="000000"/>
          <w:szCs w:val="22"/>
          <w:lang w:val="lt-LT"/>
        </w:rPr>
        <w:t xml:space="preserve">skyriuje aprašytų sunkių odos reakcijų simptomų, nutraukite </w:t>
      </w:r>
      <w:proofErr w:type="spellStart"/>
      <w:r>
        <w:rPr>
          <w:szCs w:val="22"/>
          <w:lang w:val="lt-LT"/>
        </w:rPr>
        <w:t>Ibuliq</w:t>
      </w:r>
      <w:proofErr w:type="spellEnd"/>
      <w:r w:rsidRPr="000817A1">
        <w:rPr>
          <w:color w:val="000000"/>
          <w:szCs w:val="22"/>
          <w:lang w:val="lt-LT"/>
        </w:rPr>
        <w:t xml:space="preserve"> vartojimą ir nedelsdami kreipkitės į gydytoją.</w:t>
      </w:r>
    </w:p>
    <w:p w14:paraId="469802CD" w14:textId="77777777" w:rsidR="00CA598F" w:rsidRPr="008A4655" w:rsidRDefault="00CA598F" w:rsidP="00CA598F">
      <w:pPr>
        <w:widowControl w:val="0"/>
        <w:tabs>
          <w:tab w:val="clear" w:pos="567"/>
        </w:tabs>
        <w:autoSpaceDE w:val="0"/>
        <w:autoSpaceDN w:val="0"/>
        <w:spacing w:line="240" w:lineRule="auto"/>
        <w:rPr>
          <w:snapToGrid/>
          <w:szCs w:val="22"/>
          <w:lang w:val="lt-LT"/>
        </w:rPr>
      </w:pPr>
    </w:p>
    <w:p w14:paraId="50B05407" w14:textId="77777777" w:rsidR="00CA598F" w:rsidRPr="008A4655" w:rsidRDefault="00CA598F" w:rsidP="00CA598F">
      <w:pPr>
        <w:widowControl w:val="0"/>
        <w:tabs>
          <w:tab w:val="clear" w:pos="567"/>
        </w:tabs>
        <w:autoSpaceDE w:val="0"/>
        <w:autoSpaceDN w:val="0"/>
        <w:spacing w:line="240" w:lineRule="auto"/>
        <w:outlineLvl w:val="0"/>
        <w:rPr>
          <w:b/>
          <w:bCs/>
          <w:snapToGrid/>
          <w:szCs w:val="22"/>
          <w:lang w:val="lt-LT"/>
        </w:rPr>
      </w:pPr>
      <w:r w:rsidRPr="008A4655">
        <w:rPr>
          <w:b/>
          <w:bCs/>
          <w:snapToGrid/>
          <w:szCs w:val="22"/>
          <w:lang w:val="lt-LT"/>
        </w:rPr>
        <w:t>Infekcijos</w:t>
      </w:r>
    </w:p>
    <w:p w14:paraId="17947D6B" w14:textId="77777777" w:rsidR="00CA598F" w:rsidRPr="008A4655" w:rsidRDefault="00CA598F" w:rsidP="00CA598F">
      <w:pPr>
        <w:spacing w:line="240" w:lineRule="auto"/>
        <w:rPr>
          <w:szCs w:val="22"/>
          <w:lang w:val="lt-LT"/>
        </w:rPr>
      </w:pPr>
      <w:proofErr w:type="spellStart"/>
      <w:r>
        <w:rPr>
          <w:szCs w:val="22"/>
          <w:lang w:val="lt-LT"/>
        </w:rPr>
        <w:t>Ibuliq</w:t>
      </w:r>
      <w:proofErr w:type="spellEnd"/>
      <w:r w:rsidRPr="008A4655">
        <w:rPr>
          <w:szCs w:val="22"/>
          <w:lang w:val="lt-LT"/>
        </w:rPr>
        <w:t xml:space="preserve"> gali paslėpti tokius infekcijų požymius kaip karščiavimas ir skausmas. Todėl, vartojant </w:t>
      </w:r>
      <w:proofErr w:type="spellStart"/>
      <w:r>
        <w:rPr>
          <w:szCs w:val="22"/>
          <w:lang w:val="lt-LT"/>
        </w:rPr>
        <w:t>Ibuliq</w:t>
      </w:r>
      <w:proofErr w:type="spellEnd"/>
      <w:r w:rsidRPr="008A4655">
        <w:rPr>
          <w:szCs w:val="22"/>
          <w:lang w:val="lt-LT"/>
        </w:rPr>
        <w:t>, tinkamas gydymas gali būti pradėtas vėliau, o dėl to gali padidėti komplikacijų rizika. Tokių atvejų nustatyta gydant bakterijų sukeltą plaučių uždegimą (pneumoniją) ir su vėjaraupiais susijusias bakterines odos infekcijas. Jeigu vartojate šį vaistą sirgdami infekcine liga ir pasireiškiantys infekcijos simptomai neišnyksta arba sunkėja, nedelsdami pasitarkite su gydytoju.</w:t>
      </w:r>
    </w:p>
    <w:p w14:paraId="369C226D" w14:textId="77777777" w:rsidR="00CA598F" w:rsidRPr="008A4655" w:rsidRDefault="00CA598F" w:rsidP="00CA598F">
      <w:pPr>
        <w:widowControl w:val="0"/>
        <w:numPr>
          <w:ilvl w:val="12"/>
          <w:numId w:val="0"/>
        </w:numPr>
        <w:tabs>
          <w:tab w:val="clear" w:pos="567"/>
        </w:tabs>
        <w:spacing w:line="240" w:lineRule="auto"/>
        <w:ind w:right="-2"/>
        <w:rPr>
          <w:bCs/>
          <w:snapToGrid/>
          <w:szCs w:val="22"/>
          <w:lang w:val="lt-LT"/>
        </w:rPr>
      </w:pPr>
    </w:p>
    <w:p w14:paraId="1EE17E0D" w14:textId="77777777" w:rsidR="00CA598F" w:rsidRPr="008A4655" w:rsidRDefault="00CA598F" w:rsidP="00CA598F">
      <w:pPr>
        <w:widowControl w:val="0"/>
        <w:numPr>
          <w:ilvl w:val="12"/>
          <w:numId w:val="0"/>
        </w:numPr>
        <w:tabs>
          <w:tab w:val="clear" w:pos="567"/>
        </w:tabs>
        <w:spacing w:line="240" w:lineRule="auto"/>
        <w:rPr>
          <w:snapToGrid/>
          <w:szCs w:val="22"/>
          <w:lang w:val="lt-LT"/>
        </w:rPr>
      </w:pPr>
      <w:r w:rsidRPr="008A4655">
        <w:rPr>
          <w:b/>
          <w:snapToGrid/>
          <w:szCs w:val="22"/>
          <w:lang w:val="lt-LT"/>
        </w:rPr>
        <w:t xml:space="preserve">Kiti vaistai ir </w:t>
      </w:r>
      <w:proofErr w:type="spellStart"/>
      <w:r>
        <w:rPr>
          <w:b/>
          <w:snapToGrid/>
          <w:szCs w:val="22"/>
          <w:lang w:val="lt-LT"/>
        </w:rPr>
        <w:t>Ibuliq</w:t>
      </w:r>
      <w:proofErr w:type="spellEnd"/>
    </w:p>
    <w:p w14:paraId="4BAD7304"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Jeigu vartojate ar neseniai vartojote kitų vaistų arba nesate dėl to tikri, apie tai pasakykite gydytojui arba vaistininkui.</w:t>
      </w:r>
    </w:p>
    <w:p w14:paraId="5822466E" w14:textId="77777777" w:rsidR="00CA598F" w:rsidRPr="008A4655" w:rsidRDefault="00CA598F" w:rsidP="00CA598F">
      <w:pPr>
        <w:widowControl w:val="0"/>
        <w:tabs>
          <w:tab w:val="clear" w:pos="567"/>
        </w:tabs>
        <w:autoSpaceDE w:val="0"/>
        <w:autoSpaceDN w:val="0"/>
        <w:spacing w:line="240" w:lineRule="auto"/>
        <w:ind w:right="4"/>
        <w:rPr>
          <w:snapToGrid/>
          <w:szCs w:val="22"/>
          <w:lang w:val="lt-LT"/>
        </w:rPr>
      </w:pPr>
      <w:proofErr w:type="spellStart"/>
      <w:r>
        <w:rPr>
          <w:bCs/>
          <w:snapToGrid/>
          <w:szCs w:val="22"/>
          <w:lang w:val="lt-LT"/>
        </w:rPr>
        <w:t>Ibuliq</w:t>
      </w:r>
      <w:proofErr w:type="spellEnd"/>
      <w:r w:rsidRPr="008A4655">
        <w:rPr>
          <w:bCs/>
          <w:snapToGrid/>
          <w:szCs w:val="22"/>
          <w:lang w:val="lt-LT"/>
        </w:rPr>
        <w:t xml:space="preserve"> gali keisti kitų vaistų poveikį, o jie − </w:t>
      </w:r>
      <w:proofErr w:type="spellStart"/>
      <w:r>
        <w:rPr>
          <w:bCs/>
          <w:snapToGrid/>
          <w:szCs w:val="22"/>
          <w:lang w:val="lt-LT"/>
        </w:rPr>
        <w:t>Ibuliq</w:t>
      </w:r>
      <w:proofErr w:type="spellEnd"/>
      <w:r w:rsidRPr="008A4655">
        <w:rPr>
          <w:bCs/>
          <w:snapToGrid/>
          <w:szCs w:val="22"/>
          <w:lang w:val="lt-LT"/>
        </w:rPr>
        <w:t xml:space="preserve"> poveikį.</w:t>
      </w:r>
    </w:p>
    <w:p w14:paraId="35F4CBF8" w14:textId="77777777" w:rsidR="00CA598F" w:rsidRPr="008A4655" w:rsidRDefault="00CA598F" w:rsidP="00CA598F">
      <w:pPr>
        <w:widowControl w:val="0"/>
        <w:tabs>
          <w:tab w:val="clear" w:pos="567"/>
        </w:tabs>
        <w:autoSpaceDE w:val="0"/>
        <w:autoSpaceDN w:val="0"/>
        <w:spacing w:line="240" w:lineRule="auto"/>
        <w:ind w:right="-2"/>
        <w:rPr>
          <w:snapToGrid/>
          <w:szCs w:val="22"/>
          <w:lang w:val="lt-LT"/>
        </w:rPr>
      </w:pPr>
      <w:r w:rsidRPr="008A4655">
        <w:rPr>
          <w:snapToGrid/>
          <w:szCs w:val="22"/>
          <w:lang w:val="lt-LT"/>
        </w:rPr>
        <w:t>Toliau yra pateikiami vaistų, su kuriais galima sąveika, pavyzdžiai:</w:t>
      </w:r>
    </w:p>
    <w:p w14:paraId="0B41B30D"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Antikoaguliantai (krešėjimą slopinantys ar kraują skystinantys vaistai, tokie kaip </w:t>
      </w:r>
      <w:proofErr w:type="spellStart"/>
      <w:r w:rsidRPr="008A4655">
        <w:rPr>
          <w:snapToGrid/>
          <w:szCs w:val="22"/>
          <w:lang w:val="lt-LT"/>
        </w:rPr>
        <w:t>acetilsalicilo</w:t>
      </w:r>
      <w:proofErr w:type="spellEnd"/>
      <w:r w:rsidRPr="008A4655">
        <w:rPr>
          <w:snapToGrid/>
          <w:szCs w:val="22"/>
          <w:lang w:val="lt-LT"/>
        </w:rPr>
        <w:t xml:space="preserve"> rūgštis/aspirinas, varfarinas, </w:t>
      </w:r>
      <w:proofErr w:type="spellStart"/>
      <w:r w:rsidRPr="008A4655">
        <w:rPr>
          <w:snapToGrid/>
          <w:szCs w:val="22"/>
          <w:lang w:val="lt-LT"/>
        </w:rPr>
        <w:t>tiklopidinas</w:t>
      </w:r>
      <w:proofErr w:type="spellEnd"/>
      <w:r w:rsidRPr="008A4655">
        <w:rPr>
          <w:snapToGrid/>
          <w:szCs w:val="22"/>
          <w:lang w:val="lt-LT"/>
        </w:rPr>
        <w:t>).</w:t>
      </w:r>
    </w:p>
    <w:p w14:paraId="727EB7E9"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Kraujospūdį mažinantys vaistai (AKF inhibitoriai, pvz., </w:t>
      </w:r>
      <w:proofErr w:type="spellStart"/>
      <w:r w:rsidRPr="008A4655">
        <w:rPr>
          <w:snapToGrid/>
          <w:szCs w:val="22"/>
          <w:lang w:val="lt-LT"/>
        </w:rPr>
        <w:t>kaptoprilis</w:t>
      </w:r>
      <w:proofErr w:type="spellEnd"/>
      <w:r w:rsidRPr="008A4655">
        <w:rPr>
          <w:snapToGrid/>
          <w:szCs w:val="22"/>
          <w:lang w:val="lt-LT"/>
        </w:rPr>
        <w:t xml:space="preserve">, beta blokatoriai, pvz., </w:t>
      </w:r>
      <w:proofErr w:type="spellStart"/>
      <w:r w:rsidRPr="008A4655">
        <w:rPr>
          <w:snapToGrid/>
          <w:szCs w:val="22"/>
          <w:lang w:val="lt-LT"/>
        </w:rPr>
        <w:t>atenololis</w:t>
      </w:r>
      <w:proofErr w:type="spellEnd"/>
      <w:r w:rsidRPr="008A4655">
        <w:rPr>
          <w:snapToGrid/>
          <w:szCs w:val="22"/>
          <w:lang w:val="lt-LT"/>
        </w:rPr>
        <w:t xml:space="preserve">, ir </w:t>
      </w:r>
      <w:proofErr w:type="spellStart"/>
      <w:r w:rsidRPr="008A4655">
        <w:rPr>
          <w:snapToGrid/>
          <w:szCs w:val="22"/>
          <w:lang w:val="lt-LT"/>
        </w:rPr>
        <w:t>angiotenzino</w:t>
      </w:r>
      <w:proofErr w:type="spellEnd"/>
      <w:r w:rsidRPr="008A4655">
        <w:rPr>
          <w:snapToGrid/>
          <w:szCs w:val="22"/>
          <w:lang w:val="lt-LT"/>
        </w:rPr>
        <w:t xml:space="preserve">-II receptorių </w:t>
      </w:r>
      <w:r>
        <w:rPr>
          <w:snapToGrid/>
          <w:szCs w:val="22"/>
          <w:lang w:val="lt-LT"/>
        </w:rPr>
        <w:t>blokatori</w:t>
      </w:r>
      <w:r w:rsidRPr="008A4655">
        <w:rPr>
          <w:snapToGrid/>
          <w:szCs w:val="22"/>
          <w:lang w:val="lt-LT"/>
        </w:rPr>
        <w:t xml:space="preserve">ai, pvz., </w:t>
      </w:r>
      <w:proofErr w:type="spellStart"/>
      <w:r w:rsidRPr="008A4655">
        <w:rPr>
          <w:snapToGrid/>
          <w:szCs w:val="22"/>
          <w:lang w:val="lt-LT"/>
        </w:rPr>
        <w:t>losartanas</w:t>
      </w:r>
      <w:proofErr w:type="spellEnd"/>
      <w:r w:rsidRPr="008A4655">
        <w:rPr>
          <w:snapToGrid/>
          <w:szCs w:val="22"/>
          <w:lang w:val="lt-LT"/>
        </w:rPr>
        <w:t>).</w:t>
      </w:r>
    </w:p>
    <w:p w14:paraId="02625CB6"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Trombocitus slopinantys vaistai (slopinantys </w:t>
      </w:r>
      <w:proofErr w:type="spellStart"/>
      <w:r w:rsidRPr="008A4655">
        <w:rPr>
          <w:snapToGrid/>
          <w:szCs w:val="22"/>
          <w:lang w:val="lt-LT"/>
        </w:rPr>
        <w:t>trombų</w:t>
      </w:r>
      <w:proofErr w:type="spellEnd"/>
      <w:r w:rsidRPr="008A4655">
        <w:rPr>
          <w:snapToGrid/>
          <w:szCs w:val="22"/>
          <w:lang w:val="lt-LT"/>
        </w:rPr>
        <w:t xml:space="preserve"> ar krešulių susidarymą kraujagyslėse), tokie kaip </w:t>
      </w:r>
      <w:proofErr w:type="spellStart"/>
      <w:r w:rsidRPr="008A4655">
        <w:rPr>
          <w:snapToGrid/>
          <w:szCs w:val="22"/>
          <w:lang w:val="lt-LT"/>
        </w:rPr>
        <w:t>tiklopidinas</w:t>
      </w:r>
      <w:proofErr w:type="spellEnd"/>
      <w:r w:rsidRPr="008A4655">
        <w:rPr>
          <w:snapToGrid/>
          <w:szCs w:val="22"/>
          <w:lang w:val="lt-LT"/>
        </w:rPr>
        <w:t xml:space="preserve"> ar aspirinas (</w:t>
      </w:r>
      <w:proofErr w:type="spellStart"/>
      <w:r w:rsidRPr="008A4655">
        <w:rPr>
          <w:snapToGrid/>
          <w:szCs w:val="22"/>
          <w:lang w:val="lt-LT"/>
        </w:rPr>
        <w:t>acetilsalicilo</w:t>
      </w:r>
      <w:proofErr w:type="spellEnd"/>
      <w:r w:rsidRPr="008A4655">
        <w:rPr>
          <w:snapToGrid/>
          <w:szCs w:val="22"/>
          <w:lang w:val="lt-LT"/>
        </w:rPr>
        <w:t xml:space="preserve"> rūgštis).</w:t>
      </w:r>
    </w:p>
    <w:p w14:paraId="128B575C"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Kiti NVNU, tokie kaip aspirinas.</w:t>
      </w:r>
    </w:p>
    <w:p w14:paraId="06A32278"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Kortikoidai</w:t>
      </w:r>
      <w:proofErr w:type="spellEnd"/>
      <w:r w:rsidRPr="008A4655">
        <w:rPr>
          <w:snapToGrid/>
          <w:szCs w:val="22"/>
          <w:lang w:val="lt-LT"/>
        </w:rPr>
        <w:t xml:space="preserve">, tokie kaip </w:t>
      </w:r>
      <w:proofErr w:type="spellStart"/>
      <w:r w:rsidRPr="008A4655">
        <w:rPr>
          <w:snapToGrid/>
          <w:szCs w:val="22"/>
          <w:lang w:val="lt-LT"/>
        </w:rPr>
        <w:t>kortizonas</w:t>
      </w:r>
      <w:proofErr w:type="spellEnd"/>
      <w:r w:rsidRPr="008A4655">
        <w:rPr>
          <w:snapToGrid/>
          <w:szCs w:val="22"/>
          <w:lang w:val="lt-LT"/>
        </w:rPr>
        <w:t xml:space="preserve"> ir prednizolonas.</w:t>
      </w:r>
    </w:p>
    <w:p w14:paraId="3B6E08FF"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Selektyvieji </w:t>
      </w:r>
      <w:proofErr w:type="spellStart"/>
      <w:r w:rsidRPr="008A4655">
        <w:rPr>
          <w:snapToGrid/>
          <w:szCs w:val="22"/>
          <w:lang w:val="lt-LT"/>
        </w:rPr>
        <w:t>serotonino</w:t>
      </w:r>
      <w:proofErr w:type="spellEnd"/>
      <w:r w:rsidRPr="008A4655">
        <w:rPr>
          <w:snapToGrid/>
          <w:szCs w:val="22"/>
          <w:lang w:val="lt-LT"/>
        </w:rPr>
        <w:t xml:space="preserve"> reabsorbcijos inhibitoriai (vaistai depresijai gydyti).</w:t>
      </w:r>
    </w:p>
    <w:p w14:paraId="075BE958"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Litias</w:t>
      </w:r>
      <w:proofErr w:type="spellEnd"/>
      <w:r w:rsidRPr="008A4655">
        <w:rPr>
          <w:snapToGrid/>
          <w:szCs w:val="22"/>
          <w:lang w:val="lt-LT"/>
        </w:rPr>
        <w:t xml:space="preserve"> (vartojamas depresijai gydyti).</w:t>
      </w:r>
    </w:p>
    <w:p w14:paraId="6C138C1D" w14:textId="77777777" w:rsidR="00CA598F" w:rsidRPr="008A4655" w:rsidRDefault="00CA598F" w:rsidP="00CA598F">
      <w:pPr>
        <w:widowControl w:val="0"/>
        <w:numPr>
          <w:ilvl w:val="0"/>
          <w:numId w:val="6"/>
        </w:numPr>
        <w:autoSpaceDE w:val="0"/>
        <w:autoSpaceDN w:val="0"/>
        <w:spacing w:line="240" w:lineRule="auto"/>
        <w:ind w:left="567" w:right="114" w:hanging="567"/>
        <w:rPr>
          <w:snapToGrid/>
          <w:szCs w:val="22"/>
          <w:lang w:val="lt-LT"/>
        </w:rPr>
      </w:pPr>
      <w:proofErr w:type="spellStart"/>
      <w:r w:rsidRPr="008A4655">
        <w:rPr>
          <w:snapToGrid/>
          <w:szCs w:val="22"/>
          <w:lang w:val="lt-LT"/>
        </w:rPr>
        <w:t>Metotreksatas</w:t>
      </w:r>
      <w:proofErr w:type="spellEnd"/>
      <w:r w:rsidRPr="008A4655">
        <w:rPr>
          <w:snapToGrid/>
          <w:szCs w:val="22"/>
          <w:lang w:val="lt-LT"/>
        </w:rPr>
        <w:t xml:space="preserve"> (vartojamas vėžiui ir uždegiminėms ligoms gydyti). Gydytojas gali koreguoti šio vaisto dozę.</w:t>
      </w:r>
    </w:p>
    <w:p w14:paraId="44F328C0"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Mifepristonas</w:t>
      </w:r>
      <w:proofErr w:type="spellEnd"/>
      <w:r w:rsidRPr="008A4655">
        <w:rPr>
          <w:snapToGrid/>
          <w:szCs w:val="22"/>
          <w:lang w:val="lt-LT"/>
        </w:rPr>
        <w:t xml:space="preserve"> (vartojamas nėštumui nutraukti).</w:t>
      </w:r>
    </w:p>
    <w:p w14:paraId="3F6F1D19"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Digoksinas</w:t>
      </w:r>
      <w:proofErr w:type="spellEnd"/>
      <w:r w:rsidRPr="008A4655">
        <w:rPr>
          <w:snapToGrid/>
          <w:szCs w:val="22"/>
          <w:lang w:val="lt-LT"/>
        </w:rPr>
        <w:t xml:space="preserve"> ir kiti širdį veikiantys glikozidai (vartojam</w:t>
      </w:r>
      <w:r>
        <w:rPr>
          <w:snapToGrid/>
          <w:szCs w:val="22"/>
          <w:lang w:val="lt-LT"/>
        </w:rPr>
        <w:t>i</w:t>
      </w:r>
      <w:r w:rsidRPr="008A4655">
        <w:rPr>
          <w:snapToGrid/>
          <w:szCs w:val="22"/>
          <w:lang w:val="lt-LT"/>
        </w:rPr>
        <w:t xml:space="preserve"> nuo širdies sutrikimų),</w:t>
      </w:r>
    </w:p>
    <w:p w14:paraId="24BC2FA3"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Hidantoinai</w:t>
      </w:r>
      <w:proofErr w:type="spellEnd"/>
      <w:r w:rsidRPr="008A4655">
        <w:rPr>
          <w:snapToGrid/>
          <w:szCs w:val="22"/>
          <w:lang w:val="lt-LT"/>
        </w:rPr>
        <w:t xml:space="preserve">, pvz., </w:t>
      </w:r>
      <w:proofErr w:type="spellStart"/>
      <w:r w:rsidRPr="008A4655">
        <w:rPr>
          <w:snapToGrid/>
          <w:szCs w:val="22"/>
          <w:lang w:val="lt-LT"/>
        </w:rPr>
        <w:t>fenitoinas</w:t>
      </w:r>
      <w:proofErr w:type="spellEnd"/>
      <w:r w:rsidRPr="008A4655">
        <w:rPr>
          <w:snapToGrid/>
          <w:szCs w:val="22"/>
          <w:lang w:val="lt-LT"/>
        </w:rPr>
        <w:t xml:space="preserve"> (vartojami epilepsijai gydyti).</w:t>
      </w:r>
    </w:p>
    <w:p w14:paraId="627C34BD"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Sulfamidai</w:t>
      </w:r>
      <w:proofErr w:type="spellEnd"/>
      <w:r w:rsidRPr="008A4655">
        <w:rPr>
          <w:snapToGrid/>
          <w:szCs w:val="22"/>
          <w:lang w:val="lt-LT"/>
        </w:rPr>
        <w:t xml:space="preserve">, tokie kaip </w:t>
      </w:r>
      <w:proofErr w:type="spellStart"/>
      <w:r w:rsidRPr="008A4655">
        <w:rPr>
          <w:snapToGrid/>
          <w:szCs w:val="22"/>
          <w:lang w:val="lt-LT"/>
        </w:rPr>
        <w:t>sulfametoksazolas</w:t>
      </w:r>
      <w:proofErr w:type="spellEnd"/>
      <w:r w:rsidRPr="008A4655">
        <w:rPr>
          <w:snapToGrid/>
          <w:szCs w:val="22"/>
          <w:lang w:val="lt-LT"/>
        </w:rPr>
        <w:t xml:space="preserve"> ir </w:t>
      </w:r>
      <w:proofErr w:type="spellStart"/>
      <w:r w:rsidRPr="008A4655">
        <w:rPr>
          <w:snapToGrid/>
          <w:szCs w:val="22"/>
          <w:lang w:val="lt-LT"/>
        </w:rPr>
        <w:t>kotrimoksazolas</w:t>
      </w:r>
      <w:proofErr w:type="spellEnd"/>
      <w:r w:rsidRPr="008A4655">
        <w:rPr>
          <w:snapToGrid/>
          <w:szCs w:val="22"/>
          <w:lang w:val="lt-LT"/>
        </w:rPr>
        <w:t xml:space="preserve"> (vartojami nuo bakterinių infekcijų).</w:t>
      </w:r>
    </w:p>
    <w:p w14:paraId="52001D29"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Diuretikai (šlapimo išskyrimą didinantys vaistai).</w:t>
      </w:r>
    </w:p>
    <w:p w14:paraId="696B9A50"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Pentoksifilinas</w:t>
      </w:r>
      <w:proofErr w:type="spellEnd"/>
      <w:r w:rsidRPr="008A4655">
        <w:rPr>
          <w:snapToGrid/>
          <w:szCs w:val="22"/>
          <w:lang w:val="lt-LT"/>
        </w:rPr>
        <w:t xml:space="preserve"> (vartojamas nuo kraujotakos sutrikimų).</w:t>
      </w:r>
    </w:p>
    <w:p w14:paraId="600BE8E5"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Probenecidas</w:t>
      </w:r>
      <w:proofErr w:type="spellEnd"/>
      <w:r w:rsidRPr="008A4655">
        <w:rPr>
          <w:snapToGrid/>
          <w:szCs w:val="22"/>
          <w:lang w:val="lt-LT"/>
        </w:rPr>
        <w:t xml:space="preserve"> (vartojamas podagrai gydyti arba infekcinėms ligoms gydyti kartu su penicilinu).</w:t>
      </w:r>
    </w:p>
    <w:p w14:paraId="43F2805E"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Chinolonų</w:t>
      </w:r>
      <w:proofErr w:type="spellEnd"/>
      <w:r w:rsidRPr="008A4655">
        <w:rPr>
          <w:snapToGrid/>
          <w:szCs w:val="22"/>
          <w:lang w:val="lt-LT"/>
        </w:rPr>
        <w:t xml:space="preserve"> grupės antibiotikai, tokie kaip </w:t>
      </w:r>
      <w:proofErr w:type="spellStart"/>
      <w:r w:rsidRPr="008A4655">
        <w:rPr>
          <w:snapToGrid/>
          <w:szCs w:val="22"/>
          <w:lang w:val="lt-LT"/>
        </w:rPr>
        <w:t>norfloksacinas</w:t>
      </w:r>
      <w:proofErr w:type="spellEnd"/>
      <w:r w:rsidRPr="008A4655">
        <w:rPr>
          <w:snapToGrid/>
          <w:szCs w:val="22"/>
          <w:lang w:val="lt-LT"/>
        </w:rPr>
        <w:t>.</w:t>
      </w:r>
    </w:p>
    <w:p w14:paraId="4933748F"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Sulfinpirazonas</w:t>
      </w:r>
      <w:proofErr w:type="spellEnd"/>
      <w:r w:rsidRPr="008A4655">
        <w:rPr>
          <w:snapToGrid/>
          <w:szCs w:val="22"/>
          <w:lang w:val="lt-LT"/>
        </w:rPr>
        <w:t xml:space="preserve"> (juo gydoma podagra).</w:t>
      </w:r>
    </w:p>
    <w:p w14:paraId="560B66B1"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Insulinas ir geriamieji gliukozės kiekį mažinantys vaistai (vartojami gliukozės kiekiui kraujyje mažinti).</w:t>
      </w:r>
    </w:p>
    <w:p w14:paraId="0E6F7EDA"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Ciklosporinas</w:t>
      </w:r>
      <w:proofErr w:type="spellEnd"/>
      <w:r w:rsidRPr="008A4655">
        <w:rPr>
          <w:snapToGrid/>
          <w:szCs w:val="22"/>
          <w:lang w:val="lt-LT"/>
        </w:rPr>
        <w:t xml:space="preserve"> ir </w:t>
      </w:r>
      <w:proofErr w:type="spellStart"/>
      <w:r w:rsidRPr="008A4655">
        <w:rPr>
          <w:snapToGrid/>
          <w:szCs w:val="22"/>
          <w:lang w:val="lt-LT"/>
        </w:rPr>
        <w:t>takrolimuzas</w:t>
      </w:r>
      <w:proofErr w:type="spellEnd"/>
      <w:r w:rsidRPr="008A4655">
        <w:rPr>
          <w:snapToGrid/>
          <w:szCs w:val="22"/>
          <w:lang w:val="lt-LT"/>
        </w:rPr>
        <w:t xml:space="preserve"> (vartojami persodinto organo atmetimo profilaktikai).</w:t>
      </w:r>
    </w:p>
    <w:p w14:paraId="66622FE9"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Antihipertenziniai</w:t>
      </w:r>
      <w:proofErr w:type="spellEnd"/>
      <w:r w:rsidRPr="008A4655">
        <w:rPr>
          <w:snapToGrid/>
          <w:szCs w:val="22"/>
          <w:lang w:val="lt-LT"/>
        </w:rPr>
        <w:t xml:space="preserve"> vaistai (vartojami dideliam kraujospūdžiui mažinti).</w:t>
      </w:r>
    </w:p>
    <w:p w14:paraId="5FD4D8C1"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Trombolitikai</w:t>
      </w:r>
      <w:proofErr w:type="spellEnd"/>
      <w:r w:rsidRPr="008A4655">
        <w:rPr>
          <w:snapToGrid/>
          <w:szCs w:val="22"/>
          <w:lang w:val="lt-LT"/>
        </w:rPr>
        <w:t xml:space="preserve"> (kraujo krešulius ištirpinantys ar suardantys vaistai).</w:t>
      </w:r>
    </w:p>
    <w:p w14:paraId="038C5F86"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Zidovudinas</w:t>
      </w:r>
      <w:proofErr w:type="spellEnd"/>
      <w:r w:rsidRPr="008A4655">
        <w:rPr>
          <w:snapToGrid/>
          <w:szCs w:val="22"/>
          <w:lang w:val="lt-LT"/>
        </w:rPr>
        <w:t xml:space="preserve"> (vaistas, vartojamas esant ŽIV viruso infekcijai).</w:t>
      </w:r>
    </w:p>
    <w:p w14:paraId="3B395160"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lastRenderedPageBreak/>
        <w:t>Aminoglikozidų</w:t>
      </w:r>
      <w:proofErr w:type="spellEnd"/>
      <w:r w:rsidRPr="008A4655">
        <w:rPr>
          <w:snapToGrid/>
          <w:szCs w:val="22"/>
          <w:lang w:val="lt-LT"/>
        </w:rPr>
        <w:t xml:space="preserve"> grupės antibiotikai, tokie kaip </w:t>
      </w:r>
      <w:proofErr w:type="spellStart"/>
      <w:r w:rsidRPr="008A4655">
        <w:rPr>
          <w:snapToGrid/>
          <w:szCs w:val="22"/>
          <w:lang w:val="lt-LT"/>
        </w:rPr>
        <w:t>neomicinas</w:t>
      </w:r>
      <w:proofErr w:type="spellEnd"/>
      <w:r w:rsidRPr="008A4655">
        <w:rPr>
          <w:snapToGrid/>
          <w:szCs w:val="22"/>
          <w:lang w:val="lt-LT"/>
        </w:rPr>
        <w:t>.</w:t>
      </w:r>
    </w:p>
    <w:p w14:paraId="20F3A479"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Augaliniai </w:t>
      </w:r>
      <w:proofErr w:type="spellStart"/>
      <w:r w:rsidRPr="008A4655">
        <w:rPr>
          <w:snapToGrid/>
          <w:szCs w:val="22"/>
          <w:lang w:val="lt-LT"/>
        </w:rPr>
        <w:t>dviskiaučio</w:t>
      </w:r>
      <w:proofErr w:type="spellEnd"/>
      <w:r w:rsidRPr="008A4655">
        <w:rPr>
          <w:snapToGrid/>
          <w:szCs w:val="22"/>
          <w:lang w:val="lt-LT"/>
        </w:rPr>
        <w:t xml:space="preserve"> </w:t>
      </w:r>
      <w:proofErr w:type="spellStart"/>
      <w:r w:rsidRPr="008A4655">
        <w:rPr>
          <w:snapToGrid/>
          <w:szCs w:val="22"/>
          <w:lang w:val="lt-LT"/>
        </w:rPr>
        <w:t>ginkmedžio</w:t>
      </w:r>
      <w:proofErr w:type="spellEnd"/>
      <w:r w:rsidRPr="008A4655">
        <w:rPr>
          <w:snapToGrid/>
          <w:szCs w:val="22"/>
          <w:lang w:val="lt-LT"/>
        </w:rPr>
        <w:t xml:space="preserve"> (</w:t>
      </w:r>
      <w:proofErr w:type="spellStart"/>
      <w:r w:rsidRPr="008A4655">
        <w:rPr>
          <w:i/>
          <w:iCs/>
          <w:snapToGrid/>
          <w:szCs w:val="22"/>
          <w:lang w:val="lt-LT"/>
        </w:rPr>
        <w:t>Ginkgo</w:t>
      </w:r>
      <w:proofErr w:type="spellEnd"/>
      <w:r w:rsidRPr="008A4655">
        <w:rPr>
          <w:i/>
          <w:iCs/>
          <w:snapToGrid/>
          <w:szCs w:val="22"/>
          <w:lang w:val="lt-LT"/>
        </w:rPr>
        <w:t xml:space="preserve"> </w:t>
      </w:r>
      <w:proofErr w:type="spellStart"/>
      <w:r w:rsidRPr="008A4655">
        <w:rPr>
          <w:i/>
          <w:iCs/>
          <w:snapToGrid/>
          <w:szCs w:val="22"/>
          <w:lang w:val="lt-LT"/>
        </w:rPr>
        <w:t>biloba</w:t>
      </w:r>
      <w:proofErr w:type="spellEnd"/>
      <w:r w:rsidRPr="008A4655">
        <w:rPr>
          <w:snapToGrid/>
          <w:szCs w:val="22"/>
          <w:lang w:val="lt-LT"/>
        </w:rPr>
        <w:t>) ekstraktai.</w:t>
      </w:r>
    </w:p>
    <w:p w14:paraId="3DF96C35"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Baklofenas</w:t>
      </w:r>
      <w:proofErr w:type="spellEnd"/>
      <w:r w:rsidRPr="008A4655">
        <w:rPr>
          <w:snapToGrid/>
          <w:szCs w:val="22"/>
          <w:lang w:val="lt-LT"/>
        </w:rPr>
        <w:t xml:space="preserve"> (vartojamas nevalingiems ir išliekantiems raumenų susitraukimams gydyti).</w:t>
      </w:r>
    </w:p>
    <w:p w14:paraId="24B8F437" w14:textId="77777777" w:rsidR="00CA598F" w:rsidRPr="008A4655" w:rsidRDefault="00CA598F" w:rsidP="00CA598F">
      <w:pPr>
        <w:widowControl w:val="0"/>
        <w:numPr>
          <w:ilvl w:val="0"/>
          <w:numId w:val="6"/>
        </w:numPr>
        <w:autoSpaceDE w:val="0"/>
        <w:autoSpaceDN w:val="0"/>
        <w:spacing w:line="240" w:lineRule="auto"/>
        <w:ind w:left="567" w:right="115" w:hanging="567"/>
        <w:rPr>
          <w:snapToGrid/>
          <w:szCs w:val="22"/>
          <w:lang w:val="lt-LT"/>
        </w:rPr>
      </w:pPr>
      <w:proofErr w:type="spellStart"/>
      <w:r w:rsidRPr="008A4655">
        <w:rPr>
          <w:snapToGrid/>
          <w:szCs w:val="22"/>
          <w:lang w:val="lt-LT"/>
        </w:rPr>
        <w:t>Fenitoinas</w:t>
      </w:r>
      <w:proofErr w:type="spellEnd"/>
      <w:r w:rsidRPr="008A4655">
        <w:rPr>
          <w:snapToGrid/>
          <w:szCs w:val="22"/>
          <w:lang w:val="lt-LT"/>
        </w:rPr>
        <w:t xml:space="preserve"> (vartojamas epilepsijai gydyti).</w:t>
      </w:r>
    </w:p>
    <w:p w14:paraId="667D95FB" w14:textId="77777777" w:rsidR="00CA598F" w:rsidRPr="008A4655" w:rsidRDefault="00CA598F" w:rsidP="00CA598F">
      <w:pPr>
        <w:widowControl w:val="0"/>
        <w:numPr>
          <w:ilvl w:val="0"/>
          <w:numId w:val="6"/>
        </w:numPr>
        <w:autoSpaceDE w:val="0"/>
        <w:autoSpaceDN w:val="0"/>
        <w:spacing w:line="240" w:lineRule="auto"/>
        <w:ind w:left="567" w:right="115" w:hanging="567"/>
        <w:rPr>
          <w:snapToGrid/>
          <w:szCs w:val="22"/>
          <w:lang w:val="lt-LT"/>
        </w:rPr>
      </w:pPr>
      <w:r w:rsidRPr="008A4655">
        <w:rPr>
          <w:snapToGrid/>
          <w:szCs w:val="22"/>
          <w:lang w:val="lt-LT"/>
        </w:rPr>
        <w:t xml:space="preserve">Jonų mainų dervos, pvz., </w:t>
      </w:r>
      <w:proofErr w:type="spellStart"/>
      <w:r w:rsidRPr="008A4655">
        <w:rPr>
          <w:snapToGrid/>
          <w:szCs w:val="22"/>
          <w:lang w:val="lt-LT"/>
        </w:rPr>
        <w:t>kolestiraminas</w:t>
      </w:r>
      <w:proofErr w:type="spellEnd"/>
      <w:r w:rsidRPr="008A4655">
        <w:rPr>
          <w:snapToGrid/>
          <w:szCs w:val="22"/>
          <w:lang w:val="lt-LT"/>
        </w:rPr>
        <w:t xml:space="preserve"> (vartojamas cholesterolio kiekiui kraujyje mažinti).</w:t>
      </w:r>
    </w:p>
    <w:p w14:paraId="7AEF9A44"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proofErr w:type="spellStart"/>
      <w:r w:rsidRPr="008A4655">
        <w:rPr>
          <w:snapToGrid/>
          <w:szCs w:val="22"/>
          <w:lang w:val="lt-LT"/>
        </w:rPr>
        <w:t>Takrinas</w:t>
      </w:r>
      <w:proofErr w:type="spellEnd"/>
      <w:r w:rsidRPr="008A4655">
        <w:rPr>
          <w:snapToGrid/>
          <w:szCs w:val="22"/>
          <w:lang w:val="lt-LT"/>
        </w:rPr>
        <w:t xml:space="preserve"> (vartojamas Alzheimerio ligai gydyti).</w:t>
      </w:r>
    </w:p>
    <w:p w14:paraId="54FE2BF9" w14:textId="77777777" w:rsidR="00CA598F" w:rsidRPr="008A4655" w:rsidRDefault="00CA598F" w:rsidP="00CA598F">
      <w:pPr>
        <w:widowControl w:val="0"/>
        <w:numPr>
          <w:ilvl w:val="0"/>
          <w:numId w:val="6"/>
        </w:numPr>
        <w:autoSpaceDE w:val="0"/>
        <w:autoSpaceDN w:val="0"/>
        <w:spacing w:line="240" w:lineRule="auto"/>
        <w:ind w:left="567" w:hanging="567"/>
        <w:rPr>
          <w:snapToGrid/>
          <w:szCs w:val="22"/>
          <w:lang w:val="lt-LT"/>
        </w:rPr>
      </w:pPr>
      <w:r w:rsidRPr="008A4655">
        <w:rPr>
          <w:snapToGrid/>
          <w:szCs w:val="22"/>
          <w:lang w:val="lt-LT"/>
        </w:rPr>
        <w:t xml:space="preserve">CYP2C9 inhibitoriai, tokie kaip </w:t>
      </w:r>
      <w:proofErr w:type="spellStart"/>
      <w:r w:rsidRPr="008A4655">
        <w:rPr>
          <w:snapToGrid/>
          <w:szCs w:val="22"/>
          <w:lang w:val="lt-LT"/>
        </w:rPr>
        <w:t>vorikonazolas</w:t>
      </w:r>
      <w:proofErr w:type="spellEnd"/>
      <w:r w:rsidRPr="008A4655">
        <w:rPr>
          <w:snapToGrid/>
          <w:szCs w:val="22"/>
          <w:lang w:val="lt-LT"/>
        </w:rPr>
        <w:t xml:space="preserve"> ir </w:t>
      </w:r>
      <w:proofErr w:type="spellStart"/>
      <w:r w:rsidRPr="008A4655">
        <w:rPr>
          <w:snapToGrid/>
          <w:szCs w:val="22"/>
          <w:lang w:val="lt-LT"/>
        </w:rPr>
        <w:t>flukonazolas</w:t>
      </w:r>
      <w:proofErr w:type="spellEnd"/>
      <w:r w:rsidRPr="008A4655">
        <w:rPr>
          <w:snapToGrid/>
          <w:szCs w:val="22"/>
          <w:lang w:val="lt-LT"/>
        </w:rPr>
        <w:t>.</w:t>
      </w:r>
    </w:p>
    <w:p w14:paraId="35E9C04E" w14:textId="77777777" w:rsidR="00CA598F" w:rsidRPr="008A4655" w:rsidRDefault="00CA598F" w:rsidP="00CA598F">
      <w:pPr>
        <w:widowControl w:val="0"/>
        <w:tabs>
          <w:tab w:val="clear" w:pos="567"/>
          <w:tab w:val="left" w:pos="837"/>
          <w:tab w:val="left" w:pos="838"/>
        </w:tabs>
        <w:autoSpaceDE w:val="0"/>
        <w:autoSpaceDN w:val="0"/>
        <w:spacing w:line="240" w:lineRule="auto"/>
        <w:rPr>
          <w:snapToGrid/>
          <w:szCs w:val="22"/>
          <w:lang w:val="lt-LT"/>
        </w:rPr>
      </w:pPr>
    </w:p>
    <w:p w14:paraId="638349CC" w14:textId="77777777" w:rsidR="00CA598F" w:rsidRPr="008A4655" w:rsidRDefault="00CA598F" w:rsidP="00CA598F">
      <w:pPr>
        <w:widowControl w:val="0"/>
        <w:tabs>
          <w:tab w:val="clear" w:pos="567"/>
        </w:tabs>
        <w:autoSpaceDE w:val="0"/>
        <w:autoSpaceDN w:val="0"/>
        <w:spacing w:line="240" w:lineRule="auto"/>
        <w:ind w:right="325"/>
        <w:rPr>
          <w:snapToGrid/>
          <w:szCs w:val="22"/>
          <w:lang w:val="lt-LT"/>
        </w:rPr>
      </w:pPr>
      <w:r w:rsidRPr="008A4655">
        <w:rPr>
          <w:snapToGrid/>
          <w:szCs w:val="22"/>
          <w:lang w:val="lt-LT"/>
        </w:rPr>
        <w:t xml:space="preserve">Kiti vaistai taip pat gali veikti </w:t>
      </w:r>
      <w:proofErr w:type="spellStart"/>
      <w:r>
        <w:rPr>
          <w:snapToGrid/>
          <w:szCs w:val="22"/>
          <w:lang w:val="lt-LT"/>
        </w:rPr>
        <w:t>Ibuliq</w:t>
      </w:r>
      <w:proofErr w:type="spellEnd"/>
      <w:r w:rsidRPr="008A4655">
        <w:rPr>
          <w:snapToGrid/>
          <w:szCs w:val="22"/>
          <w:lang w:val="lt-LT"/>
        </w:rPr>
        <w:t xml:space="preserve">, o jis – kitus vaistus. Dėl to prieš </w:t>
      </w:r>
      <w:proofErr w:type="spellStart"/>
      <w:r>
        <w:rPr>
          <w:snapToGrid/>
          <w:szCs w:val="22"/>
          <w:lang w:val="lt-LT"/>
        </w:rPr>
        <w:t>Ibuliq</w:t>
      </w:r>
      <w:proofErr w:type="spellEnd"/>
      <w:r w:rsidRPr="008A4655">
        <w:rPr>
          <w:snapToGrid/>
          <w:szCs w:val="22"/>
          <w:lang w:val="lt-LT"/>
        </w:rPr>
        <w:t xml:space="preserve"> vartojimą su kitais vaistais visada būtina pasitarti su gydytoju arba vaistininku.</w:t>
      </w:r>
    </w:p>
    <w:p w14:paraId="3EB312AB" w14:textId="77777777" w:rsidR="00CA598F" w:rsidRPr="008A4655" w:rsidRDefault="00CA598F" w:rsidP="00CA598F">
      <w:pPr>
        <w:widowControl w:val="0"/>
        <w:tabs>
          <w:tab w:val="clear" w:pos="567"/>
        </w:tabs>
        <w:autoSpaceDE w:val="0"/>
        <w:autoSpaceDN w:val="0"/>
        <w:spacing w:line="240" w:lineRule="auto"/>
        <w:ind w:right="325"/>
        <w:rPr>
          <w:snapToGrid/>
          <w:szCs w:val="22"/>
          <w:lang w:val="lt-LT"/>
        </w:rPr>
      </w:pPr>
    </w:p>
    <w:p w14:paraId="76DFF1C0" w14:textId="77777777" w:rsidR="00CA598F" w:rsidRPr="008A4655" w:rsidRDefault="00CA598F" w:rsidP="00CA598F">
      <w:pPr>
        <w:widowControl w:val="0"/>
        <w:tabs>
          <w:tab w:val="clear" w:pos="567"/>
        </w:tabs>
        <w:autoSpaceDE w:val="0"/>
        <w:autoSpaceDN w:val="0"/>
        <w:spacing w:line="240" w:lineRule="auto"/>
        <w:rPr>
          <w:snapToGrid/>
          <w:szCs w:val="22"/>
          <w:lang w:val="lt-LT"/>
        </w:rPr>
      </w:pPr>
      <w:r w:rsidRPr="008A4655">
        <w:rPr>
          <w:snapToGrid/>
          <w:szCs w:val="22"/>
          <w:u w:val="single"/>
          <w:lang w:val="lt-LT"/>
        </w:rPr>
        <w:t>Sąveika su analitiniais testais</w:t>
      </w:r>
    </w:p>
    <w:p w14:paraId="084A4578" w14:textId="77777777" w:rsidR="00CA598F" w:rsidRPr="008A4655" w:rsidRDefault="00CA598F" w:rsidP="00CA598F">
      <w:pPr>
        <w:widowControl w:val="0"/>
        <w:tabs>
          <w:tab w:val="clear" w:pos="567"/>
        </w:tabs>
        <w:autoSpaceDE w:val="0"/>
        <w:autoSpaceDN w:val="0"/>
        <w:spacing w:line="240" w:lineRule="auto"/>
        <w:rPr>
          <w:snapToGrid/>
          <w:szCs w:val="22"/>
          <w:lang w:val="lt-LT"/>
        </w:rPr>
      </w:pPr>
      <w:r w:rsidRPr="008A4655">
        <w:rPr>
          <w:snapToGrid/>
          <w:szCs w:val="22"/>
          <w:lang w:val="lt-LT"/>
        </w:rPr>
        <w:t>Jei Jums bus atliekamas bet koks diagnostinis tyrimas (įskaitant kraujo tyrimus, šlapimo tyrimus, odos testus naudojant alergenus ir kt.), pasakykite gydytojui, jei vartojate ar neseniai vartojote šio vaisto, nes tai gali turėti įtakos rezultatams.</w:t>
      </w:r>
    </w:p>
    <w:p w14:paraId="2457C3AB" w14:textId="77777777" w:rsidR="00CA598F" w:rsidRPr="008A4655" w:rsidRDefault="00CA598F" w:rsidP="00CA598F">
      <w:pPr>
        <w:widowControl w:val="0"/>
        <w:tabs>
          <w:tab w:val="clear" w:pos="567"/>
        </w:tabs>
        <w:autoSpaceDE w:val="0"/>
        <w:autoSpaceDN w:val="0"/>
        <w:spacing w:line="240" w:lineRule="auto"/>
        <w:rPr>
          <w:snapToGrid/>
          <w:szCs w:val="22"/>
          <w:lang w:val="lt-LT"/>
        </w:rPr>
      </w:pPr>
    </w:p>
    <w:p w14:paraId="55FA3E01"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b/>
          <w:bCs/>
          <w:snapToGrid/>
          <w:szCs w:val="22"/>
          <w:lang w:val="lt-LT"/>
        </w:rPr>
      </w:pPr>
      <w:proofErr w:type="spellStart"/>
      <w:r>
        <w:rPr>
          <w:rFonts w:eastAsia="TimesNewRoman,Bold"/>
          <w:b/>
          <w:bCs/>
          <w:snapToGrid/>
          <w:szCs w:val="22"/>
          <w:lang w:val="lt-LT"/>
        </w:rPr>
        <w:t>Ibuliq</w:t>
      </w:r>
      <w:proofErr w:type="spellEnd"/>
      <w:r w:rsidRPr="008A4655">
        <w:rPr>
          <w:rFonts w:eastAsia="TimesNewRoman,Bold"/>
          <w:b/>
          <w:bCs/>
          <w:snapToGrid/>
          <w:szCs w:val="22"/>
          <w:lang w:val="lt-LT"/>
        </w:rPr>
        <w:t xml:space="preserve"> vartojimas su maistu, gėrimais ir alkoholiu</w:t>
      </w:r>
    </w:p>
    <w:p w14:paraId="7C297FC1" w14:textId="77777777" w:rsidR="00CA598F" w:rsidRPr="008A4655" w:rsidRDefault="00CA598F" w:rsidP="00CA598F">
      <w:pPr>
        <w:widowControl w:val="0"/>
        <w:tabs>
          <w:tab w:val="clear" w:pos="567"/>
        </w:tabs>
        <w:autoSpaceDE w:val="0"/>
        <w:autoSpaceDN w:val="0"/>
        <w:spacing w:line="240" w:lineRule="auto"/>
        <w:rPr>
          <w:snapToGrid/>
          <w:szCs w:val="22"/>
          <w:lang w:val="lt-LT"/>
        </w:rPr>
      </w:pPr>
      <w:r w:rsidRPr="008A4655">
        <w:rPr>
          <w:snapToGrid/>
          <w:szCs w:val="22"/>
          <w:lang w:val="lt-LT"/>
        </w:rPr>
        <w:t>Šį vaistą galima vartoti su maistu arba be jo.</w:t>
      </w:r>
    </w:p>
    <w:p w14:paraId="5F1715AF" w14:textId="77777777" w:rsidR="00CA598F" w:rsidRPr="008A4655" w:rsidRDefault="00CA598F" w:rsidP="00CA598F">
      <w:pPr>
        <w:widowControl w:val="0"/>
        <w:tabs>
          <w:tab w:val="clear" w:pos="567"/>
        </w:tabs>
        <w:autoSpaceDE w:val="0"/>
        <w:autoSpaceDN w:val="0"/>
        <w:spacing w:line="240" w:lineRule="auto"/>
        <w:rPr>
          <w:snapToGrid/>
          <w:szCs w:val="22"/>
          <w:lang w:val="lt-LT"/>
        </w:rPr>
      </w:pPr>
    </w:p>
    <w:p w14:paraId="13A7BD1C" w14:textId="77777777" w:rsidR="00CA598F" w:rsidRPr="008A4655" w:rsidRDefault="00CA598F" w:rsidP="00CA598F">
      <w:pPr>
        <w:tabs>
          <w:tab w:val="clear" w:pos="567"/>
        </w:tabs>
        <w:autoSpaceDE w:val="0"/>
        <w:autoSpaceDN w:val="0"/>
        <w:adjustRightInd w:val="0"/>
        <w:spacing w:line="240" w:lineRule="auto"/>
        <w:rPr>
          <w:color w:val="000000"/>
          <w:szCs w:val="22"/>
          <w:lang w:val="lt-LT" w:eastAsia="en-GB"/>
        </w:rPr>
      </w:pPr>
      <w:r w:rsidRPr="008A4655">
        <w:rPr>
          <w:color w:val="000000"/>
          <w:szCs w:val="22"/>
          <w:lang w:val="lt-LT" w:eastAsia="en-GB"/>
        </w:rPr>
        <w:t xml:space="preserve">Pacientams, kurių skrandis jautrus, </w:t>
      </w:r>
      <w:proofErr w:type="spellStart"/>
      <w:r>
        <w:rPr>
          <w:rFonts w:eastAsia="TimesNewRoman"/>
          <w:snapToGrid/>
          <w:szCs w:val="22"/>
          <w:lang w:val="lt-LT"/>
        </w:rPr>
        <w:t>Ibuliq</w:t>
      </w:r>
      <w:proofErr w:type="spellEnd"/>
      <w:r w:rsidRPr="008A4655">
        <w:rPr>
          <w:color w:val="000000"/>
          <w:szCs w:val="22"/>
          <w:lang w:val="lt-LT" w:eastAsia="en-GB"/>
        </w:rPr>
        <w:t xml:space="preserve"> 200 mg rekomenduojama vartoti su maistu.</w:t>
      </w:r>
    </w:p>
    <w:p w14:paraId="250E892E" w14:textId="77777777" w:rsidR="00CA598F" w:rsidRPr="008A4655" w:rsidRDefault="00CA598F" w:rsidP="00CA598F">
      <w:pPr>
        <w:tabs>
          <w:tab w:val="clear" w:pos="567"/>
        </w:tabs>
        <w:autoSpaceDE w:val="0"/>
        <w:autoSpaceDN w:val="0"/>
        <w:adjustRightInd w:val="0"/>
        <w:spacing w:line="240" w:lineRule="auto"/>
        <w:rPr>
          <w:color w:val="000000"/>
          <w:szCs w:val="22"/>
          <w:lang w:val="lt-LT" w:eastAsia="en-GB"/>
        </w:rPr>
      </w:pPr>
    </w:p>
    <w:p w14:paraId="39B1716B" w14:textId="77777777" w:rsidR="00CA598F" w:rsidRPr="008A4655" w:rsidRDefault="00CA598F" w:rsidP="00CA598F">
      <w:pPr>
        <w:pStyle w:val="Pagrindinistekstas"/>
        <w:rPr>
          <w:i w:val="0"/>
          <w:iCs/>
          <w:color w:val="auto"/>
          <w:szCs w:val="22"/>
          <w:lang w:val="lt-LT"/>
        </w:rPr>
      </w:pPr>
      <w:r w:rsidRPr="008A4655">
        <w:rPr>
          <w:i w:val="0"/>
          <w:iCs/>
          <w:color w:val="auto"/>
          <w:szCs w:val="22"/>
          <w:lang w:val="lt-LT"/>
        </w:rPr>
        <w:t xml:space="preserve">Siekiant išvengti skrandžio pažeidimo, </w:t>
      </w:r>
      <w:proofErr w:type="spellStart"/>
      <w:r w:rsidRPr="008A4655">
        <w:rPr>
          <w:i w:val="0"/>
          <w:iCs/>
          <w:color w:val="auto"/>
          <w:szCs w:val="22"/>
          <w:lang w:val="lt-LT"/>
        </w:rPr>
        <w:t>ibuprofeno</w:t>
      </w:r>
      <w:proofErr w:type="spellEnd"/>
      <w:r w:rsidRPr="008A4655">
        <w:rPr>
          <w:i w:val="0"/>
          <w:iCs/>
          <w:color w:val="auto"/>
          <w:szCs w:val="22"/>
          <w:lang w:val="lt-LT"/>
        </w:rPr>
        <w:t xml:space="preserve"> nerekomenduojama vartoti su alkoholiu.</w:t>
      </w:r>
    </w:p>
    <w:p w14:paraId="6758E930" w14:textId="77777777" w:rsidR="00CA598F" w:rsidRPr="008A4655" w:rsidRDefault="00CA598F" w:rsidP="00CA598F">
      <w:pPr>
        <w:pStyle w:val="Pagrindinistekstas"/>
        <w:rPr>
          <w:i w:val="0"/>
          <w:iCs/>
          <w:color w:val="auto"/>
          <w:szCs w:val="22"/>
          <w:lang w:val="lt-LT"/>
        </w:rPr>
      </w:pPr>
      <w:proofErr w:type="spellStart"/>
      <w:r w:rsidRPr="008A4655">
        <w:rPr>
          <w:i w:val="0"/>
          <w:iCs/>
          <w:color w:val="auto"/>
          <w:szCs w:val="22"/>
          <w:lang w:val="lt-LT"/>
        </w:rPr>
        <w:t>Ibuprofenas</w:t>
      </w:r>
      <w:proofErr w:type="spellEnd"/>
      <w:r w:rsidRPr="008A4655">
        <w:rPr>
          <w:i w:val="0"/>
          <w:iCs/>
          <w:color w:val="auto"/>
          <w:szCs w:val="22"/>
          <w:lang w:val="lt-LT"/>
        </w:rPr>
        <w:t xml:space="preserve"> pacientams, kurie nuolat piktnaudžiauja alkoholiu (vartoja 3 ar daugiau alkoholio, t. y. alaus, vyno ar stipraus gėrimo, dozių per dieną), gali sukelti kraujavimą iš skrandžio.</w:t>
      </w:r>
    </w:p>
    <w:p w14:paraId="58F6D60A"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p>
    <w:p w14:paraId="107E244A"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Nėštumas, žindymo laikotarpis ir vaisingumas</w:t>
      </w:r>
    </w:p>
    <w:p w14:paraId="5242D883"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69790B2E"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p>
    <w:p w14:paraId="63AECBA2"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vartojimas buvo susijęs su padidėjusia </w:t>
      </w:r>
      <w:r>
        <w:rPr>
          <w:rFonts w:eastAsia="TimesNewRoman,Bold"/>
          <w:snapToGrid/>
          <w:szCs w:val="22"/>
          <w:lang w:val="lt-LT"/>
        </w:rPr>
        <w:t>įgimtų formavimosi ydų</w:t>
      </w:r>
      <w:r w:rsidRPr="008A4655">
        <w:rPr>
          <w:rFonts w:eastAsia="TimesNewRoman,Bold"/>
          <w:snapToGrid/>
          <w:szCs w:val="22"/>
          <w:lang w:val="lt-LT"/>
        </w:rPr>
        <w:t xml:space="preserve"> / nėštumo nutrūkimo rizika, todėl pirmaisiais šešiais nėštumo mėnesiais šio vaisto vartoti nerekomenduojama, nebent yra būklė, kai jo vartoti būtina. Tokiu atveju trumpiausią įmanomą laikotarpį reikia vartoti mažiausią galimą dozę.</w:t>
      </w:r>
    </w:p>
    <w:p w14:paraId="43C70395"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Paskutiniaisiais trimis nėštumo mėnesiais šio vaisto vartoti draudžiama.</w:t>
      </w:r>
    </w:p>
    <w:p w14:paraId="44E13D07" w14:textId="77777777" w:rsidR="00CA598F"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p>
    <w:p w14:paraId="0FEEFD7A" w14:textId="77777777" w:rsidR="00CA598F" w:rsidRPr="00A13BF5" w:rsidRDefault="00CA598F" w:rsidP="00CA598F">
      <w:pPr>
        <w:rPr>
          <w:iCs/>
          <w:lang w:val="lt-LT"/>
        </w:rPr>
      </w:pPr>
      <w:r w:rsidRPr="00213790">
        <w:rPr>
          <w:rFonts w:eastAsia="Arial Unicode MS"/>
          <w:bCs/>
          <w:noProof/>
          <w:color w:val="000000"/>
          <w:lang w:val="lt-LT"/>
        </w:rPr>
        <w:t xml:space="preserve">Nevartokite </w:t>
      </w:r>
      <w:r>
        <w:rPr>
          <w:rFonts w:eastAsia="Arial Unicode MS"/>
          <w:bCs/>
          <w:noProof/>
          <w:color w:val="000000"/>
          <w:lang w:val="lt-LT"/>
        </w:rPr>
        <w:t>i</w:t>
      </w:r>
      <w:r w:rsidRPr="00683487">
        <w:rPr>
          <w:rFonts w:eastAsia="Arial Unicode MS"/>
          <w:bCs/>
          <w:noProof/>
          <w:color w:val="000000"/>
          <w:lang w:val="lt-LT"/>
        </w:rPr>
        <w:t>buprofen</w:t>
      </w:r>
      <w:r>
        <w:rPr>
          <w:rFonts w:eastAsia="Arial Unicode MS"/>
          <w:bCs/>
          <w:noProof/>
          <w:color w:val="000000"/>
          <w:lang w:val="lt-LT"/>
        </w:rPr>
        <w:t>o</w:t>
      </w:r>
      <w:r w:rsidRPr="00213790">
        <w:rPr>
          <w:rFonts w:eastAsia="Arial Unicode MS"/>
          <w:bCs/>
          <w:noProof/>
          <w:color w:val="000000"/>
          <w:lang w:val="lt-LT"/>
        </w:rPr>
        <w:t xml:space="preserve"> paskutinių trijų nėštumo mėnesių metu, nes šis vaistas gali pakenkti Jūsų</w:t>
      </w:r>
      <w:r>
        <w:rPr>
          <w:rFonts w:eastAsia="Arial Unicode MS"/>
          <w:bCs/>
          <w:noProof/>
          <w:color w:val="000000"/>
          <w:lang w:val="lt-LT"/>
        </w:rPr>
        <w:t xml:space="preserve"> </w:t>
      </w:r>
      <w:r w:rsidRPr="00213790">
        <w:rPr>
          <w:rFonts w:eastAsia="Arial Unicode MS"/>
          <w:bCs/>
          <w:noProof/>
          <w:color w:val="000000"/>
          <w:lang w:val="lt-LT"/>
        </w:rPr>
        <w:t>vaisiui (būsimam kūdikiui) arba sukelti problemų gimdymo metu.</w:t>
      </w:r>
      <w:r>
        <w:rPr>
          <w:rFonts w:eastAsia="Arial Unicode MS"/>
          <w:bCs/>
          <w:noProof/>
          <w:color w:val="000000"/>
          <w:lang w:val="lt-LT"/>
        </w:rPr>
        <w:t xml:space="preserve"> </w:t>
      </w:r>
      <w:r w:rsidRPr="00213790">
        <w:rPr>
          <w:rFonts w:eastAsia="Arial Unicode MS"/>
          <w:bCs/>
          <w:noProof/>
          <w:color w:val="000000"/>
          <w:lang w:val="lt-LT"/>
        </w:rPr>
        <w:t xml:space="preserve">Šis vaistas gali sukelti vaisiaus inkstų ir širdies sutrikimų. </w:t>
      </w:r>
      <w:r w:rsidRPr="00A13BF5">
        <w:rPr>
          <w:rFonts w:eastAsia="Arial Unicode MS"/>
          <w:bCs/>
          <w:noProof/>
          <w:color w:val="000000"/>
          <w:lang w:val="lt-LT"/>
        </w:rPr>
        <w:t xml:space="preserve">Jis gali paveikti Jūsų ir Jūsų kūdikio polinkį kraujuoti ir dėl jo gimdymas gali būti vėlesnis arba ilgesnis, nei tikėtasi. </w:t>
      </w:r>
      <w:r w:rsidRPr="00A13BF5">
        <w:rPr>
          <w:lang w:val="lt-LT"/>
        </w:rPr>
        <w:t>Pirmus 6 nėštumo mėnesius</w:t>
      </w:r>
      <w:r w:rsidRPr="00A13BF5">
        <w:rPr>
          <w:noProof/>
          <w:lang w:val="lt-LT"/>
        </w:rPr>
        <w:t xml:space="preserve"> ibuprofeno vartoti negalima</w:t>
      </w:r>
      <w:r w:rsidRPr="00A13BF5">
        <w:rPr>
          <w:lang w:val="lt-LT"/>
        </w:rPr>
        <w:t xml:space="preserve">, </w:t>
      </w:r>
      <w:r w:rsidRPr="00A13BF5">
        <w:rPr>
          <w:rFonts w:eastAsia="Arial Unicode MS"/>
          <w:bCs/>
          <w:noProof/>
          <w:color w:val="000000"/>
          <w:lang w:val="lt-LT"/>
        </w:rPr>
        <w:t>išskyrus atvejus, kai tai neabejotinai būtina ir</w:t>
      </w:r>
      <w:r w:rsidRPr="00A13BF5">
        <w:rPr>
          <w:lang w:val="lt-LT"/>
        </w:rPr>
        <w:t xml:space="preserve"> taip pataria gydytojas. Jei šiuo laikotarpiu arba bandant pastoti Jums reikalingas gydymas, reikia vartoti mažiausią dozę trumpiausią įmanomą laiką.</w:t>
      </w:r>
      <w:r w:rsidRPr="00A13BF5">
        <w:rPr>
          <w:iCs/>
          <w:lang w:val="lt-LT"/>
        </w:rPr>
        <w:t xml:space="preserve"> Nuo 20-osios nėštumo savaitės </w:t>
      </w:r>
      <w:proofErr w:type="spellStart"/>
      <w:r w:rsidRPr="00A13BF5">
        <w:rPr>
          <w:iCs/>
          <w:lang w:val="lt-LT"/>
        </w:rPr>
        <w:t>i</w:t>
      </w:r>
      <w:r w:rsidRPr="00A13BF5">
        <w:rPr>
          <w:noProof/>
          <w:lang w:val="lt-LT"/>
        </w:rPr>
        <w:t>buprofenas</w:t>
      </w:r>
      <w:proofErr w:type="spellEnd"/>
      <w:r w:rsidRPr="00A13BF5">
        <w:rPr>
          <w:iCs/>
          <w:lang w:val="lt-LT"/>
        </w:rPr>
        <w:t xml:space="preserve"> gali sukelti vaisiaus inkstų sutrikimų, jei šis vaistas vartojamas ilgiau nei kelias dienas, o dėl to gali sumažėti kūdikį supančio </w:t>
      </w:r>
      <w:proofErr w:type="spellStart"/>
      <w:r w:rsidRPr="00A13BF5">
        <w:rPr>
          <w:iCs/>
          <w:lang w:val="lt-LT"/>
        </w:rPr>
        <w:t>amniono</w:t>
      </w:r>
      <w:proofErr w:type="spellEnd"/>
      <w:r w:rsidRPr="00A13BF5">
        <w:rPr>
          <w:iCs/>
          <w:lang w:val="lt-LT"/>
        </w:rPr>
        <w:t xml:space="preserve"> skysčio kiekis (</w:t>
      </w:r>
      <w:proofErr w:type="spellStart"/>
      <w:r w:rsidRPr="00A13BF5">
        <w:rPr>
          <w:iCs/>
          <w:lang w:val="lt-LT"/>
        </w:rPr>
        <w:t>oligohidramnionas</w:t>
      </w:r>
      <w:proofErr w:type="spellEnd"/>
      <w:r w:rsidRPr="00A13BF5">
        <w:rPr>
          <w:iCs/>
          <w:lang w:val="lt-LT"/>
        </w:rPr>
        <w:t>) arba susiaurėti kūdikio širdies kraujagyslė (arterinis latakas). Jei Jums reikalingas ilgesnis nei kelių dienų gydymas, gydytojas gali rekomenduoti papildomą stebėseną.</w:t>
      </w:r>
    </w:p>
    <w:p w14:paraId="5E7EF32E" w14:textId="77777777" w:rsidR="00CA598F" w:rsidRPr="00A13BF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p>
    <w:p w14:paraId="47441EF3"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Šis vaistas patenka į moters pieną, tačiau žindymo laikotarpiu jo vartoti galima, jei rekomenduojama dozė vartojama kiek įmanoma trumpiausią laikotarpį.</w:t>
      </w:r>
    </w:p>
    <w:p w14:paraId="1B64380E"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p>
    <w:p w14:paraId="6EC73A83"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r w:rsidRPr="008A4655">
        <w:rPr>
          <w:rFonts w:eastAsia="TimesNewRoman,Bold"/>
          <w:snapToGrid/>
          <w:szCs w:val="22"/>
          <w:lang w:val="lt-LT"/>
        </w:rPr>
        <w:t xml:space="preserve">Vaisingo amžiaus pacientėms svarbu žinoti, kad </w:t>
      </w:r>
      <w:proofErr w:type="spellStart"/>
      <w:r w:rsidRPr="008A4655">
        <w:rPr>
          <w:rFonts w:eastAsia="TimesNewRoman,Bold"/>
          <w:snapToGrid/>
          <w:szCs w:val="22"/>
          <w:lang w:val="lt-LT"/>
        </w:rPr>
        <w:t>ibuprofeno</w:t>
      </w:r>
      <w:proofErr w:type="spellEnd"/>
      <w:r w:rsidRPr="008A4655">
        <w:rPr>
          <w:rFonts w:eastAsia="TimesNewRoman,Bold"/>
          <w:snapToGrid/>
          <w:szCs w:val="22"/>
          <w:lang w:val="lt-LT"/>
        </w:rPr>
        <w:t xml:space="preserve"> tipo vaistų vartojimas buvo susijęs su sumažėjusiu gebėjimu pastoti. Jei bandote pastoti, šio vaisto vartoti nerekomenduojama.</w:t>
      </w:r>
    </w:p>
    <w:p w14:paraId="6C1CB417"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snapToGrid/>
          <w:szCs w:val="22"/>
          <w:lang w:val="lt-LT"/>
        </w:rPr>
      </w:pPr>
    </w:p>
    <w:p w14:paraId="2435C3FA"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Vairavimas ir mechanizmų valdymas</w:t>
      </w:r>
    </w:p>
    <w:p w14:paraId="3DAC1DC5" w14:textId="77777777" w:rsidR="00CA598F" w:rsidRPr="008A4655" w:rsidRDefault="00CA598F" w:rsidP="00CA598F">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Jeigu vartojant šį vaistą pasireiškia svaigulys, galvos sukimasis, regos pablogėjimas ar kitokių simptomų, vairuoti ar valdyti pavojingus mechanizmus draudžiama.</w:t>
      </w:r>
    </w:p>
    <w:p w14:paraId="0EFEE124" w14:textId="77777777" w:rsidR="00CA598F" w:rsidRPr="008A4655" w:rsidRDefault="00CA598F" w:rsidP="00CA598F">
      <w:pPr>
        <w:widowControl w:val="0"/>
        <w:numPr>
          <w:ilvl w:val="12"/>
          <w:numId w:val="0"/>
        </w:numPr>
        <w:tabs>
          <w:tab w:val="clear" w:pos="567"/>
        </w:tabs>
        <w:spacing w:line="240" w:lineRule="auto"/>
        <w:ind w:right="-2"/>
        <w:rPr>
          <w:bCs/>
          <w:snapToGrid/>
          <w:szCs w:val="22"/>
          <w:lang w:val="lt-LT"/>
        </w:rPr>
      </w:pPr>
    </w:p>
    <w:p w14:paraId="630FDBFF" w14:textId="77777777" w:rsidR="00CA598F" w:rsidRPr="008A4655" w:rsidRDefault="00CA598F" w:rsidP="00CA598F">
      <w:pPr>
        <w:keepNext/>
        <w:numPr>
          <w:ilvl w:val="12"/>
          <w:numId w:val="0"/>
        </w:numPr>
        <w:tabs>
          <w:tab w:val="clear" w:pos="567"/>
        </w:tabs>
        <w:spacing w:line="240" w:lineRule="auto"/>
        <w:rPr>
          <w:snapToGrid/>
          <w:szCs w:val="22"/>
          <w:lang w:val="lt-LT"/>
        </w:rPr>
      </w:pPr>
      <w:proofErr w:type="spellStart"/>
      <w:r>
        <w:rPr>
          <w:b/>
          <w:snapToGrid/>
          <w:szCs w:val="22"/>
          <w:lang w:val="lt-LT"/>
        </w:rPr>
        <w:lastRenderedPageBreak/>
        <w:t>Ibuliq</w:t>
      </w:r>
      <w:proofErr w:type="spellEnd"/>
      <w:r w:rsidRPr="008A4655">
        <w:rPr>
          <w:b/>
          <w:snapToGrid/>
          <w:szCs w:val="22"/>
          <w:lang w:val="lt-LT"/>
        </w:rPr>
        <w:t xml:space="preserve"> sudėtyje yra </w:t>
      </w:r>
      <w:proofErr w:type="spellStart"/>
      <w:r w:rsidRPr="008A4655">
        <w:rPr>
          <w:b/>
          <w:snapToGrid/>
          <w:szCs w:val="22"/>
          <w:lang w:val="lt-LT"/>
        </w:rPr>
        <w:t>tartrazino</w:t>
      </w:r>
      <w:proofErr w:type="spellEnd"/>
    </w:p>
    <w:p w14:paraId="7277AF22" w14:textId="77777777" w:rsidR="00CA598F" w:rsidRPr="008A4655" w:rsidRDefault="00CA598F" w:rsidP="00CA598F">
      <w:pPr>
        <w:keepNext/>
        <w:tabs>
          <w:tab w:val="clear" w:pos="567"/>
        </w:tabs>
        <w:spacing w:line="240" w:lineRule="auto"/>
        <w:rPr>
          <w:snapToGrid/>
          <w:szCs w:val="22"/>
          <w:lang w:val="lt-LT"/>
        </w:rPr>
      </w:pPr>
      <w:r w:rsidRPr="008A4655">
        <w:rPr>
          <w:snapToGrid/>
          <w:szCs w:val="22"/>
          <w:lang w:val="lt-LT"/>
        </w:rPr>
        <w:t>Gali sukelti alerginių reakcijų.</w:t>
      </w:r>
    </w:p>
    <w:p w14:paraId="7486A1F6"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6C0048E2" w14:textId="77777777" w:rsidR="00CA598F" w:rsidRPr="008A4655" w:rsidRDefault="00CA598F" w:rsidP="00CA598F">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Pr="008A4655">
        <w:rPr>
          <w:b/>
          <w:snapToGrid/>
          <w:szCs w:val="22"/>
          <w:lang w:val="lt-LT"/>
        </w:rPr>
        <w:t xml:space="preserve"> sudėtyje yra </w:t>
      </w:r>
      <w:proofErr w:type="spellStart"/>
      <w:r w:rsidRPr="008A4655">
        <w:rPr>
          <w:b/>
          <w:snapToGrid/>
          <w:szCs w:val="22"/>
          <w:lang w:val="lt-LT"/>
        </w:rPr>
        <w:t>sorbitolio</w:t>
      </w:r>
      <w:proofErr w:type="spellEnd"/>
    </w:p>
    <w:p w14:paraId="61F9034E" w14:textId="77777777" w:rsidR="00CA598F" w:rsidRPr="008A4655" w:rsidRDefault="00CA598F" w:rsidP="00CA598F">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 xml:space="preserve">Kiekvienoje šio vaisto kapsulėje yra </w:t>
      </w:r>
      <w:r>
        <w:rPr>
          <w:rFonts w:eastAsia="TimesNewRoman"/>
          <w:snapToGrid/>
          <w:szCs w:val="22"/>
          <w:lang w:val="lt-LT"/>
        </w:rPr>
        <w:t>51,02</w:t>
      </w:r>
      <w:r w:rsidRPr="008A4655">
        <w:rPr>
          <w:rFonts w:eastAsia="TimesNewRoman"/>
          <w:snapToGrid/>
          <w:szCs w:val="22"/>
          <w:lang w:val="lt-LT"/>
        </w:rPr>
        <w:t xml:space="preserve"> mg </w:t>
      </w:r>
      <w:proofErr w:type="spellStart"/>
      <w:r w:rsidRPr="008A4655">
        <w:rPr>
          <w:rFonts w:eastAsia="TimesNewRoman"/>
          <w:snapToGrid/>
          <w:szCs w:val="22"/>
          <w:lang w:val="lt-LT"/>
        </w:rPr>
        <w:t>sorbitolio</w:t>
      </w:r>
      <w:proofErr w:type="spellEnd"/>
      <w:r w:rsidRPr="008A4655">
        <w:rPr>
          <w:rFonts w:eastAsia="TimesNewRoman"/>
          <w:snapToGrid/>
          <w:szCs w:val="22"/>
          <w:lang w:val="lt-LT"/>
        </w:rPr>
        <w:t>, tai atitinka 0,</w:t>
      </w:r>
      <w:r>
        <w:rPr>
          <w:rFonts w:eastAsia="TimesNewRoman"/>
          <w:snapToGrid/>
          <w:szCs w:val="22"/>
          <w:lang w:val="lt-LT"/>
        </w:rPr>
        <w:t>73</w:t>
      </w:r>
      <w:r w:rsidRPr="008A4655">
        <w:rPr>
          <w:rFonts w:eastAsia="TimesNewRoman"/>
          <w:snapToGrid/>
          <w:szCs w:val="22"/>
          <w:lang w:val="lt-LT"/>
        </w:rPr>
        <w:t> mg/kg.</w:t>
      </w:r>
    </w:p>
    <w:p w14:paraId="2900B542"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1B366A5D" w14:textId="77777777" w:rsidR="00CA598F" w:rsidRPr="008A4655" w:rsidRDefault="00CA598F" w:rsidP="00CA598F">
      <w:pPr>
        <w:widowControl w:val="0"/>
        <w:numPr>
          <w:ilvl w:val="12"/>
          <w:numId w:val="0"/>
        </w:numPr>
        <w:tabs>
          <w:tab w:val="clear" w:pos="567"/>
        </w:tabs>
        <w:spacing w:line="240" w:lineRule="auto"/>
        <w:rPr>
          <w:snapToGrid/>
          <w:szCs w:val="22"/>
          <w:lang w:val="lt-LT"/>
        </w:rPr>
      </w:pPr>
      <w:proofErr w:type="spellStart"/>
      <w:r>
        <w:rPr>
          <w:b/>
          <w:snapToGrid/>
          <w:szCs w:val="22"/>
          <w:lang w:val="lt-LT"/>
        </w:rPr>
        <w:t>Ibuliq</w:t>
      </w:r>
      <w:proofErr w:type="spellEnd"/>
      <w:r w:rsidRPr="008A4655">
        <w:rPr>
          <w:b/>
          <w:snapToGrid/>
          <w:szCs w:val="22"/>
          <w:lang w:val="lt-LT"/>
        </w:rPr>
        <w:t xml:space="preserve"> sudėtyje yra kalio</w:t>
      </w:r>
    </w:p>
    <w:p w14:paraId="119B2CE8" w14:textId="77777777" w:rsidR="00CA598F" w:rsidRPr="008A4655" w:rsidRDefault="00CA598F" w:rsidP="00CA598F">
      <w:pPr>
        <w:widowControl w:val="0"/>
        <w:tabs>
          <w:tab w:val="clear" w:pos="567"/>
        </w:tabs>
        <w:spacing w:line="240" w:lineRule="auto"/>
        <w:rPr>
          <w:snapToGrid/>
          <w:szCs w:val="22"/>
          <w:lang w:val="lt-LT"/>
        </w:rPr>
      </w:pPr>
      <w:r w:rsidRPr="008A4655">
        <w:rPr>
          <w:snapToGrid/>
          <w:szCs w:val="22"/>
          <w:lang w:val="lt-LT"/>
        </w:rPr>
        <w:t>Šio vaisto kapsulėje yra mažiau kaip 1</w:t>
      </w:r>
      <w:r w:rsidRPr="008A4655">
        <w:rPr>
          <w:rFonts w:eastAsia="Calibri"/>
          <w:snapToGrid/>
          <w:szCs w:val="22"/>
          <w:lang w:val="lt-LT"/>
        </w:rPr>
        <w:t> </w:t>
      </w:r>
      <w:proofErr w:type="spellStart"/>
      <w:r w:rsidRPr="008A4655">
        <w:rPr>
          <w:snapToGrid/>
          <w:szCs w:val="22"/>
          <w:lang w:val="lt-LT"/>
        </w:rPr>
        <w:t>mmol</w:t>
      </w:r>
      <w:proofErr w:type="spellEnd"/>
      <w:r w:rsidRPr="008A4655">
        <w:rPr>
          <w:snapToGrid/>
          <w:szCs w:val="22"/>
          <w:lang w:val="lt-LT"/>
        </w:rPr>
        <w:t> (39</w:t>
      </w:r>
      <w:r w:rsidRPr="008A4655">
        <w:rPr>
          <w:rFonts w:eastAsia="Calibri"/>
          <w:snapToGrid/>
          <w:szCs w:val="22"/>
          <w:lang w:val="lt-LT"/>
        </w:rPr>
        <w:t> mg</w:t>
      </w:r>
      <w:r w:rsidRPr="008A4655">
        <w:rPr>
          <w:snapToGrid/>
          <w:szCs w:val="22"/>
          <w:lang w:val="lt-LT"/>
        </w:rPr>
        <w:t>) kalio, t. y. jis beveik neturi reikšmės.</w:t>
      </w:r>
    </w:p>
    <w:p w14:paraId="09167FD3"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3F327654"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0DF24298" w14:textId="77777777" w:rsidR="00CA598F" w:rsidRPr="008A4655" w:rsidRDefault="00CA598F" w:rsidP="00CA598F">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3.</w:t>
      </w:r>
      <w:r w:rsidRPr="008A4655">
        <w:rPr>
          <w:b/>
          <w:snapToGrid/>
          <w:szCs w:val="22"/>
          <w:lang w:val="lt-LT"/>
        </w:rPr>
        <w:tab/>
        <w:t xml:space="preserve">Kaip vartoti </w:t>
      </w:r>
      <w:proofErr w:type="spellStart"/>
      <w:r>
        <w:rPr>
          <w:b/>
          <w:snapToGrid/>
          <w:szCs w:val="22"/>
          <w:lang w:val="lt-LT"/>
        </w:rPr>
        <w:t>Ibuliq</w:t>
      </w:r>
      <w:proofErr w:type="spellEnd"/>
    </w:p>
    <w:p w14:paraId="21F17F09" w14:textId="77777777" w:rsidR="00CA598F" w:rsidRPr="008A4655" w:rsidRDefault="00CA598F" w:rsidP="00CA598F">
      <w:pPr>
        <w:widowControl w:val="0"/>
        <w:tabs>
          <w:tab w:val="clear" w:pos="567"/>
        </w:tabs>
        <w:spacing w:line="240" w:lineRule="auto"/>
        <w:ind w:left="567" w:hanging="567"/>
        <w:rPr>
          <w:snapToGrid/>
          <w:szCs w:val="22"/>
          <w:lang w:val="lt-LT"/>
        </w:rPr>
      </w:pPr>
    </w:p>
    <w:p w14:paraId="48A3507D"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r w:rsidRPr="008A4655">
        <w:rPr>
          <w:snapToGrid/>
          <w:szCs w:val="22"/>
          <w:lang w:val="lt-LT"/>
        </w:rPr>
        <w:t>Visada vartokite šį vaistą tiksliai, kaip aprašyta šiame lapelyje arba kaip nurodė gydytojas arba vaistininkas. Jeigu abejojate, kreipkitės į gydytoją arba vaistininką.</w:t>
      </w:r>
    </w:p>
    <w:p w14:paraId="3C53AB8B"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p>
    <w:p w14:paraId="70E8CF0E" w14:textId="77777777" w:rsidR="00CA598F" w:rsidRPr="008A4655" w:rsidRDefault="00CA598F" w:rsidP="00CA598F">
      <w:pPr>
        <w:keepNext/>
        <w:keepLines/>
        <w:numPr>
          <w:ilvl w:val="12"/>
          <w:numId w:val="0"/>
        </w:numPr>
        <w:tabs>
          <w:tab w:val="clear" w:pos="567"/>
          <w:tab w:val="left" w:pos="720"/>
        </w:tabs>
        <w:spacing w:line="240" w:lineRule="auto"/>
        <w:rPr>
          <w:snapToGrid/>
          <w:szCs w:val="22"/>
          <w:u w:val="single"/>
          <w:lang w:val="lt-LT"/>
        </w:rPr>
      </w:pPr>
      <w:r w:rsidRPr="008A4655">
        <w:rPr>
          <w:snapToGrid/>
          <w:szCs w:val="22"/>
          <w:u w:val="single"/>
          <w:lang w:val="lt-LT"/>
        </w:rPr>
        <w:t>Rekomenduojamos dozės</w:t>
      </w:r>
    </w:p>
    <w:p w14:paraId="2E5C4AF1" w14:textId="77777777" w:rsidR="00CA598F" w:rsidRPr="008A4655" w:rsidRDefault="00CA598F" w:rsidP="00CA598F">
      <w:pPr>
        <w:keepNext/>
        <w:keepLines/>
        <w:numPr>
          <w:ilvl w:val="0"/>
          <w:numId w:val="8"/>
        </w:numPr>
        <w:spacing w:line="240" w:lineRule="auto"/>
        <w:ind w:left="567" w:hanging="567"/>
        <w:contextualSpacing/>
        <w:rPr>
          <w:snapToGrid/>
          <w:szCs w:val="22"/>
          <w:u w:val="single"/>
          <w:lang w:val="lt-LT"/>
        </w:rPr>
      </w:pPr>
      <w:r w:rsidRPr="008A4655">
        <w:rPr>
          <w:snapToGrid/>
          <w:szCs w:val="22"/>
          <w:u w:val="single"/>
          <w:lang w:val="lt-LT"/>
        </w:rPr>
        <w:t>Suaugusieji ir vyresni nei 12 metų paaugliai (paaugliai, kurie sveria daugiau kaip 40 kg)</w:t>
      </w:r>
    </w:p>
    <w:p w14:paraId="25B3C6F6" w14:textId="77777777" w:rsidR="00CA598F" w:rsidRPr="008A4655" w:rsidRDefault="00CA598F" w:rsidP="00CA598F">
      <w:pPr>
        <w:keepNext/>
        <w:keepLines/>
        <w:numPr>
          <w:ilvl w:val="12"/>
          <w:numId w:val="0"/>
        </w:numPr>
        <w:spacing w:line="240" w:lineRule="auto"/>
        <w:ind w:left="567"/>
        <w:rPr>
          <w:snapToGrid/>
          <w:szCs w:val="22"/>
          <w:lang w:val="lt-LT"/>
        </w:rPr>
      </w:pPr>
      <w:r w:rsidRPr="008A4655">
        <w:rPr>
          <w:snapToGrid/>
          <w:szCs w:val="22"/>
          <w:lang w:val="lt-LT"/>
        </w:rPr>
        <w:t>Pradinė dozė: vartokite 1 ar 2 kapsules (200 mg), užgerdami vandeniu. Jei reikia, papildomai vartokite 1 ar 2 kapsules (200 mg), tačiau bendroji dozė bet kokiu 24 valandų laikotarpiu negali būti didesnė nei 6 kapsulės. 200 mg dozė gali būti geriama ne dažniau kaip kas 4 valandas.</w:t>
      </w:r>
    </w:p>
    <w:p w14:paraId="7CE482D0" w14:textId="77777777" w:rsidR="00CA598F" w:rsidRPr="008A4655" w:rsidRDefault="00CA598F" w:rsidP="00CA598F">
      <w:pPr>
        <w:widowControl w:val="0"/>
        <w:numPr>
          <w:ilvl w:val="1"/>
          <w:numId w:val="7"/>
        </w:numPr>
        <w:tabs>
          <w:tab w:val="left" w:pos="657"/>
          <w:tab w:val="left" w:pos="658"/>
        </w:tabs>
        <w:autoSpaceDE w:val="0"/>
        <w:autoSpaceDN w:val="0"/>
        <w:spacing w:line="240" w:lineRule="auto"/>
        <w:ind w:left="567" w:right="113" w:hanging="567"/>
        <w:rPr>
          <w:snapToGrid/>
          <w:szCs w:val="22"/>
          <w:lang w:val="lt-LT"/>
        </w:rPr>
      </w:pPr>
      <w:r w:rsidRPr="008A4655">
        <w:rPr>
          <w:snapToGrid/>
          <w:szCs w:val="22"/>
          <w:u w:val="single"/>
          <w:lang w:val="lt-LT"/>
        </w:rPr>
        <w:t>Vyresni nei 65 metų pacientai:</w:t>
      </w:r>
      <w:r w:rsidRPr="008A4655">
        <w:rPr>
          <w:snapToGrid/>
          <w:szCs w:val="22"/>
          <w:lang w:val="lt-LT"/>
        </w:rPr>
        <w:t xml:space="preserve"> dozę turi nustatyti gydytojas, nes gali tekti vartoti mažesnę nei įprastinė dozę.</w:t>
      </w:r>
    </w:p>
    <w:p w14:paraId="657B4F49" w14:textId="77777777" w:rsidR="00CA598F" w:rsidRPr="008A4655" w:rsidRDefault="00CA598F" w:rsidP="00CA598F">
      <w:pPr>
        <w:numPr>
          <w:ilvl w:val="12"/>
          <w:numId w:val="0"/>
        </w:numPr>
        <w:tabs>
          <w:tab w:val="clear" w:pos="567"/>
          <w:tab w:val="left" w:pos="720"/>
        </w:tabs>
        <w:spacing w:line="240" w:lineRule="auto"/>
        <w:ind w:right="-2"/>
        <w:rPr>
          <w:snapToGrid/>
          <w:szCs w:val="22"/>
          <w:lang w:val="lt-LT"/>
        </w:rPr>
      </w:pPr>
    </w:p>
    <w:p w14:paraId="469D88BF" w14:textId="77777777" w:rsidR="00CA598F" w:rsidRPr="008A4655" w:rsidRDefault="00CA598F" w:rsidP="00CA598F">
      <w:pPr>
        <w:widowControl w:val="0"/>
        <w:tabs>
          <w:tab w:val="clear" w:pos="567"/>
        </w:tabs>
        <w:autoSpaceDE w:val="0"/>
        <w:autoSpaceDN w:val="0"/>
        <w:spacing w:line="240" w:lineRule="auto"/>
        <w:ind w:right="113"/>
        <w:rPr>
          <w:snapToGrid/>
          <w:szCs w:val="22"/>
          <w:lang w:val="lt-LT"/>
        </w:rPr>
      </w:pPr>
      <w:r w:rsidRPr="008A4655">
        <w:rPr>
          <w:snapToGrid/>
          <w:szCs w:val="22"/>
          <w:lang w:val="lt-LT"/>
        </w:rPr>
        <w:t>Būtina vartoti mažiausią veiksmingą dozę trumpiausią laikotarpį, būtiną simptomams palengvinti. Jei yra infekcija, nedelsdami informuokite gydytoją, jei simptomai (tokie kaip karščiavimas ir skausmas) išlieka ar pasunkėja (žr. 2 skyrių).</w:t>
      </w:r>
    </w:p>
    <w:p w14:paraId="2493F070" w14:textId="77777777" w:rsidR="00CA598F" w:rsidRPr="008A4655" w:rsidRDefault="00CA598F" w:rsidP="00CA598F">
      <w:pPr>
        <w:widowControl w:val="0"/>
        <w:tabs>
          <w:tab w:val="clear" w:pos="567"/>
        </w:tabs>
        <w:autoSpaceDE w:val="0"/>
        <w:autoSpaceDN w:val="0"/>
        <w:spacing w:line="240" w:lineRule="auto"/>
        <w:rPr>
          <w:snapToGrid/>
          <w:szCs w:val="22"/>
          <w:lang w:val="lt-LT"/>
        </w:rPr>
      </w:pPr>
    </w:p>
    <w:p w14:paraId="5A7BC57D" w14:textId="77777777" w:rsidR="00CA598F" w:rsidRPr="008A4655" w:rsidRDefault="00CA598F" w:rsidP="00CA598F">
      <w:pPr>
        <w:widowControl w:val="0"/>
        <w:tabs>
          <w:tab w:val="clear" w:pos="567"/>
        </w:tabs>
        <w:autoSpaceDE w:val="0"/>
        <w:autoSpaceDN w:val="0"/>
        <w:spacing w:line="240" w:lineRule="auto"/>
        <w:rPr>
          <w:snapToGrid/>
          <w:szCs w:val="22"/>
          <w:lang w:val="lt-LT"/>
        </w:rPr>
      </w:pPr>
      <w:r w:rsidRPr="008A4655">
        <w:rPr>
          <w:snapToGrid/>
          <w:szCs w:val="22"/>
          <w:u w:val="single"/>
          <w:lang w:val="lt-LT"/>
        </w:rPr>
        <w:t>Kaip vartoti</w:t>
      </w:r>
    </w:p>
    <w:p w14:paraId="59542D37" w14:textId="77777777" w:rsidR="00CA598F" w:rsidRPr="008A4655" w:rsidRDefault="00CA598F" w:rsidP="00CA598F">
      <w:pPr>
        <w:widowControl w:val="0"/>
        <w:tabs>
          <w:tab w:val="clear" w:pos="567"/>
        </w:tabs>
        <w:autoSpaceDE w:val="0"/>
        <w:autoSpaceDN w:val="0"/>
        <w:spacing w:line="240" w:lineRule="auto"/>
        <w:ind w:right="5634"/>
        <w:rPr>
          <w:snapToGrid/>
          <w:szCs w:val="22"/>
          <w:lang w:val="lt-LT"/>
        </w:rPr>
      </w:pPr>
      <w:r w:rsidRPr="008A4655">
        <w:rPr>
          <w:snapToGrid/>
          <w:szCs w:val="22"/>
          <w:lang w:val="lt-LT"/>
        </w:rPr>
        <w:t>Šis vaistas vartojamas per burną.</w:t>
      </w:r>
    </w:p>
    <w:p w14:paraId="0D578AE6" w14:textId="77777777" w:rsidR="00CA598F" w:rsidRPr="008A4655" w:rsidRDefault="00CA598F" w:rsidP="00CA598F">
      <w:pPr>
        <w:widowControl w:val="0"/>
        <w:tabs>
          <w:tab w:val="clear" w:pos="567"/>
        </w:tabs>
        <w:autoSpaceDE w:val="0"/>
        <w:autoSpaceDN w:val="0"/>
        <w:spacing w:line="240" w:lineRule="auto"/>
        <w:ind w:right="-51"/>
        <w:rPr>
          <w:snapToGrid/>
          <w:szCs w:val="22"/>
          <w:lang w:val="lt-LT"/>
        </w:rPr>
      </w:pPr>
      <w:r w:rsidRPr="008A4655">
        <w:rPr>
          <w:snapToGrid/>
          <w:szCs w:val="22"/>
          <w:lang w:val="lt-LT"/>
        </w:rPr>
        <w:t>Šį vaistą nurykite užgerdami nedideliu kiekiu vandens. Nekramtykite.</w:t>
      </w:r>
    </w:p>
    <w:p w14:paraId="72784CF4" w14:textId="77777777" w:rsidR="00CA598F" w:rsidRPr="008A4655" w:rsidRDefault="00CA598F" w:rsidP="00CA598F">
      <w:pPr>
        <w:widowControl w:val="0"/>
        <w:tabs>
          <w:tab w:val="clear" w:pos="567"/>
        </w:tabs>
        <w:autoSpaceDE w:val="0"/>
        <w:autoSpaceDN w:val="0"/>
        <w:spacing w:line="240" w:lineRule="auto"/>
        <w:rPr>
          <w:snapToGrid/>
          <w:szCs w:val="22"/>
          <w:lang w:val="lt-LT"/>
        </w:rPr>
      </w:pPr>
      <w:r w:rsidRPr="008A4655">
        <w:rPr>
          <w:snapToGrid/>
          <w:szCs w:val="22"/>
          <w:lang w:val="lt-LT"/>
        </w:rPr>
        <w:t>Šį vaistą vartokite valgydami, ypač jei yra virškinimo sutrikimų.</w:t>
      </w:r>
    </w:p>
    <w:p w14:paraId="0C2D1DB6" w14:textId="77777777" w:rsidR="00CA598F" w:rsidRPr="008A4655" w:rsidRDefault="00CA598F" w:rsidP="00CA598F">
      <w:pPr>
        <w:widowControl w:val="0"/>
        <w:tabs>
          <w:tab w:val="clear" w:pos="567"/>
        </w:tabs>
        <w:autoSpaceDE w:val="0"/>
        <w:autoSpaceDN w:val="0"/>
        <w:spacing w:line="240" w:lineRule="auto"/>
        <w:rPr>
          <w:snapToGrid/>
          <w:szCs w:val="22"/>
          <w:lang w:val="lt-LT"/>
        </w:rPr>
      </w:pPr>
    </w:p>
    <w:p w14:paraId="39D98657" w14:textId="77777777" w:rsidR="00CA598F" w:rsidRPr="008A4655" w:rsidRDefault="00CA598F" w:rsidP="00CA598F">
      <w:pPr>
        <w:widowControl w:val="0"/>
        <w:tabs>
          <w:tab w:val="clear" w:pos="567"/>
        </w:tabs>
        <w:autoSpaceDE w:val="0"/>
        <w:autoSpaceDN w:val="0"/>
        <w:spacing w:line="240" w:lineRule="auto"/>
        <w:ind w:right="115"/>
        <w:rPr>
          <w:snapToGrid/>
          <w:szCs w:val="22"/>
          <w:lang w:val="lt-LT"/>
        </w:rPr>
      </w:pPr>
      <w:r w:rsidRPr="008A4655">
        <w:rPr>
          <w:snapToGrid/>
          <w:szCs w:val="22"/>
          <w:lang w:val="lt-LT"/>
        </w:rPr>
        <w:t>Šis vaistas vartojamas tik pasireiškus skausmui ir karščiavimui. Jiems išnykus, vaisto vartojimą reikia nutraukti.</w:t>
      </w:r>
    </w:p>
    <w:p w14:paraId="69038C6C" w14:textId="77777777" w:rsidR="00CA598F" w:rsidRPr="008A4655" w:rsidRDefault="00CA598F" w:rsidP="00CA598F">
      <w:pPr>
        <w:widowControl w:val="0"/>
        <w:tabs>
          <w:tab w:val="clear" w:pos="567"/>
        </w:tabs>
        <w:autoSpaceDE w:val="0"/>
        <w:autoSpaceDN w:val="0"/>
        <w:spacing w:line="240" w:lineRule="auto"/>
        <w:rPr>
          <w:snapToGrid/>
          <w:szCs w:val="22"/>
          <w:lang w:val="lt-LT"/>
        </w:rPr>
      </w:pPr>
    </w:p>
    <w:p w14:paraId="482EFCC0" w14:textId="77777777" w:rsidR="00CA598F" w:rsidRPr="008A4655" w:rsidRDefault="00CA598F" w:rsidP="00CA598F">
      <w:pPr>
        <w:spacing w:line="240" w:lineRule="auto"/>
        <w:rPr>
          <w:szCs w:val="22"/>
          <w:lang w:val="lt-LT"/>
        </w:rPr>
      </w:pPr>
      <w:r w:rsidRPr="008A4655">
        <w:rPr>
          <w:szCs w:val="22"/>
          <w:lang w:val="lt-LT"/>
        </w:rPr>
        <w:t>Kreipkitės į gydytoją, jeigu Jūsų simptomai nepagerėjo arba pablogėjo, jei karščiavimas tęsiasi ilgiau kaip 3 dienas arba skausmas trunka ilgiau kaip 3 dienas (paaugliams) ar 5 dienas (suaugusiesiems).</w:t>
      </w:r>
    </w:p>
    <w:p w14:paraId="4DA332B5"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p>
    <w:p w14:paraId="08DD253F" w14:textId="77777777" w:rsidR="00CA598F" w:rsidRPr="008A4655" w:rsidRDefault="00CA598F" w:rsidP="00CA598F">
      <w:pPr>
        <w:widowControl w:val="0"/>
        <w:tabs>
          <w:tab w:val="clear" w:pos="567"/>
        </w:tabs>
        <w:autoSpaceDE w:val="0"/>
        <w:autoSpaceDN w:val="0"/>
        <w:adjustRightInd w:val="0"/>
        <w:spacing w:line="240" w:lineRule="auto"/>
        <w:rPr>
          <w:rFonts w:eastAsia="TimesNewRoman,Bold"/>
          <w:b/>
          <w:bCs/>
          <w:snapToGrid/>
          <w:szCs w:val="22"/>
          <w:lang w:val="lt-LT"/>
        </w:rPr>
      </w:pPr>
      <w:r w:rsidRPr="008A4655">
        <w:rPr>
          <w:rFonts w:eastAsia="TimesNewRoman,Bold"/>
          <w:b/>
          <w:bCs/>
          <w:snapToGrid/>
          <w:szCs w:val="22"/>
          <w:lang w:val="lt-LT"/>
        </w:rPr>
        <w:t xml:space="preserve">Ką daryti pavartojus per didelę </w:t>
      </w:r>
      <w:proofErr w:type="spellStart"/>
      <w:r>
        <w:rPr>
          <w:rFonts w:eastAsia="TimesNewRoman,Bold"/>
          <w:b/>
          <w:bCs/>
          <w:snapToGrid/>
          <w:szCs w:val="22"/>
          <w:lang w:val="lt-LT"/>
        </w:rPr>
        <w:t>Ibuliq</w:t>
      </w:r>
      <w:proofErr w:type="spellEnd"/>
      <w:r w:rsidRPr="008A4655">
        <w:rPr>
          <w:rFonts w:eastAsia="TimesNewRoman,Bold"/>
          <w:b/>
          <w:bCs/>
          <w:snapToGrid/>
          <w:szCs w:val="22"/>
          <w:lang w:val="lt-LT"/>
        </w:rPr>
        <w:t xml:space="preserve"> dozę</w:t>
      </w:r>
    </w:p>
    <w:p w14:paraId="26EA8D0C" w14:textId="77777777" w:rsidR="00CA598F" w:rsidRPr="008A4655" w:rsidRDefault="00CA598F" w:rsidP="00CA598F">
      <w:pPr>
        <w:tabs>
          <w:tab w:val="clear" w:pos="567"/>
        </w:tabs>
        <w:autoSpaceDE w:val="0"/>
        <w:spacing w:line="240" w:lineRule="auto"/>
        <w:rPr>
          <w:rFonts w:eastAsia="Calibri"/>
          <w:snapToGrid/>
          <w:szCs w:val="22"/>
          <w:lang w:val="lt-LT"/>
        </w:rPr>
      </w:pPr>
      <w:r w:rsidRPr="00B21614">
        <w:rPr>
          <w:rFonts w:eastAsia="TimesNewRoman,Bold"/>
          <w:snapToGrid/>
          <w:szCs w:val="22"/>
          <w:lang w:val="lt-LT"/>
        </w:rPr>
        <w:t xml:space="preserve">Jeigu pavartojote didesnę </w:t>
      </w:r>
      <w:proofErr w:type="spellStart"/>
      <w:r>
        <w:rPr>
          <w:rFonts w:eastAsia="TimesNewRoman,Bold"/>
          <w:snapToGrid/>
          <w:szCs w:val="22"/>
          <w:lang w:val="lt-LT"/>
        </w:rPr>
        <w:t>Ibuliq</w:t>
      </w:r>
      <w:proofErr w:type="spellEnd"/>
      <w:r w:rsidRPr="00B21614">
        <w:rPr>
          <w:rFonts w:eastAsia="TimesNewRoman,Bold"/>
          <w:snapToGrid/>
          <w:szCs w:val="22"/>
          <w:lang w:val="lt-LT"/>
        </w:rPr>
        <w:t xml:space="preserve"> dozę, negu turėjote, arba jeigu vaisto atsitiktinai išgėrė vaikai, visada kreipkitės į gydytoją arba artimiausią ligoninę, kad būtų įvertinta rizika ir patarta, kokių veiksmų reikia imtis. Galimi perdozavimo simptomai yra pykinimas, pilvo skausmas, vėmimas (gali būti su kraujo ruoželiais), kraujavimas iš virškinimo trakto (taip pat žr. 4</w:t>
      </w:r>
      <w:r>
        <w:rPr>
          <w:rFonts w:eastAsia="TimesNewRoman,Bold"/>
          <w:snapToGrid/>
          <w:szCs w:val="22"/>
          <w:lang w:val="lt-LT"/>
        </w:rPr>
        <w:t> </w:t>
      </w:r>
      <w:r w:rsidRPr="00B21614">
        <w:rPr>
          <w:rFonts w:eastAsia="TimesNewRoman,Bold"/>
          <w:snapToGrid/>
          <w:szCs w:val="22"/>
          <w:lang w:val="lt-LT"/>
        </w:rPr>
        <w:t>skyrių toliau), viduriavimas, galvos skausmas, spengimas ausyse, minčių susipainiojimas ir virpantys akių judesiai</w:t>
      </w:r>
      <w:r>
        <w:rPr>
          <w:rFonts w:eastAsia="TimesNewRoman,Bold"/>
          <w:snapToGrid/>
          <w:szCs w:val="22"/>
          <w:lang w:val="lt-LT"/>
        </w:rPr>
        <w:t>.</w:t>
      </w:r>
      <w:r w:rsidRPr="00B21614">
        <w:rPr>
          <w:rFonts w:eastAsia="TimesNewRoman,Bold"/>
          <w:snapToGrid/>
          <w:szCs w:val="22"/>
          <w:lang w:val="lt-LT"/>
        </w:rPr>
        <w:t xml:space="preserve"> Taip pat gali pasireikšti sujaudinimas, stiprus mieguistumas, dezorientacija ar koma. Kartais pacientams pasireiškia traukuliai. </w:t>
      </w:r>
      <w:r w:rsidRPr="00482D88">
        <w:rPr>
          <w:rFonts w:eastAsia="TimesNewRoman,Bold"/>
          <w:snapToGrid/>
          <w:szCs w:val="22"/>
          <w:lang w:val="lt-LT"/>
        </w:rPr>
        <w:t>Pavartojus dideles dozes, gauta pranešimų apie mieguistumo, krūtinės skausmo, stipraus širdies plakimo pojūčio (</w:t>
      </w:r>
      <w:proofErr w:type="spellStart"/>
      <w:r w:rsidRPr="00482D88">
        <w:rPr>
          <w:rFonts w:eastAsia="TimesNewRoman,Bold"/>
          <w:snapToGrid/>
          <w:szCs w:val="22"/>
          <w:lang w:val="lt-LT"/>
        </w:rPr>
        <w:t>palpitacijų</w:t>
      </w:r>
      <w:proofErr w:type="spellEnd"/>
      <w:r w:rsidRPr="00482D88">
        <w:rPr>
          <w:rFonts w:eastAsia="TimesNewRoman,Bold"/>
          <w:snapToGrid/>
          <w:szCs w:val="22"/>
          <w:lang w:val="lt-LT"/>
        </w:rPr>
        <w:t>), sąmonės netekimo, traukulių (daugiausia vaikams), silpnumo ir svaigulio, kraujo šlapime, mažo kalio kiekio kraujyje, šalto kūno pojūčio ir kvėpavimo sutrikimų pasireiškimą</w:t>
      </w:r>
      <w:r w:rsidRPr="00B21614">
        <w:rPr>
          <w:rFonts w:eastAsia="TimesNewRoman,Bold"/>
          <w:snapToGrid/>
          <w:szCs w:val="22"/>
          <w:lang w:val="lt-LT"/>
        </w:rPr>
        <w:t xml:space="preserve">. </w:t>
      </w:r>
      <w:r w:rsidRPr="00482D88">
        <w:rPr>
          <w:rFonts w:eastAsia="TimesNewRoman,Bold"/>
          <w:snapToGrid/>
          <w:szCs w:val="22"/>
          <w:lang w:val="lt-LT"/>
        </w:rPr>
        <w:t xml:space="preserve">Be to, gali pailgėti </w:t>
      </w:r>
      <w:proofErr w:type="spellStart"/>
      <w:r w:rsidRPr="00482D88">
        <w:rPr>
          <w:rFonts w:eastAsia="TimesNewRoman,Bold"/>
          <w:snapToGrid/>
          <w:szCs w:val="22"/>
          <w:lang w:val="lt-LT"/>
        </w:rPr>
        <w:t>protrombino</w:t>
      </w:r>
      <w:proofErr w:type="spellEnd"/>
      <w:r w:rsidRPr="00482D88">
        <w:rPr>
          <w:rFonts w:eastAsia="TimesNewRoman,Bold"/>
          <w:snapToGrid/>
          <w:szCs w:val="22"/>
          <w:lang w:val="lt-LT"/>
        </w:rPr>
        <w:t xml:space="preserve"> laikas</w:t>
      </w:r>
      <w:r>
        <w:rPr>
          <w:rFonts w:eastAsia="TimesNewRoman,Bold"/>
          <w:snapToGrid/>
          <w:szCs w:val="22"/>
          <w:lang w:val="lt-LT"/>
        </w:rPr>
        <w:t xml:space="preserve"> </w:t>
      </w:r>
      <w:r w:rsidRPr="00482D88">
        <w:rPr>
          <w:rFonts w:eastAsia="TimesNewRoman,Bold"/>
          <w:snapToGrid/>
          <w:szCs w:val="22"/>
          <w:lang w:val="lt-LT"/>
        </w:rPr>
        <w:t>/</w:t>
      </w:r>
      <w:r>
        <w:rPr>
          <w:rFonts w:eastAsia="TimesNewRoman,Bold"/>
          <w:snapToGrid/>
          <w:szCs w:val="22"/>
          <w:lang w:val="lt-LT"/>
        </w:rPr>
        <w:t xml:space="preserve"> </w:t>
      </w:r>
      <w:r w:rsidRPr="00482D88">
        <w:rPr>
          <w:rFonts w:eastAsia="TimesNewRoman,Bold"/>
          <w:snapToGrid/>
          <w:szCs w:val="22"/>
          <w:lang w:val="lt-LT"/>
        </w:rPr>
        <w:t>tarptautinis normalizuotas santykis (TNS), tikriausiai dėl poveikio kraujyje esantiems krešėjimo faktoriams. Gali pasireikšti ūminis inkstų nepakankamumas ir kepenų pažeidimas. Astma sergantiems pacientams galimas astmos paūmėjimas. Be to, gali sumažėti kraujospūdis ir sutrikti kvėpavimas</w:t>
      </w:r>
      <w:r w:rsidRPr="00B21614">
        <w:rPr>
          <w:rFonts w:eastAsia="TimesNewRoman,Bold"/>
          <w:snapToGrid/>
          <w:szCs w:val="22"/>
          <w:lang w:val="lt-LT"/>
        </w:rPr>
        <w:t>.</w:t>
      </w:r>
    </w:p>
    <w:p w14:paraId="0F31D0D1" w14:textId="77777777" w:rsidR="00CA598F" w:rsidRPr="008A4655" w:rsidRDefault="00CA598F" w:rsidP="00CA598F">
      <w:pPr>
        <w:widowControl w:val="0"/>
        <w:numPr>
          <w:ilvl w:val="12"/>
          <w:numId w:val="0"/>
        </w:numPr>
        <w:tabs>
          <w:tab w:val="clear" w:pos="567"/>
        </w:tabs>
        <w:spacing w:line="240" w:lineRule="auto"/>
        <w:ind w:right="-2"/>
        <w:rPr>
          <w:rFonts w:eastAsia="TimesNewRoman,Bold"/>
          <w:snapToGrid/>
          <w:szCs w:val="22"/>
          <w:lang w:val="lt-LT"/>
        </w:rPr>
      </w:pPr>
    </w:p>
    <w:p w14:paraId="05249209" w14:textId="77777777" w:rsidR="00CA598F" w:rsidRPr="008A4655" w:rsidRDefault="00CA598F" w:rsidP="00CA598F">
      <w:pPr>
        <w:widowControl w:val="0"/>
        <w:numPr>
          <w:ilvl w:val="12"/>
          <w:numId w:val="0"/>
        </w:numPr>
        <w:tabs>
          <w:tab w:val="clear" w:pos="567"/>
        </w:tabs>
        <w:spacing w:line="240" w:lineRule="auto"/>
        <w:ind w:right="-2"/>
        <w:rPr>
          <w:rFonts w:eastAsia="TimesNewRoman,Bold"/>
          <w:snapToGrid/>
          <w:szCs w:val="22"/>
          <w:lang w:val="lt-LT"/>
        </w:rPr>
      </w:pPr>
      <w:r w:rsidRPr="008A4655">
        <w:rPr>
          <w:rFonts w:eastAsia="TimesNewRoman,Bold"/>
          <w:snapToGrid/>
          <w:szCs w:val="22"/>
          <w:lang w:val="lt-LT"/>
        </w:rPr>
        <w:t>Jei buvo suvartota reikšminga dozė, būtina vartoti aktyvintąją anglį. Skrandžio plovimas galimas 60 minučių laikotarpiu po reikšmingos dozės išgėrimo.</w:t>
      </w:r>
    </w:p>
    <w:p w14:paraId="670307E8"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7A5348A9"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6817857C" w14:textId="77777777" w:rsidR="00CA598F" w:rsidRPr="008A4655" w:rsidRDefault="00CA598F" w:rsidP="00CA598F">
      <w:pPr>
        <w:keepNext/>
        <w:numPr>
          <w:ilvl w:val="12"/>
          <w:numId w:val="0"/>
        </w:numPr>
        <w:tabs>
          <w:tab w:val="clear" w:pos="567"/>
        </w:tabs>
        <w:spacing w:line="240" w:lineRule="auto"/>
        <w:ind w:left="567" w:hanging="567"/>
        <w:outlineLvl w:val="0"/>
        <w:rPr>
          <w:b/>
          <w:caps/>
          <w:snapToGrid/>
          <w:szCs w:val="22"/>
          <w:lang w:val="lt-LT"/>
        </w:rPr>
      </w:pPr>
      <w:r w:rsidRPr="008A4655">
        <w:rPr>
          <w:b/>
          <w:caps/>
          <w:snapToGrid/>
          <w:szCs w:val="22"/>
          <w:lang w:val="lt-LT"/>
        </w:rPr>
        <w:lastRenderedPageBreak/>
        <w:t>4.</w:t>
      </w:r>
      <w:r w:rsidRPr="008A4655">
        <w:rPr>
          <w:b/>
          <w:caps/>
          <w:snapToGrid/>
          <w:szCs w:val="22"/>
          <w:lang w:val="lt-LT"/>
        </w:rPr>
        <w:tab/>
      </w:r>
      <w:r w:rsidRPr="008A4655">
        <w:rPr>
          <w:b/>
          <w:snapToGrid/>
          <w:szCs w:val="22"/>
          <w:lang w:val="lt-LT"/>
        </w:rPr>
        <w:t>Galimas šalutinis poveikis</w:t>
      </w:r>
    </w:p>
    <w:p w14:paraId="6968DD41" w14:textId="77777777" w:rsidR="00CA598F" w:rsidRPr="008A4655" w:rsidRDefault="00CA598F" w:rsidP="00CA598F">
      <w:pPr>
        <w:keepNext/>
        <w:tabs>
          <w:tab w:val="clear" w:pos="567"/>
        </w:tabs>
        <w:spacing w:line="240" w:lineRule="auto"/>
        <w:ind w:left="567" w:hanging="567"/>
        <w:rPr>
          <w:snapToGrid/>
          <w:szCs w:val="22"/>
          <w:lang w:val="lt-LT"/>
        </w:rPr>
      </w:pPr>
    </w:p>
    <w:p w14:paraId="76FD0670" w14:textId="77777777" w:rsidR="00CA598F" w:rsidRPr="008A4655" w:rsidRDefault="00CA598F" w:rsidP="00CA598F">
      <w:pPr>
        <w:keepNext/>
        <w:tabs>
          <w:tab w:val="clear" w:pos="567"/>
        </w:tabs>
        <w:autoSpaceDE w:val="0"/>
        <w:autoSpaceDN w:val="0"/>
        <w:adjustRightInd w:val="0"/>
        <w:spacing w:line="240" w:lineRule="auto"/>
        <w:rPr>
          <w:snapToGrid/>
          <w:szCs w:val="22"/>
          <w:lang w:val="lt-LT"/>
        </w:rPr>
      </w:pPr>
      <w:r w:rsidRPr="008A4655">
        <w:rPr>
          <w:snapToGrid/>
          <w:szCs w:val="22"/>
          <w:lang w:val="lt-LT"/>
        </w:rPr>
        <w:t>Šis vaistas, kaip ir visi kiti, gali sukelti šalutinį poveikį, nors jis pasireiškia ne visiems žmonėms.</w:t>
      </w:r>
    </w:p>
    <w:p w14:paraId="63ECF23E" w14:textId="77777777" w:rsidR="00CA598F" w:rsidRPr="008A4655" w:rsidRDefault="00CA598F" w:rsidP="00CA598F">
      <w:pPr>
        <w:widowControl w:val="0"/>
        <w:tabs>
          <w:tab w:val="clear" w:pos="567"/>
        </w:tabs>
        <w:autoSpaceDE w:val="0"/>
        <w:autoSpaceDN w:val="0"/>
        <w:spacing w:line="240" w:lineRule="auto"/>
        <w:ind w:right="109"/>
        <w:rPr>
          <w:snapToGrid/>
          <w:szCs w:val="22"/>
          <w:lang w:val="lt-LT"/>
        </w:rPr>
      </w:pPr>
      <w:r w:rsidRPr="008A4655">
        <w:rPr>
          <w:snapToGrid/>
          <w:szCs w:val="22"/>
          <w:lang w:val="lt-LT"/>
        </w:rPr>
        <w:t>Šalutinis poveikis dažniau pasireiškia vyresniems nei 65 metų žmonėms. Šalutinis poveikis pasireiškia rečiau, jei gydoma trumpai ir paros dozė yra mažesnė nei didžiausia rekomenduojama dozė.</w:t>
      </w:r>
    </w:p>
    <w:p w14:paraId="14162299" w14:textId="77777777" w:rsidR="00CA598F" w:rsidRPr="008A4655" w:rsidRDefault="00CA598F" w:rsidP="00CA598F">
      <w:pPr>
        <w:numPr>
          <w:ilvl w:val="12"/>
          <w:numId w:val="0"/>
        </w:numPr>
        <w:tabs>
          <w:tab w:val="clear" w:pos="567"/>
          <w:tab w:val="left" w:pos="720"/>
        </w:tabs>
        <w:spacing w:line="240" w:lineRule="auto"/>
        <w:ind w:right="-29"/>
        <w:rPr>
          <w:snapToGrid/>
          <w:szCs w:val="22"/>
          <w:lang w:val="lt-LT"/>
        </w:rPr>
      </w:pPr>
    </w:p>
    <w:p w14:paraId="3039F48A" w14:textId="77777777" w:rsidR="00CA598F" w:rsidRPr="008A4655" w:rsidRDefault="00CA598F" w:rsidP="00CA598F">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NUTRAUKITE vaisto vartojimą ir nedelsdami kreipkitės į medikus, jeigu atsiranda:</w:t>
      </w:r>
    </w:p>
    <w:p w14:paraId="3A672B60" w14:textId="77777777" w:rsidR="00CA598F" w:rsidRPr="008A4655" w:rsidRDefault="00CA598F" w:rsidP="00CA598F">
      <w:pPr>
        <w:widowControl w:val="0"/>
        <w:numPr>
          <w:ilvl w:val="1"/>
          <w:numId w:val="4"/>
        </w:numPr>
        <w:autoSpaceDE w:val="0"/>
        <w:autoSpaceDN w:val="0"/>
        <w:spacing w:line="240" w:lineRule="auto"/>
        <w:ind w:left="567" w:right="110" w:hanging="567"/>
        <w:contextualSpacing/>
        <w:rPr>
          <w:snapToGrid/>
          <w:szCs w:val="22"/>
          <w:lang w:val="lt-LT"/>
        </w:rPr>
      </w:pPr>
      <w:r w:rsidRPr="008A4655">
        <w:rPr>
          <w:b/>
          <w:bCs/>
          <w:snapToGrid/>
          <w:szCs w:val="22"/>
          <w:lang w:val="lt-LT"/>
        </w:rPr>
        <w:t>kraujavimo iš žarnyno požymių</w:t>
      </w:r>
      <w:r w:rsidRPr="008A4655">
        <w:rPr>
          <w:snapToGrid/>
          <w:szCs w:val="22"/>
          <w:lang w:val="lt-LT"/>
        </w:rPr>
        <w:t>, tokių kaip stiprus pilvo skausmas, juodos ar į degutą panašios išmatos ir vėmimas krauju ar tamsiu turiniu, kuris yra panašus į kavos tirščius;</w:t>
      </w:r>
    </w:p>
    <w:p w14:paraId="22F7C22A" w14:textId="77777777" w:rsidR="00CA598F" w:rsidRPr="008A4655" w:rsidRDefault="00CA598F" w:rsidP="00CA598F">
      <w:pPr>
        <w:widowControl w:val="0"/>
        <w:numPr>
          <w:ilvl w:val="1"/>
          <w:numId w:val="4"/>
        </w:numPr>
        <w:autoSpaceDE w:val="0"/>
        <w:autoSpaceDN w:val="0"/>
        <w:spacing w:line="240" w:lineRule="auto"/>
        <w:ind w:left="567" w:right="109" w:hanging="567"/>
        <w:contextualSpacing/>
        <w:rPr>
          <w:snapToGrid/>
          <w:szCs w:val="22"/>
          <w:lang w:val="lt-LT"/>
        </w:rPr>
      </w:pPr>
      <w:r w:rsidRPr="008A4655">
        <w:rPr>
          <w:b/>
          <w:bCs/>
          <w:snapToGrid/>
          <w:szCs w:val="22"/>
          <w:lang w:val="lt-LT"/>
        </w:rPr>
        <w:t>labai retos, bet sunkios alerginės reakcijos požymių</w:t>
      </w:r>
      <w:r w:rsidRPr="008A4655">
        <w:rPr>
          <w:snapToGrid/>
          <w:szCs w:val="22"/>
          <w:lang w:val="lt-LT"/>
        </w:rPr>
        <w:t>, tokių kaip astmos pasunkėjimas, švokštimas ar nežinomos priežasties sukeltas kvėpavimo pokytis, veido, liežuvio ar gerklės patinimas, kvėpavimo pasunkėjimas, dažnas širdies plakimas ir šoką sukeliantis kraujospūdžio sumažėjimas. Toks poveikis gali pasireikšti net po pirmojo vaisto pavartojimo;</w:t>
      </w:r>
    </w:p>
    <w:p w14:paraId="15E09941" w14:textId="77777777" w:rsidR="00CA598F" w:rsidRDefault="00CA598F" w:rsidP="00CA598F">
      <w:pPr>
        <w:widowControl w:val="0"/>
        <w:numPr>
          <w:ilvl w:val="1"/>
          <w:numId w:val="4"/>
        </w:numPr>
        <w:autoSpaceDE w:val="0"/>
        <w:autoSpaceDN w:val="0"/>
        <w:spacing w:line="240" w:lineRule="auto"/>
        <w:ind w:left="567" w:right="111" w:hanging="567"/>
        <w:contextualSpacing/>
        <w:rPr>
          <w:snapToGrid/>
          <w:szCs w:val="22"/>
          <w:lang w:val="lt-LT"/>
        </w:rPr>
      </w:pPr>
      <w:r w:rsidRPr="000817A1">
        <w:rPr>
          <w:b/>
          <w:bCs/>
          <w:snapToGrid/>
          <w:szCs w:val="22"/>
          <w:lang w:val="lt-LT"/>
        </w:rPr>
        <w:t>sunkių odos reakcijų</w:t>
      </w:r>
      <w:r w:rsidRPr="00FA6423">
        <w:rPr>
          <w:snapToGrid/>
          <w:szCs w:val="22"/>
          <w:lang w:val="lt-LT"/>
        </w:rPr>
        <w:t>, tokių kaip viso kūno išbėrimas,</w:t>
      </w:r>
      <w:r w:rsidRPr="008A4655">
        <w:rPr>
          <w:snapToGrid/>
          <w:szCs w:val="22"/>
          <w:lang w:val="lt-LT"/>
        </w:rPr>
        <w:t xml:space="preserve"> odos lupimasis, pūslėjimas ar pleiskanojimas</w:t>
      </w:r>
      <w:r>
        <w:rPr>
          <w:snapToGrid/>
          <w:szCs w:val="22"/>
          <w:lang w:val="lt-LT"/>
        </w:rPr>
        <w:t>;</w:t>
      </w:r>
    </w:p>
    <w:p w14:paraId="64641DD7" w14:textId="77777777" w:rsidR="00CA598F" w:rsidRDefault="00CA598F" w:rsidP="00CA598F">
      <w:pPr>
        <w:widowControl w:val="0"/>
        <w:numPr>
          <w:ilvl w:val="1"/>
          <w:numId w:val="4"/>
        </w:numPr>
        <w:autoSpaceDE w:val="0"/>
        <w:autoSpaceDN w:val="0"/>
        <w:spacing w:line="240" w:lineRule="auto"/>
        <w:ind w:left="567" w:right="111" w:hanging="567"/>
        <w:contextualSpacing/>
        <w:rPr>
          <w:snapToGrid/>
          <w:szCs w:val="22"/>
          <w:lang w:val="lt-LT"/>
        </w:rPr>
      </w:pPr>
      <w:r w:rsidRPr="000817A1">
        <w:rPr>
          <w:snapToGrid/>
          <w:szCs w:val="22"/>
          <w:lang w:val="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0817A1">
        <w:rPr>
          <w:snapToGrid/>
          <w:szCs w:val="22"/>
          <w:lang w:val="lt-LT"/>
        </w:rPr>
        <w:t>eksfoliacini</w:t>
      </w:r>
      <w:proofErr w:type="spellEnd"/>
      <w:r w:rsidRPr="000817A1">
        <w:rPr>
          <w:snapToGrid/>
          <w:szCs w:val="22"/>
          <w:lang w:val="lt-LT"/>
        </w:rPr>
        <w:t xml:space="preserve"> dermatitas, daugiaformė </w:t>
      </w:r>
      <w:proofErr w:type="spellStart"/>
      <w:r w:rsidRPr="000817A1">
        <w:rPr>
          <w:snapToGrid/>
          <w:szCs w:val="22"/>
          <w:lang w:val="lt-LT"/>
        </w:rPr>
        <w:t>eritema</w:t>
      </w:r>
      <w:proofErr w:type="spellEnd"/>
      <w:r w:rsidRPr="000817A1">
        <w:rPr>
          <w:snapToGrid/>
          <w:szCs w:val="22"/>
          <w:lang w:val="lt-LT"/>
        </w:rPr>
        <w:t xml:space="preserve">, </w:t>
      </w:r>
      <w:proofErr w:type="spellStart"/>
      <w:r w:rsidRPr="000817A1">
        <w:rPr>
          <w:snapToGrid/>
          <w:szCs w:val="22"/>
          <w:lang w:val="lt-LT"/>
        </w:rPr>
        <w:t>Stivenso</w:t>
      </w:r>
      <w:proofErr w:type="spellEnd"/>
      <w:r w:rsidRPr="000817A1">
        <w:rPr>
          <w:snapToGrid/>
          <w:szCs w:val="22"/>
          <w:lang w:val="lt-LT"/>
        </w:rPr>
        <w:t xml:space="preserve">-Džonsono sindromas, toksinė epidermio </w:t>
      </w:r>
      <w:proofErr w:type="spellStart"/>
      <w:r w:rsidRPr="000817A1">
        <w:rPr>
          <w:snapToGrid/>
          <w:szCs w:val="22"/>
          <w:lang w:val="lt-LT"/>
        </w:rPr>
        <w:t>nekrolizė</w:t>
      </w:r>
      <w:proofErr w:type="spellEnd"/>
      <w:r w:rsidRPr="000817A1">
        <w:rPr>
          <w:snapToGrid/>
          <w:szCs w:val="22"/>
          <w:lang w:val="lt-LT"/>
        </w:rPr>
        <w:t>]</w:t>
      </w:r>
      <w:r>
        <w:rPr>
          <w:snapToGrid/>
          <w:szCs w:val="22"/>
          <w:lang w:val="lt-LT"/>
        </w:rPr>
        <w:t>;</w:t>
      </w:r>
    </w:p>
    <w:p w14:paraId="6FD9A907" w14:textId="77777777" w:rsidR="00CA598F" w:rsidRDefault="00CA598F" w:rsidP="00CA598F">
      <w:pPr>
        <w:widowControl w:val="0"/>
        <w:numPr>
          <w:ilvl w:val="1"/>
          <w:numId w:val="4"/>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šplitęs išbėrimas, aukšta kūno temperatūra ir padidėję limfmazgiai (VRESS sindromas)</w:t>
      </w:r>
      <w:r>
        <w:rPr>
          <w:snapToGrid/>
          <w:szCs w:val="22"/>
          <w:lang w:val="lt-LT"/>
        </w:rPr>
        <w:t>;</w:t>
      </w:r>
    </w:p>
    <w:p w14:paraId="0C366F47" w14:textId="77777777" w:rsidR="00CA598F" w:rsidRDefault="00CA598F" w:rsidP="00CA598F">
      <w:pPr>
        <w:widowControl w:val="0"/>
        <w:numPr>
          <w:ilvl w:val="1"/>
          <w:numId w:val="4"/>
        </w:numPr>
        <w:autoSpaceDE w:val="0"/>
        <w:autoSpaceDN w:val="0"/>
        <w:spacing w:line="240" w:lineRule="auto"/>
        <w:ind w:left="567" w:right="111" w:hanging="567"/>
        <w:contextualSpacing/>
        <w:rPr>
          <w:snapToGrid/>
          <w:szCs w:val="22"/>
          <w:lang w:val="lt-LT"/>
        </w:rPr>
      </w:pPr>
      <w:r>
        <w:rPr>
          <w:snapToGrid/>
          <w:szCs w:val="22"/>
          <w:lang w:val="lt-LT"/>
        </w:rPr>
        <w:t>i</w:t>
      </w:r>
      <w:r w:rsidRPr="000817A1">
        <w:rPr>
          <w:snapToGrid/>
          <w:szCs w:val="22"/>
          <w:lang w:val="lt-LT"/>
        </w:rPr>
        <w:t xml:space="preserve">šplitęs odos išbėrimas raudonomis pleiskanotomis dėmėmis su gumbeliais po oda ir pūslėmis, kartu pasireiškiant karščiavimui. Simptomai paprastai pasireiškia pradėjus gydymą (ūminė išplitusi </w:t>
      </w:r>
      <w:proofErr w:type="spellStart"/>
      <w:r w:rsidRPr="000817A1">
        <w:rPr>
          <w:snapToGrid/>
          <w:szCs w:val="22"/>
          <w:lang w:val="lt-LT"/>
        </w:rPr>
        <w:t>egzanteminė</w:t>
      </w:r>
      <w:proofErr w:type="spellEnd"/>
      <w:r w:rsidRPr="000817A1">
        <w:rPr>
          <w:snapToGrid/>
          <w:szCs w:val="22"/>
          <w:lang w:val="lt-LT"/>
        </w:rPr>
        <w:t xml:space="preserve"> </w:t>
      </w:r>
      <w:proofErr w:type="spellStart"/>
      <w:r w:rsidRPr="000817A1">
        <w:rPr>
          <w:snapToGrid/>
          <w:szCs w:val="22"/>
          <w:lang w:val="lt-LT"/>
        </w:rPr>
        <w:t>pustuliozė</w:t>
      </w:r>
      <w:proofErr w:type="spellEnd"/>
      <w:r w:rsidRPr="000817A1">
        <w:rPr>
          <w:snapToGrid/>
          <w:szCs w:val="22"/>
          <w:lang w:val="lt-LT"/>
        </w:rPr>
        <w:t>)</w:t>
      </w:r>
      <w:r>
        <w:rPr>
          <w:snapToGrid/>
          <w:szCs w:val="22"/>
          <w:lang w:val="lt-LT"/>
        </w:rPr>
        <w:t>;</w:t>
      </w:r>
    </w:p>
    <w:p w14:paraId="1F57A27A" w14:textId="77777777" w:rsidR="00CA598F" w:rsidRPr="008A4655" w:rsidRDefault="00CA598F" w:rsidP="00CA598F">
      <w:pPr>
        <w:widowControl w:val="0"/>
        <w:numPr>
          <w:ilvl w:val="1"/>
          <w:numId w:val="4"/>
        </w:numPr>
        <w:autoSpaceDE w:val="0"/>
        <w:autoSpaceDN w:val="0"/>
        <w:spacing w:line="240" w:lineRule="auto"/>
        <w:ind w:left="567" w:right="111" w:hanging="567"/>
        <w:contextualSpacing/>
        <w:rPr>
          <w:snapToGrid/>
          <w:szCs w:val="22"/>
          <w:lang w:val="lt-LT"/>
        </w:rPr>
      </w:pPr>
      <w:r>
        <w:rPr>
          <w:snapToGrid/>
          <w:szCs w:val="22"/>
          <w:lang w:val="lt-LT"/>
        </w:rPr>
        <w:t>k</w:t>
      </w:r>
      <w:r w:rsidRPr="000817A1">
        <w:rPr>
          <w:snapToGrid/>
          <w:szCs w:val="22"/>
          <w:lang w:val="lt-LT"/>
        </w:rPr>
        <w:t xml:space="preserve">rūtinės skausmas, kuris gali būti galimai sunkios alerginės reakcijos, vadinamos </w:t>
      </w:r>
      <w:proofErr w:type="spellStart"/>
      <w:r w:rsidRPr="000817A1">
        <w:rPr>
          <w:snapToGrid/>
          <w:szCs w:val="22"/>
          <w:lang w:val="lt-LT"/>
        </w:rPr>
        <w:t>Kounis</w:t>
      </w:r>
      <w:proofErr w:type="spellEnd"/>
      <w:r w:rsidRPr="000817A1">
        <w:rPr>
          <w:snapToGrid/>
          <w:szCs w:val="22"/>
          <w:lang w:val="lt-LT"/>
        </w:rPr>
        <w:t xml:space="preserve"> sindromu, požymis</w:t>
      </w:r>
      <w:r w:rsidRPr="008A4655">
        <w:rPr>
          <w:snapToGrid/>
          <w:szCs w:val="22"/>
          <w:lang w:val="lt-LT"/>
        </w:rPr>
        <w:t>.</w:t>
      </w:r>
    </w:p>
    <w:p w14:paraId="0000F831" w14:textId="77777777" w:rsidR="00CA598F" w:rsidRPr="008A4655" w:rsidRDefault="00CA598F" w:rsidP="00CA598F">
      <w:pPr>
        <w:tabs>
          <w:tab w:val="clear" w:pos="567"/>
          <w:tab w:val="left" w:pos="720"/>
        </w:tabs>
        <w:spacing w:line="240" w:lineRule="auto"/>
        <w:ind w:right="-29"/>
        <w:rPr>
          <w:snapToGrid/>
          <w:szCs w:val="22"/>
          <w:lang w:val="lt-LT"/>
        </w:rPr>
      </w:pPr>
    </w:p>
    <w:p w14:paraId="403E296C" w14:textId="77777777" w:rsidR="00CA598F" w:rsidRPr="008A4655" w:rsidRDefault="00CA598F" w:rsidP="00CA598F">
      <w:pPr>
        <w:widowControl w:val="0"/>
        <w:tabs>
          <w:tab w:val="clear" w:pos="567"/>
        </w:tabs>
        <w:autoSpaceDE w:val="0"/>
        <w:autoSpaceDN w:val="0"/>
        <w:spacing w:line="240" w:lineRule="auto"/>
        <w:jc w:val="both"/>
        <w:outlineLvl w:val="0"/>
        <w:rPr>
          <w:b/>
          <w:bCs/>
          <w:snapToGrid/>
          <w:szCs w:val="22"/>
          <w:lang w:val="lt-LT"/>
        </w:rPr>
      </w:pPr>
      <w:r w:rsidRPr="008A4655">
        <w:rPr>
          <w:b/>
          <w:bCs/>
          <w:snapToGrid/>
          <w:szCs w:val="22"/>
          <w:lang w:val="lt-LT"/>
        </w:rPr>
        <w:t>Pasitarkite su gydytoju, jei pasireiškia toliau išvardytas šalutinis poveikis.</w:t>
      </w:r>
    </w:p>
    <w:p w14:paraId="2BC7E1DD" w14:textId="77777777" w:rsidR="00CA598F" w:rsidRPr="008A4655" w:rsidRDefault="00CA598F" w:rsidP="00CA598F">
      <w:pPr>
        <w:widowControl w:val="0"/>
        <w:tabs>
          <w:tab w:val="clear" w:pos="567"/>
        </w:tabs>
        <w:autoSpaceDE w:val="0"/>
        <w:autoSpaceDN w:val="0"/>
        <w:spacing w:line="240" w:lineRule="auto"/>
        <w:jc w:val="both"/>
        <w:outlineLvl w:val="0"/>
        <w:rPr>
          <w:b/>
          <w:bCs/>
          <w:snapToGrid/>
          <w:szCs w:val="22"/>
          <w:lang w:val="lt-LT"/>
        </w:rPr>
      </w:pPr>
    </w:p>
    <w:p w14:paraId="2E30A384" w14:textId="77777777" w:rsidR="00CA598F" w:rsidRPr="008A4655" w:rsidRDefault="00CA598F" w:rsidP="00CA598F">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Dažni šalutinio poveikio reiškiniai </w:t>
      </w:r>
      <w:r w:rsidRPr="008A4655">
        <w:rPr>
          <w:szCs w:val="22"/>
          <w:lang w:val="lt-LT"/>
        </w:rPr>
        <w:t>(gali pasireikšti rečiau kaip 1 iš 10 asmenų)</w:t>
      </w:r>
      <w:r w:rsidRPr="008A4655">
        <w:rPr>
          <w:snapToGrid/>
          <w:szCs w:val="22"/>
          <w:lang w:val="lt-LT"/>
        </w:rPr>
        <w:t>:</w:t>
      </w:r>
    </w:p>
    <w:p w14:paraId="1AFDDCB1"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skrandžio sutrikimai, tokie kaip rėmuo, pilvo skausmas ir pykinimas, </w:t>
      </w:r>
      <w:proofErr w:type="spellStart"/>
      <w:r w:rsidRPr="008A4655">
        <w:rPr>
          <w:snapToGrid/>
          <w:szCs w:val="22"/>
          <w:lang w:val="lt-LT"/>
        </w:rPr>
        <w:t>nevirškinimas</w:t>
      </w:r>
      <w:proofErr w:type="spellEnd"/>
      <w:r w:rsidRPr="008A4655">
        <w:rPr>
          <w:snapToGrid/>
          <w:szCs w:val="22"/>
          <w:lang w:val="lt-LT"/>
        </w:rPr>
        <w:t>, viduriavimas, vėmimas, dujų kaupimasis žarnyne (pilvo pūtimas), vidurių užkietėjimas ir nedidelis kraujavimas iš skrandžio ir (arba) žarnyno, išimtiniais atvejais galintis sukelti mažakraujystę.</w:t>
      </w:r>
    </w:p>
    <w:p w14:paraId="18082EB2" w14:textId="77777777" w:rsidR="00CA598F" w:rsidRPr="008A4655" w:rsidRDefault="00CA598F" w:rsidP="00CA598F">
      <w:pPr>
        <w:tabs>
          <w:tab w:val="clear" w:pos="567"/>
          <w:tab w:val="left" w:pos="720"/>
        </w:tabs>
        <w:spacing w:line="240" w:lineRule="auto"/>
        <w:ind w:right="-29"/>
        <w:rPr>
          <w:snapToGrid/>
          <w:szCs w:val="22"/>
          <w:lang w:val="lt-LT"/>
        </w:rPr>
      </w:pPr>
    </w:p>
    <w:p w14:paraId="0CF42594" w14:textId="77777777" w:rsidR="00CA598F" w:rsidRPr="008A4655" w:rsidRDefault="00CA598F" w:rsidP="00CA598F">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Nedažni šalutinio poveikio reiškiniai </w:t>
      </w:r>
      <w:r w:rsidRPr="008A4655">
        <w:rPr>
          <w:szCs w:val="22"/>
          <w:lang w:val="lt-LT"/>
        </w:rPr>
        <w:t>(gali pasireikšti rečiau kaip 1 iš 100 asmenų)</w:t>
      </w:r>
      <w:r w:rsidRPr="008A4655">
        <w:rPr>
          <w:snapToGrid/>
          <w:szCs w:val="22"/>
          <w:lang w:val="lt-LT"/>
        </w:rPr>
        <w:t>:</w:t>
      </w:r>
    </w:p>
    <w:p w14:paraId="0D525A1D"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virškinimo trakto opos, prakiurimas ar kraujavimas, burnos gleivinės uždegimas su išopėjimu, jau esamos žarnyno ligos (opinio kolito ar Krono ligos) pasunkėjimas, skrandžio uždegimas (gastritas);</w:t>
      </w:r>
    </w:p>
    <w:p w14:paraId="2B57B89E"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regos pokyčiai;</w:t>
      </w:r>
    </w:p>
    <w:p w14:paraId="5F525412"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įvairaus pobūdžio odos išbėrimas;</w:t>
      </w:r>
    </w:p>
    <w:p w14:paraId="74702C19"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padidėjusio jautrumo reakcijos su dilgėline ir niežėjimu.</w:t>
      </w:r>
    </w:p>
    <w:p w14:paraId="0E58BB10" w14:textId="77777777" w:rsidR="00CA598F" w:rsidRPr="008A4655" w:rsidRDefault="00CA598F" w:rsidP="00CA598F">
      <w:pPr>
        <w:tabs>
          <w:tab w:val="clear" w:pos="567"/>
          <w:tab w:val="left" w:pos="720"/>
        </w:tabs>
        <w:spacing w:line="240" w:lineRule="auto"/>
        <w:ind w:right="-29"/>
        <w:rPr>
          <w:snapToGrid/>
          <w:szCs w:val="22"/>
          <w:lang w:val="lt-LT"/>
        </w:rPr>
      </w:pPr>
    </w:p>
    <w:p w14:paraId="7D0D1193" w14:textId="77777777" w:rsidR="00CA598F" w:rsidRPr="008A4655" w:rsidRDefault="00CA598F" w:rsidP="00CA598F">
      <w:pPr>
        <w:widowControl w:val="0"/>
        <w:tabs>
          <w:tab w:val="clear" w:pos="567"/>
        </w:tabs>
        <w:autoSpaceDE w:val="0"/>
        <w:autoSpaceDN w:val="0"/>
        <w:spacing w:line="240" w:lineRule="auto"/>
        <w:jc w:val="both"/>
        <w:rPr>
          <w:snapToGrid/>
          <w:szCs w:val="22"/>
          <w:lang w:val="lt-LT"/>
        </w:rPr>
      </w:pPr>
      <w:r w:rsidRPr="008A4655">
        <w:rPr>
          <w:b/>
          <w:bCs/>
          <w:szCs w:val="22"/>
          <w:lang w:val="lt-LT"/>
        </w:rPr>
        <w:t xml:space="preserve">Reti šalutinio poveikio reiškiniai </w:t>
      </w:r>
      <w:r w:rsidRPr="008A4655">
        <w:rPr>
          <w:szCs w:val="22"/>
          <w:lang w:val="lt-LT"/>
        </w:rPr>
        <w:t>(gali pasireikšti rečiau kaip 1 iš 1</w:t>
      </w:r>
      <w:r>
        <w:rPr>
          <w:szCs w:val="22"/>
          <w:lang w:val="lt-LT"/>
        </w:rPr>
        <w:t> </w:t>
      </w:r>
      <w:r w:rsidRPr="008A4655">
        <w:rPr>
          <w:szCs w:val="22"/>
          <w:lang w:val="lt-LT"/>
        </w:rPr>
        <w:t>000 asmenų)</w:t>
      </w:r>
      <w:r w:rsidRPr="008A4655">
        <w:rPr>
          <w:snapToGrid/>
          <w:szCs w:val="22"/>
          <w:lang w:val="lt-LT"/>
        </w:rPr>
        <w:t>:</w:t>
      </w:r>
    </w:p>
    <w:p w14:paraId="79684084"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ūžesys (spengimas ausyse);</w:t>
      </w:r>
    </w:p>
    <w:p w14:paraId="2F7FFB92"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padidėjusi šlapalo koncentracija kraujyje, šonų ir (arba) pilvo skausmas, kraujas šlapime ir karščiavimas. Tai gali būti inkstų pažeidimo (</w:t>
      </w:r>
      <w:proofErr w:type="spellStart"/>
      <w:r w:rsidRPr="008A4655">
        <w:rPr>
          <w:snapToGrid/>
          <w:szCs w:val="22"/>
          <w:lang w:val="lt-LT"/>
        </w:rPr>
        <w:t>papilinės</w:t>
      </w:r>
      <w:proofErr w:type="spellEnd"/>
      <w:r w:rsidRPr="008A4655">
        <w:rPr>
          <w:snapToGrid/>
          <w:szCs w:val="22"/>
          <w:lang w:val="lt-LT"/>
        </w:rPr>
        <w:t xml:space="preserve"> nekrozės) požymiai;</w:t>
      </w:r>
    </w:p>
    <w:p w14:paraId="5BE2CE01"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hemoglobino kiekio sumažėjimas.</w:t>
      </w:r>
    </w:p>
    <w:p w14:paraId="2705DE85" w14:textId="77777777" w:rsidR="00CA598F" w:rsidRPr="008A4655" w:rsidRDefault="00CA598F" w:rsidP="00CA598F">
      <w:pPr>
        <w:tabs>
          <w:tab w:val="clear" w:pos="567"/>
          <w:tab w:val="left" w:pos="720"/>
        </w:tabs>
        <w:spacing w:line="240" w:lineRule="auto"/>
        <w:ind w:right="-29"/>
        <w:rPr>
          <w:snapToGrid/>
          <w:szCs w:val="22"/>
          <w:lang w:val="lt-LT"/>
        </w:rPr>
      </w:pPr>
    </w:p>
    <w:p w14:paraId="27366C36" w14:textId="77777777" w:rsidR="00CA598F" w:rsidRPr="008A4655" w:rsidRDefault="00CA598F" w:rsidP="00CA598F">
      <w:pPr>
        <w:spacing w:line="240" w:lineRule="auto"/>
        <w:jc w:val="both"/>
        <w:rPr>
          <w:snapToGrid/>
          <w:szCs w:val="22"/>
          <w:lang w:val="lt-LT"/>
        </w:rPr>
      </w:pPr>
      <w:r w:rsidRPr="008A4655">
        <w:rPr>
          <w:b/>
          <w:bCs/>
          <w:szCs w:val="22"/>
          <w:lang w:val="lt-LT"/>
        </w:rPr>
        <w:t xml:space="preserve">Labai reti šalutinio poveikio reiškiniai </w:t>
      </w:r>
      <w:r w:rsidRPr="008A4655">
        <w:rPr>
          <w:szCs w:val="22"/>
          <w:lang w:val="lt-LT"/>
        </w:rPr>
        <w:t>(gali pasireikšti rečiau kaip 1 iš 10</w:t>
      </w:r>
      <w:r>
        <w:rPr>
          <w:szCs w:val="22"/>
          <w:lang w:val="lt-LT"/>
        </w:rPr>
        <w:t> </w:t>
      </w:r>
      <w:r w:rsidRPr="008A4655">
        <w:rPr>
          <w:szCs w:val="22"/>
          <w:lang w:val="lt-LT"/>
        </w:rPr>
        <w:t>000 asmenų)</w:t>
      </w:r>
      <w:r w:rsidRPr="008A4655">
        <w:rPr>
          <w:snapToGrid/>
          <w:szCs w:val="22"/>
          <w:lang w:val="lt-LT"/>
        </w:rPr>
        <w:t>:</w:t>
      </w:r>
    </w:p>
    <w:p w14:paraId="6DE20990"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stemplės uždegimas (</w:t>
      </w:r>
      <w:proofErr w:type="spellStart"/>
      <w:r w:rsidRPr="008A4655">
        <w:rPr>
          <w:snapToGrid/>
          <w:szCs w:val="22"/>
          <w:lang w:val="lt-LT"/>
        </w:rPr>
        <w:t>ezofagitas</w:t>
      </w:r>
      <w:proofErr w:type="spellEnd"/>
      <w:r w:rsidRPr="008A4655">
        <w:rPr>
          <w:snapToGrid/>
          <w:szCs w:val="22"/>
          <w:lang w:val="lt-LT"/>
        </w:rPr>
        <w:t>), kasos uždegimas (pankreatitas) ir diafragmos tipo žarnyno susiaurėjimo atsiradimas;</w:t>
      </w:r>
    </w:p>
    <w:p w14:paraId="1395D120"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širdies nepakankamumas, širdies priepuolis ir veido bei plaštakų patinimas (edema);</w:t>
      </w:r>
    </w:p>
    <w:p w14:paraId="75847D2E"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sumažėjęs šlapimo kiekis, patinimas (edema) ir šlapimo </w:t>
      </w:r>
      <w:proofErr w:type="spellStart"/>
      <w:r w:rsidRPr="008A4655">
        <w:rPr>
          <w:snapToGrid/>
          <w:szCs w:val="22"/>
          <w:lang w:val="lt-LT"/>
        </w:rPr>
        <w:t>drumstumas</w:t>
      </w:r>
      <w:proofErr w:type="spellEnd"/>
      <w:r w:rsidRPr="008A4655">
        <w:rPr>
          <w:snapToGrid/>
          <w:szCs w:val="22"/>
          <w:lang w:val="lt-LT"/>
        </w:rPr>
        <w:t xml:space="preserve"> (</w:t>
      </w:r>
      <w:proofErr w:type="spellStart"/>
      <w:r w:rsidRPr="008A4655">
        <w:rPr>
          <w:snapToGrid/>
          <w:szCs w:val="22"/>
          <w:lang w:val="lt-LT"/>
        </w:rPr>
        <w:t>nefrozinis</w:t>
      </w:r>
      <w:proofErr w:type="spellEnd"/>
      <w:r w:rsidRPr="008A4655">
        <w:rPr>
          <w:snapToGrid/>
          <w:szCs w:val="22"/>
          <w:lang w:val="lt-LT"/>
        </w:rPr>
        <w:t xml:space="preserve"> sindromas), uždegiminė inkstų liga (</w:t>
      </w:r>
      <w:proofErr w:type="spellStart"/>
      <w:r w:rsidRPr="008A4655">
        <w:rPr>
          <w:snapToGrid/>
          <w:szCs w:val="22"/>
          <w:lang w:val="lt-LT"/>
        </w:rPr>
        <w:t>intersticinis</w:t>
      </w:r>
      <w:proofErr w:type="spellEnd"/>
      <w:r w:rsidRPr="008A4655">
        <w:rPr>
          <w:snapToGrid/>
          <w:szCs w:val="22"/>
          <w:lang w:val="lt-LT"/>
        </w:rPr>
        <w:t xml:space="preserve"> nefritas), galinti sukelti ūminį inkstų nepakankamumą. </w:t>
      </w:r>
      <w:r w:rsidRPr="008A4655">
        <w:rPr>
          <w:snapToGrid/>
          <w:szCs w:val="22"/>
          <w:lang w:val="lt-LT"/>
        </w:rPr>
        <w:lastRenderedPageBreak/>
        <w:t xml:space="preserve">Jeigu pasireiškia bet kuris iš paminėtų simptomų, nutraukite </w:t>
      </w:r>
      <w:proofErr w:type="spellStart"/>
      <w:r>
        <w:rPr>
          <w:szCs w:val="22"/>
          <w:lang w:val="lt-LT"/>
        </w:rPr>
        <w:t>Ibuliq</w:t>
      </w:r>
      <w:proofErr w:type="spellEnd"/>
      <w:r w:rsidRPr="008A4655">
        <w:rPr>
          <w:szCs w:val="22"/>
          <w:lang w:val="lt-LT"/>
        </w:rPr>
        <w:t xml:space="preserve"> </w:t>
      </w:r>
      <w:r w:rsidRPr="008A4655">
        <w:rPr>
          <w:snapToGrid/>
          <w:szCs w:val="22"/>
          <w:lang w:val="lt-LT"/>
        </w:rPr>
        <w:t>vartojimą ir nedelsdami kreipkitės į gydytoją, nes tai gali būti pirmieji inkstų pažeidimo ar nepakankamumo požymiai;</w:t>
      </w:r>
    </w:p>
    <w:p w14:paraId="76C355A1"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proofErr w:type="spellStart"/>
      <w:r w:rsidRPr="008A4655">
        <w:rPr>
          <w:snapToGrid/>
          <w:szCs w:val="22"/>
          <w:lang w:val="lt-LT"/>
        </w:rPr>
        <w:t>psichozinės</w:t>
      </w:r>
      <w:proofErr w:type="spellEnd"/>
      <w:r w:rsidRPr="008A4655">
        <w:rPr>
          <w:snapToGrid/>
          <w:szCs w:val="22"/>
          <w:lang w:val="lt-LT"/>
        </w:rPr>
        <w:t xml:space="preserve"> reakcijos, depresija;</w:t>
      </w:r>
    </w:p>
    <w:p w14:paraId="3EB8EE82"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didelis kraujospūdis, kraujagyslių uždegimas (</w:t>
      </w:r>
      <w:proofErr w:type="spellStart"/>
      <w:r w:rsidRPr="008A4655">
        <w:rPr>
          <w:snapToGrid/>
          <w:szCs w:val="22"/>
          <w:lang w:val="lt-LT"/>
        </w:rPr>
        <w:t>vaskulitas</w:t>
      </w:r>
      <w:proofErr w:type="spellEnd"/>
      <w:r w:rsidRPr="008A4655">
        <w:rPr>
          <w:snapToGrid/>
          <w:szCs w:val="22"/>
          <w:lang w:val="lt-LT"/>
        </w:rPr>
        <w:t>);</w:t>
      </w:r>
    </w:p>
    <w:p w14:paraId="57A2D627"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stipraus širdies plakimo pjūtis (</w:t>
      </w:r>
      <w:proofErr w:type="spellStart"/>
      <w:r w:rsidRPr="008A4655">
        <w:rPr>
          <w:snapToGrid/>
          <w:szCs w:val="22"/>
          <w:lang w:val="lt-LT"/>
        </w:rPr>
        <w:t>palpitacijos</w:t>
      </w:r>
      <w:proofErr w:type="spellEnd"/>
      <w:r w:rsidRPr="008A4655">
        <w:rPr>
          <w:snapToGrid/>
          <w:szCs w:val="22"/>
          <w:lang w:val="lt-LT"/>
        </w:rPr>
        <w:t>);</w:t>
      </w:r>
    </w:p>
    <w:p w14:paraId="1CFE89B6"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kepenų funkcijos sutrikimas (pirmieji simptomai gali būti odos spalvos pokyčiai), kepenų pažeidimas (ypač ilgalaikio gydymo atveju), kepenų nepakankamumas, ūminis kepenų uždegimas (ūminis hepatitas);</w:t>
      </w:r>
    </w:p>
    <w:p w14:paraId="6BF5C20A"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kraujo ląstelių susidarymo sutrikimai. Ankstyvieji simptomai yra karščiavimas, gerklės skausmas, burnos išopėjimas, į gripą panašūs simptomai, labai stiprus nuovargis, kraujavimas iš nosies ir odos, bei kraujosruvų atsiradimas dėl nežinomos priežasties. Tokiu atveju nedelsdami nutraukite </w:t>
      </w:r>
      <w:proofErr w:type="spellStart"/>
      <w:r>
        <w:rPr>
          <w:szCs w:val="22"/>
          <w:lang w:val="lt-LT"/>
        </w:rPr>
        <w:t>Ibuliq</w:t>
      </w:r>
      <w:proofErr w:type="spellEnd"/>
      <w:r w:rsidRPr="008A4655">
        <w:rPr>
          <w:szCs w:val="22"/>
          <w:lang w:val="lt-LT"/>
        </w:rPr>
        <w:t xml:space="preserve"> </w:t>
      </w:r>
      <w:r w:rsidRPr="008A4655">
        <w:rPr>
          <w:snapToGrid/>
          <w:szCs w:val="22"/>
          <w:lang w:val="lt-LT"/>
        </w:rPr>
        <w:t>vartojimą ir kreipkitės į gydytoją. Negalima savo nuožiūra pradėti vartoti vaistų, kurie malšina skausmą, ir karščiavimą mažinančių vaistų (antipiretikų);</w:t>
      </w:r>
    </w:p>
    <w:p w14:paraId="4E21D8F1"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sunkios odos infekcijos ir minkštųjų audinių komplikacijos vėjaraupių infekcijos metu;</w:t>
      </w:r>
    </w:p>
    <w:p w14:paraId="038C7131"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aprašytas su infekcija susijusio uždegimo pasunkėjimas (pvz., </w:t>
      </w:r>
      <w:proofErr w:type="spellStart"/>
      <w:r w:rsidRPr="008A4655">
        <w:rPr>
          <w:snapToGrid/>
          <w:szCs w:val="22"/>
          <w:lang w:val="lt-LT"/>
        </w:rPr>
        <w:t>nekrozuojantis</w:t>
      </w:r>
      <w:proofErr w:type="spellEnd"/>
      <w:r w:rsidRPr="008A4655">
        <w:rPr>
          <w:snapToGrid/>
          <w:szCs w:val="22"/>
          <w:lang w:val="lt-LT"/>
        </w:rPr>
        <w:t xml:space="preserve"> </w:t>
      </w:r>
      <w:proofErr w:type="spellStart"/>
      <w:r w:rsidRPr="008A4655">
        <w:rPr>
          <w:snapToGrid/>
          <w:szCs w:val="22"/>
          <w:lang w:val="lt-LT"/>
        </w:rPr>
        <w:t>fascitas</w:t>
      </w:r>
      <w:proofErr w:type="spellEnd"/>
      <w:r w:rsidRPr="008A4655">
        <w:rPr>
          <w:snapToGrid/>
          <w:szCs w:val="22"/>
          <w:lang w:val="lt-LT"/>
        </w:rPr>
        <w:t>), susijęs su kai kurių vaistų nuo skausmo (NVNU) vartojimu. Jei atsiranda ar pasunkėja infekcijos simptomai, turite nedelsdami kreiptis į gydytoją. Turi būti įvertintas antibiotikų vartojimo poreikis;</w:t>
      </w:r>
    </w:p>
    <w:p w14:paraId="3DDF1DE6"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gydymo </w:t>
      </w:r>
      <w:proofErr w:type="spellStart"/>
      <w:r w:rsidRPr="008A4655">
        <w:rPr>
          <w:snapToGrid/>
          <w:szCs w:val="22"/>
          <w:lang w:val="lt-LT"/>
        </w:rPr>
        <w:t>ibuprofenu</w:t>
      </w:r>
      <w:proofErr w:type="spellEnd"/>
      <w:r w:rsidRPr="008A4655">
        <w:rPr>
          <w:snapToGrid/>
          <w:szCs w:val="22"/>
          <w:lang w:val="lt-LT"/>
        </w:rPr>
        <w:t xml:space="preserve"> metu stebėta </w:t>
      </w:r>
      <w:proofErr w:type="spellStart"/>
      <w:r w:rsidRPr="008A4655">
        <w:rPr>
          <w:snapToGrid/>
          <w:szCs w:val="22"/>
          <w:lang w:val="lt-LT"/>
        </w:rPr>
        <w:t>aseptinio</w:t>
      </w:r>
      <w:proofErr w:type="spellEnd"/>
      <w:r w:rsidRPr="008A4655">
        <w:rPr>
          <w:snapToGrid/>
          <w:szCs w:val="22"/>
          <w:lang w:val="lt-LT"/>
        </w:rPr>
        <w:t xml:space="preserve"> meningito simptomų, tokių kaip kaklo stingulys, galvos skausmas, pykinimas, vėmimas, karščiavimas ar orientacijos sutrikimas. Toks poveikis labiau yra tikėtinas pacientams, kurie serga autoimuninėmis ligomis (pvz., sistemine raudonąja vilklige, mišria jungiamojo audinio liga). Tokiu atveju nedelsdami kreipkitės į gydytoją;</w:t>
      </w:r>
    </w:p>
    <w:p w14:paraId="338AC3C4"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sunkios odos reakcijų formos, tokios kaip odos išbėrimas su paraudimu ir pūslėmis (pvz., </w:t>
      </w:r>
      <w:proofErr w:type="spellStart"/>
      <w:r w:rsidRPr="008A4655">
        <w:rPr>
          <w:snapToGrid/>
          <w:szCs w:val="22"/>
          <w:lang w:val="lt-LT"/>
        </w:rPr>
        <w:t>Stivenso</w:t>
      </w:r>
      <w:proofErr w:type="spellEnd"/>
      <w:r w:rsidRPr="008A4655">
        <w:rPr>
          <w:snapToGrid/>
          <w:szCs w:val="22"/>
          <w:lang w:val="lt-LT"/>
        </w:rPr>
        <w:t xml:space="preserve">-Džonsono sindromas, daugiaformė </w:t>
      </w:r>
      <w:proofErr w:type="spellStart"/>
      <w:r w:rsidRPr="008A4655">
        <w:rPr>
          <w:snapToGrid/>
          <w:szCs w:val="22"/>
          <w:lang w:val="lt-LT"/>
        </w:rPr>
        <w:t>eritema</w:t>
      </w:r>
      <w:proofErr w:type="spellEnd"/>
      <w:r w:rsidRPr="008A4655">
        <w:rPr>
          <w:snapToGrid/>
          <w:szCs w:val="22"/>
          <w:lang w:val="lt-LT"/>
        </w:rPr>
        <w:t xml:space="preserve">, toksinė epidermio </w:t>
      </w:r>
      <w:proofErr w:type="spellStart"/>
      <w:r w:rsidRPr="008A4655">
        <w:rPr>
          <w:snapToGrid/>
          <w:szCs w:val="22"/>
          <w:lang w:val="lt-LT"/>
        </w:rPr>
        <w:t>nekrolizė</w:t>
      </w:r>
      <w:proofErr w:type="spellEnd"/>
      <w:r w:rsidRPr="008A4655">
        <w:rPr>
          <w:snapToGrid/>
          <w:szCs w:val="22"/>
          <w:lang w:val="lt-LT"/>
        </w:rPr>
        <w:t xml:space="preserve">, </w:t>
      </w:r>
      <w:proofErr w:type="spellStart"/>
      <w:r w:rsidRPr="008A4655">
        <w:rPr>
          <w:snapToGrid/>
          <w:szCs w:val="22"/>
          <w:lang w:val="lt-LT"/>
        </w:rPr>
        <w:t>Lajelio</w:t>
      </w:r>
      <w:proofErr w:type="spellEnd"/>
      <w:r w:rsidRPr="008A4655">
        <w:rPr>
          <w:snapToGrid/>
          <w:szCs w:val="22"/>
          <w:lang w:val="lt-LT"/>
        </w:rPr>
        <w:t xml:space="preserve"> sindromas) ir plaukų slinkimas (</w:t>
      </w:r>
      <w:proofErr w:type="spellStart"/>
      <w:r w:rsidRPr="008A4655">
        <w:rPr>
          <w:snapToGrid/>
          <w:szCs w:val="22"/>
          <w:lang w:val="lt-LT"/>
        </w:rPr>
        <w:t>alopecija</w:t>
      </w:r>
      <w:proofErr w:type="spellEnd"/>
      <w:r w:rsidRPr="008A4655">
        <w:rPr>
          <w:snapToGrid/>
          <w:szCs w:val="22"/>
          <w:lang w:val="lt-LT"/>
        </w:rPr>
        <w:t>).</w:t>
      </w:r>
    </w:p>
    <w:p w14:paraId="6D850D6B" w14:textId="77777777" w:rsidR="00CA598F" w:rsidRPr="008A4655" w:rsidRDefault="00CA598F" w:rsidP="00CA598F">
      <w:pPr>
        <w:tabs>
          <w:tab w:val="clear" w:pos="567"/>
          <w:tab w:val="left" w:pos="720"/>
        </w:tabs>
        <w:spacing w:line="240" w:lineRule="auto"/>
        <w:ind w:right="-2"/>
        <w:rPr>
          <w:snapToGrid/>
          <w:szCs w:val="22"/>
          <w:lang w:val="lt-LT"/>
        </w:rPr>
      </w:pPr>
    </w:p>
    <w:p w14:paraId="2460AC32" w14:textId="77777777" w:rsidR="00CA598F" w:rsidRPr="008A4655" w:rsidRDefault="00CA598F" w:rsidP="00CA598F">
      <w:pPr>
        <w:spacing w:line="240" w:lineRule="auto"/>
        <w:rPr>
          <w:snapToGrid/>
          <w:szCs w:val="22"/>
          <w:lang w:val="lt-LT"/>
        </w:rPr>
      </w:pPr>
      <w:r w:rsidRPr="008A4655">
        <w:rPr>
          <w:b/>
          <w:bCs/>
          <w:snapToGrid/>
          <w:szCs w:val="22"/>
          <w:lang w:val="lt-LT"/>
        </w:rPr>
        <w:t xml:space="preserve">Šalutinio poveikio reiškiniai, kurių dažnis nežinomas </w:t>
      </w:r>
      <w:r w:rsidRPr="008A4655">
        <w:rPr>
          <w:snapToGrid/>
          <w:szCs w:val="22"/>
          <w:lang w:val="lt-LT"/>
        </w:rPr>
        <w:t>(negali būti apskaičiuotas pagal turimus duomenis):</w:t>
      </w:r>
    </w:p>
    <w:p w14:paraId="2BBACA6A" w14:textId="77777777" w:rsidR="00CA598F" w:rsidRPr="008A4655" w:rsidRDefault="00CA598F" w:rsidP="00CA598F">
      <w:pPr>
        <w:widowControl w:val="0"/>
        <w:numPr>
          <w:ilvl w:val="1"/>
          <w:numId w:val="4"/>
        </w:numPr>
        <w:autoSpaceDE w:val="0"/>
        <w:autoSpaceDN w:val="0"/>
        <w:spacing w:line="240" w:lineRule="auto"/>
        <w:ind w:left="567" w:hanging="567"/>
        <w:contextualSpacing/>
        <w:rPr>
          <w:snapToGrid/>
          <w:szCs w:val="22"/>
          <w:lang w:val="lt-LT"/>
        </w:rPr>
      </w:pPr>
      <w:r w:rsidRPr="008A4655">
        <w:rPr>
          <w:snapToGrid/>
          <w:szCs w:val="22"/>
          <w:lang w:val="lt-LT"/>
        </w:rPr>
        <w:t>kvėpavimo takų reaktyvumas, įskaitant astmą, bronchų spazmą ar dusulį;</w:t>
      </w:r>
    </w:p>
    <w:p w14:paraId="37F40C97" w14:textId="77777777" w:rsidR="00CA598F" w:rsidRPr="008A4655" w:rsidRDefault="00CA598F" w:rsidP="00CA598F">
      <w:pPr>
        <w:widowControl w:val="0"/>
        <w:numPr>
          <w:ilvl w:val="1"/>
          <w:numId w:val="4"/>
        </w:numPr>
        <w:autoSpaceDE w:val="0"/>
        <w:autoSpaceDN w:val="0"/>
        <w:spacing w:line="240" w:lineRule="auto"/>
        <w:ind w:left="567" w:right="275" w:hanging="567"/>
        <w:contextualSpacing/>
        <w:rPr>
          <w:snapToGrid/>
          <w:szCs w:val="22"/>
          <w:lang w:val="lt-LT"/>
        </w:rPr>
      </w:pPr>
      <w:r w:rsidRPr="008A4655">
        <w:rPr>
          <w:snapToGrid/>
          <w:szCs w:val="22"/>
          <w:lang w:val="lt-LT"/>
        </w:rPr>
        <w:t xml:space="preserve">sunki odos reakcija, vadinama </w:t>
      </w:r>
      <w:r w:rsidRPr="00FA6423">
        <w:rPr>
          <w:snapToGrid/>
          <w:szCs w:val="22"/>
          <w:lang w:val="lt-LT"/>
        </w:rPr>
        <w:t>V</w:t>
      </w:r>
      <w:r w:rsidRPr="00A13BF5">
        <w:rPr>
          <w:snapToGrid/>
          <w:szCs w:val="22"/>
          <w:lang w:val="lt-LT"/>
        </w:rPr>
        <w:t>RESS</w:t>
      </w:r>
      <w:r w:rsidRPr="00FA6423">
        <w:rPr>
          <w:snapToGrid/>
          <w:szCs w:val="22"/>
          <w:lang w:val="lt-LT"/>
        </w:rPr>
        <w:t xml:space="preserve"> sindromu. Galimi V</w:t>
      </w:r>
      <w:r w:rsidRPr="00A13BF5">
        <w:rPr>
          <w:snapToGrid/>
          <w:szCs w:val="22"/>
          <w:lang w:val="lt-LT"/>
        </w:rPr>
        <w:t>RESS</w:t>
      </w:r>
      <w:r w:rsidRPr="00FA6423">
        <w:rPr>
          <w:snapToGrid/>
          <w:szCs w:val="22"/>
          <w:lang w:val="lt-LT"/>
        </w:rPr>
        <w:t xml:space="preserve"> </w:t>
      </w:r>
      <w:r w:rsidRPr="008A4655">
        <w:rPr>
          <w:snapToGrid/>
          <w:szCs w:val="22"/>
          <w:lang w:val="lt-LT"/>
        </w:rPr>
        <w:t xml:space="preserve">sindromo simptomai yra odos išbėrimas, limfmazgių patinimas ir </w:t>
      </w:r>
      <w:proofErr w:type="spellStart"/>
      <w:r w:rsidRPr="008A4655">
        <w:rPr>
          <w:snapToGrid/>
          <w:szCs w:val="22"/>
          <w:lang w:val="lt-LT"/>
        </w:rPr>
        <w:t>eozinofilų</w:t>
      </w:r>
      <w:proofErr w:type="spellEnd"/>
      <w:r w:rsidRPr="008A4655">
        <w:rPr>
          <w:snapToGrid/>
          <w:szCs w:val="22"/>
          <w:lang w:val="lt-LT"/>
        </w:rPr>
        <w:t xml:space="preserve"> (tam tikrų baltųjų kraujo ląstelių) kiekio padidėjimas;</w:t>
      </w:r>
    </w:p>
    <w:p w14:paraId="2893CCA8"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 xml:space="preserve">plačiai išplitęs išbėrimas pleiskanojančiomis raudonomis dėmėmis su gumbais po oda ir pūslėmis, daugiausia pasireiškiantis odos raukšlių, liemens ir rankų srityje kartu su karščiavimu gydymo pradžioje (ūminė </w:t>
      </w:r>
      <w:proofErr w:type="spellStart"/>
      <w:r w:rsidRPr="008A4655">
        <w:rPr>
          <w:snapToGrid/>
          <w:szCs w:val="22"/>
          <w:lang w:val="lt-LT"/>
        </w:rPr>
        <w:t>generalizuota</w:t>
      </w:r>
      <w:proofErr w:type="spellEnd"/>
      <w:r w:rsidRPr="008A4655">
        <w:rPr>
          <w:snapToGrid/>
          <w:szCs w:val="22"/>
          <w:lang w:val="lt-LT"/>
        </w:rPr>
        <w:t xml:space="preserve"> </w:t>
      </w:r>
      <w:proofErr w:type="spellStart"/>
      <w:r w:rsidRPr="008A4655">
        <w:rPr>
          <w:snapToGrid/>
          <w:szCs w:val="22"/>
          <w:lang w:val="lt-LT"/>
        </w:rPr>
        <w:t>egzanteminė</w:t>
      </w:r>
      <w:proofErr w:type="spellEnd"/>
      <w:r w:rsidRPr="008A4655">
        <w:rPr>
          <w:snapToGrid/>
          <w:szCs w:val="22"/>
          <w:lang w:val="lt-LT"/>
        </w:rPr>
        <w:t xml:space="preserve"> </w:t>
      </w:r>
      <w:proofErr w:type="spellStart"/>
      <w:r w:rsidRPr="008A4655">
        <w:rPr>
          <w:snapToGrid/>
          <w:szCs w:val="22"/>
          <w:lang w:val="lt-LT"/>
        </w:rPr>
        <w:t>pustuliozė</w:t>
      </w:r>
      <w:proofErr w:type="spellEnd"/>
      <w:r w:rsidRPr="008A4655">
        <w:rPr>
          <w:snapToGrid/>
          <w:szCs w:val="22"/>
          <w:lang w:val="lt-LT"/>
        </w:rPr>
        <w:t xml:space="preserve">, </w:t>
      </w:r>
      <w:r w:rsidRPr="000C6A08">
        <w:rPr>
          <w:snapToGrid/>
          <w:szCs w:val="22"/>
          <w:lang w:val="lt-LT"/>
        </w:rPr>
        <w:t>Ū</w:t>
      </w:r>
      <w:r w:rsidRPr="00A13BF5">
        <w:rPr>
          <w:snapToGrid/>
          <w:szCs w:val="22"/>
          <w:lang w:val="lt-LT"/>
        </w:rPr>
        <w:t>GEP</w:t>
      </w:r>
      <w:r w:rsidRPr="008A4655">
        <w:rPr>
          <w:snapToGrid/>
          <w:szCs w:val="22"/>
          <w:lang w:val="lt-LT"/>
        </w:rPr>
        <w:t xml:space="preserve">). Jei Jums pasireiškia tokių simptomų, nutraukite </w:t>
      </w:r>
      <w:proofErr w:type="spellStart"/>
      <w:r>
        <w:rPr>
          <w:szCs w:val="22"/>
          <w:lang w:val="lt-LT"/>
        </w:rPr>
        <w:t>Ibuliq</w:t>
      </w:r>
      <w:proofErr w:type="spellEnd"/>
      <w:r w:rsidRPr="008A4655">
        <w:rPr>
          <w:szCs w:val="22"/>
          <w:lang w:val="lt-LT"/>
        </w:rPr>
        <w:t xml:space="preserve"> </w:t>
      </w:r>
      <w:r w:rsidRPr="008A4655">
        <w:rPr>
          <w:snapToGrid/>
          <w:szCs w:val="22"/>
          <w:lang w:val="lt-LT"/>
        </w:rPr>
        <w:t>vartojimą ir nedelsdami kreipkitės į medikus. Taip pat žr. 2 skyrių;</w:t>
      </w:r>
    </w:p>
    <w:p w14:paraId="491F0DAA"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odos jautrumas šviesai;</w:t>
      </w:r>
    </w:p>
    <w:p w14:paraId="475C1B48" w14:textId="77777777" w:rsidR="00CA598F" w:rsidRPr="008A4655" w:rsidRDefault="00CA598F" w:rsidP="00CA598F">
      <w:pPr>
        <w:widowControl w:val="0"/>
        <w:numPr>
          <w:ilvl w:val="1"/>
          <w:numId w:val="4"/>
        </w:numPr>
        <w:autoSpaceDE w:val="0"/>
        <w:autoSpaceDN w:val="0"/>
        <w:spacing w:line="240" w:lineRule="auto"/>
        <w:ind w:left="567" w:right="233" w:hanging="567"/>
        <w:contextualSpacing/>
        <w:rPr>
          <w:snapToGrid/>
          <w:szCs w:val="22"/>
          <w:lang w:val="lt-LT"/>
        </w:rPr>
      </w:pPr>
      <w:r w:rsidRPr="008A4655">
        <w:rPr>
          <w:snapToGrid/>
          <w:szCs w:val="22"/>
          <w:lang w:val="lt-LT"/>
        </w:rPr>
        <w:t>galvos skausmas, svaigulys, nemiga, baimingas susijaudinimas, irzlumas ar nuovargis.</w:t>
      </w:r>
    </w:p>
    <w:p w14:paraId="338F81E8" w14:textId="77777777" w:rsidR="00CA598F" w:rsidRPr="008A4655" w:rsidRDefault="00CA598F" w:rsidP="00CA598F">
      <w:pPr>
        <w:tabs>
          <w:tab w:val="clear" w:pos="567"/>
          <w:tab w:val="left" w:pos="720"/>
        </w:tabs>
        <w:spacing w:line="240" w:lineRule="auto"/>
        <w:ind w:right="-2"/>
        <w:rPr>
          <w:snapToGrid/>
          <w:szCs w:val="22"/>
          <w:lang w:val="lt-LT"/>
        </w:rPr>
      </w:pPr>
    </w:p>
    <w:p w14:paraId="23777893" w14:textId="77777777" w:rsidR="00CA598F" w:rsidRPr="008A4655" w:rsidRDefault="00CA598F" w:rsidP="00CA598F">
      <w:pPr>
        <w:spacing w:line="240" w:lineRule="auto"/>
        <w:rPr>
          <w:szCs w:val="22"/>
          <w:lang w:val="lt-LT"/>
        </w:rPr>
      </w:pPr>
      <w:r w:rsidRPr="008A4655">
        <w:rPr>
          <w:szCs w:val="22"/>
          <w:lang w:val="lt-LT"/>
        </w:rPr>
        <w:t xml:space="preserve">Tokie vaistai kaip </w:t>
      </w:r>
      <w:proofErr w:type="spellStart"/>
      <w:r>
        <w:rPr>
          <w:szCs w:val="22"/>
          <w:lang w:val="lt-LT"/>
        </w:rPr>
        <w:t>Ibuliq</w:t>
      </w:r>
      <w:proofErr w:type="spellEnd"/>
      <w:r w:rsidRPr="008A4655">
        <w:rPr>
          <w:szCs w:val="22"/>
          <w:lang w:val="lt-LT"/>
        </w:rPr>
        <w:t xml:space="preserve"> gali būti susiję su nedideliu širdies ar smegenų priepuolio (miokardo infarkto ar insulto) rizikos padidėjimu (žr. „Įspėjimai ir atsargumo priemonės“). Pranešta apie su tokių vaistų kaip </w:t>
      </w:r>
      <w:proofErr w:type="spellStart"/>
      <w:r>
        <w:rPr>
          <w:szCs w:val="22"/>
          <w:lang w:val="lt-LT"/>
        </w:rPr>
        <w:t>Ibuliq</w:t>
      </w:r>
      <w:proofErr w:type="spellEnd"/>
      <w:r w:rsidRPr="008A4655">
        <w:rPr>
          <w:szCs w:val="22"/>
          <w:lang w:val="lt-LT"/>
        </w:rPr>
        <w:t xml:space="preserve"> vartojimu susijusį kraujavimo laiko pailgėjimą, edemą (skysčių susilaikymą), didelį kraujospūdį ir širdies nepakankamumą.</w:t>
      </w:r>
    </w:p>
    <w:p w14:paraId="39596A55" w14:textId="77777777" w:rsidR="00CA598F" w:rsidRPr="008A4655" w:rsidRDefault="00CA598F" w:rsidP="00CA598F">
      <w:pPr>
        <w:widowControl w:val="0"/>
        <w:tabs>
          <w:tab w:val="clear" w:pos="567"/>
        </w:tabs>
        <w:autoSpaceDE w:val="0"/>
        <w:autoSpaceDN w:val="0"/>
        <w:spacing w:line="240" w:lineRule="auto"/>
        <w:ind w:right="4"/>
        <w:rPr>
          <w:snapToGrid/>
          <w:szCs w:val="22"/>
          <w:lang w:val="lt-LT"/>
        </w:rPr>
      </w:pPr>
    </w:p>
    <w:p w14:paraId="36510AEF" w14:textId="77777777" w:rsidR="00CA598F" w:rsidRPr="008A4655" w:rsidRDefault="00CA598F" w:rsidP="00CA598F">
      <w:pPr>
        <w:widowControl w:val="0"/>
        <w:tabs>
          <w:tab w:val="clear" w:pos="567"/>
        </w:tabs>
        <w:autoSpaceDE w:val="0"/>
        <w:autoSpaceDN w:val="0"/>
        <w:spacing w:line="240" w:lineRule="auto"/>
        <w:ind w:right="307"/>
        <w:rPr>
          <w:snapToGrid/>
          <w:szCs w:val="22"/>
          <w:lang w:val="lt-LT"/>
        </w:rPr>
      </w:pPr>
      <w:r w:rsidRPr="008A4655">
        <w:rPr>
          <w:snapToGrid/>
          <w:szCs w:val="22"/>
          <w:lang w:val="lt-LT"/>
        </w:rPr>
        <w:t xml:space="preserve">Remiantis kitų NVNU vartojimo patirtimi, negalima paneigti </w:t>
      </w:r>
      <w:proofErr w:type="spellStart"/>
      <w:r w:rsidRPr="008A4655">
        <w:rPr>
          <w:snapToGrid/>
          <w:szCs w:val="22"/>
          <w:lang w:val="lt-LT"/>
        </w:rPr>
        <w:t>intersticinio</w:t>
      </w:r>
      <w:proofErr w:type="spellEnd"/>
      <w:r w:rsidRPr="008A4655">
        <w:rPr>
          <w:snapToGrid/>
          <w:szCs w:val="22"/>
          <w:lang w:val="lt-LT"/>
        </w:rPr>
        <w:t xml:space="preserve"> nefrito (inkstų ligos), </w:t>
      </w:r>
      <w:proofErr w:type="spellStart"/>
      <w:r w:rsidRPr="008A4655">
        <w:rPr>
          <w:snapToGrid/>
          <w:szCs w:val="22"/>
          <w:lang w:val="lt-LT"/>
        </w:rPr>
        <w:t>nefrozinio</w:t>
      </w:r>
      <w:proofErr w:type="spellEnd"/>
      <w:r w:rsidRPr="008A4655">
        <w:rPr>
          <w:snapToGrid/>
          <w:szCs w:val="22"/>
          <w:lang w:val="lt-LT"/>
        </w:rPr>
        <w:t xml:space="preserve"> sindromo (sutrikimo, kuriam būdingas baltymas šlapime ir kūno pabrinkimas) ir inkstų nepakankamumo (staigaus inkstų veiklos nutrūkimo) pasireiškimo galimybės.</w:t>
      </w:r>
    </w:p>
    <w:p w14:paraId="5E1D344F" w14:textId="77777777" w:rsidR="00CA598F" w:rsidRPr="008A4655" w:rsidRDefault="00CA598F" w:rsidP="00CA598F">
      <w:pPr>
        <w:widowControl w:val="0"/>
        <w:tabs>
          <w:tab w:val="clear" w:pos="567"/>
        </w:tabs>
        <w:autoSpaceDE w:val="0"/>
        <w:autoSpaceDN w:val="0"/>
        <w:adjustRightInd w:val="0"/>
        <w:spacing w:line="240" w:lineRule="auto"/>
        <w:rPr>
          <w:snapToGrid/>
          <w:szCs w:val="22"/>
          <w:lang w:val="lt-LT"/>
        </w:rPr>
      </w:pPr>
    </w:p>
    <w:p w14:paraId="216CB176" w14:textId="77777777" w:rsidR="00CA598F" w:rsidRPr="008A4655" w:rsidRDefault="00CA598F" w:rsidP="00CA598F">
      <w:pPr>
        <w:widowControl w:val="0"/>
        <w:tabs>
          <w:tab w:val="clear" w:pos="567"/>
          <w:tab w:val="left" w:pos="540"/>
        </w:tabs>
        <w:spacing w:line="240" w:lineRule="auto"/>
        <w:rPr>
          <w:rFonts w:eastAsia="Calibri"/>
          <w:b/>
          <w:snapToGrid/>
          <w:szCs w:val="22"/>
          <w:lang w:val="lt-LT"/>
        </w:rPr>
      </w:pPr>
      <w:r w:rsidRPr="008A4655">
        <w:rPr>
          <w:rFonts w:eastAsia="Calibri"/>
          <w:b/>
          <w:snapToGrid/>
          <w:szCs w:val="22"/>
          <w:lang w:val="lt-LT"/>
        </w:rPr>
        <w:t>Pranešimas apie šalutinį poveikį</w:t>
      </w:r>
    </w:p>
    <w:p w14:paraId="61E0D1E2" w14:textId="77777777" w:rsidR="00CA598F" w:rsidRPr="008A4655" w:rsidRDefault="00CA598F" w:rsidP="00CA598F">
      <w:pPr>
        <w:widowControl w:val="0"/>
        <w:tabs>
          <w:tab w:val="clear" w:pos="567"/>
          <w:tab w:val="left" w:pos="540"/>
        </w:tabs>
        <w:spacing w:line="240" w:lineRule="auto"/>
        <w:rPr>
          <w:rFonts w:eastAsia="Calibri"/>
          <w:snapToGrid/>
          <w:szCs w:val="22"/>
          <w:lang w:val="lt-LT"/>
        </w:rPr>
      </w:pPr>
      <w:r w:rsidRPr="008A4655">
        <w:rPr>
          <w:rFonts w:eastAsia="Calibri"/>
          <w:snapToGrid/>
          <w:szCs w:val="22"/>
          <w:lang w:val="lt-LT"/>
        </w:rPr>
        <w:t xml:space="preserve">Jeigu pasireiškė šalutinis poveikis, įskaitant šiame lapelyje nenurodytą, pasakykite gydytojui, vaistininkui arba slaugytojui. Pranešimą apie šalutinį poveikį galite </w:t>
      </w:r>
      <w:r w:rsidRPr="006D6ACA">
        <w:rPr>
          <w:szCs w:val="22"/>
          <w:lang w:val="lt-LT" w:eastAsia="lt-LT"/>
        </w:rPr>
        <w:t xml:space="preserve">užpildyti ir pateikti Valstybinės vaistų kontrolės tarnybos prie Lietuvos Respublikos sveikatos apsaugos ministerijos tinklalapyje </w:t>
      </w:r>
      <w:r w:rsidRPr="006D6ACA">
        <w:rPr>
          <w:color w:val="0000EE"/>
          <w:szCs w:val="22"/>
          <w:u w:val="single"/>
          <w:lang w:val="lt-LT" w:eastAsia="lt-LT"/>
        </w:rPr>
        <w:t>https://vvkt.lrv.lt/lt/</w:t>
      </w:r>
      <w:r w:rsidRPr="006D6ACA">
        <w:rPr>
          <w:szCs w:val="22"/>
          <w:lang w:val="lt-LT" w:eastAsia="lt-LT"/>
        </w:rPr>
        <w:t xml:space="preserve"> nurodytais būdais arba paskambinti nemokamu telefonu </w:t>
      </w:r>
      <w:r>
        <w:rPr>
          <w:szCs w:val="22"/>
          <w:lang w:val="lt-LT" w:eastAsia="lt-LT"/>
        </w:rPr>
        <w:t>+370</w:t>
      </w:r>
      <w:r w:rsidRPr="006D6ACA">
        <w:rPr>
          <w:szCs w:val="22"/>
          <w:lang w:val="lt-LT" w:eastAsia="lt-LT"/>
        </w:rPr>
        <w:t xml:space="preserve"> 800 73 568.</w:t>
      </w:r>
      <w:r w:rsidRPr="008A4655">
        <w:rPr>
          <w:rFonts w:eastAsia="Calibri"/>
          <w:snapToGrid/>
          <w:szCs w:val="22"/>
          <w:lang w:val="lt-LT"/>
        </w:rPr>
        <w:t xml:space="preserve"> </w:t>
      </w:r>
      <w:r w:rsidRPr="008A4655">
        <w:rPr>
          <w:rFonts w:eastAsia="Calibri"/>
          <w:snapToGrid/>
          <w:szCs w:val="22"/>
          <w:lang w:val="lt-LT"/>
        </w:rPr>
        <w:lastRenderedPageBreak/>
        <w:t>Pranešdami apie šalutinį poveikį galite mums padėti gauti daugiau informacijos apie šio vaisto saugumą.</w:t>
      </w:r>
    </w:p>
    <w:p w14:paraId="08E0B906"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3026E091"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5E81D5CB" w14:textId="77777777" w:rsidR="00CA598F" w:rsidRPr="008A4655" w:rsidRDefault="00CA598F" w:rsidP="00CA598F">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5.</w:t>
      </w:r>
      <w:r w:rsidRPr="008A4655">
        <w:rPr>
          <w:b/>
          <w:snapToGrid/>
          <w:szCs w:val="22"/>
          <w:lang w:val="lt-LT"/>
        </w:rPr>
        <w:tab/>
        <w:t xml:space="preserve">Kaip laikyti </w:t>
      </w:r>
      <w:proofErr w:type="spellStart"/>
      <w:r>
        <w:rPr>
          <w:b/>
          <w:snapToGrid/>
          <w:szCs w:val="22"/>
          <w:lang w:val="lt-LT"/>
        </w:rPr>
        <w:t>Ibuliq</w:t>
      </w:r>
      <w:proofErr w:type="spellEnd"/>
    </w:p>
    <w:p w14:paraId="35F3B2A6" w14:textId="77777777" w:rsidR="00CA598F" w:rsidRPr="008A4655" w:rsidRDefault="00CA598F" w:rsidP="00CA598F">
      <w:pPr>
        <w:widowControl w:val="0"/>
        <w:tabs>
          <w:tab w:val="clear" w:pos="567"/>
        </w:tabs>
        <w:spacing w:line="240" w:lineRule="auto"/>
        <w:rPr>
          <w:i/>
          <w:snapToGrid/>
          <w:szCs w:val="22"/>
          <w:lang w:val="lt-LT"/>
        </w:rPr>
      </w:pPr>
    </w:p>
    <w:p w14:paraId="61196557"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r w:rsidRPr="008A4655">
        <w:rPr>
          <w:snapToGrid/>
          <w:szCs w:val="22"/>
          <w:lang w:val="lt-LT"/>
        </w:rPr>
        <w:t>Šį vaistą laikykite vaikams nepastebimoje ir nepasiekiamoje vietoje.</w:t>
      </w:r>
    </w:p>
    <w:p w14:paraId="2651AF0C" w14:textId="77777777" w:rsidR="00CA598F" w:rsidRPr="008A4655" w:rsidRDefault="00CA598F" w:rsidP="00CA598F">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Laikyti žemesnėje kaip 30 °C temperatūroje.</w:t>
      </w:r>
    </w:p>
    <w:p w14:paraId="26B51D2D"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0D2D1B92" w14:textId="77777777" w:rsidR="00CA598F" w:rsidRPr="008A4655" w:rsidRDefault="00CA598F" w:rsidP="00CA598F">
      <w:pPr>
        <w:widowControl w:val="0"/>
        <w:tabs>
          <w:tab w:val="clear" w:pos="567"/>
        </w:tabs>
        <w:spacing w:line="240" w:lineRule="auto"/>
        <w:rPr>
          <w:iCs/>
          <w:snapToGrid/>
          <w:szCs w:val="22"/>
          <w:lang w:val="lt-LT"/>
        </w:rPr>
      </w:pPr>
      <w:r w:rsidRPr="008A4655">
        <w:rPr>
          <w:iCs/>
          <w:snapToGrid/>
          <w:szCs w:val="22"/>
          <w:lang w:val="lt-LT"/>
        </w:rPr>
        <w:t>Ant lizdinės plokštelės ar dėžutės po „EXP“ nurodytam tinkamumo laikui pasibaigus, šio vaisto vartoti negalima. Vaistas tinkamas vartoti iki paskutinės nurodyto mėnesio dienos.</w:t>
      </w:r>
    </w:p>
    <w:p w14:paraId="168769D0"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63F305C2" w14:textId="77777777" w:rsidR="00CA598F" w:rsidRPr="008A4655" w:rsidRDefault="00CA598F" w:rsidP="00CA598F">
      <w:pPr>
        <w:widowControl w:val="0"/>
        <w:tabs>
          <w:tab w:val="clear" w:pos="567"/>
        </w:tabs>
        <w:spacing w:line="240" w:lineRule="auto"/>
        <w:rPr>
          <w:rFonts w:eastAsia="TimesNewRoman"/>
          <w:snapToGrid/>
          <w:szCs w:val="22"/>
          <w:lang w:val="lt-LT"/>
        </w:rPr>
      </w:pPr>
      <w:r w:rsidRPr="008A4655">
        <w:rPr>
          <w:rFonts w:eastAsia="TimesNewRoman"/>
          <w:snapToGrid/>
          <w:szCs w:val="22"/>
          <w:lang w:val="lt-LT"/>
        </w:rPr>
        <w:t>Pastebėj</w:t>
      </w:r>
      <w:r>
        <w:rPr>
          <w:rFonts w:eastAsia="TimesNewRoman"/>
          <w:snapToGrid/>
          <w:szCs w:val="22"/>
          <w:lang w:val="lt-LT"/>
        </w:rPr>
        <w:t>us</w:t>
      </w:r>
      <w:r w:rsidRPr="008A4655">
        <w:rPr>
          <w:rFonts w:eastAsia="TimesNewRoman"/>
          <w:snapToGrid/>
          <w:szCs w:val="22"/>
          <w:lang w:val="lt-LT"/>
        </w:rPr>
        <w:t xml:space="preserve"> bet kokių kapsulės pažeidimų, šio vaisto </w:t>
      </w:r>
      <w:r>
        <w:rPr>
          <w:rFonts w:eastAsia="TimesNewRoman"/>
          <w:snapToGrid/>
          <w:szCs w:val="22"/>
          <w:lang w:val="lt-LT"/>
        </w:rPr>
        <w:t>vartoti negalima</w:t>
      </w:r>
      <w:r w:rsidRPr="008A4655">
        <w:rPr>
          <w:rFonts w:eastAsia="TimesNewRoman"/>
          <w:snapToGrid/>
          <w:szCs w:val="22"/>
          <w:lang w:val="lt-LT"/>
        </w:rPr>
        <w:t>.</w:t>
      </w:r>
    </w:p>
    <w:p w14:paraId="7D30E254" w14:textId="77777777" w:rsidR="00CA598F" w:rsidRPr="008A4655" w:rsidRDefault="00CA598F" w:rsidP="00CA598F">
      <w:pPr>
        <w:widowControl w:val="0"/>
        <w:tabs>
          <w:tab w:val="clear" w:pos="567"/>
        </w:tabs>
        <w:spacing w:line="240" w:lineRule="auto"/>
        <w:rPr>
          <w:rFonts w:eastAsia="TimesNewRoman"/>
          <w:snapToGrid/>
          <w:szCs w:val="22"/>
          <w:lang w:val="lt-LT"/>
        </w:rPr>
      </w:pPr>
    </w:p>
    <w:p w14:paraId="57679E36"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r w:rsidRPr="008A4655">
        <w:rPr>
          <w:snapToGrid/>
          <w:szCs w:val="22"/>
          <w:lang w:val="lt-LT"/>
        </w:rPr>
        <w:t>Vaistų negalima išmesti į kanalizaciją arba su buitinėmis</w:t>
      </w:r>
      <w:r w:rsidRPr="008A4655">
        <w:rPr>
          <w:snapToGrid/>
          <w:color w:val="993366"/>
          <w:szCs w:val="22"/>
          <w:lang w:val="lt-LT"/>
        </w:rPr>
        <w:t xml:space="preserve"> </w:t>
      </w:r>
      <w:r w:rsidRPr="008A4655">
        <w:rPr>
          <w:snapToGrid/>
          <w:szCs w:val="22"/>
          <w:lang w:val="lt-LT"/>
        </w:rPr>
        <w:t>atliekomis. Kaip išmesti nereikalingus vaistus, klauskite vaistininko. Šios priemonės padės apsaugoti aplinką.</w:t>
      </w:r>
    </w:p>
    <w:p w14:paraId="3D2D5476"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0F0DFA5A"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264A0D1D" w14:textId="77777777" w:rsidR="00CA598F" w:rsidRPr="008A4655" w:rsidRDefault="00CA598F" w:rsidP="00CA598F">
      <w:pPr>
        <w:widowControl w:val="0"/>
        <w:numPr>
          <w:ilvl w:val="12"/>
          <w:numId w:val="0"/>
        </w:numPr>
        <w:tabs>
          <w:tab w:val="clear" w:pos="567"/>
        </w:tabs>
        <w:spacing w:line="240" w:lineRule="auto"/>
        <w:ind w:left="567" w:hanging="567"/>
        <w:outlineLvl w:val="0"/>
        <w:rPr>
          <w:b/>
          <w:caps/>
          <w:snapToGrid/>
          <w:szCs w:val="22"/>
          <w:lang w:val="lt-LT"/>
        </w:rPr>
      </w:pPr>
      <w:r w:rsidRPr="008A4655">
        <w:rPr>
          <w:b/>
          <w:snapToGrid/>
          <w:szCs w:val="22"/>
          <w:lang w:val="lt-LT"/>
        </w:rPr>
        <w:t>6.</w:t>
      </w:r>
      <w:r w:rsidRPr="008A4655">
        <w:rPr>
          <w:b/>
          <w:snapToGrid/>
          <w:szCs w:val="22"/>
          <w:lang w:val="lt-LT"/>
        </w:rPr>
        <w:tab/>
        <w:t>Pakuotės turinys ir kita informacija</w:t>
      </w:r>
    </w:p>
    <w:p w14:paraId="01E5D0C7" w14:textId="77777777" w:rsidR="00CA598F" w:rsidRPr="008A4655" w:rsidRDefault="00CA598F" w:rsidP="00CA598F">
      <w:pPr>
        <w:widowControl w:val="0"/>
        <w:numPr>
          <w:ilvl w:val="12"/>
          <w:numId w:val="0"/>
        </w:numPr>
        <w:tabs>
          <w:tab w:val="clear" w:pos="567"/>
        </w:tabs>
        <w:spacing w:line="240" w:lineRule="auto"/>
        <w:rPr>
          <w:snapToGrid/>
          <w:szCs w:val="22"/>
          <w:lang w:val="lt-LT"/>
        </w:rPr>
      </w:pPr>
    </w:p>
    <w:p w14:paraId="68872175" w14:textId="77777777" w:rsidR="00CA598F" w:rsidRPr="008A4655" w:rsidRDefault="00CA598F" w:rsidP="00CA598F">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Ibuliq</w:t>
      </w:r>
      <w:proofErr w:type="spellEnd"/>
      <w:r w:rsidRPr="008A4655">
        <w:rPr>
          <w:b/>
          <w:bCs/>
          <w:snapToGrid/>
          <w:szCs w:val="22"/>
          <w:lang w:val="lt-LT"/>
        </w:rPr>
        <w:t xml:space="preserve"> sudėtis</w:t>
      </w:r>
    </w:p>
    <w:p w14:paraId="231B6411" w14:textId="77777777" w:rsidR="00CA598F" w:rsidRPr="008A4655" w:rsidRDefault="00CA598F" w:rsidP="00CA598F">
      <w:pPr>
        <w:widowControl w:val="0"/>
        <w:numPr>
          <w:ilvl w:val="0"/>
          <w:numId w:val="2"/>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 xml:space="preserve">Veiklioji medžiaga </w:t>
      </w:r>
      <w:r w:rsidRPr="008A4655">
        <w:rPr>
          <w:rFonts w:eastAsia="TimesNewRoman"/>
          <w:snapToGrid/>
          <w:szCs w:val="22"/>
          <w:lang w:val="lt-LT"/>
        </w:rPr>
        <w:t xml:space="preserve">yra </w:t>
      </w:r>
      <w:proofErr w:type="spellStart"/>
      <w:r w:rsidRPr="008A4655">
        <w:rPr>
          <w:rFonts w:eastAsia="TimesNewRoman"/>
          <w:snapToGrid/>
          <w:szCs w:val="22"/>
          <w:lang w:val="lt-LT"/>
        </w:rPr>
        <w:t>ibuprofenas</w:t>
      </w:r>
      <w:proofErr w:type="spellEnd"/>
      <w:r w:rsidRPr="008A4655">
        <w:rPr>
          <w:rFonts w:eastAsia="TimesNewRoman"/>
          <w:snapToGrid/>
          <w:szCs w:val="22"/>
          <w:lang w:val="lt-LT"/>
        </w:rPr>
        <w:t xml:space="preserve">. Kiekvienoje minkštojoje kapsulėje yra 200 mg </w:t>
      </w:r>
      <w:proofErr w:type="spellStart"/>
      <w:r w:rsidRPr="008A4655">
        <w:rPr>
          <w:rFonts w:eastAsia="TimesNewRoman"/>
          <w:snapToGrid/>
          <w:szCs w:val="22"/>
          <w:lang w:val="lt-LT"/>
        </w:rPr>
        <w:t>ibuprofeno</w:t>
      </w:r>
      <w:proofErr w:type="spellEnd"/>
      <w:r w:rsidRPr="008A4655">
        <w:rPr>
          <w:rFonts w:eastAsia="TimesNewRoman"/>
          <w:snapToGrid/>
          <w:szCs w:val="22"/>
          <w:lang w:val="lt-LT"/>
        </w:rPr>
        <w:t>.</w:t>
      </w:r>
    </w:p>
    <w:p w14:paraId="6CDAB37E" w14:textId="77777777" w:rsidR="00CA598F" w:rsidRPr="008A4655" w:rsidRDefault="00CA598F" w:rsidP="00CA598F">
      <w:pPr>
        <w:widowControl w:val="0"/>
        <w:numPr>
          <w:ilvl w:val="0"/>
          <w:numId w:val="2"/>
        </w:numPr>
        <w:tabs>
          <w:tab w:val="clear" w:pos="567"/>
        </w:tabs>
        <w:autoSpaceDE w:val="0"/>
        <w:autoSpaceDN w:val="0"/>
        <w:adjustRightInd w:val="0"/>
        <w:spacing w:line="240" w:lineRule="auto"/>
        <w:ind w:left="567" w:hanging="567"/>
        <w:rPr>
          <w:rFonts w:eastAsia="TimesNewRoman"/>
          <w:snapToGrid/>
          <w:szCs w:val="22"/>
          <w:lang w:val="lt-LT"/>
        </w:rPr>
      </w:pPr>
      <w:r w:rsidRPr="008A4655">
        <w:rPr>
          <w:snapToGrid/>
          <w:szCs w:val="22"/>
          <w:lang w:val="lt-LT"/>
        </w:rPr>
        <w:t>Pagalbinės medžiagos:</w:t>
      </w:r>
    </w:p>
    <w:p w14:paraId="1D24E861" w14:textId="77777777" w:rsidR="00CA598F" w:rsidRPr="008A4655" w:rsidRDefault="00CA598F" w:rsidP="00CA598F">
      <w:pPr>
        <w:widowControl w:val="0"/>
        <w:tabs>
          <w:tab w:val="clear" w:pos="567"/>
        </w:tabs>
        <w:autoSpaceDE w:val="0"/>
        <w:autoSpaceDN w:val="0"/>
        <w:adjustRightInd w:val="0"/>
        <w:spacing w:line="240" w:lineRule="auto"/>
        <w:ind w:left="567"/>
        <w:rPr>
          <w:snapToGrid/>
          <w:szCs w:val="22"/>
          <w:lang w:val="lt-LT"/>
        </w:rPr>
      </w:pPr>
      <w:r w:rsidRPr="008A4655">
        <w:rPr>
          <w:i/>
          <w:iCs/>
          <w:snapToGrid/>
          <w:szCs w:val="22"/>
          <w:lang w:val="lt-LT"/>
        </w:rPr>
        <w:t>Branduolys</w:t>
      </w:r>
      <w:r w:rsidRPr="008A4655">
        <w:rPr>
          <w:snapToGrid/>
          <w:szCs w:val="22"/>
          <w:lang w:val="lt-LT"/>
        </w:rPr>
        <w:t xml:space="preserve">: </w:t>
      </w:r>
      <w:proofErr w:type="spellStart"/>
      <w:r w:rsidRPr="008A4655">
        <w:rPr>
          <w:snapToGrid/>
          <w:szCs w:val="22"/>
          <w:lang w:val="lt-LT"/>
        </w:rPr>
        <w:t>makrogolis</w:t>
      </w:r>
      <w:proofErr w:type="spellEnd"/>
      <w:r w:rsidRPr="008A4655">
        <w:rPr>
          <w:snapToGrid/>
          <w:szCs w:val="22"/>
          <w:lang w:val="lt-LT"/>
        </w:rPr>
        <w:t xml:space="preserve"> 600, kalio hidroksidas, išgrynintas vanduo.</w:t>
      </w:r>
    </w:p>
    <w:p w14:paraId="2BF3919A" w14:textId="77777777" w:rsidR="00CA598F" w:rsidRPr="008A4655" w:rsidRDefault="00CA598F" w:rsidP="00CA598F">
      <w:pPr>
        <w:widowControl w:val="0"/>
        <w:tabs>
          <w:tab w:val="clear" w:pos="567"/>
        </w:tabs>
        <w:autoSpaceDE w:val="0"/>
        <w:autoSpaceDN w:val="0"/>
        <w:adjustRightInd w:val="0"/>
        <w:spacing w:line="240" w:lineRule="auto"/>
        <w:ind w:left="567"/>
        <w:rPr>
          <w:rFonts w:eastAsia="TimesNewRoman"/>
          <w:snapToGrid/>
          <w:szCs w:val="22"/>
          <w:lang w:val="lt-LT"/>
        </w:rPr>
      </w:pPr>
      <w:r w:rsidRPr="008A4655">
        <w:rPr>
          <w:i/>
          <w:iCs/>
          <w:snapToGrid/>
          <w:szCs w:val="22"/>
          <w:lang w:val="lt-LT"/>
        </w:rPr>
        <w:t>Kapsulė</w:t>
      </w:r>
      <w:r w:rsidRPr="008A4655">
        <w:rPr>
          <w:snapToGrid/>
          <w:szCs w:val="22"/>
          <w:lang w:val="lt-LT"/>
        </w:rPr>
        <w:t xml:space="preserve">: želatina, iš dalies </w:t>
      </w:r>
      <w:proofErr w:type="spellStart"/>
      <w:r w:rsidRPr="008A4655">
        <w:rPr>
          <w:snapToGrid/>
          <w:szCs w:val="22"/>
          <w:lang w:val="lt-LT"/>
        </w:rPr>
        <w:t>dehidratuotas</w:t>
      </w:r>
      <w:proofErr w:type="spellEnd"/>
      <w:r w:rsidRPr="008A4655">
        <w:rPr>
          <w:snapToGrid/>
          <w:szCs w:val="22"/>
          <w:lang w:val="lt-LT"/>
        </w:rPr>
        <w:t xml:space="preserve"> skystasis </w:t>
      </w:r>
      <w:proofErr w:type="spellStart"/>
      <w:r w:rsidRPr="008A4655">
        <w:rPr>
          <w:snapToGrid/>
          <w:szCs w:val="22"/>
          <w:lang w:val="lt-LT"/>
        </w:rPr>
        <w:t>sorbitolis</w:t>
      </w:r>
      <w:proofErr w:type="spellEnd"/>
      <w:r w:rsidRPr="008A4655">
        <w:rPr>
          <w:snapToGrid/>
          <w:szCs w:val="22"/>
          <w:lang w:val="lt-LT"/>
        </w:rPr>
        <w:t xml:space="preserve"> (E 420), išgrynintas vanduo, </w:t>
      </w:r>
      <w:proofErr w:type="spellStart"/>
      <w:r w:rsidRPr="008A4655">
        <w:rPr>
          <w:snapToGrid/>
          <w:szCs w:val="22"/>
          <w:lang w:val="lt-LT"/>
        </w:rPr>
        <w:t>tartrazinas</w:t>
      </w:r>
      <w:proofErr w:type="spellEnd"/>
      <w:r w:rsidRPr="008A4655">
        <w:rPr>
          <w:snapToGrid/>
          <w:szCs w:val="22"/>
          <w:lang w:val="lt-LT"/>
        </w:rPr>
        <w:t xml:space="preserve"> (E102) ir vidutinės grandinės trigliceridai</w:t>
      </w:r>
      <w:r w:rsidRPr="008A4655">
        <w:rPr>
          <w:rFonts w:eastAsia="TimesNewRoman"/>
          <w:snapToGrid/>
          <w:szCs w:val="22"/>
          <w:lang w:val="lt-LT"/>
        </w:rPr>
        <w:t>.</w:t>
      </w:r>
    </w:p>
    <w:p w14:paraId="3A259BE9" w14:textId="77777777" w:rsidR="00CA598F" w:rsidRPr="008A4655" w:rsidRDefault="00CA598F" w:rsidP="00CA598F">
      <w:pPr>
        <w:widowControl w:val="0"/>
        <w:tabs>
          <w:tab w:val="clear" w:pos="567"/>
        </w:tabs>
        <w:spacing w:line="240" w:lineRule="auto"/>
        <w:ind w:right="-2"/>
        <w:rPr>
          <w:snapToGrid/>
          <w:szCs w:val="22"/>
          <w:lang w:val="lt-LT"/>
        </w:rPr>
      </w:pPr>
    </w:p>
    <w:p w14:paraId="4FDB00C0" w14:textId="77777777" w:rsidR="00CA598F" w:rsidRPr="008A4655" w:rsidRDefault="00CA598F" w:rsidP="00CA598F">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Ibuliq</w:t>
      </w:r>
      <w:proofErr w:type="spellEnd"/>
      <w:r w:rsidRPr="008A4655">
        <w:rPr>
          <w:b/>
          <w:bCs/>
          <w:snapToGrid/>
          <w:szCs w:val="22"/>
          <w:lang w:val="lt-LT"/>
        </w:rPr>
        <w:t xml:space="preserve"> išvaizda ir kiekis pakuotėje</w:t>
      </w:r>
    </w:p>
    <w:p w14:paraId="1FB8AE0D" w14:textId="77777777" w:rsidR="00CA598F" w:rsidRPr="008A4655" w:rsidRDefault="00CA598F" w:rsidP="00CA598F">
      <w:pPr>
        <w:widowControl w:val="0"/>
        <w:tabs>
          <w:tab w:val="clear" w:pos="567"/>
        </w:tabs>
        <w:spacing w:line="240" w:lineRule="auto"/>
        <w:rPr>
          <w:snapToGrid/>
          <w:szCs w:val="22"/>
          <w:lang w:val="lt-LT"/>
        </w:rPr>
      </w:pPr>
      <w:proofErr w:type="spellStart"/>
      <w:r>
        <w:rPr>
          <w:snapToGrid/>
          <w:szCs w:val="22"/>
          <w:lang w:val="lt-LT"/>
        </w:rPr>
        <w:t>Ibuliq</w:t>
      </w:r>
      <w:proofErr w:type="spellEnd"/>
      <w:r w:rsidRPr="008A4655">
        <w:rPr>
          <w:snapToGrid/>
          <w:szCs w:val="22"/>
          <w:lang w:val="lt-LT"/>
        </w:rPr>
        <w:t xml:space="preserve"> minkštoji želatininė kapsulė yra ovalo formos (maždaug </w:t>
      </w:r>
      <w:r>
        <w:rPr>
          <w:snapToGrid/>
          <w:szCs w:val="22"/>
          <w:lang w:val="lt-LT"/>
        </w:rPr>
        <w:t>14</w:t>
      </w:r>
      <w:r w:rsidRPr="008A4655">
        <w:rPr>
          <w:snapToGrid/>
          <w:szCs w:val="22"/>
          <w:lang w:val="lt-LT"/>
        </w:rPr>
        <w:t xml:space="preserve"> mm x 8 mm), geltonos spalvos, užpildyta </w:t>
      </w:r>
      <w:r>
        <w:rPr>
          <w:snapToGrid/>
          <w:szCs w:val="22"/>
          <w:lang w:val="lt-LT"/>
        </w:rPr>
        <w:t>skaidriu</w:t>
      </w:r>
      <w:r w:rsidRPr="008A4655">
        <w:rPr>
          <w:snapToGrid/>
          <w:szCs w:val="22"/>
          <w:lang w:val="lt-LT"/>
        </w:rPr>
        <w:t xml:space="preserve"> skysčiu.</w:t>
      </w:r>
    </w:p>
    <w:p w14:paraId="0AF9FC92" w14:textId="77777777" w:rsidR="00CA598F" w:rsidRPr="008A4655" w:rsidRDefault="00CA598F" w:rsidP="00CA598F">
      <w:pPr>
        <w:widowControl w:val="0"/>
        <w:tabs>
          <w:tab w:val="clear" w:pos="567"/>
        </w:tabs>
        <w:autoSpaceDE w:val="0"/>
        <w:autoSpaceDN w:val="0"/>
        <w:adjustRightInd w:val="0"/>
        <w:spacing w:line="240" w:lineRule="auto"/>
        <w:rPr>
          <w:rFonts w:eastAsia="TimesNewRoman"/>
          <w:snapToGrid/>
          <w:szCs w:val="22"/>
          <w:lang w:val="lt-LT"/>
        </w:rPr>
      </w:pPr>
      <w:proofErr w:type="spellStart"/>
      <w:r>
        <w:rPr>
          <w:rFonts w:eastAsia="TimesNewRoman"/>
          <w:snapToGrid/>
          <w:szCs w:val="22"/>
          <w:lang w:val="lt-LT"/>
        </w:rPr>
        <w:t>Ibuliq</w:t>
      </w:r>
      <w:proofErr w:type="spellEnd"/>
      <w:r w:rsidRPr="008A4655">
        <w:rPr>
          <w:rFonts w:eastAsia="TimesNewRoman"/>
          <w:snapToGrid/>
          <w:szCs w:val="22"/>
          <w:lang w:val="lt-LT"/>
        </w:rPr>
        <w:t xml:space="preserve"> tiekiamas pakuotėmis po 10, 20 arba 30 minkštųjų kapsulių PVC/PV</w:t>
      </w:r>
      <w:r>
        <w:rPr>
          <w:rFonts w:eastAsia="TimesNewRoman"/>
          <w:snapToGrid/>
          <w:szCs w:val="22"/>
          <w:lang w:val="lt-LT"/>
        </w:rPr>
        <w:t>D</w:t>
      </w:r>
      <w:r w:rsidRPr="008A4655">
        <w:rPr>
          <w:rFonts w:eastAsia="TimesNewRoman"/>
          <w:snapToGrid/>
          <w:szCs w:val="22"/>
          <w:lang w:val="lt-LT"/>
        </w:rPr>
        <w:t>C/aliuminio lizdinėse plokštelėse. Gali būti tiekiamos ne visų dydžių pakuotės.</w:t>
      </w:r>
    </w:p>
    <w:p w14:paraId="335B2A55"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4B73C8AF" w14:textId="77777777" w:rsidR="00CA598F" w:rsidRPr="008A4655" w:rsidRDefault="00CA598F" w:rsidP="00CA598F">
      <w:pPr>
        <w:widowControl w:val="0"/>
        <w:numPr>
          <w:ilvl w:val="12"/>
          <w:numId w:val="0"/>
        </w:numPr>
        <w:tabs>
          <w:tab w:val="clear" w:pos="567"/>
        </w:tabs>
        <w:spacing w:line="240" w:lineRule="auto"/>
        <w:rPr>
          <w:b/>
          <w:bCs/>
          <w:snapToGrid/>
          <w:szCs w:val="22"/>
          <w:lang w:val="lt-LT"/>
        </w:rPr>
      </w:pPr>
      <w:r w:rsidRPr="008A4655">
        <w:rPr>
          <w:b/>
          <w:bCs/>
          <w:snapToGrid/>
          <w:szCs w:val="22"/>
          <w:lang w:val="lt-LT"/>
        </w:rPr>
        <w:t>Registruotojas ir gamintojas</w:t>
      </w:r>
    </w:p>
    <w:p w14:paraId="33E6B831" w14:textId="77777777" w:rsidR="00CA598F" w:rsidRPr="008A4655" w:rsidRDefault="00CA598F" w:rsidP="00CA598F">
      <w:pPr>
        <w:widowControl w:val="0"/>
        <w:numPr>
          <w:ilvl w:val="12"/>
          <w:numId w:val="0"/>
        </w:numPr>
        <w:tabs>
          <w:tab w:val="clear" w:pos="567"/>
        </w:tabs>
        <w:spacing w:line="240" w:lineRule="auto"/>
        <w:rPr>
          <w:b/>
          <w:bCs/>
          <w:snapToGrid/>
          <w:szCs w:val="22"/>
          <w:lang w:val="lt-LT"/>
        </w:rPr>
      </w:pPr>
    </w:p>
    <w:p w14:paraId="353508BE" w14:textId="77777777" w:rsidR="00CA598F" w:rsidRPr="008A4655" w:rsidRDefault="00CA598F" w:rsidP="00CA598F">
      <w:pPr>
        <w:widowControl w:val="0"/>
        <w:numPr>
          <w:ilvl w:val="12"/>
          <w:numId w:val="0"/>
        </w:numPr>
        <w:tabs>
          <w:tab w:val="clear" w:pos="567"/>
        </w:tabs>
        <w:spacing w:line="240" w:lineRule="auto"/>
        <w:rPr>
          <w:bCs/>
          <w:i/>
          <w:snapToGrid/>
          <w:szCs w:val="22"/>
          <w:lang w:val="lt-LT"/>
        </w:rPr>
      </w:pPr>
      <w:r w:rsidRPr="008A4655">
        <w:rPr>
          <w:bCs/>
          <w:i/>
          <w:snapToGrid/>
          <w:szCs w:val="22"/>
          <w:lang w:val="lt-LT"/>
        </w:rPr>
        <w:t>Registruotojas</w:t>
      </w:r>
    </w:p>
    <w:p w14:paraId="4E9D2BCD" w14:textId="77777777" w:rsidR="00CA598F" w:rsidRPr="008A4655" w:rsidRDefault="00CA598F" w:rsidP="00CA598F">
      <w:pPr>
        <w:widowControl w:val="0"/>
        <w:tabs>
          <w:tab w:val="clear" w:pos="567"/>
        </w:tabs>
        <w:spacing w:line="240" w:lineRule="auto"/>
        <w:rPr>
          <w:rFonts w:eastAsia="Calibri"/>
          <w:snapToGrid/>
          <w:szCs w:val="22"/>
          <w:lang w:val="lt-LT"/>
        </w:rPr>
      </w:pPr>
      <w:r w:rsidRPr="008A4655">
        <w:rPr>
          <w:rFonts w:eastAsia="Calibri"/>
          <w:snapToGrid/>
          <w:szCs w:val="22"/>
          <w:lang w:val="lt-LT"/>
        </w:rPr>
        <w:t>UAB „NVT“</w:t>
      </w:r>
    </w:p>
    <w:p w14:paraId="7EA63BF3" w14:textId="77777777" w:rsidR="00CA598F" w:rsidRPr="008A4655" w:rsidRDefault="00CA598F" w:rsidP="00CA598F">
      <w:pPr>
        <w:widowControl w:val="0"/>
        <w:tabs>
          <w:tab w:val="clear" w:pos="567"/>
        </w:tabs>
        <w:spacing w:line="240" w:lineRule="auto"/>
        <w:rPr>
          <w:rFonts w:eastAsia="Calibri"/>
          <w:snapToGrid/>
          <w:szCs w:val="22"/>
          <w:lang w:val="lt-LT"/>
        </w:rPr>
      </w:pPr>
      <w:r w:rsidRPr="008A4655">
        <w:rPr>
          <w:rFonts w:eastAsia="Calibri"/>
          <w:snapToGrid/>
          <w:szCs w:val="22"/>
          <w:lang w:val="lt-LT"/>
        </w:rPr>
        <w:t>Sodų g. 1, Linksmakalnio k.</w:t>
      </w:r>
    </w:p>
    <w:p w14:paraId="4A56C95F" w14:textId="77777777" w:rsidR="00CA598F" w:rsidRPr="008A4655" w:rsidRDefault="00CA598F" w:rsidP="00CA598F">
      <w:pPr>
        <w:widowControl w:val="0"/>
        <w:tabs>
          <w:tab w:val="clear" w:pos="567"/>
        </w:tabs>
        <w:spacing w:line="240" w:lineRule="auto"/>
        <w:rPr>
          <w:rFonts w:eastAsia="Calibri"/>
          <w:snapToGrid/>
          <w:szCs w:val="22"/>
          <w:lang w:val="lt-LT"/>
        </w:rPr>
      </w:pPr>
      <w:r w:rsidRPr="008A4655">
        <w:rPr>
          <w:rFonts w:eastAsia="Calibri"/>
          <w:snapToGrid/>
          <w:szCs w:val="22"/>
          <w:lang w:val="lt-LT"/>
        </w:rPr>
        <w:t>Kauno raj., 53290</w:t>
      </w:r>
    </w:p>
    <w:p w14:paraId="7E781128" w14:textId="77777777" w:rsidR="00CA598F" w:rsidRPr="008A4655" w:rsidRDefault="00CA598F" w:rsidP="00CA598F">
      <w:pPr>
        <w:widowControl w:val="0"/>
        <w:tabs>
          <w:tab w:val="clear" w:pos="567"/>
        </w:tabs>
        <w:spacing w:line="240" w:lineRule="auto"/>
        <w:rPr>
          <w:rFonts w:eastAsia="Calibri"/>
          <w:snapToGrid/>
          <w:szCs w:val="22"/>
          <w:lang w:val="lt-LT"/>
        </w:rPr>
      </w:pPr>
      <w:r w:rsidRPr="008A4655">
        <w:rPr>
          <w:rFonts w:eastAsia="Calibri"/>
          <w:snapToGrid/>
          <w:szCs w:val="22"/>
          <w:lang w:val="lt-LT"/>
        </w:rPr>
        <w:t>Lietuva</w:t>
      </w:r>
    </w:p>
    <w:p w14:paraId="5F372EF4"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6311378E" w14:textId="77777777" w:rsidR="00CA598F" w:rsidRPr="008A4655" w:rsidRDefault="00CA598F" w:rsidP="00CA598F">
      <w:pPr>
        <w:widowControl w:val="0"/>
        <w:tabs>
          <w:tab w:val="clear" w:pos="567"/>
        </w:tabs>
        <w:spacing w:line="240" w:lineRule="auto"/>
        <w:ind w:left="142" w:hanging="142"/>
        <w:rPr>
          <w:i/>
          <w:snapToGrid/>
          <w:szCs w:val="22"/>
          <w:lang w:val="lt-LT"/>
        </w:rPr>
      </w:pPr>
      <w:r w:rsidRPr="008A4655">
        <w:rPr>
          <w:bCs/>
          <w:i/>
          <w:snapToGrid/>
          <w:szCs w:val="22"/>
          <w:lang w:val="lt-LT"/>
        </w:rPr>
        <w:t>Gamintojas</w:t>
      </w:r>
    </w:p>
    <w:p w14:paraId="268D3886" w14:textId="77777777" w:rsidR="00CA598F" w:rsidRPr="008A4655" w:rsidRDefault="00CA598F" w:rsidP="00CA598F">
      <w:pPr>
        <w:widowControl w:val="0"/>
        <w:tabs>
          <w:tab w:val="clear" w:pos="567"/>
        </w:tabs>
        <w:spacing w:line="240" w:lineRule="auto"/>
        <w:rPr>
          <w:snapToGrid/>
          <w:szCs w:val="22"/>
          <w:lang w:val="lt-LT"/>
        </w:rPr>
      </w:pPr>
      <w:proofErr w:type="spellStart"/>
      <w:r w:rsidRPr="008A4655">
        <w:rPr>
          <w:snapToGrid/>
          <w:szCs w:val="22"/>
          <w:lang w:val="lt-LT"/>
        </w:rPr>
        <w:t>Laboratorios</w:t>
      </w:r>
      <w:proofErr w:type="spellEnd"/>
      <w:r w:rsidRPr="008A4655">
        <w:rPr>
          <w:snapToGrid/>
          <w:szCs w:val="22"/>
          <w:lang w:val="lt-LT"/>
        </w:rPr>
        <w:t xml:space="preserve"> </w:t>
      </w:r>
      <w:proofErr w:type="spellStart"/>
      <w:r w:rsidRPr="008A4655">
        <w:rPr>
          <w:snapToGrid/>
          <w:szCs w:val="22"/>
          <w:lang w:val="lt-LT"/>
        </w:rPr>
        <w:t>Liconsa</w:t>
      </w:r>
      <w:proofErr w:type="spellEnd"/>
      <w:r w:rsidRPr="008A4655">
        <w:rPr>
          <w:snapToGrid/>
          <w:szCs w:val="22"/>
          <w:lang w:val="lt-LT"/>
        </w:rPr>
        <w:t xml:space="preserve"> S.A.</w:t>
      </w:r>
    </w:p>
    <w:p w14:paraId="12BE42C6" w14:textId="77777777" w:rsidR="00CA598F" w:rsidRPr="008A4655" w:rsidRDefault="00CA598F" w:rsidP="00CA598F">
      <w:pPr>
        <w:widowControl w:val="0"/>
        <w:tabs>
          <w:tab w:val="clear" w:pos="567"/>
        </w:tabs>
        <w:spacing w:line="240" w:lineRule="auto"/>
        <w:rPr>
          <w:snapToGrid/>
          <w:szCs w:val="22"/>
          <w:lang w:val="lt-LT"/>
        </w:rPr>
      </w:pPr>
      <w:proofErr w:type="spellStart"/>
      <w:r w:rsidRPr="008A4655">
        <w:rPr>
          <w:snapToGrid/>
          <w:szCs w:val="22"/>
          <w:lang w:val="lt-LT"/>
        </w:rPr>
        <w:t>Pol</w:t>
      </w:r>
      <w:proofErr w:type="spellEnd"/>
      <w:r w:rsidRPr="008A4655">
        <w:rPr>
          <w:snapToGrid/>
          <w:szCs w:val="22"/>
          <w:lang w:val="lt-LT"/>
        </w:rPr>
        <w:t xml:space="preserve">. </w:t>
      </w:r>
      <w:proofErr w:type="spellStart"/>
      <w:r w:rsidRPr="008A4655">
        <w:rPr>
          <w:snapToGrid/>
          <w:szCs w:val="22"/>
          <w:lang w:val="lt-LT"/>
        </w:rPr>
        <w:t>Ind</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w:t>
      </w:r>
      <w:proofErr w:type="spellStart"/>
      <w:r w:rsidRPr="008A4655">
        <w:rPr>
          <w:snapToGrid/>
          <w:szCs w:val="22"/>
          <w:lang w:val="lt-LT"/>
        </w:rPr>
        <w:t>Avenida</w:t>
      </w:r>
      <w:proofErr w:type="spellEnd"/>
      <w:r w:rsidRPr="008A4655">
        <w:rPr>
          <w:snapToGrid/>
          <w:szCs w:val="22"/>
          <w:lang w:val="lt-LT"/>
        </w:rPr>
        <w:t xml:space="preserve"> </w:t>
      </w:r>
      <w:proofErr w:type="spellStart"/>
      <w:r w:rsidRPr="008A4655">
        <w:rPr>
          <w:snapToGrid/>
          <w:szCs w:val="22"/>
          <w:lang w:val="lt-LT"/>
        </w:rPr>
        <w:t>Miralcampo</w:t>
      </w:r>
      <w:proofErr w:type="spellEnd"/>
      <w:r w:rsidRPr="008A4655">
        <w:rPr>
          <w:snapToGrid/>
          <w:szCs w:val="22"/>
          <w:lang w:val="lt-LT"/>
        </w:rPr>
        <w:t xml:space="preserve"> nº7</w:t>
      </w:r>
    </w:p>
    <w:p w14:paraId="28147475" w14:textId="77777777" w:rsidR="00CA598F" w:rsidRPr="008A4655" w:rsidRDefault="00CA598F" w:rsidP="00CA598F">
      <w:pPr>
        <w:widowControl w:val="0"/>
        <w:tabs>
          <w:tab w:val="clear" w:pos="567"/>
        </w:tabs>
        <w:spacing w:line="240" w:lineRule="auto"/>
        <w:rPr>
          <w:snapToGrid/>
          <w:szCs w:val="22"/>
          <w:lang w:val="lt-LT"/>
        </w:rPr>
      </w:pPr>
      <w:r w:rsidRPr="008A4655">
        <w:rPr>
          <w:snapToGrid/>
          <w:szCs w:val="22"/>
          <w:lang w:val="lt-LT"/>
        </w:rPr>
        <w:t xml:space="preserve">19200, </w:t>
      </w:r>
      <w:proofErr w:type="spellStart"/>
      <w:r w:rsidRPr="008A4655">
        <w:rPr>
          <w:snapToGrid/>
          <w:szCs w:val="22"/>
          <w:lang w:val="lt-LT"/>
        </w:rPr>
        <w:t>Azuqueca</w:t>
      </w:r>
      <w:proofErr w:type="spellEnd"/>
      <w:r w:rsidRPr="008A4655">
        <w:rPr>
          <w:snapToGrid/>
          <w:szCs w:val="22"/>
          <w:lang w:val="lt-LT"/>
        </w:rPr>
        <w:t xml:space="preserve"> de </w:t>
      </w:r>
      <w:proofErr w:type="spellStart"/>
      <w:r w:rsidRPr="008A4655">
        <w:rPr>
          <w:snapToGrid/>
          <w:szCs w:val="22"/>
          <w:lang w:val="lt-LT"/>
        </w:rPr>
        <w:t>Henares</w:t>
      </w:r>
      <w:proofErr w:type="spellEnd"/>
      <w:r w:rsidRPr="008A4655">
        <w:rPr>
          <w:snapToGrid/>
          <w:szCs w:val="22"/>
          <w:lang w:val="lt-LT"/>
        </w:rPr>
        <w:t xml:space="preserve"> (</w:t>
      </w:r>
      <w:proofErr w:type="spellStart"/>
      <w:r w:rsidRPr="008A4655">
        <w:rPr>
          <w:snapToGrid/>
          <w:szCs w:val="22"/>
          <w:lang w:val="lt-LT"/>
        </w:rPr>
        <w:t>Guadalajara</w:t>
      </w:r>
      <w:proofErr w:type="spellEnd"/>
      <w:r w:rsidRPr="008A4655">
        <w:rPr>
          <w:snapToGrid/>
          <w:szCs w:val="22"/>
          <w:lang w:val="lt-LT"/>
        </w:rPr>
        <w:t>),</w:t>
      </w:r>
    </w:p>
    <w:p w14:paraId="33C46DC4" w14:textId="77777777" w:rsidR="00CA598F" w:rsidRPr="008A4655" w:rsidRDefault="00CA598F" w:rsidP="00CA598F">
      <w:pPr>
        <w:widowControl w:val="0"/>
        <w:tabs>
          <w:tab w:val="clear" w:pos="567"/>
        </w:tabs>
        <w:spacing w:line="240" w:lineRule="auto"/>
        <w:rPr>
          <w:snapToGrid/>
          <w:szCs w:val="22"/>
          <w:lang w:val="lt-LT"/>
        </w:rPr>
      </w:pPr>
      <w:r w:rsidRPr="008A4655">
        <w:rPr>
          <w:snapToGrid/>
          <w:szCs w:val="22"/>
          <w:lang w:val="lt-LT"/>
        </w:rPr>
        <w:t>Ispanija</w:t>
      </w:r>
    </w:p>
    <w:p w14:paraId="11B3DA10" w14:textId="77777777" w:rsidR="00CA598F" w:rsidRPr="008A4655" w:rsidRDefault="00CA598F" w:rsidP="00CA598F">
      <w:pPr>
        <w:widowControl w:val="0"/>
        <w:tabs>
          <w:tab w:val="clear" w:pos="567"/>
        </w:tabs>
        <w:spacing w:line="240" w:lineRule="auto"/>
        <w:rPr>
          <w:snapToGrid/>
          <w:szCs w:val="22"/>
          <w:lang w:val="lt-LT"/>
        </w:rPr>
      </w:pPr>
    </w:p>
    <w:p w14:paraId="3BC153D5" w14:textId="77777777" w:rsidR="00CA598F" w:rsidRPr="008A4655" w:rsidRDefault="00CA598F" w:rsidP="00CA598F">
      <w:pPr>
        <w:widowControl w:val="0"/>
        <w:numPr>
          <w:ilvl w:val="12"/>
          <w:numId w:val="0"/>
        </w:numPr>
        <w:spacing w:line="240" w:lineRule="auto"/>
        <w:ind w:right="-2"/>
        <w:rPr>
          <w:szCs w:val="22"/>
          <w:lang w:val="lt-LT"/>
        </w:rPr>
      </w:pPr>
      <w:r w:rsidRPr="008A4655">
        <w:rPr>
          <w:szCs w:val="22"/>
          <w:lang w:val="lt-LT"/>
        </w:rPr>
        <w:t>Jeigu apie šį vaistą norite sužinoti daugiau, kreipkitės į registruotoją.</w:t>
      </w:r>
    </w:p>
    <w:p w14:paraId="02B9D8D1" w14:textId="77777777" w:rsidR="00CA598F" w:rsidRPr="008A4655" w:rsidRDefault="00CA598F" w:rsidP="00CA598F">
      <w:pPr>
        <w:widowControl w:val="0"/>
        <w:numPr>
          <w:ilvl w:val="12"/>
          <w:numId w:val="0"/>
        </w:numPr>
        <w:spacing w:line="240" w:lineRule="auto"/>
        <w:ind w:right="-2"/>
        <w:rPr>
          <w:szCs w:val="22"/>
          <w:lang w:val="lt-LT"/>
        </w:rPr>
      </w:pPr>
    </w:p>
    <w:p w14:paraId="2EBF7383" w14:textId="77777777" w:rsidR="00CA598F" w:rsidRPr="008A4655" w:rsidRDefault="00CA598F" w:rsidP="00CA598F">
      <w:pPr>
        <w:widowControl w:val="0"/>
        <w:numPr>
          <w:ilvl w:val="12"/>
          <w:numId w:val="0"/>
        </w:numPr>
        <w:tabs>
          <w:tab w:val="clear" w:pos="567"/>
        </w:tabs>
        <w:spacing w:line="240" w:lineRule="auto"/>
        <w:ind w:right="-2"/>
        <w:rPr>
          <w:snapToGrid/>
          <w:szCs w:val="22"/>
          <w:lang w:val="lt-LT"/>
        </w:rPr>
      </w:pPr>
    </w:p>
    <w:p w14:paraId="01BF3B2B" w14:textId="77777777" w:rsidR="00CA598F" w:rsidRPr="008A4655" w:rsidRDefault="00CA598F" w:rsidP="00CA598F">
      <w:pPr>
        <w:widowControl w:val="0"/>
        <w:tabs>
          <w:tab w:val="clear" w:pos="567"/>
        </w:tabs>
        <w:spacing w:line="240" w:lineRule="auto"/>
        <w:rPr>
          <w:snapToGrid/>
          <w:szCs w:val="22"/>
          <w:lang w:val="lt-LT"/>
        </w:rPr>
      </w:pPr>
      <w:r w:rsidRPr="008A4655">
        <w:rPr>
          <w:b/>
          <w:bCs/>
          <w:snapToGrid/>
          <w:szCs w:val="22"/>
          <w:lang w:val="lt-LT" w:eastAsia="x-none"/>
        </w:rPr>
        <w:t>Šis pakuotės lapelis</w:t>
      </w:r>
      <w:r w:rsidRPr="008A4655">
        <w:rPr>
          <w:b/>
          <w:snapToGrid/>
          <w:szCs w:val="22"/>
          <w:lang w:val="lt-LT" w:eastAsia="x-none"/>
        </w:rPr>
        <w:t xml:space="preserve"> paskutinį kartą peržiūrėtas</w:t>
      </w:r>
      <w:r>
        <w:rPr>
          <w:b/>
          <w:snapToGrid/>
          <w:szCs w:val="22"/>
          <w:lang w:val="lt-LT" w:eastAsia="x-none"/>
        </w:rPr>
        <w:t xml:space="preserve"> 2025-07-24</w:t>
      </w:r>
      <w:r>
        <w:rPr>
          <w:b/>
          <w:lang w:val="lt-LT"/>
        </w:rPr>
        <w:t>.</w:t>
      </w:r>
    </w:p>
    <w:p w14:paraId="204D8B2F" w14:textId="77777777" w:rsidR="00CA598F" w:rsidRPr="008A4655" w:rsidRDefault="00CA598F" w:rsidP="00CA598F">
      <w:pPr>
        <w:widowControl w:val="0"/>
        <w:tabs>
          <w:tab w:val="clear" w:pos="567"/>
        </w:tabs>
        <w:spacing w:line="240" w:lineRule="auto"/>
        <w:rPr>
          <w:snapToGrid/>
          <w:szCs w:val="22"/>
          <w:lang w:val="lt-LT"/>
        </w:rPr>
      </w:pPr>
    </w:p>
    <w:p w14:paraId="59E14425" w14:textId="77777777" w:rsidR="00CA598F" w:rsidRDefault="00CA598F" w:rsidP="00CA598F">
      <w:pPr>
        <w:widowControl w:val="0"/>
        <w:tabs>
          <w:tab w:val="clear" w:pos="567"/>
        </w:tabs>
        <w:spacing w:line="240" w:lineRule="auto"/>
        <w:rPr>
          <w:szCs w:val="22"/>
          <w:lang w:val="lt-LT"/>
        </w:rPr>
      </w:pPr>
      <w:r w:rsidRPr="008A4655">
        <w:rPr>
          <w:snapToGrid/>
          <w:szCs w:val="22"/>
          <w:lang w:val="lt-LT"/>
        </w:rPr>
        <w:t xml:space="preserve">Išsami informacija apie šį vaistą pateikiama Valstybinės vaistų kontrolės tarnybos prie Lietuvos Respublikos sveikatos apsaugos ministerijos tinklalapyje </w:t>
      </w:r>
      <w:r w:rsidRPr="006D6ACA">
        <w:rPr>
          <w:color w:val="0000EE"/>
          <w:szCs w:val="22"/>
          <w:u w:val="single"/>
          <w:lang w:val="lt-LT" w:eastAsia="lt-LT"/>
        </w:rPr>
        <w:t>https://vvkt.lrv.lt/lt/</w:t>
      </w:r>
      <w:r w:rsidRPr="006D6ACA">
        <w:rPr>
          <w:szCs w:val="22"/>
          <w:lang w:val="lt-LT" w:eastAsia="lt-LT"/>
        </w:rPr>
        <w:t>.</w:t>
      </w:r>
    </w:p>
    <w:p w14:paraId="32002785" w14:textId="77777777" w:rsidR="00CA598F" w:rsidRPr="00D52088" w:rsidRDefault="00CA598F" w:rsidP="00CA598F">
      <w:pPr>
        <w:rPr>
          <w:szCs w:val="22"/>
          <w:lang w:val="lt-LT"/>
        </w:rPr>
      </w:pPr>
    </w:p>
    <w:p w14:paraId="3ACF1609" w14:textId="77777777" w:rsidR="00222FED" w:rsidRDefault="00222FED"/>
    <w:sectPr w:rsidR="00222FED" w:rsidSect="00CA598F">
      <w:headerReference w:type="default" r:id="rId5"/>
      <w:footerReference w:type="even" r:id="rId6"/>
      <w:footerReference w:type="default" r:id="rId7"/>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83" w:usb1="08070000" w:usb2="00000010" w:usb3="00000000" w:csb0="00020009" w:csb1="00000000"/>
  </w:font>
  <w:font w:name="TimesNewRoman,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8089" w14:textId="77777777" w:rsidR="00CA598F" w:rsidRDefault="00CA598F">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19</w:t>
    </w:r>
    <w:r>
      <w:rPr>
        <w:rStyle w:val="Puslapionumeris"/>
        <w:rFonts w:eastAsiaTheme="majorEastAsia"/>
      </w:rPr>
      <w:fldChar w:fldCharType="end"/>
    </w:r>
  </w:p>
  <w:p w14:paraId="74F4C296" w14:textId="77777777" w:rsidR="00CA598F" w:rsidRDefault="00CA598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9D9F" w14:textId="77777777" w:rsidR="00CA598F" w:rsidRPr="008A4655" w:rsidRDefault="00CA598F">
    <w:pPr>
      <w:pStyle w:val="Porat"/>
      <w:ind w:right="360"/>
      <w:jc w:val="center"/>
      <w:rPr>
        <w:rStyle w:val="Puslapionumeris"/>
        <w:rFonts w:eastAsiaTheme="majorEastAsia"/>
        <w:lang w:val="lt-LT"/>
      </w:rPr>
    </w:pPr>
    <w:r w:rsidRPr="008A4655">
      <w:rPr>
        <w:rStyle w:val="Puslapionumeris"/>
        <w:rFonts w:eastAsiaTheme="majorEastAsia"/>
        <w:lang w:val="lt-LT"/>
      </w:rPr>
      <w:fldChar w:fldCharType="begin"/>
    </w:r>
    <w:r w:rsidRPr="008A4655">
      <w:rPr>
        <w:rStyle w:val="Puslapionumeris"/>
        <w:rFonts w:eastAsiaTheme="majorEastAsia"/>
        <w:lang w:val="lt-LT"/>
      </w:rPr>
      <w:instrText xml:space="preserve"> PAGE </w:instrText>
    </w:r>
    <w:r w:rsidRPr="008A4655">
      <w:rPr>
        <w:rStyle w:val="Puslapionumeris"/>
        <w:rFonts w:eastAsiaTheme="majorEastAsia"/>
        <w:lang w:val="lt-LT"/>
      </w:rPr>
      <w:fldChar w:fldCharType="separate"/>
    </w:r>
    <w:r>
      <w:rPr>
        <w:rStyle w:val="Puslapionumeris"/>
        <w:rFonts w:eastAsiaTheme="majorEastAsia"/>
        <w:noProof/>
        <w:lang w:val="lt-LT"/>
      </w:rPr>
      <w:t>3</w:t>
    </w:r>
    <w:r>
      <w:rPr>
        <w:rStyle w:val="Puslapionumeris"/>
        <w:rFonts w:eastAsiaTheme="majorEastAsia"/>
        <w:noProof/>
        <w:lang w:val="lt-LT"/>
      </w:rPr>
      <w:t>2</w:t>
    </w:r>
    <w:r w:rsidRPr="008A4655">
      <w:rPr>
        <w:rStyle w:val="Puslapionumeris"/>
        <w:rFonts w:eastAsiaTheme="majorEastAsia"/>
        <w:lang w:val="lt-LT"/>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D841" w14:textId="77777777" w:rsidR="00CA598F" w:rsidRDefault="00CA59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EC617B"/>
    <w:multiLevelType w:val="hybridMultilevel"/>
    <w:tmpl w:val="5C024B52"/>
    <w:lvl w:ilvl="0" w:tplc="C1F8F50C">
      <w:start w:val="1"/>
      <w:numFmt w:val="decimal"/>
      <w:lvlText w:val="%1."/>
      <w:lvlJc w:val="left"/>
      <w:pPr>
        <w:ind w:left="338" w:hanging="221"/>
      </w:pPr>
      <w:rPr>
        <w:rFonts w:ascii="Times New Roman" w:eastAsia="Times New Roman" w:hAnsi="Times New Roman" w:cs="Times New Roman" w:hint="default"/>
        <w:b/>
        <w:bCs/>
        <w:w w:val="100"/>
        <w:sz w:val="22"/>
        <w:szCs w:val="22"/>
        <w:lang w:val="es-ES" w:eastAsia="en-US" w:bidi="ar-SA"/>
      </w:rPr>
    </w:lvl>
    <w:lvl w:ilvl="1" w:tplc="08090001">
      <w:start w:val="1"/>
      <w:numFmt w:val="bullet"/>
      <w:lvlText w:val=""/>
      <w:lvlJc w:val="left"/>
      <w:pPr>
        <w:ind w:left="837" w:hanging="360"/>
      </w:pPr>
      <w:rPr>
        <w:rFonts w:ascii="Symbol" w:hAnsi="Symbol" w:hint="default"/>
        <w:w w:val="100"/>
        <w:lang w:val="es-ES" w:eastAsia="en-US" w:bidi="ar-SA"/>
      </w:rPr>
    </w:lvl>
    <w:lvl w:ilvl="2" w:tplc="D304FBA0">
      <w:numFmt w:val="bullet"/>
      <w:lvlText w:val="•"/>
      <w:lvlJc w:val="left"/>
      <w:pPr>
        <w:ind w:left="660" w:hanging="360"/>
      </w:pPr>
      <w:rPr>
        <w:lang w:val="es-ES" w:eastAsia="en-US" w:bidi="ar-SA"/>
      </w:rPr>
    </w:lvl>
    <w:lvl w:ilvl="3" w:tplc="F2320BDA">
      <w:numFmt w:val="bullet"/>
      <w:lvlText w:val="•"/>
      <w:lvlJc w:val="left"/>
      <w:pPr>
        <w:ind w:left="840" w:hanging="360"/>
      </w:pPr>
      <w:rPr>
        <w:lang w:val="es-ES" w:eastAsia="en-US" w:bidi="ar-SA"/>
      </w:rPr>
    </w:lvl>
    <w:lvl w:ilvl="4" w:tplc="FB16488A">
      <w:numFmt w:val="bullet"/>
      <w:lvlText w:val="•"/>
      <w:lvlJc w:val="left"/>
      <w:pPr>
        <w:ind w:left="2109" w:hanging="360"/>
      </w:pPr>
      <w:rPr>
        <w:lang w:val="es-ES" w:eastAsia="en-US" w:bidi="ar-SA"/>
      </w:rPr>
    </w:lvl>
    <w:lvl w:ilvl="5" w:tplc="47282582">
      <w:numFmt w:val="bullet"/>
      <w:lvlText w:val="•"/>
      <w:lvlJc w:val="left"/>
      <w:pPr>
        <w:ind w:left="3378" w:hanging="360"/>
      </w:pPr>
      <w:rPr>
        <w:lang w:val="es-ES" w:eastAsia="en-US" w:bidi="ar-SA"/>
      </w:rPr>
    </w:lvl>
    <w:lvl w:ilvl="6" w:tplc="6004E728">
      <w:numFmt w:val="bullet"/>
      <w:lvlText w:val="•"/>
      <w:lvlJc w:val="left"/>
      <w:pPr>
        <w:ind w:left="4648" w:hanging="360"/>
      </w:pPr>
      <w:rPr>
        <w:lang w:val="es-ES" w:eastAsia="en-US" w:bidi="ar-SA"/>
      </w:rPr>
    </w:lvl>
    <w:lvl w:ilvl="7" w:tplc="7816474E">
      <w:numFmt w:val="bullet"/>
      <w:lvlText w:val="•"/>
      <w:lvlJc w:val="left"/>
      <w:pPr>
        <w:ind w:left="5917" w:hanging="360"/>
      </w:pPr>
      <w:rPr>
        <w:lang w:val="es-ES" w:eastAsia="en-US" w:bidi="ar-SA"/>
      </w:rPr>
    </w:lvl>
    <w:lvl w:ilvl="8" w:tplc="F4B8CDF0">
      <w:numFmt w:val="bullet"/>
      <w:lvlText w:val="•"/>
      <w:lvlJc w:val="left"/>
      <w:pPr>
        <w:ind w:left="7187" w:hanging="360"/>
      </w:pPr>
      <w:rPr>
        <w:lang w:val="es-ES" w:eastAsia="en-US" w:bidi="ar-SA"/>
      </w:rPr>
    </w:lvl>
  </w:abstractNum>
  <w:abstractNum w:abstractNumId="2" w15:restartNumberingAfterBreak="0">
    <w:nsid w:val="10C74998"/>
    <w:multiLevelType w:val="hybridMultilevel"/>
    <w:tmpl w:val="D17E4C2A"/>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6297B7D"/>
    <w:multiLevelType w:val="hybridMultilevel"/>
    <w:tmpl w:val="5546E9E2"/>
    <w:lvl w:ilvl="0" w:tplc="2446D748">
      <w:numFmt w:val="bullet"/>
      <w:lvlText w:val="-"/>
      <w:lvlJc w:val="left"/>
      <w:pPr>
        <w:ind w:left="837" w:hanging="360"/>
      </w:pPr>
      <w:rPr>
        <w:rFonts w:ascii="Courier New" w:eastAsia="Courier New" w:hAnsi="Courier New" w:cs="Courier New" w:hint="default"/>
        <w:w w:val="100"/>
        <w:sz w:val="22"/>
        <w:szCs w:val="22"/>
        <w:lang w:val="es-ES" w:eastAsia="en-US" w:bidi="ar-SA"/>
      </w:rPr>
    </w:lvl>
    <w:lvl w:ilvl="1" w:tplc="9766B742">
      <w:numFmt w:val="bullet"/>
      <w:lvlText w:val="•"/>
      <w:lvlJc w:val="left"/>
      <w:pPr>
        <w:ind w:left="1728" w:hanging="360"/>
      </w:pPr>
      <w:rPr>
        <w:rFonts w:hint="default"/>
        <w:lang w:val="es-ES" w:eastAsia="en-US" w:bidi="ar-SA"/>
      </w:rPr>
    </w:lvl>
    <w:lvl w:ilvl="2" w:tplc="E7CE780C">
      <w:numFmt w:val="bullet"/>
      <w:lvlText w:val="•"/>
      <w:lvlJc w:val="left"/>
      <w:pPr>
        <w:ind w:left="2617" w:hanging="360"/>
      </w:pPr>
      <w:rPr>
        <w:rFonts w:hint="default"/>
        <w:lang w:val="es-ES" w:eastAsia="en-US" w:bidi="ar-SA"/>
      </w:rPr>
    </w:lvl>
    <w:lvl w:ilvl="3" w:tplc="BEA0B0C8">
      <w:numFmt w:val="bullet"/>
      <w:lvlText w:val="•"/>
      <w:lvlJc w:val="left"/>
      <w:pPr>
        <w:ind w:left="3505" w:hanging="360"/>
      </w:pPr>
      <w:rPr>
        <w:rFonts w:hint="default"/>
        <w:lang w:val="es-ES" w:eastAsia="en-US" w:bidi="ar-SA"/>
      </w:rPr>
    </w:lvl>
    <w:lvl w:ilvl="4" w:tplc="6972A002">
      <w:numFmt w:val="bullet"/>
      <w:lvlText w:val="•"/>
      <w:lvlJc w:val="left"/>
      <w:pPr>
        <w:ind w:left="4394" w:hanging="360"/>
      </w:pPr>
      <w:rPr>
        <w:rFonts w:hint="default"/>
        <w:lang w:val="es-ES" w:eastAsia="en-US" w:bidi="ar-SA"/>
      </w:rPr>
    </w:lvl>
    <w:lvl w:ilvl="5" w:tplc="18248E80">
      <w:numFmt w:val="bullet"/>
      <w:lvlText w:val="•"/>
      <w:lvlJc w:val="left"/>
      <w:pPr>
        <w:ind w:left="5283" w:hanging="360"/>
      </w:pPr>
      <w:rPr>
        <w:rFonts w:hint="default"/>
        <w:lang w:val="es-ES" w:eastAsia="en-US" w:bidi="ar-SA"/>
      </w:rPr>
    </w:lvl>
    <w:lvl w:ilvl="6" w:tplc="45FE6F1C">
      <w:numFmt w:val="bullet"/>
      <w:lvlText w:val="•"/>
      <w:lvlJc w:val="left"/>
      <w:pPr>
        <w:ind w:left="6171" w:hanging="360"/>
      </w:pPr>
      <w:rPr>
        <w:rFonts w:hint="default"/>
        <w:lang w:val="es-ES" w:eastAsia="en-US" w:bidi="ar-SA"/>
      </w:rPr>
    </w:lvl>
    <w:lvl w:ilvl="7" w:tplc="192E5A20">
      <w:numFmt w:val="bullet"/>
      <w:lvlText w:val="•"/>
      <w:lvlJc w:val="left"/>
      <w:pPr>
        <w:ind w:left="7060" w:hanging="360"/>
      </w:pPr>
      <w:rPr>
        <w:rFonts w:hint="default"/>
        <w:lang w:val="es-ES" w:eastAsia="en-US" w:bidi="ar-SA"/>
      </w:rPr>
    </w:lvl>
    <w:lvl w:ilvl="8" w:tplc="FC6426F6">
      <w:numFmt w:val="bullet"/>
      <w:lvlText w:val="•"/>
      <w:lvlJc w:val="left"/>
      <w:pPr>
        <w:ind w:left="7949" w:hanging="360"/>
      </w:pPr>
      <w:rPr>
        <w:rFonts w:hint="default"/>
        <w:lang w:val="es-ES" w:eastAsia="en-US" w:bidi="ar-SA"/>
      </w:rPr>
    </w:lvl>
  </w:abstractNum>
  <w:abstractNum w:abstractNumId="4" w15:restartNumberingAfterBreak="0">
    <w:nsid w:val="392D3E8B"/>
    <w:multiLevelType w:val="hybridMultilevel"/>
    <w:tmpl w:val="2A905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3F5511"/>
    <w:multiLevelType w:val="hybridMultilevel"/>
    <w:tmpl w:val="5E5A1D4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9747707">
    <w:abstractNumId w:val="0"/>
    <w:lvlOverride w:ilvl="0">
      <w:lvl w:ilvl="0">
        <w:start w:val="1"/>
        <w:numFmt w:val="bullet"/>
        <w:lvlText w:val="-"/>
        <w:lvlJc w:val="left"/>
        <w:pPr>
          <w:ind w:left="360" w:hanging="360"/>
        </w:pPr>
      </w:lvl>
    </w:lvlOverride>
  </w:num>
  <w:num w:numId="2" w16cid:durableId="1455514474">
    <w:abstractNumId w:val="0"/>
    <w:lvlOverride w:ilvl="0">
      <w:lvl w:ilvl="0">
        <w:start w:val="1"/>
        <w:numFmt w:val="bullet"/>
        <w:lvlText w:val="-"/>
        <w:legacy w:legacy="1" w:legacySpace="0" w:legacyIndent="360"/>
        <w:lvlJc w:val="left"/>
        <w:pPr>
          <w:ind w:left="360" w:hanging="360"/>
        </w:pPr>
      </w:lvl>
    </w:lvlOverride>
  </w:num>
  <w:num w:numId="3" w16cid:durableId="1558661076">
    <w:abstractNumId w:val="5"/>
  </w:num>
  <w:num w:numId="4" w16cid:durableId="42021096">
    <w:abstractNumId w:val="1"/>
    <w:lvlOverride w:ilvl="0">
      <w:startOverride w:val="1"/>
    </w:lvlOverride>
    <w:lvlOverride w:ilvl="1"/>
    <w:lvlOverride w:ilvl="2"/>
    <w:lvlOverride w:ilvl="3"/>
    <w:lvlOverride w:ilvl="4"/>
    <w:lvlOverride w:ilvl="5"/>
    <w:lvlOverride w:ilvl="6"/>
    <w:lvlOverride w:ilvl="7"/>
    <w:lvlOverride w:ilvl="8"/>
  </w:num>
  <w:num w:numId="5" w16cid:durableId="426735786">
    <w:abstractNumId w:val="2"/>
  </w:num>
  <w:num w:numId="6" w16cid:durableId="1434130348">
    <w:abstractNumId w:val="3"/>
  </w:num>
  <w:num w:numId="7" w16cid:durableId="1202981953">
    <w:abstractNumId w:val="1"/>
  </w:num>
  <w:num w:numId="8" w16cid:durableId="452946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8F"/>
    <w:rsid w:val="00222FED"/>
    <w:rsid w:val="005F173E"/>
    <w:rsid w:val="0083434F"/>
    <w:rsid w:val="008B3AD4"/>
    <w:rsid w:val="00CA598F"/>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9FBE"/>
  <w15:chartTrackingRefBased/>
  <w15:docId w15:val="{EC2FF552-1ABE-458F-A79C-2685F86C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598F"/>
    <w:pPr>
      <w:tabs>
        <w:tab w:val="left" w:pos="567"/>
      </w:tabs>
      <w:spacing w:after="0" w:line="260" w:lineRule="exact"/>
    </w:pPr>
    <w:rPr>
      <w:rFonts w:ascii="Times New Roman" w:eastAsia="Times New Roman" w:hAnsi="Times New Roman" w:cs="Times New Roman"/>
      <w:snapToGrid w:val="0"/>
      <w:kern w:val="0"/>
      <w:sz w:val="22"/>
      <w:szCs w:val="20"/>
      <w:lang w:val="en-GB"/>
      <w14:ligatures w14:val="none"/>
    </w:rPr>
  </w:style>
  <w:style w:type="paragraph" w:styleId="Antrat1">
    <w:name w:val="heading 1"/>
    <w:basedOn w:val="prastasis"/>
    <w:next w:val="prastasis"/>
    <w:link w:val="Antrat1Diagrama"/>
    <w:uiPriority w:val="9"/>
    <w:qFormat/>
    <w:rsid w:val="00CA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A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A598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A598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A598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A598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598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598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598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598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A598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A598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A598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A598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A59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59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59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59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59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598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59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598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598F"/>
    <w:rPr>
      <w:i/>
      <w:iCs/>
      <w:color w:val="404040" w:themeColor="text1" w:themeTint="BF"/>
    </w:rPr>
  </w:style>
  <w:style w:type="paragraph" w:styleId="Sraopastraipa">
    <w:name w:val="List Paragraph"/>
    <w:basedOn w:val="prastasis"/>
    <w:uiPriority w:val="34"/>
    <w:qFormat/>
    <w:rsid w:val="00CA598F"/>
    <w:pPr>
      <w:ind w:left="720"/>
      <w:contextualSpacing/>
    </w:pPr>
  </w:style>
  <w:style w:type="character" w:styleId="Rykuspabraukimas">
    <w:name w:val="Intense Emphasis"/>
    <w:basedOn w:val="Numatytasispastraiposriftas"/>
    <w:uiPriority w:val="21"/>
    <w:qFormat/>
    <w:rsid w:val="00CA598F"/>
    <w:rPr>
      <w:i/>
      <w:iCs/>
      <w:color w:val="0F4761" w:themeColor="accent1" w:themeShade="BF"/>
    </w:rPr>
  </w:style>
  <w:style w:type="paragraph" w:styleId="Iskirtacitata">
    <w:name w:val="Intense Quote"/>
    <w:basedOn w:val="prastasis"/>
    <w:next w:val="prastasis"/>
    <w:link w:val="IskirtacitataDiagrama"/>
    <w:uiPriority w:val="30"/>
    <w:qFormat/>
    <w:rsid w:val="00CA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A598F"/>
    <w:rPr>
      <w:i/>
      <w:iCs/>
      <w:color w:val="0F4761" w:themeColor="accent1" w:themeShade="BF"/>
    </w:rPr>
  </w:style>
  <w:style w:type="character" w:styleId="Rykinuoroda">
    <w:name w:val="Intense Reference"/>
    <w:basedOn w:val="Numatytasispastraiposriftas"/>
    <w:uiPriority w:val="32"/>
    <w:qFormat/>
    <w:rsid w:val="00CA598F"/>
    <w:rPr>
      <w:b/>
      <w:bCs/>
      <w:smallCaps/>
      <w:color w:val="0F4761" w:themeColor="accent1" w:themeShade="BF"/>
      <w:spacing w:val="5"/>
    </w:rPr>
  </w:style>
  <w:style w:type="paragraph" w:styleId="Porat">
    <w:name w:val="footer"/>
    <w:basedOn w:val="prastasis"/>
    <w:link w:val="PoratDiagrama"/>
    <w:rsid w:val="00CA598F"/>
    <w:pPr>
      <w:tabs>
        <w:tab w:val="center" w:pos="4536"/>
        <w:tab w:val="right" w:pos="8306"/>
      </w:tabs>
    </w:pPr>
    <w:rPr>
      <w:lang w:eastAsia="x-none"/>
    </w:rPr>
  </w:style>
  <w:style w:type="character" w:customStyle="1" w:styleId="PoratDiagrama">
    <w:name w:val="Poraštė Diagrama"/>
    <w:basedOn w:val="Numatytasispastraiposriftas"/>
    <w:link w:val="Porat"/>
    <w:rsid w:val="00CA598F"/>
    <w:rPr>
      <w:rFonts w:ascii="Times New Roman" w:eastAsia="Times New Roman" w:hAnsi="Times New Roman" w:cs="Times New Roman"/>
      <w:snapToGrid w:val="0"/>
      <w:kern w:val="0"/>
      <w:sz w:val="22"/>
      <w:szCs w:val="20"/>
      <w:lang w:val="en-GB" w:eastAsia="x-none"/>
      <w14:ligatures w14:val="none"/>
    </w:rPr>
  </w:style>
  <w:style w:type="character" w:styleId="Puslapionumeris">
    <w:name w:val="page number"/>
    <w:rsid w:val="00CA598F"/>
    <w:rPr>
      <w:rFonts w:cs="Times New Roman"/>
    </w:rPr>
  </w:style>
  <w:style w:type="paragraph" w:styleId="Antrats">
    <w:name w:val="header"/>
    <w:basedOn w:val="prastasis"/>
    <w:link w:val="AntratsDiagrama"/>
    <w:rsid w:val="00CA598F"/>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rsid w:val="00CA598F"/>
    <w:rPr>
      <w:rFonts w:ascii="Times New Roman" w:eastAsia="SimSun" w:hAnsi="Times New Roman" w:cs="Times New Roman"/>
      <w:kern w:val="0"/>
      <w:sz w:val="22"/>
      <w:szCs w:val="20"/>
      <w:lang w:val="en-GB" w:eastAsia="zh-CN"/>
      <w14:ligatures w14:val="none"/>
    </w:rPr>
  </w:style>
  <w:style w:type="paragraph" w:styleId="Pagrindinistekstas">
    <w:name w:val="Body Text"/>
    <w:basedOn w:val="prastasis"/>
    <w:link w:val="PagrindinistekstasDiagrama"/>
    <w:rsid w:val="00CA598F"/>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rsid w:val="00CA598F"/>
    <w:rPr>
      <w:rFonts w:ascii="Times New Roman" w:eastAsia="SimSun" w:hAnsi="Times New Roman" w:cs="Times New Roman"/>
      <w:i/>
      <w:color w:val="008000"/>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16625</Words>
  <Characters>9477</Characters>
  <Application>Microsoft Office Word</Application>
  <DocSecurity>0</DocSecurity>
  <Lines>78</Lines>
  <Paragraphs>52</Paragraphs>
  <ScaleCrop>false</ScaleCrop>
  <Company/>
  <LinksUpToDate>false</LinksUpToDate>
  <CharactersWithSpaces>26050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2025-08-25T10:53:00Z</dcterms:created>
  <dcterms:modified xsi:type="dcterms:W3CDTF">2025-08-25T10:54:00Z</dcterms:modified>
</cp:coreProperties>
</file>