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18" w:rsidRPr="009247D3" w:rsidRDefault="00515018" w:rsidP="00515018">
      <w:pPr>
        <w:jc w:val="center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Pakuotės lapelis:</w:t>
      </w:r>
      <w:r w:rsidRPr="009247D3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Pr="009247D3">
        <w:rPr>
          <w:rFonts w:ascii="Times New Roman" w:hAnsi="Times New Roman"/>
          <w:b/>
          <w:sz w:val="22"/>
          <w:szCs w:val="22"/>
        </w:rPr>
        <w:t>informacija vartotojui</w:t>
      </w:r>
    </w:p>
    <w:p w:rsidR="00515018" w:rsidRPr="009247D3" w:rsidRDefault="00515018" w:rsidP="00515018">
      <w:pPr>
        <w:pStyle w:val="BTEMEASMCA"/>
      </w:pPr>
    </w:p>
    <w:p w:rsidR="00515018" w:rsidRPr="009247D3" w:rsidRDefault="00515018" w:rsidP="00515018">
      <w:p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9247D3">
        <w:rPr>
          <w:rFonts w:ascii="Times New Roman" w:hAnsi="Times New Roman"/>
          <w:b/>
          <w:bCs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bCs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b/>
          <w:bCs/>
          <w:sz w:val="22"/>
          <w:szCs w:val="22"/>
        </w:rPr>
        <w:t xml:space="preserve"> 8</w:t>
      </w:r>
      <w:r w:rsidRPr="009247D3">
        <w:rPr>
          <w:rFonts w:ascii="Times New Roman" w:hAnsi="Times New Roman"/>
          <w:b/>
          <w:sz w:val="22"/>
          <w:szCs w:val="22"/>
        </w:rPr>
        <w:t xml:space="preserve"> mg tabletės</w:t>
      </w:r>
    </w:p>
    <w:p w:rsidR="00515018" w:rsidRPr="009247D3" w:rsidRDefault="00515018" w:rsidP="00515018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</w:p>
    <w:p w:rsidR="00515018" w:rsidRPr="009247D3" w:rsidRDefault="00515018" w:rsidP="00515018">
      <w:pPr>
        <w:pStyle w:val="BTEMEASMCA"/>
      </w:pPr>
    </w:p>
    <w:p w:rsidR="00515018" w:rsidRPr="009247D3" w:rsidRDefault="00515018" w:rsidP="00515018">
      <w:pPr>
        <w:pStyle w:val="BTbEMEASMCA"/>
      </w:pPr>
      <w:r w:rsidRPr="009247D3">
        <w:t>Atidžiai perskaitykite visą šį lapelį, prieš pradėdami vartoti vaistą, nes jame pateikiama Jums svarbi informacija.</w:t>
      </w:r>
    </w:p>
    <w:p w:rsidR="00515018" w:rsidRPr="009247D3" w:rsidRDefault="00515018" w:rsidP="00515018">
      <w:pPr>
        <w:pStyle w:val="BT-EMEASMCA"/>
        <w:rPr>
          <w:bCs/>
        </w:rPr>
      </w:pPr>
      <w:r w:rsidRPr="009247D3">
        <w:t>Visada vartokite šį vaistą tiksliai kaip aprašyta šiame lapelyje arba kaip nurodė gydytojas, arba vaistininkas.</w:t>
      </w:r>
      <w:r w:rsidRPr="009247D3" w:rsidDel="005553CB">
        <w:rPr>
          <w:bCs/>
        </w:rPr>
        <w:t xml:space="preserve"> </w:t>
      </w:r>
    </w:p>
    <w:p w:rsidR="00515018" w:rsidRPr="009247D3" w:rsidRDefault="00515018" w:rsidP="00515018">
      <w:pPr>
        <w:pStyle w:val="Sraopastraipa1"/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Neišmeskite šio lapelio, nes vėl gali prireikti jį perskaityti.</w:t>
      </w:r>
    </w:p>
    <w:p w:rsidR="00515018" w:rsidRPr="009247D3" w:rsidRDefault="00515018" w:rsidP="00515018">
      <w:pPr>
        <w:pStyle w:val="Sraopastraipa1"/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Jeigu norite sužinoti daugiau arba pasitarti, kreipkitės į vaistininką.</w:t>
      </w:r>
    </w:p>
    <w:p w:rsidR="00515018" w:rsidRPr="009247D3" w:rsidRDefault="00515018" w:rsidP="00515018">
      <w:pPr>
        <w:pStyle w:val="Sraopastraipa1"/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515018" w:rsidRPr="009247D3" w:rsidRDefault="00515018" w:rsidP="00515018">
      <w:pPr>
        <w:pStyle w:val="Sraopastraipa1"/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Jeigu per 3 paras Jūsų savijauta nepagerėjo arba net pablogėjo, kreipkitės į gydytoją.</w:t>
      </w:r>
    </w:p>
    <w:p w:rsidR="00515018" w:rsidRPr="009247D3" w:rsidRDefault="00515018" w:rsidP="00515018">
      <w:pPr>
        <w:pStyle w:val="Pagrindinistekstas"/>
        <w:rPr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Apie ką rašoma šiame lapelyje?</w:t>
      </w:r>
    </w:p>
    <w:p w:rsidR="00515018" w:rsidRPr="009247D3" w:rsidRDefault="00515018" w:rsidP="00515018">
      <w:pPr>
        <w:rPr>
          <w:rFonts w:ascii="Times New Roman" w:hAnsi="Times New Roman"/>
          <w:b/>
          <w:sz w:val="22"/>
          <w:szCs w:val="22"/>
        </w:rPr>
      </w:pPr>
    </w:p>
    <w:p w:rsidR="00515018" w:rsidRPr="009247D3" w:rsidRDefault="00515018" w:rsidP="00515018">
      <w:pPr>
        <w:tabs>
          <w:tab w:val="left" w:pos="567"/>
          <w:tab w:val="left" w:pos="709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1.</w:t>
      </w:r>
      <w:r w:rsidRPr="009247D3">
        <w:rPr>
          <w:rFonts w:ascii="Times New Roman" w:hAnsi="Times New Roman"/>
          <w:sz w:val="22"/>
          <w:szCs w:val="22"/>
        </w:rPr>
        <w:tab/>
        <w:t xml:space="preserve">Kas yra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ir kam jis vartojamas</w:t>
      </w:r>
    </w:p>
    <w:p w:rsidR="00515018" w:rsidRPr="009247D3" w:rsidRDefault="00515018" w:rsidP="00515018">
      <w:pPr>
        <w:tabs>
          <w:tab w:val="left" w:pos="567"/>
          <w:tab w:val="left" w:pos="709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2.</w:t>
      </w:r>
      <w:r w:rsidRPr="009247D3">
        <w:rPr>
          <w:rFonts w:ascii="Times New Roman" w:hAnsi="Times New Roman"/>
          <w:sz w:val="22"/>
          <w:szCs w:val="22"/>
        </w:rPr>
        <w:tab/>
        <w:t xml:space="preserve">Kas žinotina prieš vartojant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Actavis</w:t>
      </w:r>
      <w:proofErr w:type="spellEnd"/>
    </w:p>
    <w:p w:rsidR="00515018" w:rsidRPr="009247D3" w:rsidRDefault="00515018" w:rsidP="00515018">
      <w:pPr>
        <w:numPr>
          <w:ilvl w:val="0"/>
          <w:numId w:val="1"/>
        </w:numPr>
        <w:tabs>
          <w:tab w:val="clear" w:pos="570"/>
          <w:tab w:val="left" w:pos="567"/>
          <w:tab w:val="num" w:pos="709"/>
        </w:tabs>
        <w:ind w:left="0" w:firstLine="0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Kaip vartoti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Actavis</w:t>
      </w:r>
      <w:proofErr w:type="spellEnd"/>
    </w:p>
    <w:p w:rsidR="00515018" w:rsidRPr="009247D3" w:rsidRDefault="00515018" w:rsidP="00515018">
      <w:pPr>
        <w:numPr>
          <w:ilvl w:val="0"/>
          <w:numId w:val="1"/>
        </w:numPr>
        <w:tabs>
          <w:tab w:val="clear" w:pos="570"/>
          <w:tab w:val="left" w:pos="567"/>
          <w:tab w:val="num" w:pos="709"/>
        </w:tabs>
        <w:ind w:left="0" w:firstLine="0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Galimas šalutinis poveikis</w:t>
      </w:r>
    </w:p>
    <w:p w:rsidR="00515018" w:rsidRPr="009247D3" w:rsidRDefault="00515018" w:rsidP="00515018">
      <w:pPr>
        <w:tabs>
          <w:tab w:val="left" w:pos="567"/>
          <w:tab w:val="left" w:pos="709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5.</w:t>
      </w:r>
      <w:r w:rsidRPr="009247D3">
        <w:rPr>
          <w:rFonts w:ascii="Times New Roman" w:hAnsi="Times New Roman"/>
          <w:sz w:val="22"/>
          <w:szCs w:val="22"/>
        </w:rPr>
        <w:tab/>
        <w:t xml:space="preserve">Kaip laikyti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Actavis</w:t>
      </w:r>
      <w:proofErr w:type="spellEnd"/>
    </w:p>
    <w:p w:rsidR="00515018" w:rsidRPr="009247D3" w:rsidRDefault="00515018" w:rsidP="00515018">
      <w:pPr>
        <w:tabs>
          <w:tab w:val="left" w:pos="567"/>
          <w:tab w:val="left" w:pos="709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6.</w:t>
      </w:r>
      <w:r w:rsidRPr="009247D3">
        <w:rPr>
          <w:rFonts w:ascii="Times New Roman" w:hAnsi="Times New Roman"/>
          <w:sz w:val="22"/>
          <w:szCs w:val="22"/>
        </w:rPr>
        <w:tab/>
        <w:t>Pakuotės turinys ir kita informacija</w:t>
      </w:r>
    </w:p>
    <w:p w:rsidR="00515018" w:rsidRPr="009247D3" w:rsidRDefault="00515018" w:rsidP="00515018">
      <w:pPr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numPr>
          <w:ilvl w:val="12"/>
          <w:numId w:val="0"/>
        </w:numP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1.</w:t>
      </w:r>
      <w:r w:rsidRPr="009247D3">
        <w:rPr>
          <w:rFonts w:ascii="Times New Roman" w:hAnsi="Times New Roman"/>
          <w:b/>
          <w:sz w:val="22"/>
          <w:szCs w:val="22"/>
        </w:rPr>
        <w:tab/>
        <w:t xml:space="preserve">Kas yra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ir kam jis vartojamas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sukelia stiprų sekretą, ypač gleives, skystinantį poveikį. Jis yra sintetinis Indijos augalo </w:t>
      </w:r>
      <w:proofErr w:type="spellStart"/>
      <w:r w:rsidRPr="009247D3">
        <w:rPr>
          <w:rFonts w:ascii="Times New Roman" w:hAnsi="Times New Roman"/>
          <w:i/>
          <w:sz w:val="22"/>
          <w:szCs w:val="22"/>
        </w:rPr>
        <w:t>Adhatoda</w:t>
      </w:r>
      <w:proofErr w:type="spellEnd"/>
      <w:r w:rsidRPr="009247D3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i/>
          <w:sz w:val="22"/>
          <w:szCs w:val="22"/>
        </w:rPr>
        <w:t>vasica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alkaloido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vazicino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analogas. Veikimo mechanizmas aiškinamas tuo, kad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depolimerizuoja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gleivių baltymus ir angliavandenius, todėl sumažėja bronchų sekreto klampumas (suskystėja skrepliai) bei lengvėja savaiminis ir atsikosėjimą lengvinančių vaistų skatinamas skreplių šalinimas iš bronchų. Vaistas neskaldo baltymų, todėl nežaloja bronchų gleivinės. 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Kvėpavimo takų sekreto skystinimas </w:t>
      </w:r>
      <w:r>
        <w:rPr>
          <w:rFonts w:ascii="Times New Roman" w:hAnsi="Times New Roman"/>
          <w:sz w:val="22"/>
          <w:szCs w:val="22"/>
        </w:rPr>
        <w:t>pacientams</w:t>
      </w:r>
      <w:r w:rsidRPr="009247D3">
        <w:rPr>
          <w:rFonts w:ascii="Times New Roman" w:hAnsi="Times New Roman"/>
          <w:sz w:val="22"/>
          <w:szCs w:val="22"/>
        </w:rPr>
        <w:t>, sergantiems ūmine arba lėtine bronchų ar plaučių liga, kurios metu sutrinka sekreto išskyrimas ir šalinimas.</w:t>
      </w: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Jeigu per 3 dienas Jūsų savijauta nepagerėjo arba net pablogėjo, kreipkitės į gydytoją.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numPr>
          <w:ilvl w:val="12"/>
          <w:numId w:val="0"/>
        </w:numP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2.</w:t>
      </w:r>
      <w:r w:rsidRPr="009247D3">
        <w:rPr>
          <w:rFonts w:ascii="Times New Roman" w:hAnsi="Times New Roman"/>
          <w:b/>
          <w:sz w:val="22"/>
          <w:szCs w:val="22"/>
        </w:rPr>
        <w:tab/>
        <w:t xml:space="preserve">Kas žinotina prieš vartojant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b/>
          <w:caps/>
          <w:sz w:val="22"/>
          <w:szCs w:val="22"/>
        </w:rPr>
      </w:pP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vartoti negalima:</w:t>
      </w:r>
    </w:p>
    <w:p w:rsidR="00515018" w:rsidRPr="009247D3" w:rsidRDefault="00515018" w:rsidP="00515018">
      <w:pPr>
        <w:numPr>
          <w:ilvl w:val="0"/>
          <w:numId w:val="2"/>
        </w:numPr>
        <w:ind w:left="567" w:hanging="567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jeigu yra padidėjęs jautrumas (alergija)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bromheksino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hidrochloridui arba bet kuriai pagalbinei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medžiagai;</w:t>
      </w:r>
    </w:p>
    <w:p w:rsidR="00515018" w:rsidRPr="009247D3" w:rsidRDefault="00515018" w:rsidP="00515018">
      <w:pPr>
        <w:numPr>
          <w:ilvl w:val="0"/>
          <w:numId w:val="2"/>
        </w:numPr>
        <w:ind w:left="0" w:firstLine="0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jeigu yra sunkus inkstų nepakankamumas;</w:t>
      </w:r>
    </w:p>
    <w:p w:rsidR="00515018" w:rsidRPr="009247D3" w:rsidRDefault="00515018" w:rsidP="00515018">
      <w:pPr>
        <w:tabs>
          <w:tab w:val="num" w:pos="570"/>
        </w:tabs>
        <w:ind w:left="540" w:hanging="540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-</w:t>
      </w:r>
      <w:r w:rsidRPr="009247D3">
        <w:rPr>
          <w:rFonts w:ascii="Times New Roman" w:hAnsi="Times New Roman"/>
          <w:sz w:val="22"/>
          <w:szCs w:val="22"/>
        </w:rPr>
        <w:tab/>
        <w:t>kartu su kosulį slopinančiais vaistais, kurie slopina kosulio refleksą (pvz., su kodeinu), ypač prieš einant miegoti (vartojant šių vaistų kartu, slopinamas skreplių atkosėjimas);</w:t>
      </w:r>
    </w:p>
    <w:p w:rsidR="00515018" w:rsidRPr="009247D3" w:rsidRDefault="00515018" w:rsidP="00515018">
      <w:pPr>
        <w:tabs>
          <w:tab w:val="num" w:pos="570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-</w:t>
      </w:r>
      <w:r w:rsidRPr="009247D3">
        <w:rPr>
          <w:rFonts w:ascii="Times New Roman" w:hAnsi="Times New Roman"/>
          <w:sz w:val="22"/>
          <w:szCs w:val="22"/>
        </w:rPr>
        <w:tab/>
        <w:t>jeigu sergate pepsine opa;</w:t>
      </w:r>
    </w:p>
    <w:p w:rsidR="00515018" w:rsidRPr="009247D3" w:rsidRDefault="00515018" w:rsidP="00515018">
      <w:pPr>
        <w:tabs>
          <w:tab w:val="num" w:pos="570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-</w:t>
      </w:r>
      <w:r w:rsidRPr="009247D3">
        <w:rPr>
          <w:rFonts w:ascii="Times New Roman" w:hAnsi="Times New Roman"/>
          <w:sz w:val="22"/>
          <w:szCs w:val="22"/>
        </w:rPr>
        <w:tab/>
        <w:t>jaunesniems nei 2 metų vaikams.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Įspėjimai ir atsargumo priemonės</w:t>
      </w:r>
    </w:p>
    <w:p w:rsidR="00515018" w:rsidRPr="009247D3" w:rsidRDefault="00515018" w:rsidP="00515018">
      <w:pPr>
        <w:rPr>
          <w:rFonts w:ascii="Times New Roman" w:hAnsi="Times New Roman"/>
          <w:noProof/>
          <w:sz w:val="22"/>
          <w:szCs w:val="22"/>
        </w:rPr>
      </w:pPr>
      <w:r w:rsidRPr="009247D3">
        <w:rPr>
          <w:rFonts w:ascii="Times New Roman" w:hAnsi="Times New Roman"/>
          <w:noProof/>
          <w:sz w:val="22"/>
          <w:szCs w:val="22"/>
        </w:rPr>
        <w:t>Pasitarkite su gydytoju arba vaistininku, prieš pradėdami vartoti Bromhexin Actavis.</w:t>
      </w:r>
    </w:p>
    <w:p w:rsidR="00515018" w:rsidRPr="009247D3" w:rsidRDefault="00515018" w:rsidP="00515018">
      <w:pPr>
        <w:rPr>
          <w:rFonts w:ascii="Times New Roman" w:hAnsi="Times New Roman"/>
          <w:b/>
          <w:sz w:val="22"/>
          <w:szCs w:val="22"/>
        </w:rPr>
      </w:pP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Vaisto atsargiai turėtų vartoti nusilpę asmenys, astma sergantys pacientai ir </w:t>
      </w:r>
      <w:r>
        <w:rPr>
          <w:rFonts w:ascii="Times New Roman" w:hAnsi="Times New Roman"/>
          <w:sz w:val="22"/>
          <w:szCs w:val="22"/>
        </w:rPr>
        <w:t>pacientai</w:t>
      </w:r>
      <w:r w:rsidRPr="009247D3">
        <w:rPr>
          <w:rFonts w:ascii="Times New Roman" w:hAnsi="Times New Roman"/>
          <w:sz w:val="22"/>
          <w:szCs w:val="22"/>
        </w:rPr>
        <w:t>, kuriems yra bronchų nepraeinamumas (iš bronchų sunkiai pasišalina sekretas).</w:t>
      </w: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lastRenderedPageBreak/>
        <w:t xml:space="preserve">Kadangi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suardo virškinimo trakto gleivių barjerą,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turėtų atsargiai vartoti pacientai, kuriems yra buvusi </w:t>
      </w:r>
      <w:proofErr w:type="spellStart"/>
      <w:r w:rsidRPr="009247D3">
        <w:rPr>
          <w:rFonts w:ascii="Times New Roman" w:hAnsi="Times New Roman"/>
          <w:sz w:val="22"/>
          <w:szCs w:val="22"/>
        </w:rPr>
        <w:t>pepsinė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opa.</w:t>
      </w: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pStyle w:val="Pagrindinistekstas"/>
        <w:widowControl w:val="0"/>
        <w:rPr>
          <w:szCs w:val="22"/>
        </w:rPr>
      </w:pPr>
      <w:r>
        <w:rPr>
          <w:szCs w:val="22"/>
        </w:rPr>
        <w:t>Pacientams</w:t>
      </w:r>
      <w:r w:rsidRPr="009247D3">
        <w:rPr>
          <w:szCs w:val="22"/>
        </w:rPr>
        <w:t xml:space="preserve">, kurių inkstų veikla sutrikusi arba kurie serga sunkia kepenų liga, </w:t>
      </w:r>
      <w:proofErr w:type="spellStart"/>
      <w:r w:rsidRPr="009247D3">
        <w:rPr>
          <w:szCs w:val="22"/>
        </w:rPr>
        <w:t>bromheksino</w:t>
      </w:r>
      <w:proofErr w:type="spellEnd"/>
      <w:r w:rsidRPr="009247D3">
        <w:rPr>
          <w:szCs w:val="22"/>
        </w:rPr>
        <w:t xml:space="preserve"> reikia vartoti labai atsargiai, t. y. gerti rečiau ir (arba) mažesnę dozę. </w:t>
      </w: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8F44F2">
        <w:rPr>
          <w:rFonts w:ascii="Times New Roman" w:hAnsi="Times New Roman"/>
          <w:sz w:val="22"/>
          <w:szCs w:val="22"/>
        </w:rPr>
        <w:t xml:space="preserve">Nustatyti sunkių odos reakcijų, susijusių su </w:t>
      </w:r>
      <w:proofErr w:type="spellStart"/>
      <w:r>
        <w:rPr>
          <w:rFonts w:ascii="Times New Roman" w:hAnsi="Times New Roman"/>
          <w:sz w:val="22"/>
          <w:szCs w:val="22"/>
        </w:rPr>
        <w:t>bromheksino</w:t>
      </w:r>
      <w:proofErr w:type="spellEnd"/>
      <w:r w:rsidRPr="008F44F2">
        <w:rPr>
          <w:rFonts w:ascii="Times New Roman" w:hAnsi="Times New Roman"/>
          <w:sz w:val="22"/>
          <w:szCs w:val="22"/>
        </w:rPr>
        <w:t xml:space="preserve"> vartojimu, atvejai. Jeigu Jums pasireiškė odos išbėrimas (įskaitant gleivinės, pvz., burnos, gerklės, nosies, akių, lyties organų, pažeidimus), nedelsdami nutraukite </w:t>
      </w:r>
      <w:proofErr w:type="spellStart"/>
      <w:r>
        <w:rPr>
          <w:rFonts w:ascii="Times New Roman" w:hAnsi="Times New Roman"/>
          <w:sz w:val="22"/>
          <w:szCs w:val="22"/>
        </w:rPr>
        <w:t>Bromhexin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Actavis</w:t>
      </w:r>
      <w:proofErr w:type="spellEnd"/>
      <w:r w:rsidRPr="008F44F2">
        <w:rPr>
          <w:rFonts w:ascii="Times New Roman" w:hAnsi="Times New Roman"/>
          <w:sz w:val="22"/>
          <w:szCs w:val="22"/>
        </w:rPr>
        <w:t xml:space="preserve"> vartojimą ir kreipkitės į gydytoją.</w:t>
      </w:r>
    </w:p>
    <w:p w:rsidR="00515018" w:rsidRPr="009247D3" w:rsidRDefault="00515018" w:rsidP="00515018">
      <w:pPr>
        <w:rPr>
          <w:rFonts w:ascii="Times New Roman" w:hAnsi="Times New Roman"/>
          <w:bCs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Prieš kepenų veiklos tyrimą gydytoją informuokite apie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bromheksino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vartojimą. Pastebėta kepenų veiklos rodmenų pokyčių. </w:t>
      </w:r>
    </w:p>
    <w:p w:rsidR="00515018" w:rsidRPr="009247D3" w:rsidRDefault="00515018" w:rsidP="00515018">
      <w:pPr>
        <w:rPr>
          <w:rFonts w:ascii="Times New Roman" w:hAnsi="Times New Roman"/>
          <w:b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 xml:space="preserve">Kiti vaistai ir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Jeigu vartojate arba neseniai vartojote kitų vaistų arba dėl to nesate tikri, apie tai pasakykite gydytojui arba vaistininkui.</w:t>
      </w:r>
    </w:p>
    <w:p w:rsidR="00515018" w:rsidRDefault="00515018" w:rsidP="00515018">
      <w:pPr>
        <w:pStyle w:val="Pagrindinistekstas"/>
        <w:rPr>
          <w:i/>
          <w:szCs w:val="22"/>
        </w:rPr>
      </w:pPr>
    </w:p>
    <w:p w:rsidR="00515018" w:rsidRPr="009247D3" w:rsidRDefault="00515018" w:rsidP="00515018">
      <w:pPr>
        <w:pStyle w:val="Pagrindinistekstas"/>
        <w:rPr>
          <w:i/>
          <w:szCs w:val="22"/>
        </w:rPr>
      </w:pPr>
      <w:r w:rsidRPr="009247D3">
        <w:rPr>
          <w:i/>
          <w:szCs w:val="22"/>
        </w:rPr>
        <w:t>Kosulį slopinantys vaistai</w:t>
      </w:r>
    </w:p>
    <w:p w:rsidR="00515018" w:rsidRPr="009247D3" w:rsidRDefault="00515018" w:rsidP="00515018">
      <w:pPr>
        <w:pStyle w:val="Pagrindinistekstas"/>
        <w:rPr>
          <w:szCs w:val="22"/>
        </w:rPr>
      </w:pPr>
      <w:proofErr w:type="spellStart"/>
      <w:r w:rsidRPr="009247D3">
        <w:rPr>
          <w:szCs w:val="22"/>
        </w:rPr>
        <w:t>Bromhexin</w:t>
      </w:r>
      <w:proofErr w:type="spellEnd"/>
      <w:r w:rsidRPr="009247D3">
        <w:rPr>
          <w:szCs w:val="22"/>
        </w:rPr>
        <w:t xml:space="preserve"> </w:t>
      </w:r>
      <w:proofErr w:type="spellStart"/>
      <w:r w:rsidRPr="009247D3">
        <w:rPr>
          <w:szCs w:val="22"/>
        </w:rPr>
        <w:t>Actavis</w:t>
      </w:r>
      <w:proofErr w:type="spellEnd"/>
      <w:r w:rsidRPr="009247D3">
        <w:rPr>
          <w:szCs w:val="22"/>
        </w:rPr>
        <w:t xml:space="preserve"> nevartotinas kartu su kosulį slopinančiais vaistais, pvz. kodeinu, kuris slopina suskystėjusio sekreto pasišalinimą.</w:t>
      </w:r>
    </w:p>
    <w:p w:rsidR="00515018" w:rsidRPr="009247D3" w:rsidRDefault="00515018" w:rsidP="00515018">
      <w:pPr>
        <w:pStyle w:val="Pagrindinistekstas"/>
        <w:rPr>
          <w:szCs w:val="22"/>
        </w:rPr>
      </w:pPr>
    </w:p>
    <w:p w:rsidR="00515018" w:rsidRPr="009247D3" w:rsidRDefault="00515018" w:rsidP="00515018">
      <w:pPr>
        <w:pStyle w:val="Pagrindinistekstas"/>
        <w:rPr>
          <w:i/>
          <w:szCs w:val="22"/>
        </w:rPr>
      </w:pPr>
      <w:r w:rsidRPr="009247D3">
        <w:rPr>
          <w:i/>
          <w:szCs w:val="22"/>
        </w:rPr>
        <w:t>Antibiotikai</w:t>
      </w:r>
    </w:p>
    <w:p w:rsidR="00515018" w:rsidRPr="009247D3" w:rsidRDefault="00515018" w:rsidP="00515018">
      <w:pPr>
        <w:pStyle w:val="Pagrindinistekstas"/>
        <w:rPr>
          <w:szCs w:val="22"/>
        </w:rPr>
      </w:pPr>
      <w:proofErr w:type="spellStart"/>
      <w:r w:rsidRPr="009247D3">
        <w:rPr>
          <w:szCs w:val="22"/>
        </w:rPr>
        <w:t>Bromheksinas</w:t>
      </w:r>
      <w:proofErr w:type="spellEnd"/>
      <w:r w:rsidRPr="009247D3">
        <w:rPr>
          <w:szCs w:val="22"/>
        </w:rPr>
        <w:t xml:space="preserve"> gerina kai kurių antibiotikų (</w:t>
      </w:r>
      <w:proofErr w:type="spellStart"/>
      <w:r w:rsidRPr="009247D3">
        <w:rPr>
          <w:szCs w:val="22"/>
        </w:rPr>
        <w:t>eritromicino</w:t>
      </w:r>
      <w:proofErr w:type="spellEnd"/>
      <w:r w:rsidRPr="009247D3">
        <w:rPr>
          <w:szCs w:val="22"/>
        </w:rPr>
        <w:t xml:space="preserve">, </w:t>
      </w:r>
      <w:proofErr w:type="spellStart"/>
      <w:r w:rsidRPr="009247D3">
        <w:rPr>
          <w:szCs w:val="22"/>
        </w:rPr>
        <w:t>cefaleksino</w:t>
      </w:r>
      <w:proofErr w:type="spellEnd"/>
      <w:r w:rsidRPr="009247D3">
        <w:rPr>
          <w:szCs w:val="22"/>
        </w:rPr>
        <w:t xml:space="preserve">, </w:t>
      </w:r>
      <w:proofErr w:type="spellStart"/>
      <w:r w:rsidRPr="009247D3">
        <w:rPr>
          <w:szCs w:val="22"/>
        </w:rPr>
        <w:t>oksitetraciklino</w:t>
      </w:r>
      <w:proofErr w:type="spellEnd"/>
      <w:r w:rsidRPr="009247D3">
        <w:rPr>
          <w:szCs w:val="22"/>
        </w:rPr>
        <w:t>) prasiskverbimą į bronchų sekretą, todėl šių vaistų rekomenduojama vartoti kartu.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vartojimas su maistu ir gėrimas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Bromheksino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sekretą skystinantį poveikį stiprina skysčio vartojimas.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Nėštumas ir žindymo laikotarpis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Prieš vartojant bet kokį vaistą, būtina pasitarti su gydytoju arba vaistininku.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Patikimų tyrimų duomenų, rodančių, kad vaistinis preparatas daro </w:t>
      </w:r>
      <w:proofErr w:type="spellStart"/>
      <w:r w:rsidRPr="009247D3">
        <w:rPr>
          <w:rFonts w:ascii="Times New Roman" w:hAnsi="Times New Roman"/>
          <w:sz w:val="22"/>
          <w:szCs w:val="22"/>
        </w:rPr>
        <w:t>embriotoksinį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ir </w:t>
      </w:r>
      <w:proofErr w:type="spellStart"/>
      <w:r w:rsidRPr="009247D3">
        <w:rPr>
          <w:rFonts w:ascii="Times New Roman" w:hAnsi="Times New Roman"/>
          <w:sz w:val="22"/>
          <w:szCs w:val="22"/>
        </w:rPr>
        <w:t>teratogeninį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poveikį, nėra. </w:t>
      </w:r>
      <w:proofErr w:type="spellStart"/>
      <w:r w:rsidRPr="009247D3">
        <w:rPr>
          <w:rFonts w:ascii="Times New Roman" w:hAnsi="Times New Roman"/>
          <w:bCs/>
          <w:iCs/>
          <w:sz w:val="22"/>
          <w:szCs w:val="22"/>
        </w:rPr>
        <w:t>Bromheksin</w:t>
      </w:r>
      <w:proofErr w:type="spellEnd"/>
      <w:r w:rsidRPr="009247D3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Cs/>
          <w:iCs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bCs/>
          <w:iCs/>
          <w:sz w:val="22"/>
          <w:szCs w:val="22"/>
        </w:rPr>
        <w:t xml:space="preserve"> nerekomenduojama</w:t>
      </w:r>
      <w:r w:rsidRPr="009247D3">
        <w:rPr>
          <w:rFonts w:ascii="Times New Roman" w:hAnsi="Times New Roman"/>
          <w:sz w:val="22"/>
          <w:szCs w:val="22"/>
        </w:rPr>
        <w:t xml:space="preserve"> vartoti nėštumo ar žindymo metu, nes duomenų apie vaisto saugumą nepakanka. Vaisto išsiskiria su žindyvės pienu. 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Vairavimas ir mechanizmų valdymas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gebėjimo vairuoti ir valdyti mechanizmus neveikia.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sudėtyje yra laktozės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515018" w:rsidRPr="009247D3" w:rsidRDefault="00515018" w:rsidP="00515018">
      <w:pPr>
        <w:pStyle w:val="Pagrindinistekstas"/>
        <w:jc w:val="both"/>
        <w:rPr>
          <w:szCs w:val="22"/>
        </w:rPr>
      </w:pPr>
    </w:p>
    <w:p w:rsidR="00515018" w:rsidRPr="00F20AEA" w:rsidRDefault="00515018" w:rsidP="00515018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F20AEA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F20AE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20AEA">
        <w:rPr>
          <w:rFonts w:ascii="Times New Roman" w:hAnsi="Times New Roman"/>
          <w:b/>
          <w:sz w:val="22"/>
          <w:szCs w:val="22"/>
        </w:rPr>
        <w:t>Actavis</w:t>
      </w:r>
      <w:proofErr w:type="spellEnd"/>
      <w:r w:rsidRPr="00F20AEA">
        <w:rPr>
          <w:rFonts w:ascii="Times New Roman" w:hAnsi="Times New Roman"/>
          <w:b/>
          <w:sz w:val="22"/>
          <w:szCs w:val="22"/>
        </w:rPr>
        <w:t xml:space="preserve"> sud</w:t>
      </w:r>
      <w:r w:rsidRPr="00F20AEA">
        <w:rPr>
          <w:rFonts w:ascii="Times New Roman" w:hAnsi="Times New Roman" w:hint="eastAsia"/>
          <w:b/>
          <w:sz w:val="22"/>
          <w:szCs w:val="22"/>
        </w:rPr>
        <w:t>ė</w:t>
      </w:r>
      <w:r w:rsidRPr="00F20AEA">
        <w:rPr>
          <w:rFonts w:ascii="Times New Roman" w:hAnsi="Times New Roman"/>
          <w:b/>
          <w:sz w:val="22"/>
          <w:szCs w:val="22"/>
        </w:rPr>
        <w:t>tyje</w:t>
      </w:r>
      <w:r w:rsidRPr="00592100">
        <w:rPr>
          <w:rFonts w:ascii="Times New Roman" w:hAnsi="Times New Roman"/>
          <w:b/>
          <w:sz w:val="22"/>
        </w:rPr>
        <w:t xml:space="preserve"> yra kvie</w:t>
      </w:r>
      <w:r w:rsidRPr="00592100">
        <w:rPr>
          <w:rFonts w:ascii="Times New Roman" w:hAnsi="Times New Roman" w:hint="eastAsia"/>
          <w:b/>
          <w:sz w:val="22"/>
        </w:rPr>
        <w:t>č</w:t>
      </w:r>
      <w:r w:rsidRPr="00592100">
        <w:rPr>
          <w:rFonts w:ascii="Times New Roman" w:hAnsi="Times New Roman"/>
          <w:b/>
          <w:sz w:val="22"/>
        </w:rPr>
        <w:t>i</w:t>
      </w:r>
      <w:r w:rsidRPr="00592100">
        <w:rPr>
          <w:rFonts w:ascii="Times New Roman" w:hAnsi="Times New Roman" w:hint="eastAsia"/>
          <w:b/>
          <w:sz w:val="22"/>
        </w:rPr>
        <w:t>ų</w:t>
      </w:r>
      <w:r w:rsidRPr="00592100">
        <w:rPr>
          <w:rFonts w:ascii="Times New Roman" w:hAnsi="Times New Roman"/>
          <w:b/>
          <w:sz w:val="22"/>
        </w:rPr>
        <w:t xml:space="preserve"> krakmolo</w:t>
      </w:r>
    </w:p>
    <w:p w:rsidR="00515018" w:rsidRPr="00F904DE" w:rsidRDefault="00515018" w:rsidP="00515018">
      <w:pPr>
        <w:rPr>
          <w:rFonts w:ascii="Times New Roman" w:hAnsi="Times New Roman"/>
          <w:sz w:val="22"/>
          <w:szCs w:val="22"/>
        </w:rPr>
      </w:pPr>
      <w:r w:rsidRPr="00592100">
        <w:rPr>
          <w:rFonts w:ascii="Times New Roman" w:hAnsi="Times New Roman"/>
          <w:sz w:val="22"/>
        </w:rPr>
        <w:t xml:space="preserve">Šio vaisto </w:t>
      </w:r>
      <w:r w:rsidRPr="00F904DE">
        <w:rPr>
          <w:rFonts w:ascii="Times New Roman" w:hAnsi="Times New Roman"/>
          <w:sz w:val="22"/>
          <w:szCs w:val="22"/>
        </w:rPr>
        <w:t>sud</w:t>
      </w:r>
      <w:r w:rsidRPr="00F904DE">
        <w:rPr>
          <w:rFonts w:ascii="Times New Roman" w:hAnsi="Times New Roman" w:hint="eastAsia"/>
          <w:sz w:val="22"/>
          <w:szCs w:val="22"/>
        </w:rPr>
        <w:t>ė</w:t>
      </w:r>
      <w:r w:rsidRPr="00F904DE">
        <w:rPr>
          <w:rFonts w:ascii="Times New Roman" w:hAnsi="Times New Roman"/>
          <w:sz w:val="22"/>
          <w:szCs w:val="22"/>
        </w:rPr>
        <w:t>tyje yra labai mažas glitimo (esan</w:t>
      </w:r>
      <w:r w:rsidRPr="00F904DE">
        <w:rPr>
          <w:rFonts w:ascii="Times New Roman" w:hAnsi="Times New Roman" w:hint="eastAsia"/>
          <w:sz w:val="22"/>
          <w:szCs w:val="22"/>
        </w:rPr>
        <w:t>č</w:t>
      </w:r>
      <w:r>
        <w:rPr>
          <w:rFonts w:ascii="Times New Roman" w:hAnsi="Times New Roman"/>
          <w:sz w:val="22"/>
          <w:szCs w:val="22"/>
        </w:rPr>
        <w:t xml:space="preserve">io </w:t>
      </w:r>
      <w:r w:rsidRPr="00F904DE">
        <w:rPr>
          <w:rFonts w:ascii="Times New Roman" w:hAnsi="Times New Roman"/>
          <w:sz w:val="22"/>
          <w:szCs w:val="22"/>
        </w:rPr>
        <w:t>kvie</w:t>
      </w:r>
      <w:r w:rsidRPr="00F904DE">
        <w:rPr>
          <w:rFonts w:ascii="Times New Roman" w:hAnsi="Times New Roman" w:hint="eastAsia"/>
          <w:sz w:val="22"/>
          <w:szCs w:val="22"/>
        </w:rPr>
        <w:t>č</w:t>
      </w:r>
      <w:r w:rsidRPr="00F904DE">
        <w:rPr>
          <w:rFonts w:ascii="Times New Roman" w:hAnsi="Times New Roman"/>
          <w:sz w:val="22"/>
          <w:szCs w:val="22"/>
        </w:rPr>
        <w:t>i</w:t>
      </w:r>
      <w:r w:rsidRPr="00F904DE">
        <w:rPr>
          <w:rFonts w:ascii="Times New Roman" w:hAnsi="Times New Roman" w:hint="eastAsia"/>
          <w:sz w:val="22"/>
          <w:szCs w:val="22"/>
        </w:rPr>
        <w:t>ų</w:t>
      </w:r>
      <w:r>
        <w:rPr>
          <w:rFonts w:ascii="Times New Roman" w:hAnsi="Times New Roman"/>
          <w:sz w:val="22"/>
          <w:szCs w:val="22"/>
        </w:rPr>
        <w:t xml:space="preserve"> krakmole) kiekis</w:t>
      </w:r>
      <w:r w:rsidRPr="00F904DE">
        <w:rPr>
          <w:rFonts w:ascii="Times New Roman" w:hAnsi="Times New Roman"/>
          <w:sz w:val="22"/>
          <w:szCs w:val="22"/>
        </w:rPr>
        <w:t>. Šis vaistas laikytinas</w:t>
      </w:r>
    </w:p>
    <w:p w:rsidR="00515018" w:rsidRPr="00F904DE" w:rsidRDefault="00515018" w:rsidP="00515018">
      <w:pPr>
        <w:rPr>
          <w:rFonts w:ascii="Times New Roman" w:hAnsi="Times New Roman"/>
          <w:sz w:val="22"/>
          <w:szCs w:val="22"/>
        </w:rPr>
      </w:pPr>
      <w:r w:rsidRPr="00F904DE">
        <w:rPr>
          <w:rFonts w:ascii="Times New Roman" w:hAnsi="Times New Roman"/>
          <w:sz w:val="22"/>
          <w:szCs w:val="22"/>
        </w:rPr>
        <w:t>neturin</w:t>
      </w:r>
      <w:r w:rsidRPr="00F904DE">
        <w:rPr>
          <w:rFonts w:ascii="Times New Roman" w:hAnsi="Times New Roman" w:hint="eastAsia"/>
          <w:sz w:val="22"/>
          <w:szCs w:val="22"/>
        </w:rPr>
        <w:t>č</w:t>
      </w:r>
      <w:r>
        <w:rPr>
          <w:rFonts w:ascii="Times New Roman" w:hAnsi="Times New Roman"/>
          <w:sz w:val="22"/>
          <w:szCs w:val="22"/>
        </w:rPr>
        <w:t>iu glitimo</w:t>
      </w:r>
      <w:r w:rsidRPr="00F904DE">
        <w:rPr>
          <w:rFonts w:ascii="Times New Roman" w:hAnsi="Times New Roman"/>
          <w:sz w:val="22"/>
          <w:szCs w:val="22"/>
        </w:rPr>
        <w:t>, tod</w:t>
      </w:r>
      <w:r w:rsidRPr="00F904DE">
        <w:rPr>
          <w:rFonts w:ascii="Times New Roman" w:hAnsi="Times New Roman" w:hint="eastAsia"/>
          <w:sz w:val="22"/>
          <w:szCs w:val="22"/>
        </w:rPr>
        <w:t>ė</w:t>
      </w:r>
      <w:r>
        <w:rPr>
          <w:rFonts w:ascii="Times New Roman" w:hAnsi="Times New Roman"/>
          <w:sz w:val="22"/>
          <w:szCs w:val="22"/>
        </w:rPr>
        <w:t xml:space="preserve">l jei sergate </w:t>
      </w:r>
      <w:proofErr w:type="spellStart"/>
      <w:r>
        <w:rPr>
          <w:rFonts w:ascii="Times New Roman" w:hAnsi="Times New Roman"/>
          <w:sz w:val="22"/>
          <w:szCs w:val="22"/>
        </w:rPr>
        <w:t>celiakija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r w:rsidRPr="00F904DE">
        <w:rPr>
          <w:rFonts w:ascii="Times New Roman" w:hAnsi="Times New Roman"/>
          <w:sz w:val="22"/>
          <w:szCs w:val="22"/>
        </w:rPr>
        <w:t>mažai tik</w:t>
      </w:r>
      <w:r w:rsidRPr="00F904DE">
        <w:rPr>
          <w:rFonts w:ascii="Times New Roman" w:hAnsi="Times New Roman" w:hint="eastAsia"/>
          <w:sz w:val="22"/>
          <w:szCs w:val="22"/>
        </w:rPr>
        <w:t>ė</w:t>
      </w:r>
      <w:r w:rsidRPr="00F904DE">
        <w:rPr>
          <w:rFonts w:ascii="Times New Roman" w:hAnsi="Times New Roman"/>
          <w:sz w:val="22"/>
          <w:szCs w:val="22"/>
        </w:rPr>
        <w:t>tina, kad Jums pakenks.</w:t>
      </w:r>
    </w:p>
    <w:p w:rsidR="00515018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F904DE" w:rsidRDefault="00515018" w:rsidP="00515018">
      <w:r w:rsidRPr="00F904DE">
        <w:rPr>
          <w:rFonts w:ascii="Times New Roman" w:hAnsi="Times New Roman"/>
          <w:sz w:val="22"/>
          <w:szCs w:val="22"/>
        </w:rPr>
        <w:t>Jeigu esate alergiškas (alergiška)</w:t>
      </w:r>
      <w:r w:rsidRPr="00F904DE">
        <w:rPr>
          <w:rFonts w:ascii="Times New Roman" w:hAnsi="Times New Roman"/>
          <w:sz w:val="22"/>
        </w:rPr>
        <w:t xml:space="preserve"> kvie</w:t>
      </w:r>
      <w:r w:rsidRPr="00F904DE">
        <w:rPr>
          <w:rFonts w:ascii="Times New Roman" w:hAnsi="Times New Roman" w:hint="eastAsia"/>
          <w:sz w:val="22"/>
        </w:rPr>
        <w:t>č</w:t>
      </w:r>
      <w:r w:rsidRPr="00F904DE">
        <w:rPr>
          <w:rFonts w:ascii="Times New Roman" w:hAnsi="Times New Roman"/>
          <w:sz w:val="22"/>
        </w:rPr>
        <w:t xml:space="preserve">iams (ši </w:t>
      </w:r>
      <w:r>
        <w:rPr>
          <w:rFonts w:ascii="Times New Roman" w:hAnsi="Times New Roman"/>
          <w:sz w:val="22"/>
        </w:rPr>
        <w:t xml:space="preserve">liga </w:t>
      </w:r>
      <w:r w:rsidRPr="00F904DE">
        <w:rPr>
          <w:rFonts w:ascii="Times New Roman" w:hAnsi="Times New Roman"/>
          <w:sz w:val="22"/>
        </w:rPr>
        <w:t xml:space="preserve">skiriasi nuo </w:t>
      </w:r>
      <w:proofErr w:type="spellStart"/>
      <w:r w:rsidRPr="00F904DE">
        <w:rPr>
          <w:rFonts w:ascii="Times New Roman" w:hAnsi="Times New Roman"/>
          <w:sz w:val="22"/>
        </w:rPr>
        <w:t>celiakijos</w:t>
      </w:r>
      <w:proofErr w:type="spellEnd"/>
      <w:r w:rsidRPr="00F904DE">
        <w:rPr>
          <w:rFonts w:ascii="Times New Roman" w:hAnsi="Times New Roman"/>
          <w:sz w:val="22"/>
          <w:szCs w:val="22"/>
        </w:rPr>
        <w:t>), Jums šio vaisto vartoti</w:t>
      </w:r>
    </w:p>
    <w:p w:rsidR="00515018" w:rsidRDefault="00515018" w:rsidP="0051501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negalima.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numPr>
          <w:ilvl w:val="12"/>
          <w:numId w:val="0"/>
        </w:numP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3.</w:t>
      </w:r>
      <w:r w:rsidRPr="009247D3">
        <w:rPr>
          <w:rFonts w:ascii="Times New Roman" w:hAnsi="Times New Roman"/>
          <w:b/>
          <w:sz w:val="22"/>
          <w:szCs w:val="22"/>
        </w:rPr>
        <w:tab/>
        <w:t xml:space="preserve">Kaip vartoti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</w:p>
    <w:p w:rsidR="00515018" w:rsidRPr="009247D3" w:rsidRDefault="00515018" w:rsidP="00515018">
      <w:pPr>
        <w:jc w:val="both"/>
        <w:rPr>
          <w:rFonts w:ascii="Times New Roman" w:hAnsi="Times New Roman"/>
          <w:i/>
          <w:sz w:val="22"/>
          <w:szCs w:val="22"/>
        </w:rPr>
      </w:pPr>
    </w:p>
    <w:p w:rsidR="00515018" w:rsidRPr="009247D3" w:rsidRDefault="00515018" w:rsidP="00515018">
      <w:pPr>
        <w:jc w:val="both"/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noProof/>
          <w:sz w:val="22"/>
          <w:szCs w:val="22"/>
        </w:rPr>
        <w:t>Visada vartokite šį vaistą tiksliai kaip nurodė gydytojas arba vaistininkas.</w:t>
      </w:r>
      <w:r w:rsidRPr="009247D3">
        <w:rPr>
          <w:rFonts w:ascii="Times New Roman" w:hAnsi="Times New Roman"/>
          <w:sz w:val="22"/>
          <w:szCs w:val="22"/>
        </w:rPr>
        <w:t xml:space="preserve"> </w:t>
      </w:r>
      <w:r w:rsidRPr="009247D3">
        <w:rPr>
          <w:rFonts w:ascii="Times New Roman" w:hAnsi="Times New Roman"/>
          <w:noProof/>
          <w:sz w:val="22"/>
          <w:szCs w:val="22"/>
        </w:rPr>
        <w:t>Jeigu abejojate, kreipkitės į gydytoją arba vaistininką.</w:t>
      </w:r>
    </w:p>
    <w:p w:rsidR="00515018" w:rsidRPr="009247D3" w:rsidRDefault="00515018" w:rsidP="00515018">
      <w:pPr>
        <w:jc w:val="both"/>
        <w:rPr>
          <w:rFonts w:ascii="Times New Roman" w:hAnsi="Times New Roman"/>
          <w:i/>
          <w:sz w:val="22"/>
          <w:szCs w:val="22"/>
        </w:rPr>
      </w:pPr>
    </w:p>
    <w:p w:rsidR="00515018" w:rsidRPr="009247D3" w:rsidRDefault="00515018" w:rsidP="00515018">
      <w:pPr>
        <w:jc w:val="both"/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t>Suaugusiems žmonėms ir vyresniems kaip 12 metų vaikams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lastRenderedPageBreak/>
        <w:t xml:space="preserve">Rekomenduojama vienkartinė suaugusių žmonių dozė yra 8 - 16 mg (1 - 2 tabletes). Ją reikia gerti 3 kartus per parą. 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t>Jaunesniems kaip 12 metų vaikams</w:t>
      </w:r>
    </w:p>
    <w:p w:rsidR="00515018" w:rsidRPr="009247D3" w:rsidRDefault="00515018" w:rsidP="00515018">
      <w:pPr>
        <w:rPr>
          <w:rFonts w:ascii="Times New Roman" w:hAnsi="Times New Roman"/>
          <w:caps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Jaunesniems kaip 12 metų vaikams </w:t>
      </w:r>
      <w:r>
        <w:rPr>
          <w:rFonts w:ascii="Times New Roman" w:hAnsi="Times New Roman"/>
          <w:sz w:val="22"/>
          <w:szCs w:val="22"/>
        </w:rPr>
        <w:t xml:space="preserve">šis </w:t>
      </w:r>
      <w:r w:rsidRPr="009247D3">
        <w:rPr>
          <w:rFonts w:ascii="Times New Roman" w:hAnsi="Times New Roman"/>
          <w:sz w:val="22"/>
          <w:szCs w:val="22"/>
        </w:rPr>
        <w:t>vaist</w:t>
      </w:r>
      <w:r>
        <w:rPr>
          <w:rFonts w:ascii="Times New Roman" w:hAnsi="Times New Roman"/>
          <w:sz w:val="22"/>
          <w:szCs w:val="22"/>
        </w:rPr>
        <w:t>as</w:t>
      </w:r>
      <w:r w:rsidRPr="009247D3">
        <w:rPr>
          <w:rFonts w:ascii="Times New Roman" w:hAnsi="Times New Roman"/>
          <w:sz w:val="22"/>
          <w:szCs w:val="22"/>
        </w:rPr>
        <w:t xml:space="preserve"> nevartojamas (taip pat žr. skyrių „</w:t>
      </w:r>
      <w:proofErr w:type="spellStart"/>
      <w:r w:rsidRPr="009247D3">
        <w:rPr>
          <w:rFonts w:ascii="Times New Roman" w:hAnsi="Times New Roman"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vartoti negalima“).</w:t>
      </w:r>
    </w:p>
    <w:p w:rsidR="00515018" w:rsidRPr="009247D3" w:rsidRDefault="00515018" w:rsidP="00515018">
      <w:pPr>
        <w:jc w:val="both"/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t>Senyviems žmonėms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Senyviems žmonėms vaist</w:t>
      </w:r>
      <w:r>
        <w:rPr>
          <w:rFonts w:ascii="Times New Roman" w:hAnsi="Times New Roman"/>
          <w:sz w:val="22"/>
          <w:szCs w:val="22"/>
        </w:rPr>
        <w:t>o</w:t>
      </w:r>
      <w:r w:rsidRPr="009247D3">
        <w:rPr>
          <w:rFonts w:ascii="Times New Roman" w:hAnsi="Times New Roman"/>
          <w:sz w:val="22"/>
          <w:szCs w:val="22"/>
        </w:rPr>
        <w:t xml:space="preserve"> išsiskyrimas per inkstus gali sulėtėti, todėl vaist</w:t>
      </w:r>
      <w:r>
        <w:rPr>
          <w:rFonts w:ascii="Times New Roman" w:hAnsi="Times New Roman"/>
          <w:sz w:val="22"/>
          <w:szCs w:val="22"/>
        </w:rPr>
        <w:t>o</w:t>
      </w:r>
      <w:r w:rsidRPr="009247D3">
        <w:rPr>
          <w:rFonts w:ascii="Times New Roman" w:hAnsi="Times New Roman"/>
          <w:sz w:val="22"/>
          <w:szCs w:val="22"/>
        </w:rPr>
        <w:t xml:space="preserve"> dozę gali tekti atitinkamai mažinti ir (arba) vartoti rečiau. Jei senyvų pacientų inkstų veikla nesutrikusi, dozės keisti nereikia.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pStyle w:val="BTEMEASMCA"/>
        <w:rPr>
          <w:i/>
        </w:rPr>
      </w:pPr>
      <w:r w:rsidRPr="009247D3">
        <w:rPr>
          <w:i/>
        </w:rPr>
        <w:t>Pacientams, kurių inkstų ar kepenų veikla sutrikusi</w:t>
      </w:r>
    </w:p>
    <w:p w:rsidR="00515018" w:rsidRPr="009247D3" w:rsidRDefault="00515018" w:rsidP="00515018">
      <w:pPr>
        <w:pStyle w:val="BTEMEASMCA"/>
      </w:pPr>
      <w:r w:rsidRPr="009247D3">
        <w:t>Pacientams, kurių inkstų ir kepenų veikla sutrikusi gali tekti mažinti vaisto dozę ir (ar ) jo vartoti rečiau.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Bromheksino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sekretą skystinantį poveikį stiprina skysčio vartojimas. Gydomasis poveikis paprastai pasireiškia 2–5 vaisto vartojimo dieną. Jei po kelių gydymo dienų būklė nepagerėjo arba pasunkėjo, kreipkitės į gydytoją.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 xml:space="preserve">Ką daryti pavartojus per didelę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dozę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Vaisto perdozavus ar įtarus, jog perdozuota, reikia kiek galima greičiau kreiptis į gydytoją.</w:t>
      </w:r>
    </w:p>
    <w:p w:rsidR="00515018" w:rsidRPr="009247D3" w:rsidRDefault="00515018" w:rsidP="00515018">
      <w:pPr>
        <w:rPr>
          <w:rFonts w:ascii="Times New Roman" w:hAnsi="Times New Roman"/>
          <w:b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 xml:space="preserve">Pamiršus pavartoti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Praleidus dozę, vėliau vietoj jos dvigubos dozės vartoti negalima. Vaisto reikia vartoti toliau taip, kaip įprasta.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 xml:space="preserve">Nustojus vartoti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Nutraukus vaisto vartojimą gali pasunkėti atsikosėjimas.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noProof/>
          <w:sz w:val="22"/>
          <w:szCs w:val="22"/>
        </w:rPr>
      </w:pPr>
      <w:r w:rsidRPr="009247D3">
        <w:rPr>
          <w:rFonts w:ascii="Times New Roman" w:hAnsi="Times New Roman"/>
          <w:noProof/>
          <w:sz w:val="22"/>
          <w:szCs w:val="22"/>
        </w:rPr>
        <w:t>Jeigu kiltų daugiau klausimų dėl šio vaisto vartojimo, kreipkitės į gydytoją arba vaistininką.</w:t>
      </w:r>
    </w:p>
    <w:p w:rsidR="00515018" w:rsidRPr="009247D3" w:rsidRDefault="00515018" w:rsidP="00515018">
      <w:pPr>
        <w:rPr>
          <w:rFonts w:ascii="Times New Roman" w:hAnsi="Times New Roman"/>
          <w:noProof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numPr>
          <w:ilvl w:val="12"/>
          <w:numId w:val="0"/>
        </w:numP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caps/>
          <w:sz w:val="22"/>
          <w:szCs w:val="22"/>
        </w:rPr>
        <w:t>4.</w:t>
      </w:r>
      <w:r w:rsidRPr="009247D3">
        <w:rPr>
          <w:rFonts w:ascii="Times New Roman" w:hAnsi="Times New Roman"/>
          <w:b/>
          <w:caps/>
          <w:sz w:val="22"/>
          <w:szCs w:val="22"/>
        </w:rPr>
        <w:tab/>
      </w:r>
      <w:r w:rsidRPr="009247D3">
        <w:rPr>
          <w:rFonts w:ascii="Times New Roman" w:hAnsi="Times New Roman"/>
          <w:b/>
          <w:sz w:val="22"/>
          <w:szCs w:val="22"/>
        </w:rPr>
        <w:t>Galimas šalutinis poveikis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Šis vaistas, kaip ir visi kiti, gali sukelti šalutinį poveikį, nors jis pasireiškia ne visiems žmonėms.</w:t>
      </w:r>
    </w:p>
    <w:p w:rsidR="00515018" w:rsidRPr="009247D3" w:rsidRDefault="00515018" w:rsidP="00515018">
      <w:pPr>
        <w:jc w:val="both"/>
        <w:rPr>
          <w:rFonts w:ascii="Times New Roman" w:hAnsi="Times New Roman"/>
          <w:b/>
          <w:i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Šalutinio poveikio dažnis apibūdinamas taip: labai dažnas (gali pasireikšti daugiau nei 1 iš 10 žmonių), dažnas (gali pasireikšti mažiau nei 1 iš 10 žmonių), nedažnas (gali pasireikšti mažiau nei 1 iš 100 žmonių), retas (gali pasireikšti mažiau negu 1 iš 1 000 žmonių), labai retas </w:t>
      </w:r>
      <w:r>
        <w:rPr>
          <w:rFonts w:ascii="Times New Roman" w:hAnsi="Times New Roman"/>
          <w:sz w:val="22"/>
          <w:szCs w:val="22"/>
        </w:rPr>
        <w:t>(</w:t>
      </w:r>
      <w:r w:rsidRPr="009247D3">
        <w:rPr>
          <w:rFonts w:ascii="Times New Roman" w:hAnsi="Times New Roman"/>
          <w:sz w:val="22"/>
          <w:szCs w:val="22"/>
        </w:rPr>
        <w:t>gali pasireikšti mažiau negu 1 iš 10 000 žmonių) ir nežinomas (negali būti apskaičiuotas pagal turimus duomenis).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paprastai yra gerai toleruojamas.</w:t>
      </w: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t>Imuninės sistemos sutrikimai</w:t>
      </w:r>
    </w:p>
    <w:p w:rsidR="00515018" w:rsidRPr="00D34B95" w:rsidRDefault="00515018" w:rsidP="00515018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Reti.</w:t>
      </w:r>
      <w:r w:rsidRPr="000E00B3">
        <w:t xml:space="preserve"> </w:t>
      </w:r>
      <w:r w:rsidRPr="00D34B95">
        <w:rPr>
          <w:rFonts w:ascii="Times New Roman" w:hAnsi="Times New Roman"/>
          <w:iCs/>
          <w:sz w:val="22"/>
          <w:szCs w:val="22"/>
        </w:rPr>
        <w:t>Padidėjusio jautrumo reakcijos</w:t>
      </w:r>
      <w:r>
        <w:rPr>
          <w:rFonts w:ascii="Times New Roman" w:hAnsi="Times New Roman"/>
          <w:iCs/>
          <w:sz w:val="22"/>
          <w:szCs w:val="22"/>
        </w:rPr>
        <w:t>.</w:t>
      </w: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i/>
          <w:iCs/>
          <w:sz w:val="22"/>
          <w:szCs w:val="22"/>
        </w:rPr>
        <w:t>Labai reti.</w:t>
      </w:r>
      <w:r w:rsidRPr="009247D3">
        <w:rPr>
          <w:rFonts w:ascii="Times New Roman" w:hAnsi="Times New Roman"/>
          <w:sz w:val="22"/>
          <w:szCs w:val="22"/>
        </w:rPr>
        <w:t xml:space="preserve"> Anafilaksinės reakcijos, įskaitant anafilaksinį šoką (veido pabrinkimas, dusulys, temperatūros padidėjimas, drebulys), kitos alerginės reakcijos.</w:t>
      </w:r>
    </w:p>
    <w:p w:rsidR="00515018" w:rsidRDefault="00515018" w:rsidP="00515018">
      <w:pPr>
        <w:rPr>
          <w:rFonts w:ascii="Times New Roman" w:hAnsi="Times New Roman"/>
          <w:sz w:val="22"/>
          <w:szCs w:val="22"/>
        </w:rPr>
      </w:pPr>
      <w:r w:rsidRPr="00D34B95">
        <w:rPr>
          <w:rFonts w:ascii="Times New Roman" w:hAnsi="Times New Roman"/>
          <w:i/>
          <w:sz w:val="22"/>
          <w:szCs w:val="22"/>
        </w:rPr>
        <w:t xml:space="preserve">Dažnis nežinomas </w:t>
      </w:r>
      <w:r>
        <w:rPr>
          <w:rFonts w:ascii="Times New Roman" w:hAnsi="Times New Roman"/>
          <w:i/>
          <w:sz w:val="22"/>
          <w:szCs w:val="22"/>
        </w:rPr>
        <w:t>(</w:t>
      </w:r>
      <w:r w:rsidRPr="00D34B95">
        <w:rPr>
          <w:rFonts w:ascii="Times New Roman" w:hAnsi="Times New Roman"/>
          <w:i/>
          <w:sz w:val="22"/>
          <w:szCs w:val="22"/>
        </w:rPr>
        <w:t xml:space="preserve">negali būti </w:t>
      </w:r>
      <w:r>
        <w:rPr>
          <w:rFonts w:ascii="Times New Roman" w:hAnsi="Times New Roman"/>
          <w:i/>
          <w:sz w:val="22"/>
          <w:szCs w:val="22"/>
        </w:rPr>
        <w:t>apskaičiuotas</w:t>
      </w:r>
      <w:r w:rsidRPr="00D34B95">
        <w:rPr>
          <w:rFonts w:ascii="Times New Roman" w:hAnsi="Times New Roman"/>
          <w:i/>
          <w:sz w:val="22"/>
          <w:szCs w:val="22"/>
        </w:rPr>
        <w:t xml:space="preserve"> pagal turimus duomenis)</w:t>
      </w:r>
      <w:r>
        <w:rPr>
          <w:rFonts w:ascii="Times New Roman" w:hAnsi="Times New Roman"/>
          <w:i/>
          <w:sz w:val="22"/>
          <w:szCs w:val="22"/>
        </w:rPr>
        <w:t xml:space="preserve">. </w:t>
      </w:r>
      <w:r w:rsidRPr="000E00B3">
        <w:rPr>
          <w:rFonts w:ascii="Times New Roman" w:hAnsi="Times New Roman"/>
          <w:sz w:val="22"/>
          <w:szCs w:val="22"/>
        </w:rPr>
        <w:t xml:space="preserve">Anafilaksinės reakcijos, įskaitant anafilaksinį šoką, </w:t>
      </w:r>
      <w:proofErr w:type="spellStart"/>
      <w:r w:rsidRPr="000E00B3">
        <w:rPr>
          <w:rFonts w:ascii="Times New Roman" w:hAnsi="Times New Roman"/>
          <w:sz w:val="22"/>
          <w:szCs w:val="22"/>
        </w:rPr>
        <w:t>angioneurozinę</w:t>
      </w:r>
      <w:proofErr w:type="spellEnd"/>
      <w:r w:rsidRPr="000E00B3">
        <w:rPr>
          <w:rFonts w:ascii="Times New Roman" w:hAnsi="Times New Roman"/>
          <w:sz w:val="22"/>
          <w:szCs w:val="22"/>
        </w:rPr>
        <w:t xml:space="preserve"> edemą (greitai besivystantį odos, gleivinės, po oda ar gleivine esančių audinių tinimą) ir niežėjimą.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i/>
          <w:noProof/>
          <w:sz w:val="22"/>
          <w:szCs w:val="22"/>
        </w:rPr>
      </w:pPr>
      <w:r w:rsidRPr="009247D3">
        <w:rPr>
          <w:rFonts w:ascii="Times New Roman" w:hAnsi="Times New Roman"/>
          <w:i/>
          <w:noProof/>
          <w:sz w:val="22"/>
          <w:szCs w:val="22"/>
        </w:rPr>
        <w:t>Kvėpavimo sistemos, krūtinės ląstos ir tarpuplaučio sutrikimai</w:t>
      </w: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i/>
          <w:iCs/>
          <w:sz w:val="22"/>
          <w:szCs w:val="22"/>
        </w:rPr>
        <w:t>Reti.</w:t>
      </w:r>
      <w:r w:rsidRPr="009247D3">
        <w:rPr>
          <w:rFonts w:ascii="Times New Roman" w:hAnsi="Times New Roman"/>
          <w:sz w:val="22"/>
          <w:szCs w:val="22"/>
        </w:rPr>
        <w:t xml:space="preserve"> Sekreto tekėjimas iš nosies, burnos ir kvėpavimo takų gleivinės džiūvimas.</w:t>
      </w: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F378F7">
        <w:rPr>
          <w:rFonts w:ascii="Times New Roman" w:hAnsi="Times New Roman"/>
          <w:i/>
          <w:sz w:val="22"/>
          <w:szCs w:val="22"/>
        </w:rPr>
        <w:t>Dažnis nežinomas.</w:t>
      </w:r>
      <w:r w:rsidRPr="009247D3">
        <w:rPr>
          <w:rFonts w:ascii="Times New Roman" w:hAnsi="Times New Roman"/>
          <w:sz w:val="22"/>
          <w:szCs w:val="22"/>
        </w:rPr>
        <w:t xml:space="preserve"> Kvėpavimo takų užsikimšimas.</w:t>
      </w: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t>Virškinimo trakto sutrikimai</w:t>
      </w: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F378F7">
        <w:rPr>
          <w:rFonts w:ascii="Times New Roman" w:hAnsi="Times New Roman"/>
          <w:i/>
          <w:sz w:val="22"/>
          <w:szCs w:val="22"/>
        </w:rPr>
        <w:lastRenderedPageBreak/>
        <w:t>Nedažni.</w:t>
      </w:r>
      <w:r w:rsidRPr="009247D3">
        <w:rPr>
          <w:rFonts w:ascii="Times New Roman" w:hAnsi="Times New Roman"/>
          <w:sz w:val="22"/>
          <w:szCs w:val="22"/>
        </w:rPr>
        <w:t xml:space="preserve"> Virškinimo sutrikimas, bei kitokie silpni virškinimo trakto sutrikimo simptomai, kraujavimas iš virškinimo trakto, pykinimas, vėmimas, pilvo skausmas, vidurių užkietėjimas, seilėtekis, rėmuo.</w:t>
      </w:r>
    </w:p>
    <w:p w:rsidR="00515018" w:rsidRPr="009247D3" w:rsidRDefault="00515018" w:rsidP="00515018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i/>
          <w:iCs/>
          <w:sz w:val="22"/>
          <w:szCs w:val="22"/>
        </w:rPr>
        <w:t>Reti.</w:t>
      </w:r>
      <w:r w:rsidRPr="009247D3">
        <w:rPr>
          <w:rFonts w:ascii="Times New Roman" w:hAnsi="Times New Roman"/>
          <w:sz w:val="22"/>
          <w:szCs w:val="22"/>
        </w:rPr>
        <w:t xml:space="preserve"> Apetito nebuvimas, pykinimas, vėmimas, skausmas ir nemalonus jutimas </w:t>
      </w:r>
      <w:proofErr w:type="spellStart"/>
      <w:r w:rsidRPr="009247D3">
        <w:rPr>
          <w:rFonts w:ascii="Times New Roman" w:hAnsi="Times New Roman"/>
          <w:sz w:val="22"/>
          <w:szCs w:val="22"/>
        </w:rPr>
        <w:t>pakrūtinio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srityje, taip pat gali atsirasti laikinas serumo </w:t>
      </w:r>
      <w:proofErr w:type="spellStart"/>
      <w:r w:rsidRPr="009247D3">
        <w:rPr>
          <w:rFonts w:ascii="Times New Roman" w:hAnsi="Times New Roman"/>
          <w:sz w:val="22"/>
          <w:szCs w:val="22"/>
        </w:rPr>
        <w:t>aminotransferazės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aktyvumo padidėjimas.</w:t>
      </w:r>
    </w:p>
    <w:p w:rsidR="00515018" w:rsidRPr="009247D3" w:rsidRDefault="00515018" w:rsidP="00515018">
      <w:pPr>
        <w:pStyle w:val="Pagrindinistekstas"/>
        <w:rPr>
          <w:bCs/>
          <w:szCs w:val="22"/>
        </w:rPr>
      </w:pPr>
    </w:p>
    <w:p w:rsidR="00515018" w:rsidRDefault="00515018" w:rsidP="00515018">
      <w:pPr>
        <w:jc w:val="both"/>
        <w:rPr>
          <w:rFonts w:ascii="Times New Roman" w:hAnsi="Times New Roman"/>
          <w:i/>
          <w:sz w:val="22"/>
          <w:szCs w:val="22"/>
        </w:rPr>
      </w:pPr>
      <w:r w:rsidRPr="000E00B3">
        <w:rPr>
          <w:rFonts w:ascii="Times New Roman" w:hAnsi="Times New Roman"/>
          <w:i/>
          <w:sz w:val="22"/>
          <w:szCs w:val="22"/>
        </w:rPr>
        <w:t xml:space="preserve">Odos ir poodinio audinio sutrikimai </w:t>
      </w:r>
    </w:p>
    <w:p w:rsidR="00515018" w:rsidRDefault="00515018" w:rsidP="0051501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Reti. </w:t>
      </w:r>
      <w:r w:rsidRPr="00D34B95">
        <w:rPr>
          <w:rFonts w:ascii="Times New Roman" w:hAnsi="Times New Roman"/>
          <w:sz w:val="22"/>
          <w:szCs w:val="22"/>
        </w:rPr>
        <w:t>Išbėrimas, dilgėlinė</w:t>
      </w:r>
      <w:r>
        <w:rPr>
          <w:rFonts w:ascii="Times New Roman" w:hAnsi="Times New Roman"/>
          <w:sz w:val="22"/>
          <w:szCs w:val="22"/>
        </w:rPr>
        <w:t>.</w:t>
      </w:r>
    </w:p>
    <w:p w:rsidR="00515018" w:rsidRPr="00D34B95" w:rsidRDefault="00515018" w:rsidP="00515018">
      <w:pPr>
        <w:jc w:val="both"/>
        <w:rPr>
          <w:rFonts w:ascii="Times New Roman" w:hAnsi="Times New Roman"/>
          <w:sz w:val="22"/>
          <w:szCs w:val="22"/>
        </w:rPr>
      </w:pPr>
      <w:r w:rsidRPr="000E00B3">
        <w:rPr>
          <w:rFonts w:ascii="Times New Roman" w:hAnsi="Times New Roman"/>
          <w:i/>
          <w:sz w:val="22"/>
          <w:szCs w:val="22"/>
        </w:rPr>
        <w:t xml:space="preserve">Dažnis nežinomas </w:t>
      </w:r>
      <w:r>
        <w:rPr>
          <w:rFonts w:ascii="Times New Roman" w:hAnsi="Times New Roman"/>
          <w:i/>
          <w:sz w:val="22"/>
          <w:szCs w:val="22"/>
        </w:rPr>
        <w:t>(</w:t>
      </w:r>
      <w:r w:rsidRPr="000E00B3">
        <w:rPr>
          <w:rFonts w:ascii="Times New Roman" w:hAnsi="Times New Roman"/>
          <w:i/>
          <w:sz w:val="22"/>
          <w:szCs w:val="22"/>
        </w:rPr>
        <w:t xml:space="preserve">negali būti </w:t>
      </w:r>
      <w:r>
        <w:rPr>
          <w:rFonts w:ascii="Times New Roman" w:hAnsi="Times New Roman"/>
          <w:i/>
          <w:sz w:val="22"/>
          <w:szCs w:val="22"/>
        </w:rPr>
        <w:t>apskaičiuotas</w:t>
      </w:r>
      <w:r w:rsidRPr="000E00B3">
        <w:rPr>
          <w:rFonts w:ascii="Times New Roman" w:hAnsi="Times New Roman"/>
          <w:i/>
          <w:sz w:val="22"/>
          <w:szCs w:val="22"/>
        </w:rPr>
        <w:t xml:space="preserve"> pagal turimus duomenis)</w:t>
      </w:r>
      <w:r>
        <w:rPr>
          <w:rFonts w:ascii="Times New Roman" w:hAnsi="Times New Roman"/>
          <w:i/>
          <w:sz w:val="22"/>
          <w:szCs w:val="22"/>
        </w:rPr>
        <w:t xml:space="preserve">. </w:t>
      </w:r>
      <w:r w:rsidRPr="00D34B95">
        <w:rPr>
          <w:rFonts w:ascii="Times New Roman" w:hAnsi="Times New Roman"/>
          <w:sz w:val="22"/>
          <w:szCs w:val="22"/>
        </w:rPr>
        <w:t xml:space="preserve">Sunkios nepageidaujamos poodinės reakcijos (įskaitant daugiaformę </w:t>
      </w:r>
      <w:proofErr w:type="spellStart"/>
      <w:r w:rsidRPr="00D34B95">
        <w:rPr>
          <w:rFonts w:ascii="Times New Roman" w:hAnsi="Times New Roman"/>
          <w:sz w:val="22"/>
          <w:szCs w:val="22"/>
        </w:rPr>
        <w:t>eritemą</w:t>
      </w:r>
      <w:proofErr w:type="spellEnd"/>
      <w:r w:rsidRPr="00D34B95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34B95">
        <w:rPr>
          <w:rFonts w:ascii="Times New Roman" w:hAnsi="Times New Roman"/>
          <w:sz w:val="22"/>
          <w:szCs w:val="22"/>
        </w:rPr>
        <w:t>Stivenso</w:t>
      </w:r>
      <w:proofErr w:type="spellEnd"/>
      <w:r w:rsidRPr="00D34B95">
        <w:rPr>
          <w:rFonts w:ascii="Times New Roman" w:hAnsi="Times New Roman"/>
          <w:sz w:val="22"/>
          <w:szCs w:val="22"/>
        </w:rPr>
        <w:t xml:space="preserve">-Džonsono sindromą / toksinę epidermio </w:t>
      </w:r>
      <w:proofErr w:type="spellStart"/>
      <w:r w:rsidRPr="00D34B95">
        <w:rPr>
          <w:rFonts w:ascii="Times New Roman" w:hAnsi="Times New Roman"/>
          <w:sz w:val="22"/>
          <w:szCs w:val="22"/>
        </w:rPr>
        <w:t>nekrolizę</w:t>
      </w:r>
      <w:proofErr w:type="spellEnd"/>
      <w:r w:rsidRPr="00D34B95">
        <w:rPr>
          <w:rFonts w:ascii="Times New Roman" w:hAnsi="Times New Roman"/>
          <w:sz w:val="22"/>
          <w:szCs w:val="22"/>
        </w:rPr>
        <w:t xml:space="preserve"> ir ūminę </w:t>
      </w:r>
      <w:proofErr w:type="spellStart"/>
      <w:r w:rsidRPr="00D34B95">
        <w:rPr>
          <w:rFonts w:ascii="Times New Roman" w:hAnsi="Times New Roman"/>
          <w:sz w:val="22"/>
          <w:szCs w:val="22"/>
        </w:rPr>
        <w:t>generalizuotą</w:t>
      </w:r>
      <w:proofErr w:type="spellEnd"/>
      <w:r w:rsidRPr="00D34B9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4B95">
        <w:rPr>
          <w:rFonts w:ascii="Times New Roman" w:hAnsi="Times New Roman"/>
          <w:sz w:val="22"/>
          <w:szCs w:val="22"/>
        </w:rPr>
        <w:t>egzanteminę</w:t>
      </w:r>
      <w:proofErr w:type="spellEnd"/>
      <w:r w:rsidRPr="00D34B9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4B95">
        <w:rPr>
          <w:rFonts w:ascii="Times New Roman" w:hAnsi="Times New Roman"/>
          <w:sz w:val="22"/>
          <w:szCs w:val="22"/>
        </w:rPr>
        <w:t>pustuliozę</w:t>
      </w:r>
      <w:proofErr w:type="spellEnd"/>
      <w:r w:rsidRPr="00D34B95">
        <w:rPr>
          <w:rFonts w:ascii="Times New Roman" w:hAnsi="Times New Roman"/>
          <w:sz w:val="22"/>
          <w:szCs w:val="22"/>
        </w:rPr>
        <w:t>).</w:t>
      </w:r>
    </w:p>
    <w:p w:rsidR="00515018" w:rsidRDefault="00515018" w:rsidP="00515018">
      <w:pPr>
        <w:jc w:val="both"/>
        <w:rPr>
          <w:rFonts w:ascii="Times New Roman" w:hAnsi="Times New Roman"/>
          <w:i/>
          <w:sz w:val="22"/>
          <w:szCs w:val="22"/>
        </w:rPr>
      </w:pPr>
    </w:p>
    <w:p w:rsidR="00515018" w:rsidRPr="009247D3" w:rsidRDefault="00515018" w:rsidP="00515018">
      <w:pPr>
        <w:jc w:val="both"/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t>Nervų sistemos sutrikimai</w:t>
      </w:r>
    </w:p>
    <w:p w:rsidR="00515018" w:rsidRPr="009247D3" w:rsidRDefault="00515018" w:rsidP="00515018">
      <w:pPr>
        <w:jc w:val="both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i/>
          <w:iCs/>
          <w:sz w:val="22"/>
          <w:szCs w:val="22"/>
        </w:rPr>
        <w:t>Dažnis nežin</w:t>
      </w:r>
      <w:r>
        <w:rPr>
          <w:rFonts w:ascii="Times New Roman" w:hAnsi="Times New Roman"/>
          <w:i/>
          <w:iCs/>
          <w:sz w:val="22"/>
          <w:szCs w:val="22"/>
        </w:rPr>
        <w:t>o</w:t>
      </w:r>
      <w:r w:rsidRPr="009247D3">
        <w:rPr>
          <w:rFonts w:ascii="Times New Roman" w:hAnsi="Times New Roman"/>
          <w:i/>
          <w:iCs/>
          <w:sz w:val="22"/>
          <w:szCs w:val="22"/>
        </w:rPr>
        <w:t>mas.</w:t>
      </w:r>
      <w:r w:rsidRPr="009247D3">
        <w:rPr>
          <w:rFonts w:ascii="Times New Roman" w:hAnsi="Times New Roman"/>
          <w:sz w:val="22"/>
          <w:szCs w:val="22"/>
        </w:rPr>
        <w:t xml:space="preserve"> Galvos svaigimas, skausmas.</w:t>
      </w:r>
    </w:p>
    <w:p w:rsidR="00515018" w:rsidRPr="009247D3" w:rsidRDefault="00515018" w:rsidP="00515018">
      <w:pPr>
        <w:jc w:val="both"/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jc w:val="both"/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t>Bendrieji sutrikimai ir vartojimo vietos pažeidimai</w:t>
      </w:r>
    </w:p>
    <w:p w:rsidR="00515018" w:rsidRPr="009247D3" w:rsidRDefault="00515018" w:rsidP="00515018">
      <w:pPr>
        <w:jc w:val="both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i/>
          <w:iCs/>
          <w:sz w:val="22"/>
          <w:szCs w:val="22"/>
        </w:rPr>
        <w:t>Dažnis nežinomas.</w:t>
      </w:r>
      <w:r w:rsidRPr="009247D3">
        <w:rPr>
          <w:rFonts w:ascii="Times New Roman" w:hAnsi="Times New Roman"/>
          <w:sz w:val="22"/>
          <w:szCs w:val="22"/>
        </w:rPr>
        <w:t xml:space="preserve"> Karščiavimas, lydimas </w:t>
      </w:r>
      <w:proofErr w:type="spellStart"/>
      <w:r w:rsidRPr="009247D3">
        <w:rPr>
          <w:rFonts w:ascii="Times New Roman" w:hAnsi="Times New Roman"/>
          <w:sz w:val="22"/>
          <w:szCs w:val="22"/>
        </w:rPr>
        <w:t>šaltkrėčio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ir prakaitavimo.</w:t>
      </w:r>
    </w:p>
    <w:p w:rsidR="00515018" w:rsidRPr="009247D3" w:rsidRDefault="00515018" w:rsidP="00515018">
      <w:pPr>
        <w:pStyle w:val="Pagrindinistekstas"/>
        <w:rPr>
          <w:bCs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noProof/>
          <w:sz w:val="22"/>
          <w:szCs w:val="22"/>
        </w:rPr>
        <w:t>Pranešimas apie šalutinį poveikį</w:t>
      </w:r>
    </w:p>
    <w:p w:rsidR="00515018" w:rsidRPr="009247D3" w:rsidRDefault="00515018" w:rsidP="00515018">
      <w:pPr>
        <w:ind w:right="-449"/>
        <w:rPr>
          <w:rFonts w:ascii="Times New Roman" w:hAnsi="Times New Roman"/>
          <w:noProof/>
          <w:sz w:val="22"/>
          <w:szCs w:val="22"/>
        </w:rPr>
      </w:pPr>
      <w:r w:rsidRPr="009247D3">
        <w:rPr>
          <w:rFonts w:ascii="Times New Roman" w:hAnsi="Times New Roman"/>
          <w:noProof/>
          <w:sz w:val="22"/>
          <w:szCs w:val="22"/>
        </w:rPr>
        <w:t xml:space="preserve">Jeigu pasireiškė šalutinis poveikis, įskaitant šiame lapelyje nenurodytą, pasakykite gydytojui arba vaistininkui. </w:t>
      </w:r>
      <w:r w:rsidRPr="005F42FD">
        <w:rPr>
          <w:rFonts w:ascii="Times New Roman" w:hAnsi="Times New Roman"/>
          <w:snapToGrid w:val="0"/>
          <w:sz w:val="22"/>
        </w:rPr>
        <w:t>Apie šalutinį poveikį taip pat galite pranešti Valstybinei vaistų kontrolės tarnybai prie Lietuvos Respublikos sveikatos apsaugos ministerijos nemokamu t</w:t>
      </w:r>
      <w:r w:rsidRPr="005F42FD">
        <w:rPr>
          <w:rFonts w:ascii="Times New Roman" w:hAnsi="Times New Roman"/>
          <w:snapToGrid w:val="0"/>
          <w:sz w:val="22"/>
          <w:lang w:eastAsia="zh-CN"/>
        </w:rPr>
        <w:t>elefonu 8 800 73568</w:t>
      </w:r>
      <w:r w:rsidRPr="005F42FD">
        <w:rPr>
          <w:rFonts w:ascii="Times New Roman" w:hAnsi="Times New Roman"/>
          <w:snapToGrid w:val="0"/>
          <w:sz w:val="22"/>
        </w:rPr>
        <w:t xml:space="preserve"> arba užpildyti interneto svetainėje </w:t>
      </w:r>
      <w:hyperlink r:id="rId5" w:history="1">
        <w:r w:rsidRPr="005F42FD">
          <w:rPr>
            <w:rFonts w:ascii="Times New Roman" w:eastAsia="SimSun" w:hAnsi="Times New Roman"/>
            <w:snapToGrid w:val="0"/>
            <w:color w:val="0000FF"/>
            <w:sz w:val="22"/>
            <w:u w:val="single"/>
          </w:rPr>
          <w:t>www.vvkt.lt</w:t>
        </w:r>
      </w:hyperlink>
      <w:r w:rsidRPr="005F42FD">
        <w:rPr>
          <w:rFonts w:ascii="Times New Roman" w:hAnsi="Times New Roman"/>
          <w:snapToGrid w:val="0"/>
          <w:sz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5F42FD">
        <w:rPr>
          <w:rFonts w:ascii="Times New Roman" w:hAnsi="Times New Roman"/>
          <w:snapToGrid w:val="0"/>
          <w:sz w:val="22"/>
          <w:lang w:eastAsia="zh-CN"/>
        </w:rPr>
        <w:t xml:space="preserve">nemokamu </w:t>
      </w:r>
      <w:r w:rsidRPr="005F42FD">
        <w:rPr>
          <w:rFonts w:ascii="Times New Roman" w:hAnsi="Times New Roman"/>
          <w:snapToGrid w:val="0"/>
          <w:sz w:val="22"/>
        </w:rPr>
        <w:t>fakso numeriu 8 800 20131</w:t>
      </w:r>
      <w:r w:rsidRPr="005F42FD">
        <w:rPr>
          <w:rFonts w:ascii="Times New Roman" w:hAnsi="Times New Roman"/>
          <w:snapToGrid w:val="0"/>
          <w:sz w:val="22"/>
          <w:lang w:eastAsia="zh-CN"/>
        </w:rPr>
        <w:t xml:space="preserve">, </w:t>
      </w:r>
      <w:r w:rsidRPr="005F42FD">
        <w:rPr>
          <w:rFonts w:ascii="Times New Roman" w:hAnsi="Times New Roman"/>
          <w:snapToGrid w:val="0"/>
          <w:sz w:val="22"/>
        </w:rPr>
        <w:t xml:space="preserve">el. paštu </w:t>
      </w:r>
      <w:hyperlink r:id="rId6" w:history="1">
        <w:r w:rsidRPr="005F42FD">
          <w:rPr>
            <w:rFonts w:ascii="Times New Roman" w:eastAsia="SimSun" w:hAnsi="Times New Roman"/>
            <w:snapToGrid w:val="0"/>
            <w:color w:val="0000FF"/>
            <w:sz w:val="22"/>
            <w:u w:val="single"/>
          </w:rPr>
          <w:t>NepageidaujamaR@vvkt.lt</w:t>
        </w:r>
      </w:hyperlink>
      <w:r w:rsidRPr="005F42FD">
        <w:rPr>
          <w:rFonts w:ascii="Times New Roman" w:hAnsi="Times New Roman"/>
          <w:snapToGrid w:val="0"/>
          <w:sz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5F42FD">
          <w:rPr>
            <w:rFonts w:ascii="Times New Roman" w:eastAsia="SimSun" w:hAnsi="Times New Roman"/>
            <w:snapToGrid w:val="0"/>
            <w:color w:val="0000FF"/>
            <w:sz w:val="22"/>
            <w:u w:val="single"/>
          </w:rPr>
          <w:t>http://www.vvkt.lt</w:t>
        </w:r>
      </w:hyperlink>
      <w:r w:rsidRPr="005F42FD">
        <w:rPr>
          <w:rFonts w:ascii="Times New Roman" w:hAnsi="Times New Roman"/>
          <w:snapToGrid w:val="0"/>
          <w:sz w:val="22"/>
        </w:rPr>
        <w:t>). Pranešdami apie šalutinį poveikį galite mums padėti gauti daugiau informacijos apie šio vaisto saugumą.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numPr>
          <w:ilvl w:val="12"/>
          <w:numId w:val="0"/>
        </w:numP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caps/>
          <w:sz w:val="22"/>
          <w:szCs w:val="22"/>
        </w:rPr>
        <w:t>5.</w:t>
      </w:r>
      <w:r w:rsidRPr="009247D3">
        <w:rPr>
          <w:rFonts w:ascii="Times New Roman" w:hAnsi="Times New Roman"/>
          <w:b/>
          <w:caps/>
          <w:sz w:val="22"/>
          <w:szCs w:val="22"/>
        </w:rPr>
        <w:tab/>
      </w:r>
      <w:r w:rsidRPr="009247D3">
        <w:rPr>
          <w:rFonts w:ascii="Times New Roman" w:hAnsi="Times New Roman"/>
          <w:b/>
          <w:sz w:val="22"/>
          <w:szCs w:val="22"/>
        </w:rPr>
        <w:t xml:space="preserve">Kaip laikyti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noProof/>
          <w:sz w:val="22"/>
          <w:szCs w:val="22"/>
        </w:rPr>
        <w:t>Šį vaistą laikykite vaikams nepastebimoje ir nepasiekiamoje vietoje</w:t>
      </w:r>
      <w:r w:rsidRPr="009247D3">
        <w:rPr>
          <w:rFonts w:ascii="Times New Roman" w:hAnsi="Times New Roman"/>
          <w:sz w:val="22"/>
          <w:szCs w:val="22"/>
        </w:rPr>
        <w:t>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Laikyti ne aukštesnėje kaip 25 </w:t>
      </w:r>
      <w:r w:rsidRPr="009247D3">
        <w:rPr>
          <w:rFonts w:ascii="Times New Roman" w:hAnsi="Times New Roman"/>
          <w:sz w:val="22"/>
          <w:szCs w:val="22"/>
        </w:rPr>
        <w:sym w:font="Symbol" w:char="F0B0"/>
      </w:r>
      <w:r w:rsidRPr="009247D3">
        <w:rPr>
          <w:rFonts w:ascii="Times New Roman" w:hAnsi="Times New Roman"/>
          <w:sz w:val="22"/>
          <w:szCs w:val="22"/>
        </w:rPr>
        <w:t>C temperatūroje.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pStyle w:val="PI-3EMEASMCA"/>
        <w:rPr>
          <w:b w:val="0"/>
        </w:rPr>
      </w:pPr>
      <w:r w:rsidRPr="009247D3">
        <w:rPr>
          <w:b w:val="0"/>
        </w:rPr>
        <w:t>Ant dėžutės po „</w:t>
      </w:r>
      <w:r>
        <w:rPr>
          <w:b w:val="0"/>
        </w:rPr>
        <w:t>EXP</w:t>
      </w:r>
      <w:r w:rsidRPr="00592100">
        <w:rPr>
          <w:b w:val="0"/>
          <w:highlight w:val="lightGray"/>
        </w:rPr>
        <w:t>/</w:t>
      </w:r>
      <w:r w:rsidRPr="00F904DE">
        <w:rPr>
          <w:b w:val="0"/>
          <w:highlight w:val="lightGray"/>
        </w:rPr>
        <w:t>Tinka iki</w:t>
      </w:r>
      <w:r w:rsidRPr="009247D3">
        <w:rPr>
          <w:b w:val="0"/>
        </w:rPr>
        <w:t>“ ir lizdinės plokštelės nurodytam tinkamumo laikui pasibaigus, šio vaisto vartoti negalima. Vaistas tinkamas vartoti iki paskutinės nurodyto mėnesio paros.</w:t>
      </w:r>
    </w:p>
    <w:p w:rsidR="00515018" w:rsidRPr="009247D3" w:rsidRDefault="00515018" w:rsidP="00515018">
      <w:pPr>
        <w:pStyle w:val="BTEMEASMCA"/>
      </w:pP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numPr>
          <w:ilvl w:val="12"/>
          <w:numId w:val="0"/>
        </w:numPr>
        <w:outlineLvl w:val="0"/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6.</w:t>
      </w:r>
      <w:r w:rsidRPr="009247D3">
        <w:rPr>
          <w:rFonts w:ascii="Times New Roman" w:hAnsi="Times New Roman"/>
          <w:sz w:val="22"/>
          <w:szCs w:val="22"/>
        </w:rPr>
        <w:tab/>
      </w:r>
      <w:r w:rsidRPr="009247D3">
        <w:rPr>
          <w:rFonts w:ascii="Times New Roman" w:hAnsi="Times New Roman"/>
          <w:b/>
          <w:sz w:val="22"/>
          <w:szCs w:val="22"/>
        </w:rPr>
        <w:t>Pakuotės turinys ir kita informacija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pStyle w:val="PI-3EMEASMCA"/>
      </w:pPr>
      <w:proofErr w:type="spellStart"/>
      <w:r w:rsidRPr="009247D3">
        <w:t>Bromhexin</w:t>
      </w:r>
      <w:proofErr w:type="spellEnd"/>
      <w:r w:rsidRPr="009247D3">
        <w:t xml:space="preserve"> </w:t>
      </w:r>
      <w:proofErr w:type="spellStart"/>
      <w:r w:rsidRPr="009247D3">
        <w:t>Actavis</w:t>
      </w:r>
      <w:proofErr w:type="spellEnd"/>
      <w:r w:rsidRPr="009247D3">
        <w:t xml:space="preserve"> sudėtis</w:t>
      </w:r>
    </w:p>
    <w:p w:rsidR="00515018" w:rsidRPr="009247D3" w:rsidRDefault="00515018" w:rsidP="00515018">
      <w:pPr>
        <w:pStyle w:val="BT-EMEASMCA"/>
        <w:numPr>
          <w:ilvl w:val="0"/>
          <w:numId w:val="2"/>
        </w:numPr>
      </w:pPr>
      <w:r w:rsidRPr="009247D3">
        <w:t>Veiklioji medžiaga yra bromheksino hidrochloridas. Jo vienoje tabletėje yra 8 mg.</w:t>
      </w:r>
    </w:p>
    <w:p w:rsidR="00515018" w:rsidRPr="009247D3" w:rsidRDefault="00515018" w:rsidP="00515018">
      <w:pPr>
        <w:pStyle w:val="BT-EMEASMCA"/>
        <w:numPr>
          <w:ilvl w:val="0"/>
          <w:numId w:val="2"/>
        </w:numPr>
      </w:pPr>
      <w:r w:rsidRPr="009247D3">
        <w:t>Pagalbinės medžiagos yra laktozė monohidratas, kviečių krakmolas, magnio stearatas ir želatina.</w:t>
      </w:r>
    </w:p>
    <w:p w:rsidR="00515018" w:rsidRPr="009247D3" w:rsidRDefault="00515018" w:rsidP="00515018">
      <w:pPr>
        <w:pStyle w:val="BTEMEASMCA"/>
      </w:pPr>
    </w:p>
    <w:p w:rsidR="00515018" w:rsidRPr="009247D3" w:rsidRDefault="00515018" w:rsidP="00515018">
      <w:pPr>
        <w:pStyle w:val="PI-3EMEASMCA"/>
      </w:pPr>
      <w:proofErr w:type="spellStart"/>
      <w:r w:rsidRPr="009247D3">
        <w:t>Bromhexin</w:t>
      </w:r>
      <w:proofErr w:type="spellEnd"/>
      <w:r w:rsidRPr="009247D3">
        <w:t xml:space="preserve"> </w:t>
      </w:r>
      <w:proofErr w:type="spellStart"/>
      <w:r w:rsidRPr="009247D3">
        <w:t>Actavis</w:t>
      </w:r>
      <w:proofErr w:type="spellEnd"/>
      <w:r w:rsidRPr="009247D3">
        <w:t xml:space="preserve"> išvaizda ir kiekis pakuotėje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Tabletė yra apvali balta abipus išgaubta, 7 mm skersmens.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Kartono dėžutėje lizdinėse plokštelėse yra 20 tablečių.</w:t>
      </w:r>
    </w:p>
    <w:p w:rsidR="00515018" w:rsidRPr="009247D3" w:rsidRDefault="00515018" w:rsidP="00515018">
      <w:pPr>
        <w:pStyle w:val="BTEMEASMCA"/>
      </w:pPr>
    </w:p>
    <w:p w:rsidR="00515018" w:rsidRPr="009247D3" w:rsidRDefault="00515018" w:rsidP="00515018">
      <w:pPr>
        <w:pStyle w:val="PI-3EMEASMCA"/>
        <w:rPr>
          <w:b w:val="0"/>
        </w:rPr>
      </w:pPr>
      <w:r>
        <w:t>Registruotojas</w:t>
      </w:r>
      <w:r w:rsidRPr="009247D3">
        <w:t xml:space="preserve"> ir gamintojas</w:t>
      </w:r>
    </w:p>
    <w:p w:rsidR="00515018" w:rsidRPr="00F378F7" w:rsidRDefault="00515018" w:rsidP="00515018">
      <w:pPr>
        <w:rPr>
          <w:rFonts w:ascii="Times New Roman" w:hAnsi="Times New Roman"/>
          <w:i/>
          <w:sz w:val="22"/>
          <w:szCs w:val="22"/>
        </w:rPr>
      </w:pPr>
      <w:r w:rsidRPr="00F378F7">
        <w:rPr>
          <w:rFonts w:ascii="Times New Roman" w:hAnsi="Times New Roman"/>
          <w:i/>
          <w:sz w:val="22"/>
          <w:szCs w:val="22"/>
        </w:rPr>
        <w:t>Registruotojas</w:t>
      </w:r>
    </w:p>
    <w:p w:rsidR="00515018" w:rsidRPr="005A504E" w:rsidRDefault="00515018" w:rsidP="00515018">
      <w:pPr>
        <w:rPr>
          <w:rFonts w:ascii="Times New Roman" w:hAnsi="Times New Roman"/>
          <w:sz w:val="22"/>
          <w:szCs w:val="22"/>
        </w:rPr>
      </w:pPr>
      <w:proofErr w:type="spellStart"/>
      <w:r w:rsidRPr="005A504E">
        <w:rPr>
          <w:rFonts w:ascii="Times New Roman" w:hAnsi="Times New Roman"/>
          <w:sz w:val="22"/>
          <w:szCs w:val="22"/>
        </w:rPr>
        <w:t>Actavis</w:t>
      </w:r>
      <w:proofErr w:type="spellEnd"/>
      <w:r w:rsidRPr="005A504E">
        <w:rPr>
          <w:rFonts w:ascii="Times New Roman" w:hAnsi="Times New Roman"/>
          <w:sz w:val="22"/>
          <w:szCs w:val="22"/>
        </w:rPr>
        <w:t xml:space="preserve"> Group PTC </w:t>
      </w:r>
      <w:proofErr w:type="spellStart"/>
      <w:r w:rsidRPr="005A504E">
        <w:rPr>
          <w:rFonts w:ascii="Times New Roman" w:hAnsi="Times New Roman"/>
          <w:sz w:val="22"/>
          <w:szCs w:val="22"/>
        </w:rPr>
        <w:t>ehf</w:t>
      </w:r>
      <w:proofErr w:type="spellEnd"/>
      <w:r w:rsidRPr="005A504E">
        <w:rPr>
          <w:rFonts w:ascii="Times New Roman" w:hAnsi="Times New Roman"/>
          <w:sz w:val="22"/>
          <w:szCs w:val="22"/>
        </w:rPr>
        <w:t>.</w:t>
      </w:r>
    </w:p>
    <w:p w:rsidR="00515018" w:rsidRPr="005A504E" w:rsidRDefault="00515018" w:rsidP="00515018">
      <w:pPr>
        <w:rPr>
          <w:rFonts w:ascii="Times New Roman" w:hAnsi="Times New Roman"/>
          <w:sz w:val="22"/>
          <w:szCs w:val="22"/>
        </w:rPr>
      </w:pPr>
      <w:proofErr w:type="spellStart"/>
      <w:r w:rsidRPr="005A504E">
        <w:rPr>
          <w:rFonts w:ascii="Times New Roman" w:hAnsi="Times New Roman"/>
          <w:sz w:val="22"/>
          <w:szCs w:val="22"/>
        </w:rPr>
        <w:t>Reykjavíkurvegi</w:t>
      </w:r>
      <w:proofErr w:type="spellEnd"/>
      <w:r w:rsidRPr="005A504E">
        <w:rPr>
          <w:rFonts w:ascii="Times New Roman" w:hAnsi="Times New Roman"/>
          <w:sz w:val="22"/>
          <w:szCs w:val="22"/>
        </w:rPr>
        <w:t xml:space="preserve"> 76-78</w:t>
      </w:r>
    </w:p>
    <w:p w:rsidR="00515018" w:rsidRPr="005A504E" w:rsidRDefault="00515018" w:rsidP="00515018">
      <w:pPr>
        <w:rPr>
          <w:rFonts w:ascii="Times New Roman" w:hAnsi="Times New Roman"/>
          <w:sz w:val="22"/>
          <w:szCs w:val="22"/>
        </w:rPr>
      </w:pPr>
      <w:r w:rsidRPr="005A504E">
        <w:rPr>
          <w:rFonts w:ascii="Times New Roman" w:hAnsi="Times New Roman"/>
          <w:sz w:val="22"/>
          <w:szCs w:val="22"/>
        </w:rPr>
        <w:t xml:space="preserve">220 </w:t>
      </w:r>
      <w:proofErr w:type="spellStart"/>
      <w:r w:rsidRPr="005A504E">
        <w:rPr>
          <w:rFonts w:ascii="Times New Roman" w:hAnsi="Times New Roman"/>
          <w:sz w:val="22"/>
          <w:szCs w:val="22"/>
        </w:rPr>
        <w:t>Hafnarfjörður</w:t>
      </w:r>
      <w:proofErr w:type="spellEnd"/>
    </w:p>
    <w:p w:rsidR="00515018" w:rsidRDefault="00515018" w:rsidP="00515018">
      <w:pPr>
        <w:rPr>
          <w:rFonts w:ascii="Times New Roman" w:hAnsi="Times New Roman"/>
          <w:sz w:val="22"/>
          <w:szCs w:val="22"/>
        </w:rPr>
      </w:pPr>
      <w:r w:rsidRPr="005A504E">
        <w:rPr>
          <w:rFonts w:ascii="Times New Roman" w:hAnsi="Times New Roman"/>
          <w:sz w:val="22"/>
          <w:szCs w:val="22"/>
        </w:rPr>
        <w:lastRenderedPageBreak/>
        <w:t>Islandija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F378F7" w:rsidRDefault="00515018" w:rsidP="00515018">
      <w:pPr>
        <w:pStyle w:val="Antrat3"/>
        <w:ind w:left="0" w:firstLine="0"/>
        <w:rPr>
          <w:b w:val="0"/>
          <w:i/>
          <w:szCs w:val="22"/>
        </w:rPr>
      </w:pPr>
      <w:r w:rsidRPr="00F378F7">
        <w:rPr>
          <w:b w:val="0"/>
          <w:i/>
          <w:szCs w:val="22"/>
        </w:rPr>
        <w:t>Gamintojas</w:t>
      </w:r>
    </w:p>
    <w:p w:rsidR="00515018" w:rsidRPr="009247D3" w:rsidRDefault="00515018" w:rsidP="00515018">
      <w:pPr>
        <w:pStyle w:val="BTEMEASMCA"/>
      </w:pPr>
      <w:r w:rsidRPr="009247D3">
        <w:t>Balkanpharma- Dupnitsa AD</w:t>
      </w:r>
    </w:p>
    <w:p w:rsidR="00515018" w:rsidRPr="009247D3" w:rsidRDefault="00515018" w:rsidP="00515018">
      <w:pPr>
        <w:pStyle w:val="BTEMEASMCA"/>
      </w:pPr>
      <w:r w:rsidRPr="009247D3">
        <w:t>3, Samokovsko shosse Str., Dupnitsa</w:t>
      </w:r>
    </w:p>
    <w:p w:rsidR="00515018" w:rsidRPr="009247D3" w:rsidRDefault="00515018" w:rsidP="00515018">
      <w:pPr>
        <w:pStyle w:val="BTEMEASMCA"/>
      </w:pPr>
      <w:r w:rsidRPr="009247D3">
        <w:t>Bulgarija</w:t>
      </w:r>
    </w:p>
    <w:p w:rsidR="00515018" w:rsidRPr="009247D3" w:rsidRDefault="00515018" w:rsidP="00515018">
      <w:pPr>
        <w:numPr>
          <w:ilvl w:val="12"/>
          <w:numId w:val="0"/>
        </w:numPr>
        <w:rPr>
          <w:rFonts w:ascii="Times New Roman" w:hAnsi="Times New Roman"/>
          <w:sz w:val="22"/>
          <w:szCs w:val="22"/>
          <w:highlight w:val="yellow"/>
        </w:rPr>
      </w:pPr>
    </w:p>
    <w:p w:rsidR="00515018" w:rsidRPr="009247D3" w:rsidRDefault="00515018" w:rsidP="00515018">
      <w:pPr>
        <w:pStyle w:val="BTEMEASMCA"/>
      </w:pPr>
      <w:r w:rsidRPr="009247D3">
        <w:t xml:space="preserve">Jeigu apie šį vaistą norite sužinoti daugiau, kreipkitės į vietinį </w:t>
      </w:r>
      <w:r>
        <w:t>registruotojo</w:t>
      </w:r>
      <w:r w:rsidRPr="009247D3">
        <w:t xml:space="preserve"> atstovą.</w:t>
      </w:r>
    </w:p>
    <w:p w:rsidR="00515018" w:rsidRDefault="00515018" w:rsidP="00515018">
      <w:pPr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UAB </w:t>
      </w:r>
      <w:proofErr w:type="spellStart"/>
      <w:r>
        <w:rPr>
          <w:rFonts w:ascii="Times New Roman" w:hAnsi="Times New Roman"/>
          <w:lang w:eastAsia="lt-LT"/>
        </w:rPr>
        <w:t>Teva</w:t>
      </w:r>
      <w:proofErr w:type="spellEnd"/>
      <w:r>
        <w:rPr>
          <w:rFonts w:ascii="Times New Roman" w:hAnsi="Times New Roman"/>
          <w:lang w:eastAsia="lt-LT"/>
        </w:rPr>
        <w:t xml:space="preserve"> Baltics</w:t>
      </w:r>
    </w:p>
    <w:p w:rsidR="00515018" w:rsidRDefault="00515018" w:rsidP="00515018">
      <w:pPr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Molėtų pl. 5</w:t>
      </w:r>
    </w:p>
    <w:p w:rsidR="00515018" w:rsidRDefault="00515018" w:rsidP="00515018">
      <w:pPr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LT-08409 Vilnius</w:t>
      </w:r>
    </w:p>
    <w:p w:rsidR="00515018" w:rsidRDefault="00515018" w:rsidP="00515018">
      <w:pPr>
        <w:pStyle w:val="BTEMEASMCA"/>
        <w:rPr>
          <w:lang w:eastAsia="lt-LT"/>
        </w:rPr>
      </w:pPr>
      <w:r>
        <w:rPr>
          <w:lang w:eastAsia="lt-LT"/>
        </w:rPr>
        <w:t>Tel.: +370 5 266 02 03</w:t>
      </w:r>
    </w:p>
    <w:p w:rsidR="00515018" w:rsidRPr="009247D3" w:rsidRDefault="00515018" w:rsidP="00515018">
      <w:pPr>
        <w:pStyle w:val="BTEMEASMCA"/>
      </w:pPr>
    </w:p>
    <w:p w:rsidR="00515018" w:rsidRPr="009247D3" w:rsidRDefault="00515018" w:rsidP="00515018">
      <w:pPr>
        <w:pStyle w:val="BTbEMEASMCA"/>
      </w:pPr>
      <w:r w:rsidRPr="009247D3">
        <w:rPr>
          <w:bCs/>
        </w:rPr>
        <w:t>Šis pakuotės lapelis</w:t>
      </w:r>
      <w:r w:rsidRPr="009247D3">
        <w:t xml:space="preserve"> paskutinį kartą peržiūrėtas</w:t>
      </w:r>
      <w:r>
        <w:t xml:space="preserve"> 2021-03-03.</w:t>
      </w: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pStyle w:val="BTEMEASMCA"/>
      </w:pPr>
      <w:r w:rsidRPr="009247D3">
        <w:t>Išsami informacija apie šį vaistą pateikiama Valstybinės vaistų kontrolės tarnybos prie Lietuvos Respublikos sveikatos apsaugos ministerijos tinklalapyje</w:t>
      </w:r>
      <w:r w:rsidRPr="009247D3">
        <w:rPr>
          <w:i/>
        </w:rPr>
        <w:t xml:space="preserve"> </w:t>
      </w:r>
      <w:hyperlink r:id="rId8" w:history="1">
        <w:r w:rsidRPr="009247D3">
          <w:rPr>
            <w:rStyle w:val="Hipersaitas"/>
          </w:rPr>
          <w:t>http://www.vvkt.lt/</w:t>
        </w:r>
      </w:hyperlink>
      <w:r>
        <w:rPr>
          <w:rStyle w:val="Hipersaitas"/>
        </w:rPr>
        <w:t>.</w:t>
      </w:r>
    </w:p>
    <w:p w:rsidR="00515018" w:rsidRPr="009247D3" w:rsidRDefault="00515018" w:rsidP="00515018">
      <w:pPr>
        <w:pStyle w:val="BTEMEASMCA"/>
      </w:pPr>
    </w:p>
    <w:p w:rsidR="00515018" w:rsidRPr="009247D3" w:rsidRDefault="00515018" w:rsidP="00515018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:rsidR="00515018" w:rsidRPr="009247D3" w:rsidRDefault="00515018" w:rsidP="00515018">
      <w:pPr>
        <w:rPr>
          <w:rFonts w:ascii="Times New Roman" w:hAnsi="Times New Roman"/>
          <w:sz w:val="22"/>
          <w:szCs w:val="22"/>
        </w:rPr>
      </w:pPr>
    </w:p>
    <w:p w:rsidR="009041DB" w:rsidRDefault="009041DB">
      <w:bookmarkStart w:id="0" w:name="_GoBack"/>
      <w:bookmarkEnd w:id="0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368B"/>
    <w:multiLevelType w:val="singleLevel"/>
    <w:tmpl w:val="704C9E9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" w15:restartNumberingAfterBreak="0">
    <w:nsid w:val="4AC64C39"/>
    <w:multiLevelType w:val="singleLevel"/>
    <w:tmpl w:val="D828F1FA"/>
    <w:lvl w:ilvl="0">
      <w:start w:val="2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7075093E"/>
    <w:multiLevelType w:val="hybridMultilevel"/>
    <w:tmpl w:val="E8F455BA"/>
    <w:lvl w:ilvl="0" w:tplc="37DE9C8A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18"/>
    <w:rsid w:val="00515018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B6902-A2AB-4B5F-8BDD-42D39BD2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5018"/>
    <w:pPr>
      <w:spacing w:after="0" w:line="240" w:lineRule="auto"/>
    </w:pPr>
    <w:rPr>
      <w:rFonts w:ascii="TimesLT" w:hAnsi="TimesLT" w:cs="Times New Roman"/>
      <w:sz w:val="24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515018"/>
    <w:pPr>
      <w:keepNext/>
      <w:ind w:left="567" w:hanging="567"/>
      <w:outlineLvl w:val="2"/>
    </w:pPr>
    <w:rPr>
      <w:rFonts w:ascii="Times New Roman" w:hAnsi="Times New Roman"/>
      <w:b/>
      <w:bCs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515018"/>
    <w:rPr>
      <w:rFonts w:ascii="Times New Roman" w:hAnsi="Times New Roman" w:cs="Times New Roman"/>
      <w:b/>
      <w:bCs/>
      <w:szCs w:val="20"/>
    </w:rPr>
  </w:style>
  <w:style w:type="paragraph" w:styleId="Pagrindinistekstas">
    <w:name w:val="Body Text"/>
    <w:basedOn w:val="prastasis"/>
    <w:link w:val="PagrindinistekstasDiagrama"/>
    <w:rsid w:val="00515018"/>
    <w:rPr>
      <w:rFonts w:ascii="Times New Roman" w:hAnsi="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15018"/>
    <w:rPr>
      <w:rFonts w:ascii="Times New Roman" w:hAnsi="Times New Roman" w:cs="Times New Roman"/>
      <w:szCs w:val="20"/>
    </w:rPr>
  </w:style>
  <w:style w:type="character" w:styleId="Hipersaitas">
    <w:name w:val="Hyperlink"/>
    <w:basedOn w:val="Numatytasispastraiposriftas"/>
    <w:rsid w:val="00515018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515018"/>
    <w:rPr>
      <w:rFonts w:ascii="Times New Roman" w:hAnsi="Times New Roman"/>
      <w:noProof/>
      <w:sz w:val="22"/>
      <w:szCs w:val="22"/>
    </w:rPr>
  </w:style>
  <w:style w:type="paragraph" w:customStyle="1" w:styleId="BT-EMEASMCA">
    <w:name w:val="BT- EMEA_SMCA"/>
    <w:basedOn w:val="BTEMEASMCA"/>
    <w:autoRedefine/>
    <w:rsid w:val="00515018"/>
  </w:style>
  <w:style w:type="paragraph" w:customStyle="1" w:styleId="BTbEMEASMCA">
    <w:name w:val="BT(b) EMEA_SMCA"/>
    <w:basedOn w:val="BTEMEASMCA"/>
    <w:autoRedefine/>
    <w:rsid w:val="00515018"/>
    <w:rPr>
      <w:b/>
    </w:rPr>
  </w:style>
  <w:style w:type="character" w:customStyle="1" w:styleId="BTEMEASMCAChar">
    <w:name w:val="BT EMEA_SMCA Char"/>
    <w:basedOn w:val="Numatytasispastraiposriftas"/>
    <w:link w:val="BTEMEASMCA"/>
    <w:locked/>
    <w:rsid w:val="00515018"/>
    <w:rPr>
      <w:rFonts w:ascii="Times New Roman" w:hAnsi="Times New Roman" w:cs="Times New Roman"/>
      <w:noProof/>
    </w:rPr>
  </w:style>
  <w:style w:type="paragraph" w:customStyle="1" w:styleId="PI-3EMEASMCA">
    <w:name w:val="PI-3 EMEA_SMCA"/>
    <w:basedOn w:val="prastasis"/>
    <w:autoRedefine/>
    <w:rsid w:val="00515018"/>
    <w:pPr>
      <w:spacing w:line="220" w:lineRule="exact"/>
    </w:pPr>
    <w:rPr>
      <w:rFonts w:ascii="Times New Roman" w:hAnsi="Times New Roman"/>
      <w:b/>
      <w:bCs/>
      <w:sz w:val="22"/>
      <w:szCs w:val="22"/>
    </w:rPr>
  </w:style>
  <w:style w:type="paragraph" w:customStyle="1" w:styleId="Sraopastraipa1">
    <w:name w:val="Sąrašo pastraipa1"/>
    <w:basedOn w:val="prastasis"/>
    <w:rsid w:val="00515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7118</Words>
  <Characters>4058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2021-03-10T09:18:00Z</dcterms:created>
  <dcterms:modified xsi:type="dcterms:W3CDTF">2021-03-10T09:18:00Z</dcterms:modified>
</cp:coreProperties>
</file>