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BF7FC" w14:textId="77777777" w:rsidR="000A7ECC" w:rsidRPr="00432612" w:rsidRDefault="000A7ECC" w:rsidP="00FC0EEA">
      <w:pPr>
        <w:ind w:left="567" w:hanging="567"/>
        <w:jc w:val="center"/>
        <w:rPr>
          <w:b/>
          <w:noProof/>
          <w:lang w:val="en-GB"/>
        </w:rPr>
      </w:pPr>
    </w:p>
    <w:p w14:paraId="4DF52CED" w14:textId="77777777" w:rsidR="000A7ECC" w:rsidRDefault="000A7ECC" w:rsidP="00FC0EEA">
      <w:pPr>
        <w:ind w:left="567" w:hanging="567"/>
        <w:jc w:val="center"/>
        <w:rPr>
          <w:b/>
          <w:noProof/>
        </w:rPr>
      </w:pPr>
    </w:p>
    <w:p w14:paraId="51C96AA5" w14:textId="77777777" w:rsidR="000A7ECC" w:rsidRDefault="000A7ECC" w:rsidP="00FC0EEA">
      <w:pPr>
        <w:ind w:left="567" w:hanging="567"/>
        <w:jc w:val="center"/>
        <w:rPr>
          <w:b/>
          <w:noProof/>
        </w:rPr>
      </w:pPr>
    </w:p>
    <w:p w14:paraId="370D2105" w14:textId="77777777" w:rsidR="000A7ECC" w:rsidRDefault="000A7ECC" w:rsidP="00FC0EEA">
      <w:pPr>
        <w:ind w:left="567" w:hanging="567"/>
        <w:jc w:val="center"/>
        <w:rPr>
          <w:b/>
          <w:noProof/>
        </w:rPr>
      </w:pPr>
    </w:p>
    <w:p w14:paraId="0DB897EF" w14:textId="77777777" w:rsidR="000A7ECC" w:rsidRDefault="000A7ECC" w:rsidP="00FC0EEA">
      <w:pPr>
        <w:ind w:left="567" w:hanging="567"/>
        <w:jc w:val="center"/>
        <w:rPr>
          <w:b/>
          <w:noProof/>
        </w:rPr>
      </w:pPr>
    </w:p>
    <w:p w14:paraId="7DA95A80" w14:textId="77777777" w:rsidR="000A7ECC" w:rsidRDefault="000A7ECC" w:rsidP="00FC0EEA">
      <w:pPr>
        <w:ind w:left="567" w:hanging="567"/>
        <w:jc w:val="center"/>
        <w:rPr>
          <w:b/>
          <w:noProof/>
        </w:rPr>
      </w:pPr>
    </w:p>
    <w:p w14:paraId="6501E6EB" w14:textId="77777777" w:rsidR="000A7ECC" w:rsidRDefault="000A7ECC" w:rsidP="00FC0EEA">
      <w:pPr>
        <w:ind w:left="567" w:hanging="567"/>
        <w:jc w:val="center"/>
        <w:rPr>
          <w:b/>
          <w:noProof/>
        </w:rPr>
      </w:pPr>
    </w:p>
    <w:p w14:paraId="1504C07B" w14:textId="77777777" w:rsidR="000A7ECC" w:rsidRDefault="000A7ECC" w:rsidP="00FC0EEA">
      <w:pPr>
        <w:ind w:left="567" w:hanging="567"/>
        <w:jc w:val="center"/>
        <w:rPr>
          <w:b/>
          <w:noProof/>
        </w:rPr>
      </w:pPr>
    </w:p>
    <w:p w14:paraId="7258F2DE" w14:textId="77777777" w:rsidR="000A7ECC" w:rsidRDefault="000A7ECC" w:rsidP="00FC0EEA">
      <w:pPr>
        <w:ind w:left="567" w:hanging="567"/>
        <w:jc w:val="center"/>
        <w:rPr>
          <w:b/>
          <w:noProof/>
        </w:rPr>
      </w:pPr>
    </w:p>
    <w:p w14:paraId="596A13BA" w14:textId="77777777" w:rsidR="000A7ECC" w:rsidRDefault="000A7ECC" w:rsidP="00FC0EEA">
      <w:pPr>
        <w:ind w:left="567" w:hanging="567"/>
        <w:jc w:val="center"/>
        <w:rPr>
          <w:b/>
          <w:noProof/>
        </w:rPr>
      </w:pPr>
    </w:p>
    <w:p w14:paraId="5583A1C2" w14:textId="77777777" w:rsidR="000A7ECC" w:rsidRDefault="000A7ECC" w:rsidP="00FC0EEA">
      <w:pPr>
        <w:ind w:left="567" w:hanging="567"/>
        <w:jc w:val="center"/>
        <w:rPr>
          <w:b/>
          <w:noProof/>
        </w:rPr>
      </w:pPr>
    </w:p>
    <w:p w14:paraId="35E16B7D" w14:textId="77777777" w:rsidR="000A7ECC" w:rsidRDefault="000A7ECC" w:rsidP="00FC0EEA">
      <w:pPr>
        <w:ind w:left="567" w:hanging="567"/>
        <w:jc w:val="center"/>
        <w:rPr>
          <w:b/>
          <w:noProof/>
        </w:rPr>
      </w:pPr>
    </w:p>
    <w:p w14:paraId="23E57659" w14:textId="77777777" w:rsidR="000A7ECC" w:rsidRDefault="000A7ECC" w:rsidP="00FC0EEA">
      <w:pPr>
        <w:ind w:left="567" w:hanging="567"/>
        <w:jc w:val="center"/>
        <w:rPr>
          <w:b/>
          <w:noProof/>
        </w:rPr>
      </w:pPr>
    </w:p>
    <w:p w14:paraId="34FA094D" w14:textId="77777777" w:rsidR="000A7ECC" w:rsidRDefault="000A7ECC" w:rsidP="00FC0EEA">
      <w:pPr>
        <w:ind w:left="567" w:hanging="567"/>
        <w:jc w:val="center"/>
        <w:rPr>
          <w:b/>
          <w:noProof/>
        </w:rPr>
      </w:pPr>
    </w:p>
    <w:p w14:paraId="7743A80F" w14:textId="77777777" w:rsidR="000A7ECC" w:rsidRDefault="000A7ECC" w:rsidP="00FC0EEA">
      <w:pPr>
        <w:ind w:left="567" w:hanging="567"/>
        <w:jc w:val="center"/>
        <w:rPr>
          <w:b/>
          <w:noProof/>
        </w:rPr>
      </w:pPr>
    </w:p>
    <w:p w14:paraId="79934686" w14:textId="77777777" w:rsidR="000A7ECC" w:rsidRDefault="000A7ECC" w:rsidP="00FC0EEA">
      <w:pPr>
        <w:ind w:left="567" w:hanging="567"/>
        <w:jc w:val="center"/>
        <w:rPr>
          <w:b/>
          <w:noProof/>
        </w:rPr>
      </w:pPr>
    </w:p>
    <w:p w14:paraId="22058548" w14:textId="77777777" w:rsidR="000A7ECC" w:rsidRDefault="000A7ECC" w:rsidP="00FC0EEA">
      <w:pPr>
        <w:ind w:left="567" w:hanging="567"/>
        <w:jc w:val="center"/>
        <w:rPr>
          <w:b/>
          <w:noProof/>
        </w:rPr>
      </w:pPr>
    </w:p>
    <w:p w14:paraId="48D6E5B6" w14:textId="77777777" w:rsidR="000A7ECC" w:rsidRDefault="000A7ECC" w:rsidP="00FC0EEA">
      <w:pPr>
        <w:ind w:left="567" w:hanging="567"/>
        <w:jc w:val="center"/>
        <w:rPr>
          <w:b/>
          <w:noProof/>
        </w:rPr>
      </w:pPr>
    </w:p>
    <w:p w14:paraId="773746B0" w14:textId="77777777" w:rsidR="000A7ECC" w:rsidRDefault="000A7ECC" w:rsidP="00FC0EEA">
      <w:pPr>
        <w:ind w:left="567" w:hanging="567"/>
        <w:jc w:val="center"/>
        <w:rPr>
          <w:b/>
          <w:noProof/>
        </w:rPr>
      </w:pPr>
    </w:p>
    <w:p w14:paraId="1E9FCA65" w14:textId="77777777" w:rsidR="000A7ECC" w:rsidRDefault="000A7ECC" w:rsidP="00FC0EEA">
      <w:pPr>
        <w:ind w:left="567" w:hanging="567"/>
        <w:jc w:val="center"/>
        <w:rPr>
          <w:b/>
          <w:noProof/>
        </w:rPr>
      </w:pPr>
    </w:p>
    <w:p w14:paraId="7324534A" w14:textId="77777777" w:rsidR="000A7ECC" w:rsidRDefault="000A7ECC" w:rsidP="00FC0EEA">
      <w:pPr>
        <w:ind w:left="567" w:hanging="567"/>
        <w:jc w:val="center"/>
        <w:rPr>
          <w:b/>
          <w:noProof/>
        </w:rPr>
      </w:pPr>
    </w:p>
    <w:p w14:paraId="539C2C7A" w14:textId="77777777" w:rsidR="000A7ECC" w:rsidRDefault="000A7ECC" w:rsidP="00FC0EEA">
      <w:pPr>
        <w:ind w:left="567" w:hanging="567"/>
        <w:jc w:val="center"/>
        <w:rPr>
          <w:b/>
          <w:noProof/>
        </w:rPr>
      </w:pPr>
    </w:p>
    <w:p w14:paraId="2963220F" w14:textId="77777777" w:rsidR="00275066" w:rsidRDefault="00275066" w:rsidP="00FC0EEA">
      <w:pPr>
        <w:ind w:left="567" w:hanging="567"/>
        <w:jc w:val="center"/>
        <w:rPr>
          <w:b/>
          <w:noProof/>
        </w:rPr>
      </w:pPr>
    </w:p>
    <w:p w14:paraId="5B1E55D7" w14:textId="77777777" w:rsidR="000A7ECC" w:rsidRDefault="000A7ECC" w:rsidP="00FC0EEA">
      <w:pPr>
        <w:ind w:left="567" w:hanging="567"/>
        <w:jc w:val="center"/>
        <w:rPr>
          <w:noProof/>
        </w:rPr>
      </w:pPr>
      <w:r>
        <w:rPr>
          <w:b/>
          <w:noProof/>
        </w:rPr>
        <w:t>I PRIEDAS</w:t>
      </w:r>
    </w:p>
    <w:p w14:paraId="35D00261" w14:textId="77777777" w:rsidR="000A7ECC" w:rsidRDefault="000A7ECC" w:rsidP="00FC0EEA">
      <w:pPr>
        <w:ind w:left="567" w:hanging="567"/>
        <w:jc w:val="center"/>
        <w:rPr>
          <w:b/>
          <w:noProof/>
        </w:rPr>
      </w:pPr>
    </w:p>
    <w:p w14:paraId="07F824F3" w14:textId="77777777" w:rsidR="000A7ECC" w:rsidRDefault="000A7ECC" w:rsidP="00FC0EEA">
      <w:pPr>
        <w:ind w:left="567" w:hanging="567"/>
        <w:jc w:val="center"/>
        <w:rPr>
          <w:b/>
          <w:noProof/>
        </w:rPr>
      </w:pPr>
      <w:r>
        <w:rPr>
          <w:b/>
          <w:noProof/>
        </w:rPr>
        <w:t>PREPARATO CHARAKTERISTIKŲ SANTRAUKA</w:t>
      </w:r>
    </w:p>
    <w:p w14:paraId="55AE2C5B" w14:textId="77777777" w:rsidR="000A7ECC" w:rsidRDefault="000A7ECC" w:rsidP="00FC0EEA">
      <w:pPr>
        <w:tabs>
          <w:tab w:val="clear" w:pos="567"/>
          <w:tab w:val="left" w:pos="-1440"/>
          <w:tab w:val="left" w:pos="-720"/>
        </w:tabs>
        <w:spacing w:line="240" w:lineRule="auto"/>
        <w:jc w:val="center"/>
        <w:rPr>
          <w:noProof/>
        </w:rPr>
      </w:pPr>
    </w:p>
    <w:p w14:paraId="15E89419" w14:textId="77777777" w:rsidR="000A7ECC" w:rsidRPr="00DF4173" w:rsidRDefault="000A7ECC" w:rsidP="00432612">
      <w:pPr>
        <w:pStyle w:val="PI-1EMEASMCA"/>
      </w:pPr>
      <w:r>
        <w:rPr>
          <w:bCs/>
          <w:iCs/>
          <w:noProof/>
        </w:rPr>
        <w:br w:type="page"/>
      </w:r>
      <w:bookmarkStart w:id="0" w:name="_Toc129243098"/>
      <w:bookmarkStart w:id="1" w:name="_Toc129243223"/>
      <w:r w:rsidRPr="00DF4173">
        <w:lastRenderedPageBreak/>
        <w:t>1.</w:t>
      </w:r>
      <w:r w:rsidRPr="00DF4173">
        <w:tab/>
        <w:t>VAISTINIO PREPARATO PAVADINIMAS</w:t>
      </w:r>
      <w:bookmarkEnd w:id="0"/>
      <w:bookmarkEnd w:id="1"/>
    </w:p>
    <w:p w14:paraId="16865249" w14:textId="77777777" w:rsidR="000A7ECC" w:rsidRPr="00DF4173" w:rsidRDefault="000A7ECC" w:rsidP="001E1730">
      <w:pPr>
        <w:pStyle w:val="BTEMEASMCA"/>
      </w:pPr>
    </w:p>
    <w:p w14:paraId="3A0F6DC5" w14:textId="4031F792" w:rsidR="00525EE9" w:rsidRPr="009A04CF" w:rsidRDefault="00AC43B9" w:rsidP="00FC0EEA">
      <w:pPr>
        <w:rPr>
          <w:szCs w:val="22"/>
        </w:rPr>
      </w:pPr>
      <w:r>
        <w:t>Arax</w:t>
      </w:r>
      <w:r w:rsidR="00525EE9">
        <w:t xml:space="preserve"> </w:t>
      </w:r>
      <w:r w:rsidR="00525EE9" w:rsidRPr="009A04CF">
        <w:rPr>
          <w:szCs w:val="22"/>
        </w:rPr>
        <w:t>500 mg milteliai geriamajam tirpalui paketėlyje</w:t>
      </w:r>
      <w:bookmarkStart w:id="2" w:name="_GoBack"/>
      <w:bookmarkEnd w:id="2"/>
    </w:p>
    <w:p w14:paraId="7CF301B1" w14:textId="77777777" w:rsidR="000A7ECC" w:rsidRPr="00406BCA" w:rsidRDefault="000A7ECC" w:rsidP="00FC0EEA"/>
    <w:p w14:paraId="1194EF6B" w14:textId="77777777" w:rsidR="000A7ECC" w:rsidRPr="00DF4173" w:rsidRDefault="000A7ECC" w:rsidP="001E1730">
      <w:pPr>
        <w:pStyle w:val="BTEMEASMCA"/>
      </w:pPr>
    </w:p>
    <w:p w14:paraId="19B1A920" w14:textId="4B38045F" w:rsidR="000A7ECC" w:rsidRPr="00DF4173" w:rsidRDefault="000A7ECC" w:rsidP="00432612">
      <w:pPr>
        <w:pStyle w:val="PI-1EMEASMCA"/>
      </w:pPr>
      <w:bookmarkStart w:id="3" w:name="_Toc129243099"/>
      <w:bookmarkStart w:id="4" w:name="_Toc129243224"/>
      <w:r w:rsidRPr="00DF4173">
        <w:t>2.</w:t>
      </w:r>
      <w:r w:rsidRPr="00DF4173">
        <w:tab/>
        <w:t>KOKYBINĖ IR KIEKYBINĖ SUDĖTIS</w:t>
      </w:r>
      <w:bookmarkEnd w:id="3"/>
      <w:bookmarkEnd w:id="4"/>
    </w:p>
    <w:p w14:paraId="4FB1EE84" w14:textId="77777777" w:rsidR="000A7ECC" w:rsidRPr="00DF4173" w:rsidRDefault="000A7ECC" w:rsidP="001E1730">
      <w:pPr>
        <w:pStyle w:val="BTEMEASMCA"/>
      </w:pPr>
    </w:p>
    <w:p w14:paraId="78181923" w14:textId="77777777" w:rsidR="000A7ECC" w:rsidRDefault="00525EE9" w:rsidP="001E1730">
      <w:pPr>
        <w:pStyle w:val="BTEMEASMCA"/>
      </w:pPr>
      <w:r>
        <w:t xml:space="preserve">1 </w:t>
      </w:r>
      <w:r w:rsidRPr="00525EE9">
        <w:t>paketėlyje yra 500</w:t>
      </w:r>
      <w:r>
        <w:t> </w:t>
      </w:r>
      <w:r w:rsidRPr="00525EE9">
        <w:t>mg paracetamolio.</w:t>
      </w:r>
    </w:p>
    <w:p w14:paraId="4F895617" w14:textId="77777777" w:rsidR="00525EE9" w:rsidRDefault="00525EE9" w:rsidP="001E1730">
      <w:pPr>
        <w:pStyle w:val="BTEMEASMCA"/>
      </w:pPr>
    </w:p>
    <w:p w14:paraId="62B88C4A" w14:textId="77777777" w:rsidR="00525EE9" w:rsidRPr="00525EE9" w:rsidRDefault="00525EE9" w:rsidP="00FC0EEA">
      <w:r w:rsidRPr="00525EE9">
        <w:t xml:space="preserve">Pagalbinės medžiagos, </w:t>
      </w:r>
      <w:r w:rsidRPr="00525EE9">
        <w:rPr>
          <w:szCs w:val="24"/>
        </w:rPr>
        <w:t>kurių</w:t>
      </w:r>
      <w:r w:rsidRPr="00525EE9">
        <w:t xml:space="preserve"> poveikis žinomas: manitolis E</w:t>
      </w:r>
      <w:r w:rsidR="002D324B">
        <w:t xml:space="preserve"> </w:t>
      </w:r>
      <w:r w:rsidRPr="00525EE9">
        <w:t>421 (2000 mg kiekviename paketėlyje), ksilitolis E</w:t>
      </w:r>
      <w:r w:rsidR="002D324B">
        <w:t xml:space="preserve"> </w:t>
      </w:r>
      <w:r w:rsidRPr="00525EE9">
        <w:t>967 (1665 mg kiekviename paketėlyje).</w:t>
      </w:r>
    </w:p>
    <w:p w14:paraId="5CEAEE37" w14:textId="77777777" w:rsidR="00525EE9" w:rsidRPr="00525EE9" w:rsidRDefault="00525EE9" w:rsidP="00FC0EEA">
      <w:pPr>
        <w:rPr>
          <w:szCs w:val="24"/>
        </w:rPr>
      </w:pPr>
    </w:p>
    <w:p w14:paraId="3BC18D12" w14:textId="77777777" w:rsidR="000A7ECC" w:rsidRPr="004F5824" w:rsidRDefault="000A7ECC" w:rsidP="001E1730">
      <w:pPr>
        <w:pStyle w:val="BTEMEASMCA"/>
      </w:pPr>
      <w:r w:rsidRPr="004F5824">
        <w:t>Visos pagalbinės medžiagos išvardytos 6.1 skyriuje.</w:t>
      </w:r>
    </w:p>
    <w:p w14:paraId="0B4DC442" w14:textId="77777777" w:rsidR="000A7ECC" w:rsidRDefault="000A7ECC" w:rsidP="001E1730">
      <w:pPr>
        <w:pStyle w:val="BTEMEASMCA"/>
      </w:pPr>
    </w:p>
    <w:p w14:paraId="416ECDDA" w14:textId="77777777" w:rsidR="000A7ECC" w:rsidRDefault="000A7ECC" w:rsidP="001E1730">
      <w:pPr>
        <w:pStyle w:val="BTEMEASMCA"/>
      </w:pPr>
    </w:p>
    <w:p w14:paraId="52DBEEAC" w14:textId="33EE222F" w:rsidR="000A7ECC" w:rsidRPr="00DF4173" w:rsidRDefault="000A7ECC" w:rsidP="00432612">
      <w:pPr>
        <w:pStyle w:val="PI-1EMEASMCA"/>
      </w:pPr>
      <w:bookmarkStart w:id="5" w:name="_Toc129243100"/>
      <w:bookmarkStart w:id="6" w:name="_Toc129243225"/>
      <w:r w:rsidRPr="00DF4173">
        <w:t>3.</w:t>
      </w:r>
      <w:r w:rsidRPr="00DF4173">
        <w:tab/>
        <w:t>FARMACINĖ FORMA</w:t>
      </w:r>
      <w:bookmarkEnd w:id="5"/>
      <w:bookmarkEnd w:id="6"/>
    </w:p>
    <w:p w14:paraId="5A602B74" w14:textId="77777777" w:rsidR="000A7ECC" w:rsidRPr="00DF4173" w:rsidRDefault="000A7ECC" w:rsidP="001E1730">
      <w:pPr>
        <w:pStyle w:val="BTEMEASMCA"/>
      </w:pPr>
    </w:p>
    <w:p w14:paraId="366FDB5B" w14:textId="77777777" w:rsidR="00525EE9" w:rsidRDefault="00525EE9" w:rsidP="00FC0EEA">
      <w:pPr>
        <w:rPr>
          <w:szCs w:val="22"/>
        </w:rPr>
      </w:pPr>
      <w:r>
        <w:rPr>
          <w:szCs w:val="22"/>
        </w:rPr>
        <w:t>M</w:t>
      </w:r>
      <w:r w:rsidRPr="009A04CF">
        <w:rPr>
          <w:szCs w:val="22"/>
        </w:rPr>
        <w:t>ilteliai geriamajam tirpalui</w:t>
      </w:r>
      <w:r>
        <w:rPr>
          <w:szCs w:val="22"/>
        </w:rPr>
        <w:t>.</w:t>
      </w:r>
    </w:p>
    <w:p w14:paraId="7C3F0035" w14:textId="77777777" w:rsidR="000A7ECC" w:rsidRDefault="00525EE9" w:rsidP="00FC0EEA">
      <w:r>
        <w:t>J</w:t>
      </w:r>
      <w:r w:rsidRPr="00525EE9">
        <w:t>uodųjų serbentų kvap</w:t>
      </w:r>
      <w:r>
        <w:t>o</w:t>
      </w:r>
      <w:r w:rsidRPr="00525EE9">
        <w:t xml:space="preserve"> </w:t>
      </w:r>
      <w:r>
        <w:t>r</w:t>
      </w:r>
      <w:r w:rsidRPr="00525EE9">
        <w:t>ožin</w:t>
      </w:r>
      <w:r>
        <w:t>ės spalvos milteliai</w:t>
      </w:r>
      <w:r w:rsidRPr="00525EE9">
        <w:t>.</w:t>
      </w:r>
    </w:p>
    <w:p w14:paraId="17F7DC67" w14:textId="77777777" w:rsidR="00525EE9" w:rsidRPr="00253DE6" w:rsidRDefault="00525EE9" w:rsidP="00FC0EEA"/>
    <w:p w14:paraId="1ACF2BAB" w14:textId="77777777" w:rsidR="000A7ECC" w:rsidRPr="00DF4173" w:rsidRDefault="000A7ECC" w:rsidP="001E1730">
      <w:pPr>
        <w:pStyle w:val="BTEMEASMCA"/>
      </w:pPr>
    </w:p>
    <w:p w14:paraId="18CB0734" w14:textId="2723FA1F" w:rsidR="000A7ECC" w:rsidRPr="0084041E" w:rsidRDefault="000A7ECC" w:rsidP="00432612">
      <w:pPr>
        <w:pStyle w:val="PI-1EMEASMCA"/>
      </w:pPr>
      <w:bookmarkStart w:id="7" w:name="_Toc129243101"/>
      <w:bookmarkStart w:id="8" w:name="_Toc129243226"/>
      <w:r w:rsidRPr="0084041E">
        <w:t>4.</w:t>
      </w:r>
      <w:r w:rsidRPr="0084041E">
        <w:tab/>
        <w:t>KLINIKINĖ INFORMACIJA</w:t>
      </w:r>
      <w:bookmarkEnd w:id="7"/>
      <w:bookmarkEnd w:id="8"/>
    </w:p>
    <w:p w14:paraId="3FE025B1" w14:textId="77777777" w:rsidR="000A7ECC" w:rsidRPr="0084041E" w:rsidRDefault="000A7ECC" w:rsidP="001E1730">
      <w:pPr>
        <w:pStyle w:val="BTEMEASMCA"/>
      </w:pPr>
    </w:p>
    <w:p w14:paraId="1512BBF0" w14:textId="664CDE81" w:rsidR="000A7ECC" w:rsidRPr="0084041E" w:rsidRDefault="000A7ECC" w:rsidP="00FC0EEA">
      <w:pPr>
        <w:pStyle w:val="PI-2EMEASMCA"/>
        <w:outlineLvl w:val="9"/>
      </w:pPr>
      <w:bookmarkStart w:id="9" w:name="_Toc129243102"/>
      <w:bookmarkStart w:id="10" w:name="_Toc129243227"/>
      <w:r w:rsidRPr="0084041E">
        <w:t>4.1</w:t>
      </w:r>
      <w:r w:rsidRPr="0084041E">
        <w:tab/>
        <w:t>Terapinės indikacijos</w:t>
      </w:r>
      <w:bookmarkEnd w:id="9"/>
      <w:bookmarkEnd w:id="10"/>
    </w:p>
    <w:p w14:paraId="0AC0A85A" w14:textId="77777777" w:rsidR="000A7ECC" w:rsidRPr="0084041E" w:rsidRDefault="000A7ECC" w:rsidP="001E1730">
      <w:pPr>
        <w:pStyle w:val="BTEMEASMCA"/>
      </w:pPr>
    </w:p>
    <w:p w14:paraId="1C074716" w14:textId="1DA9F68B" w:rsidR="00CA6023" w:rsidRDefault="00CA6023" w:rsidP="00FC0EEA">
      <w:r>
        <w:t>Trumpalaiki</w:t>
      </w:r>
      <w:r w:rsidR="00CF7046">
        <w:t>am</w:t>
      </w:r>
      <w:r>
        <w:t xml:space="preserve"> simptomini</w:t>
      </w:r>
      <w:r w:rsidR="003216DE">
        <w:t>o</w:t>
      </w:r>
      <w:r>
        <w:t xml:space="preserve"> lengvo ar vidutinio stiprumo skausmo ir karščiavimo gydym</w:t>
      </w:r>
      <w:r w:rsidR="002F2CDA">
        <w:t>ui</w:t>
      </w:r>
      <w:r>
        <w:t>.</w:t>
      </w:r>
    </w:p>
    <w:p w14:paraId="5E3EC7EB" w14:textId="346E70C4" w:rsidR="000A7ECC" w:rsidRPr="0031650E" w:rsidRDefault="00AC43B9" w:rsidP="00FC0EEA">
      <w:r>
        <w:t>Arax</w:t>
      </w:r>
      <w:r w:rsidR="00CA6023" w:rsidRPr="00CA6023">
        <w:t xml:space="preserve"> </w:t>
      </w:r>
      <w:r w:rsidR="00CA6023">
        <w:t xml:space="preserve">skirtas suaugusiesiems bei 12 metų </w:t>
      </w:r>
      <w:r w:rsidR="001038AC">
        <w:t xml:space="preserve">ir </w:t>
      </w:r>
      <w:r w:rsidR="00CA6023">
        <w:t xml:space="preserve">vyresniems paaugliams. </w:t>
      </w:r>
    </w:p>
    <w:p w14:paraId="298873AA" w14:textId="77777777" w:rsidR="000A7ECC" w:rsidRPr="0084041E" w:rsidRDefault="000A7ECC" w:rsidP="001E1730">
      <w:pPr>
        <w:pStyle w:val="BTEMEASMCA"/>
      </w:pPr>
    </w:p>
    <w:p w14:paraId="72CA0CCF" w14:textId="7BD3D591" w:rsidR="000A7ECC" w:rsidRPr="0084041E" w:rsidRDefault="000A7ECC" w:rsidP="00FC0EEA">
      <w:pPr>
        <w:pStyle w:val="PI-2EMEASMCA"/>
        <w:outlineLvl w:val="9"/>
      </w:pPr>
      <w:bookmarkStart w:id="11" w:name="_Toc129243103"/>
      <w:bookmarkStart w:id="12" w:name="_Toc129243228"/>
      <w:r w:rsidRPr="0084041E">
        <w:t>4.2</w:t>
      </w:r>
      <w:r w:rsidRPr="0084041E">
        <w:tab/>
        <w:t>Dozavimas ir vartojimo metodas</w:t>
      </w:r>
      <w:bookmarkEnd w:id="11"/>
      <w:bookmarkEnd w:id="12"/>
    </w:p>
    <w:p w14:paraId="4C5A490D" w14:textId="77777777" w:rsidR="000A7ECC" w:rsidRDefault="000A7ECC" w:rsidP="001E1730">
      <w:pPr>
        <w:pStyle w:val="BTEMEASMCA"/>
      </w:pPr>
    </w:p>
    <w:p w14:paraId="3EB14845" w14:textId="77777777" w:rsidR="000A7ECC" w:rsidRPr="00432612" w:rsidRDefault="000A7ECC" w:rsidP="001E1730">
      <w:pPr>
        <w:pStyle w:val="BTEMEASMCA"/>
        <w:rPr>
          <w:u w:val="single"/>
        </w:rPr>
      </w:pPr>
      <w:r w:rsidRPr="00432612">
        <w:rPr>
          <w:u w:val="single"/>
        </w:rPr>
        <w:t>Dozavimas</w:t>
      </w:r>
    </w:p>
    <w:p w14:paraId="322E6306" w14:textId="77777777" w:rsidR="000A7ECC" w:rsidRPr="001E1730" w:rsidRDefault="000A7ECC" w:rsidP="001E1730">
      <w:pPr>
        <w:pStyle w:val="BTEMEASMCA"/>
      </w:pPr>
    </w:p>
    <w:p w14:paraId="38999C7F" w14:textId="77777777" w:rsidR="001038AC" w:rsidRPr="001038AC" w:rsidRDefault="001038AC" w:rsidP="00FC0EEA">
      <w:pPr>
        <w:rPr>
          <w:i/>
          <w:szCs w:val="22"/>
        </w:rPr>
      </w:pPr>
      <w:r>
        <w:rPr>
          <w:i/>
          <w:szCs w:val="22"/>
        </w:rPr>
        <w:t>S</w:t>
      </w:r>
      <w:r w:rsidRPr="001038AC">
        <w:rPr>
          <w:i/>
          <w:szCs w:val="22"/>
        </w:rPr>
        <w:t xml:space="preserve">uaugusiesiems bei 12 metų ir vyresniems paaugliams </w:t>
      </w:r>
    </w:p>
    <w:p w14:paraId="78157A44" w14:textId="77777777" w:rsidR="00ED3852" w:rsidRPr="00ED3852" w:rsidRDefault="00ED3852" w:rsidP="00FC0EEA">
      <w:pPr>
        <w:rPr>
          <w:szCs w:val="22"/>
        </w:rPr>
      </w:pPr>
      <w:r w:rsidRPr="00ED3852">
        <w:rPr>
          <w:szCs w:val="22"/>
        </w:rPr>
        <w:t>Pacientams, sveriantiems 34-60</w:t>
      </w:r>
      <w:r>
        <w:rPr>
          <w:szCs w:val="22"/>
        </w:rPr>
        <w:t> </w:t>
      </w:r>
      <w:r w:rsidRPr="00ED3852">
        <w:rPr>
          <w:szCs w:val="22"/>
        </w:rPr>
        <w:t>kg: po 1 paketėlį kas 4-6 valandas pagal poreikį. Didžiausia paros dozė yra 4</w:t>
      </w:r>
      <w:r>
        <w:rPr>
          <w:szCs w:val="22"/>
        </w:rPr>
        <w:t> </w:t>
      </w:r>
      <w:r w:rsidRPr="00ED3852">
        <w:rPr>
          <w:szCs w:val="22"/>
        </w:rPr>
        <w:t>paketėliai per 24 valandas (2000</w:t>
      </w:r>
      <w:r>
        <w:rPr>
          <w:szCs w:val="22"/>
        </w:rPr>
        <w:t> </w:t>
      </w:r>
      <w:r w:rsidRPr="00ED3852">
        <w:rPr>
          <w:szCs w:val="22"/>
        </w:rPr>
        <w:t>mg paracetamolio per 24 valandas).</w:t>
      </w:r>
    </w:p>
    <w:p w14:paraId="6B008381" w14:textId="77777777" w:rsidR="00ED3852" w:rsidRPr="00ED3852" w:rsidRDefault="00ED3852" w:rsidP="00FC0EEA">
      <w:pPr>
        <w:rPr>
          <w:szCs w:val="22"/>
        </w:rPr>
      </w:pPr>
      <w:r w:rsidRPr="00ED3852">
        <w:rPr>
          <w:szCs w:val="22"/>
        </w:rPr>
        <w:t>Pacientams, sveriantiems daugiau kaip 60</w:t>
      </w:r>
      <w:r>
        <w:rPr>
          <w:szCs w:val="22"/>
        </w:rPr>
        <w:t> </w:t>
      </w:r>
      <w:r w:rsidRPr="00ED3852">
        <w:rPr>
          <w:szCs w:val="22"/>
        </w:rPr>
        <w:t>kg: po 1-2 paketėlius kas 4-6 valandas pagal poreikį. Didžiausia paros dozė yra 6 paketėliai per 24 valandas (3000</w:t>
      </w:r>
      <w:r>
        <w:rPr>
          <w:szCs w:val="22"/>
        </w:rPr>
        <w:t> </w:t>
      </w:r>
      <w:r w:rsidRPr="00ED3852">
        <w:rPr>
          <w:szCs w:val="22"/>
        </w:rPr>
        <w:t>mg paracetamolio per 24 valandas).</w:t>
      </w:r>
    </w:p>
    <w:p w14:paraId="0DC1CEFF" w14:textId="77777777" w:rsidR="00ED3852" w:rsidRPr="00ED3852" w:rsidRDefault="00ED3852" w:rsidP="00FC0EEA">
      <w:pPr>
        <w:rPr>
          <w:szCs w:val="22"/>
        </w:rPr>
      </w:pPr>
      <w:r w:rsidRPr="00ED3852">
        <w:rPr>
          <w:szCs w:val="22"/>
        </w:rPr>
        <w:t>Minimalus intervalas</w:t>
      </w:r>
      <w:r w:rsidR="002D62AA">
        <w:rPr>
          <w:szCs w:val="22"/>
        </w:rPr>
        <w:t xml:space="preserve"> tarp dozių</w:t>
      </w:r>
      <w:r w:rsidR="00B05399">
        <w:rPr>
          <w:szCs w:val="22"/>
        </w:rPr>
        <w:t xml:space="preserve"> vartojimo</w:t>
      </w:r>
      <w:r w:rsidR="002D62AA">
        <w:rPr>
          <w:szCs w:val="22"/>
        </w:rPr>
        <w:t xml:space="preserve"> – </w:t>
      </w:r>
      <w:r w:rsidRPr="00ED3852">
        <w:rPr>
          <w:szCs w:val="22"/>
        </w:rPr>
        <w:t>4 valandos.</w:t>
      </w:r>
    </w:p>
    <w:p w14:paraId="5F2ECC19" w14:textId="77777777" w:rsidR="00ED3852" w:rsidRPr="00ED3852" w:rsidRDefault="00ED3852" w:rsidP="00FC0EEA">
      <w:pPr>
        <w:rPr>
          <w:szCs w:val="22"/>
        </w:rPr>
      </w:pPr>
    </w:p>
    <w:p w14:paraId="2158D584" w14:textId="021952AC" w:rsidR="00ED3852" w:rsidRPr="002D62AA" w:rsidRDefault="00ED3852" w:rsidP="00FC0EEA">
      <w:pPr>
        <w:rPr>
          <w:i/>
          <w:iCs/>
          <w:szCs w:val="22"/>
        </w:rPr>
      </w:pPr>
      <w:r w:rsidRPr="002D62AA">
        <w:rPr>
          <w:i/>
          <w:iCs/>
          <w:szCs w:val="22"/>
        </w:rPr>
        <w:t>Vaika</w:t>
      </w:r>
      <w:r w:rsidR="00CF7046">
        <w:rPr>
          <w:i/>
          <w:iCs/>
          <w:szCs w:val="22"/>
        </w:rPr>
        <w:t>ms</w:t>
      </w:r>
      <w:r w:rsidRPr="002D62AA">
        <w:rPr>
          <w:i/>
          <w:iCs/>
          <w:szCs w:val="22"/>
        </w:rPr>
        <w:t xml:space="preserve"> iki 12 metų ir paauglia</w:t>
      </w:r>
      <w:r w:rsidR="00CF7046">
        <w:rPr>
          <w:i/>
          <w:iCs/>
          <w:szCs w:val="22"/>
        </w:rPr>
        <w:t>ms</w:t>
      </w:r>
      <w:r w:rsidRPr="002D62AA">
        <w:rPr>
          <w:i/>
          <w:iCs/>
          <w:szCs w:val="22"/>
        </w:rPr>
        <w:t>, sveriant</w:t>
      </w:r>
      <w:r w:rsidR="00CF7046">
        <w:rPr>
          <w:i/>
          <w:iCs/>
          <w:szCs w:val="22"/>
        </w:rPr>
        <w:t>iems</w:t>
      </w:r>
      <w:r w:rsidRPr="002D62AA">
        <w:rPr>
          <w:i/>
          <w:iCs/>
          <w:szCs w:val="22"/>
        </w:rPr>
        <w:t xml:space="preserve"> mažiau nei 34 kg</w:t>
      </w:r>
    </w:p>
    <w:p w14:paraId="6803FB26" w14:textId="77777777" w:rsidR="00ED3852" w:rsidRPr="00ED3852" w:rsidRDefault="00ED3852" w:rsidP="00FC0EEA">
      <w:pPr>
        <w:rPr>
          <w:szCs w:val="22"/>
        </w:rPr>
      </w:pPr>
      <w:r w:rsidRPr="00ED3852">
        <w:rPr>
          <w:szCs w:val="22"/>
        </w:rPr>
        <w:t xml:space="preserve">Šis </w:t>
      </w:r>
      <w:r w:rsidR="002D62AA">
        <w:rPr>
          <w:szCs w:val="22"/>
        </w:rPr>
        <w:t>vaistinis preparatas</w:t>
      </w:r>
      <w:r w:rsidRPr="00ED3852">
        <w:rPr>
          <w:szCs w:val="22"/>
        </w:rPr>
        <w:t xml:space="preserve"> neskirtas jaunesniems nei 12 metų vaikams ir paaugliams, sveriantiems mažiau nei 34</w:t>
      </w:r>
      <w:r w:rsidR="002D62AA">
        <w:rPr>
          <w:szCs w:val="22"/>
        </w:rPr>
        <w:t> </w:t>
      </w:r>
      <w:r w:rsidRPr="00ED3852">
        <w:rPr>
          <w:szCs w:val="22"/>
        </w:rPr>
        <w:t>kg, kadangi dozės stiprumas nerekomenduojamas šiai amžiaus</w:t>
      </w:r>
      <w:r w:rsidR="002D62AA">
        <w:rPr>
          <w:szCs w:val="22"/>
        </w:rPr>
        <w:t xml:space="preserve"> </w:t>
      </w:r>
      <w:r w:rsidRPr="00ED3852">
        <w:rPr>
          <w:szCs w:val="22"/>
        </w:rPr>
        <w:t>/</w:t>
      </w:r>
      <w:r w:rsidR="002D62AA">
        <w:rPr>
          <w:szCs w:val="22"/>
        </w:rPr>
        <w:t xml:space="preserve"> </w:t>
      </w:r>
      <w:r w:rsidRPr="00ED3852">
        <w:rPr>
          <w:szCs w:val="22"/>
        </w:rPr>
        <w:t>kūno svorio grupei. Kitos farmacinės formos / stiprumai gali būti tinkamesni šiai populiacijai.</w:t>
      </w:r>
    </w:p>
    <w:p w14:paraId="7BC6C49B" w14:textId="77777777" w:rsidR="00ED3852" w:rsidRPr="002D62AA" w:rsidRDefault="00ED3852" w:rsidP="00FC0EEA">
      <w:pPr>
        <w:rPr>
          <w:i/>
          <w:iCs/>
          <w:szCs w:val="22"/>
        </w:rPr>
      </w:pPr>
    </w:p>
    <w:p w14:paraId="13716C6A" w14:textId="77777777" w:rsidR="00ED3852" w:rsidRPr="002D62AA" w:rsidRDefault="00ED3852" w:rsidP="00FC0EEA">
      <w:pPr>
        <w:rPr>
          <w:i/>
          <w:iCs/>
          <w:szCs w:val="22"/>
        </w:rPr>
      </w:pPr>
      <w:r w:rsidRPr="002D62AA">
        <w:rPr>
          <w:i/>
          <w:iCs/>
          <w:szCs w:val="22"/>
        </w:rPr>
        <w:t>Senyviems pacientams</w:t>
      </w:r>
    </w:p>
    <w:p w14:paraId="0158ECF6" w14:textId="77777777" w:rsidR="00ED3852" w:rsidRPr="00ED3852" w:rsidRDefault="00ED3852" w:rsidP="00FC0EEA">
      <w:pPr>
        <w:rPr>
          <w:szCs w:val="22"/>
        </w:rPr>
      </w:pPr>
      <w:r w:rsidRPr="00ED3852">
        <w:rPr>
          <w:szCs w:val="22"/>
        </w:rPr>
        <w:t>Dozės koreguoti nereikia.</w:t>
      </w:r>
    </w:p>
    <w:p w14:paraId="4B8753A9" w14:textId="77777777" w:rsidR="00ED3852" w:rsidRPr="00ED3852" w:rsidRDefault="00ED3852" w:rsidP="00FC0EEA">
      <w:pPr>
        <w:rPr>
          <w:szCs w:val="22"/>
        </w:rPr>
      </w:pPr>
    </w:p>
    <w:p w14:paraId="21A16060" w14:textId="77777777" w:rsidR="002D62AA" w:rsidRPr="002D62AA" w:rsidRDefault="002D62AA" w:rsidP="00FC0EEA">
      <w:pPr>
        <w:rPr>
          <w:i/>
          <w:iCs/>
          <w:szCs w:val="22"/>
        </w:rPr>
      </w:pPr>
      <w:r w:rsidRPr="002D62AA">
        <w:rPr>
          <w:i/>
          <w:iCs/>
          <w:szCs w:val="22"/>
        </w:rPr>
        <w:t xml:space="preserve">Pacientams, kurių kepenų funkcija sutrikusi </w:t>
      </w:r>
    </w:p>
    <w:p w14:paraId="46FB09FB" w14:textId="0BE8E12E" w:rsidR="00ED3852" w:rsidRDefault="00ED3852" w:rsidP="00FC0EEA">
      <w:pPr>
        <w:rPr>
          <w:szCs w:val="22"/>
        </w:rPr>
      </w:pPr>
      <w:r w:rsidRPr="00ED3852">
        <w:rPr>
          <w:szCs w:val="22"/>
        </w:rPr>
        <w:t xml:space="preserve">Pacientams, kuriems yra lengvas ar vidutinio sunkumo kepenų nepakankamumas arba </w:t>
      </w:r>
      <w:r w:rsidR="00B05399" w:rsidRPr="00B05399">
        <w:rPr>
          <w:szCs w:val="22"/>
        </w:rPr>
        <w:t>Žilberto (</w:t>
      </w:r>
      <w:r w:rsidR="00B05399" w:rsidRPr="00B05399">
        <w:rPr>
          <w:i/>
          <w:iCs/>
          <w:szCs w:val="22"/>
        </w:rPr>
        <w:t>Gilbert</w:t>
      </w:r>
      <w:r w:rsidR="00B05399" w:rsidRPr="00B05399">
        <w:rPr>
          <w:szCs w:val="22"/>
        </w:rPr>
        <w:t xml:space="preserve">) </w:t>
      </w:r>
      <w:r w:rsidRPr="00ED3852">
        <w:rPr>
          <w:szCs w:val="22"/>
        </w:rPr>
        <w:t xml:space="preserve">sindromas, dozę reikia sumažinti arba pailginti </w:t>
      </w:r>
      <w:r w:rsidR="00B05399" w:rsidRPr="00B05399">
        <w:rPr>
          <w:szCs w:val="22"/>
        </w:rPr>
        <w:t>intervalą tarp dozių vartojimo</w:t>
      </w:r>
      <w:r w:rsidRPr="00ED3852">
        <w:rPr>
          <w:szCs w:val="22"/>
        </w:rPr>
        <w:t>. Negalima viršyti 2</w:t>
      </w:r>
      <w:r w:rsidR="00B05399">
        <w:rPr>
          <w:szCs w:val="22"/>
        </w:rPr>
        <w:t> </w:t>
      </w:r>
      <w:r w:rsidRPr="00ED3852">
        <w:rPr>
          <w:szCs w:val="22"/>
        </w:rPr>
        <w:t xml:space="preserve">g paracetamolio per </w:t>
      </w:r>
      <w:r w:rsidR="00B05399">
        <w:rPr>
          <w:szCs w:val="22"/>
        </w:rPr>
        <w:t>par</w:t>
      </w:r>
      <w:r w:rsidRPr="00ED3852">
        <w:rPr>
          <w:szCs w:val="22"/>
        </w:rPr>
        <w:t>ą</w:t>
      </w:r>
      <w:r w:rsidR="00B05399">
        <w:rPr>
          <w:szCs w:val="22"/>
        </w:rPr>
        <w:t xml:space="preserve"> dozės</w:t>
      </w:r>
      <w:r w:rsidRPr="00ED3852">
        <w:rPr>
          <w:szCs w:val="22"/>
        </w:rPr>
        <w:t>. Vaistini</w:t>
      </w:r>
      <w:r w:rsidR="00B05399">
        <w:rPr>
          <w:szCs w:val="22"/>
        </w:rPr>
        <w:t>o</w:t>
      </w:r>
      <w:r w:rsidRPr="00ED3852">
        <w:rPr>
          <w:szCs w:val="22"/>
        </w:rPr>
        <w:t xml:space="preserve"> preparat</w:t>
      </w:r>
      <w:r w:rsidR="00B05399">
        <w:rPr>
          <w:szCs w:val="22"/>
        </w:rPr>
        <w:t xml:space="preserve">o </w:t>
      </w:r>
      <w:r w:rsidRPr="00ED3852">
        <w:rPr>
          <w:szCs w:val="22"/>
        </w:rPr>
        <w:t>draudžiam</w:t>
      </w:r>
      <w:r w:rsidR="00B05399">
        <w:rPr>
          <w:szCs w:val="22"/>
        </w:rPr>
        <w:t>a vartoti</w:t>
      </w:r>
      <w:r w:rsidRPr="00ED3852">
        <w:rPr>
          <w:szCs w:val="22"/>
        </w:rPr>
        <w:t xml:space="preserve"> pacientams, kuriems yra sunkus kepenų nepakankamumas (žr. 4.3 skyrių).</w:t>
      </w:r>
    </w:p>
    <w:p w14:paraId="00134A40" w14:textId="77777777" w:rsidR="00432612" w:rsidRPr="00ED3852" w:rsidRDefault="00432612" w:rsidP="00FC0EEA">
      <w:pPr>
        <w:rPr>
          <w:szCs w:val="22"/>
        </w:rPr>
      </w:pPr>
    </w:p>
    <w:p w14:paraId="43F6CAE4" w14:textId="77777777" w:rsidR="00B05399" w:rsidRPr="00E75340" w:rsidRDefault="00B05399" w:rsidP="00432612">
      <w:pPr>
        <w:widowControl w:val="0"/>
        <w:rPr>
          <w:i/>
          <w:szCs w:val="22"/>
        </w:rPr>
      </w:pPr>
      <w:r>
        <w:rPr>
          <w:i/>
          <w:szCs w:val="22"/>
        </w:rPr>
        <w:t>Pacientams, kurių i</w:t>
      </w:r>
      <w:r w:rsidRPr="00E75340">
        <w:rPr>
          <w:i/>
          <w:szCs w:val="22"/>
        </w:rPr>
        <w:t xml:space="preserve">nkstų </w:t>
      </w:r>
      <w:r>
        <w:rPr>
          <w:i/>
          <w:szCs w:val="22"/>
        </w:rPr>
        <w:t>funkcija sutrikusi</w:t>
      </w:r>
    </w:p>
    <w:p w14:paraId="6DD2707B" w14:textId="77777777" w:rsidR="00B05399" w:rsidRDefault="00ED3852" w:rsidP="00432612">
      <w:pPr>
        <w:widowControl w:val="0"/>
        <w:rPr>
          <w:szCs w:val="22"/>
        </w:rPr>
      </w:pPr>
      <w:r w:rsidRPr="00ED3852">
        <w:rPr>
          <w:szCs w:val="22"/>
        </w:rPr>
        <w:t>Pacientams, sergantiems inkstų nepakankamumu, dozę reikia sumažinti:</w:t>
      </w:r>
    </w:p>
    <w:p w14:paraId="3D320EDA" w14:textId="77777777" w:rsidR="00B05399" w:rsidRDefault="00B05399" w:rsidP="00FC0EEA">
      <w:pPr>
        <w:rPr>
          <w:szCs w:val="22"/>
        </w:rPr>
      </w:pPr>
    </w:p>
    <w:p w14:paraId="447097E3" w14:textId="77777777" w:rsidR="00B05399" w:rsidRPr="00B05399" w:rsidRDefault="00B05399" w:rsidP="001E1730">
      <w:pPr>
        <w:pStyle w:val="BTEMEASMCA"/>
      </w:pPr>
      <w:r w:rsidRPr="00B05399">
        <w:lastRenderedPageBreak/>
        <w:t>Glomerulų filtracijos greitis</w:t>
      </w:r>
      <w:r w:rsidRPr="00B05399">
        <w:tab/>
      </w:r>
      <w:r w:rsidRPr="00B05399">
        <w:tab/>
        <w:t>Dozė</w:t>
      </w:r>
    </w:p>
    <w:p w14:paraId="2E7FBF60" w14:textId="77777777" w:rsidR="00B05399" w:rsidRDefault="00B05399" w:rsidP="00FC0EEA">
      <w:pPr>
        <w:tabs>
          <w:tab w:val="clear" w:pos="567"/>
        </w:tabs>
        <w:autoSpaceDE w:val="0"/>
        <w:autoSpaceDN w:val="0"/>
        <w:adjustRightInd w:val="0"/>
        <w:spacing w:line="240" w:lineRule="auto"/>
        <w:rPr>
          <w:szCs w:val="22"/>
        </w:rPr>
      </w:pPr>
      <w:r>
        <w:rPr>
          <w:szCs w:val="22"/>
        </w:rPr>
        <w:t>10-50 ml/min</w:t>
      </w:r>
      <w:r>
        <w:rPr>
          <w:szCs w:val="22"/>
        </w:rPr>
        <w:tab/>
      </w:r>
      <w:r>
        <w:rPr>
          <w:szCs w:val="22"/>
        </w:rPr>
        <w:tab/>
      </w:r>
      <w:r>
        <w:rPr>
          <w:szCs w:val="22"/>
        </w:rPr>
        <w:tab/>
        <w:t>500</w:t>
      </w:r>
      <w:r w:rsidR="002D324B">
        <w:rPr>
          <w:szCs w:val="22"/>
        </w:rPr>
        <w:t> </w:t>
      </w:r>
      <w:r>
        <w:rPr>
          <w:szCs w:val="22"/>
        </w:rPr>
        <w:t>mg kas 6 valandas</w:t>
      </w:r>
    </w:p>
    <w:p w14:paraId="75DD8C88" w14:textId="77777777" w:rsidR="00B05399" w:rsidRDefault="00B05399" w:rsidP="00FC0EEA">
      <w:pPr>
        <w:tabs>
          <w:tab w:val="clear" w:pos="567"/>
        </w:tabs>
        <w:autoSpaceDE w:val="0"/>
        <w:autoSpaceDN w:val="0"/>
        <w:adjustRightInd w:val="0"/>
        <w:spacing w:line="240" w:lineRule="auto"/>
        <w:rPr>
          <w:szCs w:val="22"/>
        </w:rPr>
      </w:pPr>
      <w:r>
        <w:rPr>
          <w:szCs w:val="22"/>
        </w:rPr>
        <w:t>&lt; 10 ml/min</w:t>
      </w:r>
      <w:r>
        <w:rPr>
          <w:szCs w:val="22"/>
        </w:rPr>
        <w:tab/>
      </w:r>
      <w:r>
        <w:rPr>
          <w:szCs w:val="22"/>
        </w:rPr>
        <w:tab/>
      </w:r>
      <w:r>
        <w:rPr>
          <w:szCs w:val="22"/>
        </w:rPr>
        <w:tab/>
        <w:t>500</w:t>
      </w:r>
      <w:r w:rsidR="002D324B">
        <w:rPr>
          <w:szCs w:val="22"/>
        </w:rPr>
        <w:t> </w:t>
      </w:r>
      <w:r>
        <w:rPr>
          <w:szCs w:val="22"/>
        </w:rPr>
        <w:t>mg kas 8 valandas</w:t>
      </w:r>
    </w:p>
    <w:p w14:paraId="4F652242" w14:textId="77777777" w:rsidR="00B05399" w:rsidRDefault="00B05399" w:rsidP="001E1730">
      <w:pPr>
        <w:pStyle w:val="BTEMEASMCA"/>
      </w:pPr>
    </w:p>
    <w:p w14:paraId="75E02AB2" w14:textId="208549BB" w:rsidR="00B05399" w:rsidRPr="00E75340" w:rsidRDefault="004604E9" w:rsidP="00FC0EEA">
      <w:pPr>
        <w:rPr>
          <w:i/>
          <w:szCs w:val="22"/>
        </w:rPr>
      </w:pPr>
      <w:r>
        <w:rPr>
          <w:i/>
          <w:szCs w:val="22"/>
        </w:rPr>
        <w:t>Pacientams, sergantiems lėtiniu alkoholizmu</w:t>
      </w:r>
    </w:p>
    <w:p w14:paraId="33D2DE02" w14:textId="77777777" w:rsidR="00B05399" w:rsidRPr="004604E9" w:rsidRDefault="00B05399" w:rsidP="001E1730">
      <w:pPr>
        <w:pStyle w:val="BTEMEASMCA"/>
      </w:pPr>
      <w:r w:rsidRPr="004604E9">
        <w:t xml:space="preserve">Nuolatinis alkoholio </w:t>
      </w:r>
      <w:r w:rsidR="00DB303B" w:rsidRPr="004604E9">
        <w:t>vartojimas</w:t>
      </w:r>
      <w:r w:rsidRPr="004604E9">
        <w:t xml:space="preserve"> gali mažinti paracetamolio toksinio poveikio slenkstį. Tokiems pacientams intervalas tarp dozių vartojimo turi būti bent 8 val. Jiems negalima viršyti 2 g </w:t>
      </w:r>
      <w:r w:rsidR="00DB303B" w:rsidRPr="004604E9">
        <w:t xml:space="preserve">paracetamolio per </w:t>
      </w:r>
      <w:r w:rsidRPr="004604E9">
        <w:t>par</w:t>
      </w:r>
      <w:r w:rsidR="00DB303B" w:rsidRPr="004604E9">
        <w:t>ą</w:t>
      </w:r>
      <w:r w:rsidRPr="004604E9">
        <w:t xml:space="preserve"> dozės.</w:t>
      </w:r>
    </w:p>
    <w:p w14:paraId="3B9BC992" w14:textId="77777777" w:rsidR="00B05399" w:rsidRDefault="00B05399" w:rsidP="001E1730">
      <w:pPr>
        <w:pStyle w:val="BTEMEASMCA"/>
      </w:pPr>
    </w:p>
    <w:p w14:paraId="6290AD85" w14:textId="77777777" w:rsidR="000A7ECC" w:rsidRDefault="000A7ECC" w:rsidP="00FC0EEA">
      <w:pPr>
        <w:rPr>
          <w:szCs w:val="22"/>
          <w:u w:val="single"/>
        </w:rPr>
      </w:pPr>
      <w:r w:rsidRPr="00BC215E">
        <w:rPr>
          <w:szCs w:val="22"/>
          <w:u w:val="single"/>
        </w:rPr>
        <w:t>Vartojimo metodas</w:t>
      </w:r>
    </w:p>
    <w:p w14:paraId="635DAC18" w14:textId="77777777" w:rsidR="004604E9" w:rsidRPr="00BC215E" w:rsidRDefault="004604E9" w:rsidP="00FC0EEA">
      <w:pPr>
        <w:rPr>
          <w:szCs w:val="22"/>
          <w:u w:val="single"/>
        </w:rPr>
      </w:pPr>
    </w:p>
    <w:p w14:paraId="1B9FFA53" w14:textId="77777777" w:rsidR="000A7ECC" w:rsidRPr="00E75340" w:rsidRDefault="000A7ECC" w:rsidP="00FC0EEA">
      <w:pPr>
        <w:rPr>
          <w:szCs w:val="22"/>
        </w:rPr>
      </w:pPr>
      <w:r w:rsidRPr="00E75340">
        <w:rPr>
          <w:szCs w:val="22"/>
        </w:rPr>
        <w:t>Vartoti per burną.</w:t>
      </w:r>
    </w:p>
    <w:p w14:paraId="63530151" w14:textId="77777777" w:rsidR="000A7ECC" w:rsidRPr="00E75340" w:rsidRDefault="00DB303B" w:rsidP="00FC0EEA">
      <w:pPr>
        <w:rPr>
          <w:szCs w:val="22"/>
        </w:rPr>
      </w:pPr>
      <w:r w:rsidRPr="00DB303B">
        <w:rPr>
          <w:szCs w:val="22"/>
        </w:rPr>
        <w:t>Paketėlio turinį</w:t>
      </w:r>
      <w:r>
        <w:rPr>
          <w:szCs w:val="22"/>
        </w:rPr>
        <w:t xml:space="preserve"> reikia</w:t>
      </w:r>
      <w:r w:rsidRPr="00DB303B">
        <w:rPr>
          <w:szCs w:val="22"/>
        </w:rPr>
        <w:t xml:space="preserve"> ištirpin</w:t>
      </w:r>
      <w:r>
        <w:rPr>
          <w:szCs w:val="22"/>
        </w:rPr>
        <w:t xml:space="preserve">ti </w:t>
      </w:r>
      <w:r w:rsidRPr="00DB303B">
        <w:rPr>
          <w:szCs w:val="22"/>
        </w:rPr>
        <w:t>puodelyje karšto, bet ne verdančio vandens ir gerai išmaišy</w:t>
      </w:r>
      <w:r>
        <w:rPr>
          <w:szCs w:val="22"/>
        </w:rPr>
        <w:t>ti</w:t>
      </w:r>
      <w:r w:rsidRPr="00DB303B">
        <w:rPr>
          <w:szCs w:val="22"/>
        </w:rPr>
        <w:t xml:space="preserve">. Paruoštą tirpalą </w:t>
      </w:r>
      <w:r>
        <w:rPr>
          <w:szCs w:val="22"/>
        </w:rPr>
        <w:t>reikia išgerti</w:t>
      </w:r>
      <w:r w:rsidRPr="00DB303B">
        <w:rPr>
          <w:szCs w:val="22"/>
        </w:rPr>
        <w:t xml:space="preserve"> per 30 minučių.</w:t>
      </w:r>
    </w:p>
    <w:p w14:paraId="02665EFD" w14:textId="77777777" w:rsidR="000A7ECC" w:rsidRPr="0084041E" w:rsidRDefault="000A7ECC" w:rsidP="001E1730">
      <w:pPr>
        <w:pStyle w:val="BTEMEASMCA"/>
      </w:pPr>
    </w:p>
    <w:p w14:paraId="2C56CC3B" w14:textId="758D3D98" w:rsidR="000A7ECC" w:rsidRPr="0084041E" w:rsidRDefault="000A7ECC" w:rsidP="00FC0EEA">
      <w:pPr>
        <w:pStyle w:val="PI-2EMEASMCA"/>
        <w:outlineLvl w:val="9"/>
      </w:pPr>
      <w:bookmarkStart w:id="13" w:name="_Toc129243104"/>
      <w:bookmarkStart w:id="14" w:name="_Toc129243229"/>
      <w:r w:rsidRPr="0084041E">
        <w:t>4.3</w:t>
      </w:r>
      <w:r w:rsidRPr="0084041E">
        <w:tab/>
        <w:t>Kontraindikacijos</w:t>
      </w:r>
      <w:bookmarkEnd w:id="13"/>
      <w:bookmarkEnd w:id="14"/>
    </w:p>
    <w:p w14:paraId="18E5AF62" w14:textId="77777777" w:rsidR="000A7ECC" w:rsidRPr="0084041E" w:rsidRDefault="000A7ECC" w:rsidP="001E1730">
      <w:pPr>
        <w:pStyle w:val="BTEMEASMCA"/>
      </w:pPr>
    </w:p>
    <w:p w14:paraId="3E85F2B5" w14:textId="77777777" w:rsidR="000A7ECC" w:rsidRDefault="000A7ECC" w:rsidP="00FC0EEA">
      <w:r w:rsidRPr="00153901">
        <w:t>Padidėjęs jautrumas veikliajai arba bet kuriai 6.1 skyriuje nurodytai pagalbinei medžiagai</w:t>
      </w:r>
      <w:r w:rsidRPr="0031650E">
        <w:t>.</w:t>
      </w:r>
    </w:p>
    <w:p w14:paraId="33BCD4C2" w14:textId="77777777" w:rsidR="000A7ECC" w:rsidRPr="0031650E" w:rsidRDefault="000A7ECC" w:rsidP="00FC0EEA">
      <w:r>
        <w:t>Sunkus kepenų funkcijos nepakankamumas.</w:t>
      </w:r>
    </w:p>
    <w:p w14:paraId="6E3AE97F" w14:textId="77777777" w:rsidR="000A7ECC" w:rsidRPr="0031650E" w:rsidRDefault="000A7ECC" w:rsidP="00FC0EEA"/>
    <w:p w14:paraId="651C90DD" w14:textId="77777777" w:rsidR="000A7ECC" w:rsidRPr="0084041E" w:rsidRDefault="000A7ECC" w:rsidP="00FC0EEA">
      <w:pPr>
        <w:pStyle w:val="PI-2EMEASMCA"/>
        <w:outlineLvl w:val="9"/>
      </w:pPr>
      <w:bookmarkStart w:id="15" w:name="_Toc129243105"/>
      <w:bookmarkStart w:id="16" w:name="_Toc129243230"/>
      <w:r w:rsidRPr="0084041E">
        <w:t>4.4</w:t>
      </w:r>
      <w:r w:rsidRPr="0084041E">
        <w:tab/>
        <w:t>Specialūs įspėjimai ir atsargumo priemonės</w:t>
      </w:r>
      <w:bookmarkEnd w:id="15"/>
      <w:bookmarkEnd w:id="16"/>
    </w:p>
    <w:p w14:paraId="13EE6580" w14:textId="77777777" w:rsidR="000A7ECC" w:rsidRDefault="000A7ECC" w:rsidP="001E1730">
      <w:pPr>
        <w:pStyle w:val="BTEMEASMCA"/>
      </w:pPr>
    </w:p>
    <w:p w14:paraId="3BB8929A" w14:textId="77777777" w:rsidR="00C62FB4" w:rsidRDefault="00C62FB4" w:rsidP="00FC0EEA">
      <w:pPr>
        <w:rPr>
          <w:szCs w:val="22"/>
        </w:rPr>
      </w:pPr>
      <w:r w:rsidRPr="00C62FB4">
        <w:rPr>
          <w:szCs w:val="22"/>
        </w:rPr>
        <w:t>Pacientus reikia įspėti, kad kartu nevartotų kitų vaistinių preparatų, kurių sudėtyje yra paracetamolio, nes perdozavus gali pasireikšti sunkus kepenų pažeidimas (žr. 4.9 skyrių).</w:t>
      </w:r>
    </w:p>
    <w:p w14:paraId="32DCF324" w14:textId="77777777" w:rsidR="00C62FB4" w:rsidRDefault="00C62FB4" w:rsidP="00FC0EEA">
      <w:pPr>
        <w:rPr>
          <w:szCs w:val="22"/>
        </w:rPr>
      </w:pPr>
    </w:p>
    <w:p w14:paraId="616873B5" w14:textId="77777777" w:rsidR="000A7ECC" w:rsidRPr="00E75340" w:rsidRDefault="000A7ECC" w:rsidP="00FC0EEA">
      <w:pPr>
        <w:rPr>
          <w:szCs w:val="22"/>
        </w:rPr>
      </w:pPr>
      <w:r w:rsidRPr="00E75340">
        <w:rPr>
          <w:szCs w:val="22"/>
        </w:rPr>
        <w:t xml:space="preserve">Pacientams, sergantiems vidutinio sunkumo arba sunkiu inkstų nepakankamumu, lengvu arba vidutinio sunkumo kepenų nepakankamumu (įskaitant </w:t>
      </w:r>
      <w:r w:rsidR="00C62FB4" w:rsidRPr="00C62FB4">
        <w:rPr>
          <w:szCs w:val="22"/>
        </w:rPr>
        <w:t xml:space="preserve">Žilberto </w:t>
      </w:r>
      <w:r w:rsidR="00C62FB4">
        <w:rPr>
          <w:szCs w:val="22"/>
        </w:rPr>
        <w:t>[</w:t>
      </w:r>
      <w:r w:rsidR="00C62FB4" w:rsidRPr="00C62FB4">
        <w:rPr>
          <w:i/>
          <w:iCs/>
          <w:szCs w:val="22"/>
        </w:rPr>
        <w:t>Gilbert</w:t>
      </w:r>
      <w:r w:rsidR="00C62FB4" w:rsidRPr="00C62FB4">
        <w:rPr>
          <w:szCs w:val="22"/>
        </w:rPr>
        <w:t xml:space="preserve">] </w:t>
      </w:r>
      <w:r w:rsidRPr="00E75340">
        <w:rPr>
          <w:szCs w:val="22"/>
        </w:rPr>
        <w:t>sindromą), ūminiu hepatitu, vartojantiems kepenų funkciją veikiančių vaistinių preparatų, taip pat tiems, kuriems yra gliukozės-6-fosfato dehidrogenazės trūkumas, hemolizinė anemija ar dehidratacija, bei kurie piktnaudžiauja alkoholiu arba nuolat blogai maitinasi, paracetamolio patariama vartoti atsargiai.</w:t>
      </w:r>
      <w:r w:rsidR="002B57C3">
        <w:rPr>
          <w:szCs w:val="22"/>
        </w:rPr>
        <w:t xml:space="preserve"> Pacientams, perdozavusiems paracetamolio ir turintiems papildomų rizikos faktorių (mitybos nepakankamumas ar į sepsį panašus atsakas į uždegimą) gali atsirasti metabolinės acidozės rizika.</w:t>
      </w:r>
      <w:r w:rsidRPr="00E75340">
        <w:rPr>
          <w:szCs w:val="22"/>
        </w:rPr>
        <w:t xml:space="preserve"> </w:t>
      </w:r>
    </w:p>
    <w:p w14:paraId="7F2BD977" w14:textId="77777777" w:rsidR="000A7ECC" w:rsidRDefault="000A7ECC" w:rsidP="00FC0EEA">
      <w:pPr>
        <w:rPr>
          <w:szCs w:val="22"/>
        </w:rPr>
      </w:pPr>
    </w:p>
    <w:p w14:paraId="1AA29180" w14:textId="2EB734F5" w:rsidR="00655305" w:rsidRPr="00B21E1A" w:rsidRDefault="00655305" w:rsidP="000C2F57">
      <w:bookmarkStart w:id="17" w:name="_Hlk102722153"/>
      <w:r w:rsidRPr="00655305">
        <w:t xml:space="preserve">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 5-oksoprolino </w:t>
      </w:r>
      <w:r w:rsidR="005A1947">
        <w:t>koncentracija</w:t>
      </w:r>
      <w:r w:rsidRPr="00655305">
        <w:t xml:space="preserve"> šlapime gali padėti nustatyti, ar piroglutamato acidozė yra pagrindinė PATMA priežastis pacientams, kuriems nustatyti keli rizikos veiksniai.</w:t>
      </w:r>
    </w:p>
    <w:bookmarkEnd w:id="17"/>
    <w:p w14:paraId="29185012" w14:textId="77777777" w:rsidR="00D811F4" w:rsidRPr="00E75340" w:rsidRDefault="00D811F4" w:rsidP="00FC0EEA">
      <w:pPr>
        <w:rPr>
          <w:szCs w:val="22"/>
        </w:rPr>
      </w:pPr>
    </w:p>
    <w:p w14:paraId="24C481A1" w14:textId="77777777" w:rsidR="00F14855" w:rsidRPr="00E75340" w:rsidRDefault="00F14855" w:rsidP="00FC0EEA">
      <w:pPr>
        <w:rPr>
          <w:szCs w:val="22"/>
        </w:rPr>
      </w:pPr>
      <w:r w:rsidRPr="00E75340">
        <w:rPr>
          <w:szCs w:val="22"/>
        </w:rPr>
        <w:t>Atsarg</w:t>
      </w:r>
      <w:r>
        <w:rPr>
          <w:szCs w:val="22"/>
        </w:rPr>
        <w:t>umas</w:t>
      </w:r>
      <w:r w:rsidRPr="00E75340">
        <w:rPr>
          <w:szCs w:val="22"/>
        </w:rPr>
        <w:t xml:space="preserve"> būtina</w:t>
      </w:r>
      <w:r>
        <w:rPr>
          <w:szCs w:val="22"/>
        </w:rPr>
        <w:t>s</w:t>
      </w:r>
      <w:r w:rsidRPr="00E75340">
        <w:rPr>
          <w:szCs w:val="22"/>
        </w:rPr>
        <w:t xml:space="preserve"> astma sergantiems pacientams, kurie yra jautrūs acetilsalicilo rūgščiai, kadangi buvo </w:t>
      </w:r>
      <w:r>
        <w:rPr>
          <w:szCs w:val="22"/>
        </w:rPr>
        <w:t xml:space="preserve">pranešta apie </w:t>
      </w:r>
      <w:r w:rsidRPr="00E75340">
        <w:rPr>
          <w:szCs w:val="22"/>
        </w:rPr>
        <w:t>lengvos bronchų spazmo reakcijos į paracetamolį (kryžminės reakcijos) atvej</w:t>
      </w:r>
      <w:r>
        <w:rPr>
          <w:szCs w:val="22"/>
        </w:rPr>
        <w:t>us</w:t>
      </w:r>
      <w:r w:rsidRPr="00E75340">
        <w:rPr>
          <w:szCs w:val="22"/>
        </w:rPr>
        <w:t>.</w:t>
      </w:r>
    </w:p>
    <w:p w14:paraId="21ADD515" w14:textId="77777777" w:rsidR="00F14855" w:rsidRDefault="00F14855" w:rsidP="00FC0EEA">
      <w:pPr>
        <w:rPr>
          <w:szCs w:val="22"/>
        </w:rPr>
      </w:pPr>
    </w:p>
    <w:p w14:paraId="24D44712" w14:textId="77777777" w:rsidR="00D811F4" w:rsidRDefault="00DE1A31" w:rsidP="00D811F4">
      <w:r>
        <w:t xml:space="preserve">Paprastai vaistinių preparatų, kurių sudėtyje yra paracetamolio, be gydytojo ar odontologo rekomendacijos, galima vartoti tik keletą dienų ir tai nedidelėmis dozėmis. </w:t>
      </w:r>
    </w:p>
    <w:p w14:paraId="7EB7391B" w14:textId="77777777" w:rsidR="007A6E90" w:rsidRDefault="007A6E90" w:rsidP="00D811F4"/>
    <w:p w14:paraId="5616AA28" w14:textId="77777777" w:rsidR="007A6E90" w:rsidRDefault="007A6E90" w:rsidP="00D811F4">
      <w:r>
        <w:t>Nuolatinis analgetikų, ypač kelių analgetikų derinio vartojimas, gali sukelti negrįžtamą inkstų pažeidimą</w:t>
      </w:r>
      <w:r w:rsidR="00D56502">
        <w:t xml:space="preserve"> ir inkstų nepakankamumo riziką (analgetikų sukelta nefropatija).</w:t>
      </w:r>
    </w:p>
    <w:p w14:paraId="3E8AA95B" w14:textId="77777777" w:rsidR="00D811F4" w:rsidRDefault="00D811F4" w:rsidP="00FC0EEA">
      <w:pPr>
        <w:rPr>
          <w:szCs w:val="22"/>
        </w:rPr>
      </w:pPr>
    </w:p>
    <w:p w14:paraId="688FE651" w14:textId="29EAF07A" w:rsidR="00F14855" w:rsidRPr="00F14855" w:rsidRDefault="00F14855" w:rsidP="00FC0EEA">
      <w:pPr>
        <w:rPr>
          <w:szCs w:val="22"/>
        </w:rPr>
      </w:pPr>
      <w:r w:rsidRPr="00F14855">
        <w:rPr>
          <w:szCs w:val="22"/>
        </w:rPr>
        <w:t xml:space="preserve">Didesnės nei rekomenduojama dozės kelia labai sunkaus kepenų pažeidimo riziką. Gydymas priešnuodžiu turi būti pradėtas kuo greičiau (žr. 4.9 skyrių). </w:t>
      </w:r>
      <w:r w:rsidR="00157EF6" w:rsidRPr="00157EF6">
        <w:rPr>
          <w:szCs w:val="22"/>
        </w:rPr>
        <w:t xml:space="preserve">Ilgalaikis arba dažnas vartojimas neskatintinas. </w:t>
      </w:r>
      <w:r w:rsidRPr="00F14855">
        <w:rPr>
          <w:szCs w:val="22"/>
        </w:rPr>
        <w:t>Perdozavus</w:t>
      </w:r>
      <w:r w:rsidR="00D811F4">
        <w:rPr>
          <w:szCs w:val="22"/>
        </w:rPr>
        <w:t xml:space="preserve"> ir</w:t>
      </w:r>
      <w:r w:rsidRPr="00F14855">
        <w:rPr>
          <w:szCs w:val="22"/>
        </w:rPr>
        <w:t xml:space="preserve">kartu vartojant barbitūratų, alkoholio ar kitų toksinį poveikį </w:t>
      </w:r>
      <w:r w:rsidR="00157EF6">
        <w:rPr>
          <w:szCs w:val="22"/>
        </w:rPr>
        <w:t xml:space="preserve">kepenims </w:t>
      </w:r>
      <w:r w:rsidRPr="00F14855">
        <w:rPr>
          <w:szCs w:val="22"/>
        </w:rPr>
        <w:t>turinčių medžiagų, padidės kepenų pažeidimo rizika. Vien</w:t>
      </w:r>
      <w:r w:rsidR="00157EF6">
        <w:rPr>
          <w:szCs w:val="22"/>
        </w:rPr>
        <w:t>u</w:t>
      </w:r>
      <w:r w:rsidRPr="00F14855">
        <w:rPr>
          <w:szCs w:val="22"/>
        </w:rPr>
        <w:t xml:space="preserve"> kart</w:t>
      </w:r>
      <w:r w:rsidR="00157EF6">
        <w:rPr>
          <w:szCs w:val="22"/>
        </w:rPr>
        <w:t>u</w:t>
      </w:r>
      <w:r w:rsidRPr="00F14855">
        <w:rPr>
          <w:szCs w:val="22"/>
        </w:rPr>
        <w:t xml:space="preserve"> vartojant kelias paros dozes, gali būti smarkiai pažeistos kepenys</w:t>
      </w:r>
      <w:r w:rsidR="00157EF6">
        <w:rPr>
          <w:szCs w:val="22"/>
        </w:rPr>
        <w:t>. T</w:t>
      </w:r>
      <w:r w:rsidRPr="00F14855">
        <w:rPr>
          <w:szCs w:val="22"/>
        </w:rPr>
        <w:t>okiu atveju sąmonės netekimas neįvyksta</w:t>
      </w:r>
      <w:r w:rsidR="00157EF6">
        <w:rPr>
          <w:szCs w:val="22"/>
        </w:rPr>
        <w:t>, t</w:t>
      </w:r>
      <w:r w:rsidRPr="00F14855">
        <w:rPr>
          <w:szCs w:val="22"/>
        </w:rPr>
        <w:t xml:space="preserve">ačiau reikia nedelsiant </w:t>
      </w:r>
      <w:r w:rsidRPr="00F14855">
        <w:rPr>
          <w:szCs w:val="22"/>
        </w:rPr>
        <w:lastRenderedPageBreak/>
        <w:t xml:space="preserve">kreiptis medicininės pagalbos. </w:t>
      </w:r>
      <w:r w:rsidR="00157EF6" w:rsidRPr="00157EF6">
        <w:rPr>
          <w:szCs w:val="22"/>
        </w:rPr>
        <w:t xml:space="preserve">Ilgalaikis vartojimas gali būti kenksmingas, išskyrus tuos atvejus, kai prižiūri gydytojas. </w:t>
      </w:r>
      <w:r w:rsidR="00D303EF" w:rsidRPr="00D303EF">
        <w:rPr>
          <w:szCs w:val="22"/>
        </w:rPr>
        <w:t xml:space="preserve">60 mg/kg kūno svorio paracetamolio paros doze gydomiems </w:t>
      </w:r>
      <w:r w:rsidR="00D303EF">
        <w:rPr>
          <w:szCs w:val="22"/>
        </w:rPr>
        <w:t>vaikams</w:t>
      </w:r>
      <w:r w:rsidR="00D303EF" w:rsidRPr="00D303EF">
        <w:rPr>
          <w:szCs w:val="22"/>
        </w:rPr>
        <w:t xml:space="preserve"> kitokių antipiretikų vartojimas</w:t>
      </w:r>
      <w:r w:rsidR="008D2255">
        <w:rPr>
          <w:szCs w:val="22"/>
        </w:rPr>
        <w:t xml:space="preserve"> deriniu</w:t>
      </w:r>
      <w:r w:rsidR="00D303EF" w:rsidRPr="00D303EF">
        <w:rPr>
          <w:szCs w:val="22"/>
        </w:rPr>
        <w:t xml:space="preserve"> nėra pateisinamas, išskyrus neveiksmingumo atvejus</w:t>
      </w:r>
      <w:r w:rsidRPr="00F14855">
        <w:rPr>
          <w:szCs w:val="22"/>
        </w:rPr>
        <w:t>.</w:t>
      </w:r>
    </w:p>
    <w:p w14:paraId="73839E98" w14:textId="77777777" w:rsidR="00F14855" w:rsidRPr="00F14855" w:rsidRDefault="00F14855" w:rsidP="00FC0EEA">
      <w:pPr>
        <w:rPr>
          <w:szCs w:val="22"/>
        </w:rPr>
      </w:pPr>
    </w:p>
    <w:p w14:paraId="1B682003" w14:textId="77777777" w:rsidR="00F14855" w:rsidRPr="00F14855" w:rsidRDefault="00F14855" w:rsidP="00FC0EEA">
      <w:pPr>
        <w:rPr>
          <w:szCs w:val="22"/>
        </w:rPr>
      </w:pPr>
      <w:r w:rsidRPr="00F14855">
        <w:rPr>
          <w:szCs w:val="22"/>
        </w:rPr>
        <w:t xml:space="preserve">Paracetamolį reikia vartoti </w:t>
      </w:r>
      <w:r w:rsidR="00D303EF">
        <w:rPr>
          <w:szCs w:val="22"/>
        </w:rPr>
        <w:t xml:space="preserve">atsargiai </w:t>
      </w:r>
      <w:r w:rsidRPr="00F14855">
        <w:rPr>
          <w:szCs w:val="22"/>
        </w:rPr>
        <w:t>kartu su medžiagomis, kurios indukuoja kepenų fermentus (žr. 4.5 skyrių).</w:t>
      </w:r>
    </w:p>
    <w:p w14:paraId="04A0D10F" w14:textId="77777777" w:rsidR="00F14855" w:rsidRPr="00F14855" w:rsidRDefault="00F14855" w:rsidP="00FC0EEA">
      <w:pPr>
        <w:rPr>
          <w:szCs w:val="22"/>
        </w:rPr>
      </w:pPr>
    </w:p>
    <w:p w14:paraId="2880E83E" w14:textId="77777777" w:rsidR="00F14855" w:rsidRPr="00F14855" w:rsidRDefault="00F14855" w:rsidP="00FC0EEA">
      <w:pPr>
        <w:rPr>
          <w:szCs w:val="22"/>
        </w:rPr>
      </w:pPr>
      <w:r w:rsidRPr="00F14855">
        <w:rPr>
          <w:szCs w:val="22"/>
        </w:rPr>
        <w:t>Vartojant šį vaist</w:t>
      </w:r>
      <w:r w:rsidR="00D303EF">
        <w:rPr>
          <w:szCs w:val="22"/>
        </w:rPr>
        <w:t>inį preparatą</w:t>
      </w:r>
      <w:r w:rsidRPr="00F14855">
        <w:rPr>
          <w:szCs w:val="22"/>
        </w:rPr>
        <w:t xml:space="preserve"> reikia vengti alkoholinių gėrimų, nes kartu vartojant paracetamolį gali pa</w:t>
      </w:r>
      <w:r w:rsidR="00D303EF">
        <w:rPr>
          <w:szCs w:val="22"/>
        </w:rPr>
        <w:t xml:space="preserve">sireikšti </w:t>
      </w:r>
      <w:r w:rsidRPr="00F14855">
        <w:rPr>
          <w:szCs w:val="22"/>
        </w:rPr>
        <w:t>kepen</w:t>
      </w:r>
      <w:r w:rsidR="00D303EF">
        <w:rPr>
          <w:szCs w:val="22"/>
        </w:rPr>
        <w:t>ų pažeidimas arba toksinis poveikis kepenims</w:t>
      </w:r>
      <w:r w:rsidRPr="00F14855">
        <w:rPr>
          <w:szCs w:val="22"/>
        </w:rPr>
        <w:t xml:space="preserve">. Paracetamolis turi būti skiriamas atsargiai pacientams, vartojantiems didelius alkoholio kiekius ir </w:t>
      </w:r>
      <w:r w:rsidR="00B10B5C">
        <w:rPr>
          <w:szCs w:val="22"/>
        </w:rPr>
        <w:t xml:space="preserve">sergantiems </w:t>
      </w:r>
      <w:r w:rsidRPr="00F14855">
        <w:rPr>
          <w:szCs w:val="22"/>
        </w:rPr>
        <w:t>lėtini</w:t>
      </w:r>
      <w:r w:rsidR="00B10B5C">
        <w:rPr>
          <w:szCs w:val="22"/>
        </w:rPr>
        <w:t xml:space="preserve">u </w:t>
      </w:r>
      <w:r w:rsidRPr="00F14855">
        <w:rPr>
          <w:szCs w:val="22"/>
        </w:rPr>
        <w:t>alkoholizm</w:t>
      </w:r>
      <w:r w:rsidR="00B10B5C">
        <w:rPr>
          <w:szCs w:val="22"/>
        </w:rPr>
        <w:t>u</w:t>
      </w:r>
      <w:r w:rsidRPr="00F14855">
        <w:rPr>
          <w:szCs w:val="22"/>
        </w:rPr>
        <w:t>. Perdozavimo pavojus yra didesnis tiems</w:t>
      </w:r>
      <w:r w:rsidR="00B10B5C">
        <w:rPr>
          <w:szCs w:val="22"/>
        </w:rPr>
        <w:t xml:space="preserve"> asmenims</w:t>
      </w:r>
      <w:r w:rsidRPr="00F14855">
        <w:rPr>
          <w:szCs w:val="22"/>
        </w:rPr>
        <w:t xml:space="preserve">, kurie serga </w:t>
      </w:r>
      <w:r w:rsidR="00B10B5C" w:rsidRPr="00B10B5C">
        <w:rPr>
          <w:szCs w:val="22"/>
        </w:rPr>
        <w:t>alkoholio sukelta kepenų liga, nesusijusia su ciroze</w:t>
      </w:r>
      <w:r w:rsidRPr="00F14855">
        <w:rPr>
          <w:szCs w:val="22"/>
        </w:rPr>
        <w:t>. Pacientams, kurie piktnaudžiauja alkoholiu, dozę reikia sumažinti (žr. 4.2 skyrių). Tokiu atveju paros dozė neturi viršyti 2000</w:t>
      </w:r>
      <w:r w:rsidR="00B10B5C">
        <w:rPr>
          <w:szCs w:val="22"/>
        </w:rPr>
        <w:t> </w:t>
      </w:r>
      <w:r w:rsidRPr="00F14855">
        <w:rPr>
          <w:szCs w:val="22"/>
        </w:rPr>
        <w:t>mg.</w:t>
      </w:r>
    </w:p>
    <w:p w14:paraId="745A6A69" w14:textId="77777777" w:rsidR="00F14855" w:rsidRPr="00F14855" w:rsidRDefault="00F14855" w:rsidP="00FC0EEA">
      <w:pPr>
        <w:rPr>
          <w:szCs w:val="22"/>
        </w:rPr>
      </w:pPr>
    </w:p>
    <w:p w14:paraId="4BB140D2" w14:textId="77777777" w:rsidR="00F14855" w:rsidRDefault="00F14855" w:rsidP="00FC0EEA">
      <w:pPr>
        <w:rPr>
          <w:szCs w:val="22"/>
        </w:rPr>
      </w:pPr>
      <w:r w:rsidRPr="00F14855">
        <w:rPr>
          <w:szCs w:val="22"/>
        </w:rPr>
        <w:t xml:space="preserve">Staigus vartojimo nutraukimas po ilgalaikio, didelių dozių ir </w:t>
      </w:r>
      <w:r w:rsidR="00B10B5C" w:rsidRPr="00E75340">
        <w:rPr>
          <w:szCs w:val="22"/>
        </w:rPr>
        <w:t>netinkamo</w:t>
      </w:r>
      <w:r w:rsidRPr="00F14855">
        <w:rPr>
          <w:szCs w:val="22"/>
        </w:rPr>
        <w:t xml:space="preserve"> analgetikų vartojimo gali sukelti galvos skausmą, nuovargį, raumenų skausmą, nervingumą ir </w:t>
      </w:r>
      <w:r w:rsidR="00B10B5C" w:rsidRPr="00B10B5C">
        <w:rPr>
          <w:szCs w:val="22"/>
        </w:rPr>
        <w:t>autonominės nervų sistemos</w:t>
      </w:r>
      <w:r w:rsidRPr="00F14855">
        <w:rPr>
          <w:szCs w:val="22"/>
        </w:rPr>
        <w:t xml:space="preserve"> simptomus. Šie </w:t>
      </w:r>
      <w:r w:rsidR="00B10B5C">
        <w:rPr>
          <w:szCs w:val="22"/>
        </w:rPr>
        <w:t>nutraukimo</w:t>
      </w:r>
      <w:r w:rsidRPr="00F14855">
        <w:rPr>
          <w:szCs w:val="22"/>
        </w:rPr>
        <w:t xml:space="preserve"> simptomai išnyksta per kelias dienas. Iki to laiko reikia vengti tolesnio analgetikų vartojimo ir</w:t>
      </w:r>
      <w:r w:rsidR="00B10B5C" w:rsidRPr="00E75340">
        <w:rPr>
          <w:szCs w:val="22"/>
        </w:rPr>
        <w:t xml:space="preserve"> be gydytojo patarimo jų vartojimo neatnaujinti.</w:t>
      </w:r>
      <w:r w:rsidR="00B10B5C">
        <w:rPr>
          <w:szCs w:val="22"/>
        </w:rPr>
        <w:t xml:space="preserve"> </w:t>
      </w:r>
      <w:r w:rsidRPr="00F14855">
        <w:rPr>
          <w:szCs w:val="22"/>
        </w:rPr>
        <w:t>Galvos skausmas, kurį sukelia per d</w:t>
      </w:r>
      <w:r w:rsidR="00613047">
        <w:rPr>
          <w:szCs w:val="22"/>
        </w:rPr>
        <w:t>ažnas</w:t>
      </w:r>
      <w:r w:rsidRPr="00F14855">
        <w:rPr>
          <w:szCs w:val="22"/>
        </w:rPr>
        <w:t xml:space="preserve"> analgetikų vartojimas, neturėtų būti gydomas didinant dozę.</w:t>
      </w:r>
    </w:p>
    <w:p w14:paraId="6A1089BC" w14:textId="77777777" w:rsidR="000A7ECC" w:rsidRPr="00E75340" w:rsidRDefault="000A7ECC" w:rsidP="00FC0EEA">
      <w:pPr>
        <w:rPr>
          <w:szCs w:val="22"/>
        </w:rPr>
      </w:pPr>
    </w:p>
    <w:p w14:paraId="1780DC26" w14:textId="77777777" w:rsidR="00613047" w:rsidRPr="00613047" w:rsidRDefault="00613047" w:rsidP="00FC0EEA">
      <w:pPr>
        <w:rPr>
          <w:b/>
          <w:bCs/>
        </w:rPr>
      </w:pPr>
      <w:r w:rsidRPr="00613047">
        <w:rPr>
          <w:b/>
          <w:bCs/>
        </w:rPr>
        <w:t>Informacija apie pagalbines medžiagas</w:t>
      </w:r>
    </w:p>
    <w:p w14:paraId="458A5208" w14:textId="77777777" w:rsidR="00613047" w:rsidRPr="00613047" w:rsidRDefault="00613047" w:rsidP="00FC0EEA">
      <w:r w:rsidRPr="00613047">
        <w:t>Šio vaist</w:t>
      </w:r>
      <w:r>
        <w:t>ini</w:t>
      </w:r>
      <w:r w:rsidRPr="00613047">
        <w:t xml:space="preserve">o </w:t>
      </w:r>
      <w:r>
        <w:t xml:space="preserve">preparato </w:t>
      </w:r>
      <w:r w:rsidRPr="00613047">
        <w:t>sudėtyje yra:</w:t>
      </w:r>
    </w:p>
    <w:p w14:paraId="6679C788" w14:textId="77777777" w:rsidR="00613047" w:rsidRDefault="00613047" w:rsidP="00FC0EEA">
      <w:pPr>
        <w:pStyle w:val="Sraopastraipa"/>
        <w:numPr>
          <w:ilvl w:val="0"/>
          <w:numId w:val="14"/>
        </w:numPr>
        <w:tabs>
          <w:tab w:val="clear" w:pos="567"/>
          <w:tab w:val="left" w:pos="709"/>
        </w:tabs>
        <w:ind w:left="567" w:hanging="567"/>
      </w:pPr>
      <w:r w:rsidRPr="00613047">
        <w:t>manitoli</w:t>
      </w:r>
      <w:r>
        <w:t>o</w:t>
      </w:r>
      <w:r w:rsidRPr="00613047">
        <w:t>, kuris gali truputį laisvinti vidurius</w:t>
      </w:r>
      <w:r>
        <w:t>;</w:t>
      </w:r>
    </w:p>
    <w:p w14:paraId="68E8A94F" w14:textId="77777777" w:rsidR="000A7ECC" w:rsidRPr="00613047" w:rsidRDefault="00613047" w:rsidP="00FC0EEA">
      <w:pPr>
        <w:pStyle w:val="Sraopastraipa"/>
        <w:numPr>
          <w:ilvl w:val="0"/>
          <w:numId w:val="14"/>
        </w:numPr>
        <w:tabs>
          <w:tab w:val="clear" w:pos="567"/>
          <w:tab w:val="left" w:pos="709"/>
        </w:tabs>
        <w:ind w:left="567" w:hanging="567"/>
        <w:rPr>
          <w:iCs/>
        </w:rPr>
      </w:pPr>
      <w:r>
        <w:t>k</w:t>
      </w:r>
      <w:r w:rsidRPr="00613047">
        <w:t>silitoli</w:t>
      </w:r>
      <w:r>
        <w:t>o</w:t>
      </w:r>
      <w:r w:rsidRPr="00613047">
        <w:t>, kuris gali laisvinti vidurius.</w:t>
      </w:r>
    </w:p>
    <w:p w14:paraId="40B43409" w14:textId="77777777" w:rsidR="00613047" w:rsidRPr="00406BCA" w:rsidRDefault="00613047" w:rsidP="001E1730">
      <w:pPr>
        <w:pStyle w:val="BTEMEASMCA"/>
      </w:pPr>
    </w:p>
    <w:p w14:paraId="5C3D0C2B" w14:textId="030FA79C" w:rsidR="000A7ECC" w:rsidRPr="0084041E" w:rsidRDefault="000A7ECC" w:rsidP="00FC0EEA">
      <w:pPr>
        <w:pStyle w:val="PI-2EMEASMCA"/>
        <w:outlineLvl w:val="9"/>
      </w:pPr>
      <w:bookmarkStart w:id="18" w:name="_Toc129243106"/>
      <w:bookmarkStart w:id="19" w:name="_Toc129243231"/>
      <w:r w:rsidRPr="0084041E">
        <w:t>4.5</w:t>
      </w:r>
      <w:r w:rsidRPr="0084041E">
        <w:tab/>
        <w:t>Sąveika su kitais vaistiniais preparatais ir kitokia sąveika</w:t>
      </w:r>
      <w:bookmarkEnd w:id="18"/>
      <w:bookmarkEnd w:id="19"/>
    </w:p>
    <w:p w14:paraId="2D08B1BA" w14:textId="77777777" w:rsidR="000A7ECC" w:rsidRPr="0084041E" w:rsidRDefault="000A7ECC" w:rsidP="001E1730">
      <w:pPr>
        <w:pStyle w:val="BTEMEASMCA"/>
      </w:pPr>
    </w:p>
    <w:p w14:paraId="4196F9D2" w14:textId="77777777" w:rsidR="0061167E" w:rsidRPr="0061167E" w:rsidRDefault="0061167E" w:rsidP="00FC0EEA">
      <w:pPr>
        <w:rPr>
          <w:b/>
          <w:bCs/>
          <w:szCs w:val="22"/>
        </w:rPr>
      </w:pPr>
      <w:r w:rsidRPr="0061167E">
        <w:rPr>
          <w:b/>
          <w:bCs/>
          <w:szCs w:val="22"/>
        </w:rPr>
        <w:t>Farmakodinaminė sąveika</w:t>
      </w:r>
    </w:p>
    <w:p w14:paraId="57FAD18B" w14:textId="77777777" w:rsidR="00EB7A30" w:rsidRPr="00EB7A30" w:rsidRDefault="00EB7A30" w:rsidP="00FC0EEA">
      <w:pPr>
        <w:rPr>
          <w:szCs w:val="22"/>
        </w:rPr>
      </w:pPr>
      <w:r>
        <w:rPr>
          <w:szCs w:val="22"/>
        </w:rPr>
        <w:t>R</w:t>
      </w:r>
      <w:r w:rsidRPr="00EB7A30">
        <w:rPr>
          <w:szCs w:val="22"/>
        </w:rPr>
        <w:t xml:space="preserve">eguliariai vartojant paracetamolį gali sustiprėti </w:t>
      </w:r>
      <w:r>
        <w:rPr>
          <w:szCs w:val="22"/>
        </w:rPr>
        <w:t>v</w:t>
      </w:r>
      <w:r w:rsidRPr="00EB7A30">
        <w:rPr>
          <w:szCs w:val="22"/>
        </w:rPr>
        <w:t>arfarino ir kitų kumarinų antikoagulia</w:t>
      </w:r>
      <w:r>
        <w:rPr>
          <w:szCs w:val="22"/>
        </w:rPr>
        <w:t>c</w:t>
      </w:r>
      <w:r w:rsidRPr="00EB7A30">
        <w:rPr>
          <w:szCs w:val="22"/>
        </w:rPr>
        <w:t>inis poveikis</w:t>
      </w:r>
      <w:r>
        <w:rPr>
          <w:szCs w:val="22"/>
        </w:rPr>
        <w:t xml:space="preserve"> ir dėl </w:t>
      </w:r>
      <w:r w:rsidRPr="00EB7A30">
        <w:rPr>
          <w:szCs w:val="22"/>
        </w:rPr>
        <w:t>to padidė</w:t>
      </w:r>
      <w:r>
        <w:rPr>
          <w:szCs w:val="22"/>
        </w:rPr>
        <w:t>ti</w:t>
      </w:r>
      <w:r w:rsidRPr="00EB7A30">
        <w:rPr>
          <w:szCs w:val="22"/>
        </w:rPr>
        <w:t xml:space="preserve"> kraujavimo rizika. Poveikis gali pasireikšti jau po 3 dienų vartojant 2000</w:t>
      </w:r>
      <w:r>
        <w:rPr>
          <w:szCs w:val="22"/>
        </w:rPr>
        <w:t> </w:t>
      </w:r>
      <w:r w:rsidRPr="00EB7A30">
        <w:rPr>
          <w:szCs w:val="22"/>
        </w:rPr>
        <w:t xml:space="preserve">mg paros dozes. Retkarčiais vartojamos dozės neturi reikšmingos įtakos </w:t>
      </w:r>
      <w:r>
        <w:rPr>
          <w:szCs w:val="22"/>
        </w:rPr>
        <w:t xml:space="preserve">polinkiui į </w:t>
      </w:r>
      <w:r w:rsidRPr="00EB7A30">
        <w:rPr>
          <w:szCs w:val="22"/>
        </w:rPr>
        <w:t>kraujavim</w:t>
      </w:r>
      <w:r>
        <w:rPr>
          <w:szCs w:val="22"/>
        </w:rPr>
        <w:t>ą</w:t>
      </w:r>
      <w:r w:rsidRPr="00EB7A30">
        <w:rPr>
          <w:szCs w:val="22"/>
        </w:rPr>
        <w:t>. Derinio vartojimo metu ir j</w:t>
      </w:r>
      <w:r>
        <w:rPr>
          <w:szCs w:val="22"/>
        </w:rPr>
        <w:t>o vartojimą</w:t>
      </w:r>
      <w:r w:rsidRPr="00EB7A30">
        <w:rPr>
          <w:szCs w:val="22"/>
        </w:rPr>
        <w:t xml:space="preserve"> nutraukus, reikia atidžiau stebėti INR reikšmes.</w:t>
      </w:r>
    </w:p>
    <w:p w14:paraId="4C459CAF" w14:textId="77777777" w:rsidR="00EB7A30" w:rsidRPr="00EB7A30" w:rsidRDefault="00EB7A30" w:rsidP="00FC0EEA">
      <w:pPr>
        <w:rPr>
          <w:szCs w:val="22"/>
        </w:rPr>
      </w:pPr>
      <w:r w:rsidRPr="00EB7A30">
        <w:rPr>
          <w:szCs w:val="22"/>
        </w:rPr>
        <w:t>Kartu vartojant paracetamol</w:t>
      </w:r>
      <w:r>
        <w:rPr>
          <w:szCs w:val="22"/>
        </w:rPr>
        <w:t>io</w:t>
      </w:r>
      <w:r w:rsidRPr="00EB7A30">
        <w:rPr>
          <w:szCs w:val="22"/>
        </w:rPr>
        <w:t xml:space="preserve"> ir zidovudin</w:t>
      </w:r>
      <w:r>
        <w:rPr>
          <w:szCs w:val="22"/>
        </w:rPr>
        <w:t>o</w:t>
      </w:r>
      <w:r w:rsidRPr="00EB7A30">
        <w:rPr>
          <w:szCs w:val="22"/>
        </w:rPr>
        <w:t>, padidėja polinkis į neutropeniją. Todėl š</w:t>
      </w:r>
      <w:r w:rsidR="00767B10">
        <w:rPr>
          <w:szCs w:val="22"/>
        </w:rPr>
        <w:t>io</w:t>
      </w:r>
      <w:r w:rsidRPr="00EB7A30">
        <w:rPr>
          <w:szCs w:val="22"/>
        </w:rPr>
        <w:t xml:space="preserve"> vaist</w:t>
      </w:r>
      <w:r>
        <w:rPr>
          <w:szCs w:val="22"/>
        </w:rPr>
        <w:t>in</w:t>
      </w:r>
      <w:r w:rsidR="00767B10">
        <w:rPr>
          <w:szCs w:val="22"/>
        </w:rPr>
        <w:t>io</w:t>
      </w:r>
      <w:r>
        <w:rPr>
          <w:szCs w:val="22"/>
        </w:rPr>
        <w:t xml:space="preserve"> preparat</w:t>
      </w:r>
      <w:r w:rsidR="00767B10">
        <w:rPr>
          <w:szCs w:val="22"/>
        </w:rPr>
        <w:t xml:space="preserve">o </w:t>
      </w:r>
      <w:r w:rsidRPr="00EB7A30">
        <w:rPr>
          <w:szCs w:val="22"/>
        </w:rPr>
        <w:t>kartu su zidovudinu galima vartoti tik gydytojo nurodymu.</w:t>
      </w:r>
    </w:p>
    <w:p w14:paraId="3D4745E8" w14:textId="3AA2D7F9" w:rsidR="00FD4A08" w:rsidRDefault="00FD4A08" w:rsidP="00FC0EEA">
      <w:pPr>
        <w:rPr>
          <w:szCs w:val="22"/>
        </w:rPr>
      </w:pPr>
      <w:r w:rsidRPr="00FD4A08">
        <w:rPr>
          <w:szCs w:val="22"/>
        </w:rPr>
        <w:t>Reikia imtis atsargumo priemonių, kai paracetamolis vartojamas kartu su flukloksacilinu, nes vienu metu vartojant š</w:t>
      </w:r>
      <w:r w:rsidR="002E081E">
        <w:rPr>
          <w:szCs w:val="22"/>
        </w:rPr>
        <w:t>io</w:t>
      </w:r>
      <w:r w:rsidRPr="00FD4A08">
        <w:rPr>
          <w:szCs w:val="22"/>
        </w:rPr>
        <w:t xml:space="preserve"> vaistin</w:t>
      </w:r>
      <w:r w:rsidR="002E081E">
        <w:rPr>
          <w:szCs w:val="22"/>
        </w:rPr>
        <w:t>io</w:t>
      </w:r>
      <w:r w:rsidRPr="00FD4A08">
        <w:rPr>
          <w:szCs w:val="22"/>
        </w:rPr>
        <w:t xml:space="preserve"> preparat</w:t>
      </w:r>
      <w:r w:rsidR="002E081E">
        <w:rPr>
          <w:szCs w:val="22"/>
        </w:rPr>
        <w:t>o</w:t>
      </w:r>
      <w:r w:rsidRPr="00FD4A08">
        <w:rPr>
          <w:szCs w:val="22"/>
        </w:rPr>
        <w:t xml:space="preserve">, dėl </w:t>
      </w:r>
      <w:proofErr w:type="spellStart"/>
      <w:r w:rsidRPr="00FD4A08">
        <w:rPr>
          <w:szCs w:val="22"/>
        </w:rPr>
        <w:t>piroglutamato</w:t>
      </w:r>
      <w:proofErr w:type="spellEnd"/>
      <w:r w:rsidRPr="00FD4A08">
        <w:rPr>
          <w:szCs w:val="22"/>
        </w:rPr>
        <w:t xml:space="preserve"> </w:t>
      </w:r>
      <w:proofErr w:type="spellStart"/>
      <w:r w:rsidRPr="00FD4A08">
        <w:rPr>
          <w:szCs w:val="22"/>
        </w:rPr>
        <w:t>acidozės</w:t>
      </w:r>
      <w:proofErr w:type="spellEnd"/>
      <w:r w:rsidRPr="00FD4A08">
        <w:rPr>
          <w:szCs w:val="22"/>
        </w:rPr>
        <w:t xml:space="preserve"> susidaro didelis anijoninis tarpas esant metabolinei acidozei, ypač pacientams, kuriems nustatyti rizikos veiksniai (žr. 4.4 skyrių).</w:t>
      </w:r>
    </w:p>
    <w:p w14:paraId="7047736D" w14:textId="77777777" w:rsidR="00EB7A30" w:rsidRDefault="00EB7A30" w:rsidP="00FC0EEA">
      <w:pPr>
        <w:rPr>
          <w:szCs w:val="22"/>
        </w:rPr>
      </w:pPr>
    </w:p>
    <w:p w14:paraId="002417EF" w14:textId="77777777" w:rsidR="00FB13B6" w:rsidRPr="00FB13B6" w:rsidRDefault="00FB13B6" w:rsidP="00FC0EEA">
      <w:pPr>
        <w:rPr>
          <w:b/>
          <w:bCs/>
          <w:szCs w:val="22"/>
        </w:rPr>
      </w:pPr>
      <w:r w:rsidRPr="00FB13B6">
        <w:rPr>
          <w:b/>
          <w:bCs/>
          <w:szCs w:val="22"/>
        </w:rPr>
        <w:t>Farmakokinetinė sąveika</w:t>
      </w:r>
    </w:p>
    <w:p w14:paraId="03B6DEB4" w14:textId="77777777" w:rsidR="00FB13B6" w:rsidRPr="00FB13B6" w:rsidRDefault="00FB13B6" w:rsidP="00FC0EEA">
      <w:pPr>
        <w:rPr>
          <w:szCs w:val="22"/>
        </w:rPr>
      </w:pPr>
      <w:r w:rsidRPr="00FB13B6">
        <w:rPr>
          <w:szCs w:val="22"/>
        </w:rPr>
        <w:t xml:space="preserve">Kartu vartojami vaistiniai preparatai, greitinantys skrandžio ištuštinimą, pavyzdžiui, metoklopramidas ar domperidonas, pagreitina paracetamolio absorbciją ir </w:t>
      </w:r>
      <w:r w:rsidRPr="00E75340">
        <w:rPr>
          <w:szCs w:val="22"/>
        </w:rPr>
        <w:t xml:space="preserve">poveikio pasireiškimo </w:t>
      </w:r>
      <w:r w:rsidRPr="00FB13B6">
        <w:rPr>
          <w:szCs w:val="22"/>
        </w:rPr>
        <w:t>pradžią.</w:t>
      </w:r>
    </w:p>
    <w:p w14:paraId="198A5FAF" w14:textId="77777777" w:rsidR="00FB13B6" w:rsidRPr="00FB13B6" w:rsidRDefault="00FB13B6" w:rsidP="00FC0EEA">
      <w:pPr>
        <w:rPr>
          <w:szCs w:val="22"/>
        </w:rPr>
      </w:pPr>
      <w:r w:rsidRPr="00FB13B6">
        <w:rPr>
          <w:szCs w:val="22"/>
        </w:rPr>
        <w:t>Kartu vartojant vaist</w:t>
      </w:r>
      <w:r>
        <w:rPr>
          <w:szCs w:val="22"/>
        </w:rPr>
        <w:t>ini</w:t>
      </w:r>
      <w:r w:rsidRPr="00FB13B6">
        <w:rPr>
          <w:szCs w:val="22"/>
        </w:rPr>
        <w:t>us</w:t>
      </w:r>
      <w:r>
        <w:rPr>
          <w:szCs w:val="22"/>
        </w:rPr>
        <w:t xml:space="preserve"> preparatus</w:t>
      </w:r>
      <w:r w:rsidRPr="00FB13B6">
        <w:rPr>
          <w:szCs w:val="22"/>
        </w:rPr>
        <w:t>, lėtina</w:t>
      </w:r>
      <w:r>
        <w:rPr>
          <w:szCs w:val="22"/>
        </w:rPr>
        <w:t>nčius</w:t>
      </w:r>
      <w:r w:rsidRPr="00FB13B6">
        <w:rPr>
          <w:szCs w:val="22"/>
        </w:rPr>
        <w:t xml:space="preserve"> skrandžio ištuštinimą, gali </w:t>
      </w:r>
      <w:r>
        <w:rPr>
          <w:szCs w:val="22"/>
        </w:rPr>
        <w:t>būti uždelsta</w:t>
      </w:r>
      <w:r w:rsidRPr="00FB13B6">
        <w:rPr>
          <w:szCs w:val="22"/>
        </w:rPr>
        <w:t xml:space="preserve"> paracetamolio absorbcija ir </w:t>
      </w:r>
      <w:r>
        <w:rPr>
          <w:szCs w:val="22"/>
        </w:rPr>
        <w:t>poveikio pasireiškimo</w:t>
      </w:r>
      <w:r w:rsidRPr="00FB13B6">
        <w:rPr>
          <w:szCs w:val="22"/>
        </w:rPr>
        <w:t xml:space="preserve"> pradžia.</w:t>
      </w:r>
    </w:p>
    <w:p w14:paraId="6C857893" w14:textId="77777777" w:rsidR="00FB13B6" w:rsidRPr="00FB13B6" w:rsidRDefault="00FB13B6" w:rsidP="00FC0EEA">
      <w:pPr>
        <w:rPr>
          <w:szCs w:val="22"/>
        </w:rPr>
      </w:pPr>
      <w:r w:rsidRPr="00FB13B6">
        <w:rPr>
          <w:szCs w:val="22"/>
        </w:rPr>
        <w:t>Kolestiraminas mažina paracetamolio absorbciją. Tarp kolestiramino ir paracetamolio vartojimo reikia daryti vienos valandos pertrauką, kad būtų pasiektas didžiausias analgetinis poveikis.</w:t>
      </w:r>
    </w:p>
    <w:p w14:paraId="576F9BAB" w14:textId="77777777" w:rsidR="00FB13B6" w:rsidRPr="00FB13B6" w:rsidRDefault="00FB13B6" w:rsidP="00FC0EEA">
      <w:pPr>
        <w:rPr>
          <w:szCs w:val="22"/>
        </w:rPr>
      </w:pPr>
      <w:r w:rsidRPr="00FB13B6">
        <w:rPr>
          <w:szCs w:val="22"/>
        </w:rPr>
        <w:t>Izoniazidas veikia paracetamolio farmakokinetiką ir gali sustiprinti toksinį poveikį kepenims.</w:t>
      </w:r>
    </w:p>
    <w:p w14:paraId="6FB3E5E1" w14:textId="77777777" w:rsidR="0035075A" w:rsidRPr="00E75340" w:rsidRDefault="00FB13B6" w:rsidP="00FC0EEA">
      <w:pPr>
        <w:rPr>
          <w:szCs w:val="22"/>
        </w:rPr>
      </w:pPr>
      <w:r w:rsidRPr="00FB13B6">
        <w:rPr>
          <w:szCs w:val="22"/>
        </w:rPr>
        <w:t>Probenecidas slopina paracetamolio prisijungimą prie gliukurono rūgšties, todėl paracetamolio klirensas sumažėja maždaug 2 kartus. Pacientams, kartu vartojantiems probenecid</w:t>
      </w:r>
      <w:r w:rsidR="0035075A">
        <w:rPr>
          <w:szCs w:val="22"/>
        </w:rPr>
        <w:t>o</w:t>
      </w:r>
      <w:r w:rsidRPr="00FB13B6">
        <w:rPr>
          <w:szCs w:val="22"/>
        </w:rPr>
        <w:t>, paracetamolio dozę reikia sumažinti.</w:t>
      </w:r>
      <w:r w:rsidR="0035075A" w:rsidRPr="0035075A">
        <w:rPr>
          <w:szCs w:val="22"/>
        </w:rPr>
        <w:t xml:space="preserve"> </w:t>
      </w:r>
    </w:p>
    <w:p w14:paraId="6386E51E" w14:textId="3244780F" w:rsidR="00FB13B6" w:rsidRPr="00FB13B6" w:rsidRDefault="00FB13B6" w:rsidP="00FC0EEA">
      <w:pPr>
        <w:rPr>
          <w:szCs w:val="22"/>
        </w:rPr>
      </w:pPr>
      <w:r w:rsidRPr="00FB13B6">
        <w:rPr>
          <w:szCs w:val="22"/>
        </w:rPr>
        <w:t xml:space="preserve">Kepenų fermentus indukuojančių medžiagų, tokių kaip karbamazepinas, fenitoinas, fenobarbitalis, rifampicinas ir </w:t>
      </w:r>
      <w:r w:rsidR="00B37AEC">
        <w:rPr>
          <w:szCs w:val="22"/>
        </w:rPr>
        <w:t>jonažolių žolė</w:t>
      </w:r>
      <w:r w:rsidRPr="00FB13B6">
        <w:rPr>
          <w:szCs w:val="22"/>
        </w:rPr>
        <w:t xml:space="preserve"> (</w:t>
      </w:r>
      <w:r w:rsidRPr="0035075A">
        <w:rPr>
          <w:i/>
          <w:iCs/>
          <w:szCs w:val="22"/>
        </w:rPr>
        <w:t>Hypericum perforatum</w:t>
      </w:r>
      <w:r w:rsidRPr="00FB13B6">
        <w:rPr>
          <w:szCs w:val="22"/>
        </w:rPr>
        <w:t xml:space="preserve">), vartojimas gali </w:t>
      </w:r>
      <w:r w:rsidR="0035075A" w:rsidRPr="0035075A">
        <w:rPr>
          <w:szCs w:val="22"/>
        </w:rPr>
        <w:t xml:space="preserve">stiprinti toksinį paracetamolio poveikį kepenims dėl padidėjusio ir pagreitėjusio toksinių metabolitų </w:t>
      </w:r>
      <w:r w:rsidR="0035075A">
        <w:rPr>
          <w:szCs w:val="22"/>
        </w:rPr>
        <w:t>susidarymo.</w:t>
      </w:r>
      <w:r w:rsidRPr="00FB13B6">
        <w:rPr>
          <w:szCs w:val="22"/>
        </w:rPr>
        <w:t xml:space="preserve"> T</w:t>
      </w:r>
      <w:r w:rsidR="0035075A">
        <w:rPr>
          <w:szCs w:val="22"/>
        </w:rPr>
        <w:t>aigi</w:t>
      </w:r>
      <w:r w:rsidRPr="00FB13B6">
        <w:rPr>
          <w:szCs w:val="22"/>
        </w:rPr>
        <w:t xml:space="preserve"> kartu vartojant fermentus indukuojančias medžiagas, reikia būti atsargiems.</w:t>
      </w:r>
    </w:p>
    <w:p w14:paraId="49109DD1" w14:textId="77777777" w:rsidR="00FB13B6" w:rsidRDefault="00FB13B6" w:rsidP="00FC0EEA">
      <w:pPr>
        <w:rPr>
          <w:szCs w:val="22"/>
        </w:rPr>
      </w:pPr>
      <w:r w:rsidRPr="00FB13B6">
        <w:rPr>
          <w:szCs w:val="22"/>
        </w:rPr>
        <w:t>Paracetamolis gali paveikti chloramfenikolio farmakokinetiką. Jei paracetamolis</w:t>
      </w:r>
      <w:r w:rsidR="0035075A">
        <w:rPr>
          <w:szCs w:val="22"/>
        </w:rPr>
        <w:t xml:space="preserve"> </w:t>
      </w:r>
      <w:r w:rsidRPr="00FB13B6">
        <w:rPr>
          <w:szCs w:val="22"/>
        </w:rPr>
        <w:t xml:space="preserve">derinamas su chloramfenikolio injekcijomis, rekomenduojama stebėti chloramfenikolio koncentraciją </w:t>
      </w:r>
      <w:r w:rsidR="0035075A">
        <w:rPr>
          <w:szCs w:val="22"/>
        </w:rPr>
        <w:t xml:space="preserve">kraujo </w:t>
      </w:r>
      <w:r w:rsidRPr="00FB13B6">
        <w:rPr>
          <w:szCs w:val="22"/>
        </w:rPr>
        <w:t>plazmoje.</w:t>
      </w:r>
    </w:p>
    <w:p w14:paraId="1D8346AD" w14:textId="77777777" w:rsidR="00FB13B6" w:rsidRDefault="00FB13B6" w:rsidP="00FC0EEA">
      <w:pPr>
        <w:rPr>
          <w:szCs w:val="22"/>
        </w:rPr>
      </w:pPr>
    </w:p>
    <w:p w14:paraId="503B15F7" w14:textId="77777777" w:rsidR="000A7ECC" w:rsidRPr="0084041E" w:rsidRDefault="000A7ECC" w:rsidP="00FC0EEA">
      <w:pPr>
        <w:pStyle w:val="PI-2EMEASMCA"/>
        <w:outlineLvl w:val="9"/>
      </w:pPr>
      <w:bookmarkStart w:id="20" w:name="_Toc129243107"/>
      <w:bookmarkStart w:id="21" w:name="_Toc129243232"/>
      <w:r w:rsidRPr="0084041E">
        <w:t>4.6</w:t>
      </w:r>
      <w:r w:rsidRPr="0084041E">
        <w:tab/>
      </w:r>
      <w:r w:rsidRPr="007E24E4">
        <w:t xml:space="preserve">Vaisingumas, </w:t>
      </w:r>
      <w:r>
        <w:t>n</w:t>
      </w:r>
      <w:r w:rsidRPr="0084041E">
        <w:t>ėštumo ir žindymo laikotarpis</w:t>
      </w:r>
      <w:bookmarkEnd w:id="20"/>
      <w:bookmarkEnd w:id="21"/>
    </w:p>
    <w:p w14:paraId="05C68AA3" w14:textId="77777777" w:rsidR="000A7ECC" w:rsidRPr="0031650E" w:rsidRDefault="000A7ECC" w:rsidP="00FC0EEA"/>
    <w:p w14:paraId="2CC143E4" w14:textId="77777777" w:rsidR="000A7ECC" w:rsidRPr="00A53318" w:rsidRDefault="000A7ECC" w:rsidP="00FC0EEA">
      <w:pPr>
        <w:rPr>
          <w:szCs w:val="22"/>
          <w:u w:val="single"/>
        </w:rPr>
      </w:pPr>
      <w:r w:rsidRPr="00A53318">
        <w:rPr>
          <w:szCs w:val="22"/>
          <w:u w:val="single"/>
        </w:rPr>
        <w:t>Nėštumas</w:t>
      </w:r>
    </w:p>
    <w:p w14:paraId="0D564FE8" w14:textId="07BEB689" w:rsidR="00BF27E8" w:rsidRDefault="00BF27E8" w:rsidP="00FC0EEA">
      <w:pPr>
        <w:rPr>
          <w:szCs w:val="22"/>
        </w:rPr>
      </w:pPr>
      <w:r w:rsidRPr="00BF27E8">
        <w:rPr>
          <w:szCs w:val="22"/>
        </w:rPr>
        <w:t xml:space="preserve">Daug nėščių moterų tyrimų duomenų nerodo poveikio </w:t>
      </w:r>
      <w:r w:rsidR="00F132DE">
        <w:rPr>
          <w:szCs w:val="22"/>
        </w:rPr>
        <w:t>įgimtų ydų atsiradimui</w:t>
      </w:r>
      <w:r w:rsidRPr="00BF27E8">
        <w:rPr>
          <w:szCs w:val="22"/>
        </w:rPr>
        <w:t xml:space="preserve"> ar toksinio poveikio vaisiui (ar) naujagimiui.</w:t>
      </w:r>
      <w:r>
        <w:rPr>
          <w:szCs w:val="22"/>
        </w:rPr>
        <w:t xml:space="preserve"> </w:t>
      </w:r>
      <w:r w:rsidRPr="00C0119E">
        <w:rPr>
          <w:szCs w:val="22"/>
        </w:rPr>
        <w:t>Vaikų, kurių motinos nėštumo laikotarpiu vartojo paracetamolį, nervų sistemos vystymosi epidemiologinių tyrimų rezultatų nepakanka tvirtoms išvadoms padaryti.</w:t>
      </w:r>
      <w:r>
        <w:rPr>
          <w:szCs w:val="22"/>
        </w:rPr>
        <w:t xml:space="preserve"> </w:t>
      </w:r>
      <w:r w:rsidRPr="00C0119E">
        <w:rPr>
          <w:szCs w:val="22"/>
        </w:rPr>
        <w:t xml:space="preserve">Esant klinikinėms indikacijoms, paracetamolį galima vartoti nėštumo laikotarpiu, tačiau </w:t>
      </w:r>
      <w:r>
        <w:rPr>
          <w:szCs w:val="22"/>
        </w:rPr>
        <w:t xml:space="preserve">jį </w:t>
      </w:r>
      <w:r w:rsidRPr="00C0119E">
        <w:rPr>
          <w:szCs w:val="22"/>
        </w:rPr>
        <w:t>reikėtų vartoti mažiausiomis veiksmingomis dozėmis, kuo trumpesnį laiką ir kuo rečiau.</w:t>
      </w:r>
    </w:p>
    <w:p w14:paraId="43443519" w14:textId="77777777" w:rsidR="004504B8" w:rsidRDefault="004504B8" w:rsidP="00FC0EEA">
      <w:pPr>
        <w:rPr>
          <w:szCs w:val="22"/>
        </w:rPr>
      </w:pPr>
    </w:p>
    <w:p w14:paraId="2AB5D44E" w14:textId="77777777" w:rsidR="000A7ECC" w:rsidRPr="00A53318" w:rsidRDefault="000A7ECC" w:rsidP="00FC0EEA">
      <w:pPr>
        <w:rPr>
          <w:szCs w:val="22"/>
          <w:u w:val="single"/>
        </w:rPr>
      </w:pPr>
      <w:r w:rsidRPr="00A53318">
        <w:rPr>
          <w:szCs w:val="22"/>
          <w:u w:val="single"/>
        </w:rPr>
        <w:t>Žindymas</w:t>
      </w:r>
    </w:p>
    <w:p w14:paraId="1C9E6E1C" w14:textId="77777777" w:rsidR="00BF27E8" w:rsidRDefault="003E5C1A" w:rsidP="00FC0EEA">
      <w:pPr>
        <w:rPr>
          <w:szCs w:val="22"/>
        </w:rPr>
      </w:pPr>
      <w:r w:rsidRPr="003E5C1A">
        <w:rPr>
          <w:szCs w:val="22"/>
        </w:rPr>
        <w:t>Paracetamolis išsiskiria į motinos pieną, bet ne kliniškai reikšminga</w:t>
      </w:r>
      <w:r>
        <w:rPr>
          <w:szCs w:val="22"/>
        </w:rPr>
        <w:t>i</w:t>
      </w:r>
      <w:r w:rsidRPr="003E5C1A">
        <w:rPr>
          <w:szCs w:val="22"/>
        </w:rPr>
        <w:t>s kieki</w:t>
      </w:r>
      <w:r>
        <w:rPr>
          <w:szCs w:val="22"/>
        </w:rPr>
        <w:t>ai</w:t>
      </w:r>
      <w:r w:rsidRPr="003E5C1A">
        <w:rPr>
          <w:szCs w:val="22"/>
        </w:rPr>
        <w:t>s. Turimi paskelbti duomenys žindyti nedraudžia.</w:t>
      </w:r>
    </w:p>
    <w:p w14:paraId="04F2DD60" w14:textId="77777777" w:rsidR="003E5C1A" w:rsidRDefault="003E5C1A" w:rsidP="00FC0EEA">
      <w:pPr>
        <w:rPr>
          <w:szCs w:val="22"/>
        </w:rPr>
      </w:pPr>
    </w:p>
    <w:p w14:paraId="74235E00" w14:textId="77777777" w:rsidR="003E5C1A" w:rsidRPr="003E5C1A" w:rsidRDefault="003E5C1A" w:rsidP="00FC0EEA">
      <w:pPr>
        <w:rPr>
          <w:szCs w:val="22"/>
          <w:u w:val="single"/>
        </w:rPr>
      </w:pPr>
      <w:r w:rsidRPr="003E5C1A">
        <w:rPr>
          <w:szCs w:val="22"/>
          <w:u w:val="single"/>
        </w:rPr>
        <w:t>Vaisingumas</w:t>
      </w:r>
    </w:p>
    <w:p w14:paraId="0BDA13B3" w14:textId="77777777" w:rsidR="003E5C1A" w:rsidRPr="00E75340" w:rsidRDefault="003E5C1A" w:rsidP="00FC0EEA">
      <w:pPr>
        <w:rPr>
          <w:szCs w:val="22"/>
        </w:rPr>
      </w:pPr>
      <w:r w:rsidRPr="003E5C1A">
        <w:rPr>
          <w:szCs w:val="22"/>
        </w:rPr>
        <w:t>Duomenų apie paracetamolio poveikį žmogaus vaisingumui nėra.</w:t>
      </w:r>
    </w:p>
    <w:p w14:paraId="48326A81" w14:textId="77777777" w:rsidR="000A7ECC" w:rsidRPr="0084041E" w:rsidRDefault="000A7ECC" w:rsidP="001E1730">
      <w:pPr>
        <w:pStyle w:val="BTEMEASMCA"/>
      </w:pPr>
    </w:p>
    <w:p w14:paraId="512CC4B5" w14:textId="0CCE78C3" w:rsidR="000A7ECC" w:rsidRPr="0084041E" w:rsidRDefault="000A7ECC" w:rsidP="00FC0EEA">
      <w:pPr>
        <w:pStyle w:val="PI-2EMEASMCA"/>
        <w:outlineLvl w:val="9"/>
      </w:pPr>
      <w:bookmarkStart w:id="22" w:name="_Toc129243108"/>
      <w:bookmarkStart w:id="23" w:name="_Toc129243233"/>
      <w:r w:rsidRPr="0084041E">
        <w:t>4.7</w:t>
      </w:r>
      <w:r w:rsidRPr="0084041E">
        <w:tab/>
        <w:t>Poveikis gebėjimui vairuoti ir valdyti mechanizmus</w:t>
      </w:r>
      <w:bookmarkEnd w:id="22"/>
      <w:bookmarkEnd w:id="23"/>
    </w:p>
    <w:p w14:paraId="3D833888" w14:textId="77777777" w:rsidR="000A7ECC" w:rsidRPr="0084041E" w:rsidRDefault="000A7ECC" w:rsidP="001E1730">
      <w:pPr>
        <w:pStyle w:val="BTEMEASMCA"/>
      </w:pPr>
    </w:p>
    <w:p w14:paraId="6E1C9F02" w14:textId="458E7B87" w:rsidR="000A7ECC" w:rsidRPr="00E75340" w:rsidRDefault="00AC43B9" w:rsidP="00FC0EEA">
      <w:pPr>
        <w:ind w:left="567" w:hanging="567"/>
        <w:rPr>
          <w:szCs w:val="22"/>
        </w:rPr>
      </w:pPr>
      <w:r>
        <w:rPr>
          <w:szCs w:val="22"/>
        </w:rPr>
        <w:t>Arax</w:t>
      </w:r>
      <w:r w:rsidR="000A7ECC" w:rsidRPr="009B1F0F">
        <w:rPr>
          <w:szCs w:val="22"/>
        </w:rPr>
        <w:t xml:space="preserve"> gebėjimo vairuoti ir valdyti mechanizmus neveikia arba veikia nereikšmingai. </w:t>
      </w:r>
    </w:p>
    <w:p w14:paraId="5B0CF541" w14:textId="77777777" w:rsidR="000A7ECC" w:rsidRPr="00406BCA" w:rsidRDefault="000A7ECC" w:rsidP="001E1730">
      <w:pPr>
        <w:pStyle w:val="BTEMEASMCA"/>
      </w:pPr>
    </w:p>
    <w:p w14:paraId="1B299D40" w14:textId="69855DBD" w:rsidR="000A7ECC" w:rsidRPr="0084041E" w:rsidRDefault="000A7ECC" w:rsidP="00FC0EEA">
      <w:pPr>
        <w:pStyle w:val="PI-2EMEASMCA"/>
        <w:outlineLvl w:val="9"/>
      </w:pPr>
      <w:bookmarkStart w:id="24" w:name="_Toc129243109"/>
      <w:bookmarkStart w:id="25" w:name="_Toc129243234"/>
      <w:r w:rsidRPr="0084041E">
        <w:t>4.8</w:t>
      </w:r>
      <w:r w:rsidRPr="0084041E">
        <w:tab/>
        <w:t>Nepageidaujamas poveikis</w:t>
      </w:r>
      <w:bookmarkEnd w:id="24"/>
      <w:bookmarkEnd w:id="25"/>
    </w:p>
    <w:p w14:paraId="2682638A" w14:textId="77777777" w:rsidR="000A7ECC" w:rsidRPr="009B1F0F" w:rsidRDefault="000A7ECC" w:rsidP="00FC0EEA">
      <w:pPr>
        <w:rPr>
          <w:szCs w:val="22"/>
        </w:rPr>
      </w:pPr>
    </w:p>
    <w:p w14:paraId="73315CF4" w14:textId="77777777" w:rsidR="001143E9" w:rsidRPr="001143E9" w:rsidRDefault="001143E9" w:rsidP="00FC0EEA">
      <w:pPr>
        <w:rPr>
          <w:szCs w:val="22"/>
        </w:rPr>
      </w:pPr>
      <w:r>
        <w:rPr>
          <w:szCs w:val="22"/>
        </w:rPr>
        <w:t>V</w:t>
      </w:r>
      <w:r w:rsidRPr="001143E9">
        <w:rPr>
          <w:szCs w:val="22"/>
        </w:rPr>
        <w:t>artojant įprast</w:t>
      </w:r>
      <w:r>
        <w:rPr>
          <w:szCs w:val="22"/>
        </w:rPr>
        <w:t>omis</w:t>
      </w:r>
      <w:r w:rsidRPr="001143E9">
        <w:rPr>
          <w:szCs w:val="22"/>
        </w:rPr>
        <w:t xml:space="preserve"> terapin</w:t>
      </w:r>
      <w:r>
        <w:rPr>
          <w:szCs w:val="22"/>
        </w:rPr>
        <w:t>ėmi</w:t>
      </w:r>
      <w:r w:rsidRPr="001143E9">
        <w:rPr>
          <w:szCs w:val="22"/>
        </w:rPr>
        <w:t>s doz</w:t>
      </w:r>
      <w:r>
        <w:rPr>
          <w:szCs w:val="22"/>
        </w:rPr>
        <w:t>ėmi</w:t>
      </w:r>
      <w:r w:rsidRPr="001143E9">
        <w:rPr>
          <w:szCs w:val="22"/>
        </w:rPr>
        <w:t xml:space="preserve">s </w:t>
      </w:r>
      <w:r>
        <w:rPr>
          <w:szCs w:val="22"/>
        </w:rPr>
        <w:t>n</w:t>
      </w:r>
      <w:r w:rsidRPr="001143E9">
        <w:rPr>
          <w:szCs w:val="22"/>
        </w:rPr>
        <w:t>epageidaujamas poveikis pasireiškia retai.</w:t>
      </w:r>
    </w:p>
    <w:p w14:paraId="47C7E2D8" w14:textId="3A92B5F1" w:rsidR="00630009" w:rsidRDefault="00630009" w:rsidP="00FC0EEA">
      <w:pPr>
        <w:rPr>
          <w:szCs w:val="22"/>
        </w:rPr>
      </w:pPr>
      <w:r>
        <w:rPr>
          <w:szCs w:val="22"/>
        </w:rPr>
        <w:t>K</w:t>
      </w:r>
      <w:r w:rsidR="001143E9" w:rsidRPr="001143E9">
        <w:rPr>
          <w:szCs w:val="22"/>
        </w:rPr>
        <w:t>epenų pažeidim</w:t>
      </w:r>
      <w:r w:rsidR="001143E9">
        <w:rPr>
          <w:szCs w:val="22"/>
        </w:rPr>
        <w:t>o atvejai</w:t>
      </w:r>
      <w:r w:rsidR="001143E9" w:rsidRPr="001143E9">
        <w:rPr>
          <w:szCs w:val="22"/>
        </w:rPr>
        <w:t xml:space="preserve">, kai paracetamolis buvo vartojamas terapinėmis dozėmis, </w:t>
      </w:r>
      <w:r>
        <w:rPr>
          <w:szCs w:val="22"/>
        </w:rPr>
        <w:t xml:space="preserve">yra reti, </w:t>
      </w:r>
      <w:r w:rsidR="001143E9" w:rsidRPr="001143E9">
        <w:rPr>
          <w:szCs w:val="22"/>
        </w:rPr>
        <w:t xml:space="preserve">tačiau pacientams, kuriems </w:t>
      </w:r>
      <w:r w:rsidR="001143E9">
        <w:rPr>
          <w:szCs w:val="22"/>
        </w:rPr>
        <w:t xml:space="preserve">jau </w:t>
      </w:r>
      <w:r>
        <w:rPr>
          <w:szCs w:val="22"/>
        </w:rPr>
        <w:t xml:space="preserve">yra </w:t>
      </w:r>
      <w:r w:rsidR="001143E9" w:rsidRPr="001143E9">
        <w:rPr>
          <w:szCs w:val="22"/>
        </w:rPr>
        <w:t>buv</w:t>
      </w:r>
      <w:r>
        <w:rPr>
          <w:szCs w:val="22"/>
        </w:rPr>
        <w:t>ęs</w:t>
      </w:r>
      <w:r w:rsidR="001143E9" w:rsidRPr="001143E9">
        <w:rPr>
          <w:szCs w:val="22"/>
        </w:rPr>
        <w:t xml:space="preserve"> kepenų pažeidimas arba </w:t>
      </w:r>
      <w:r>
        <w:rPr>
          <w:szCs w:val="22"/>
        </w:rPr>
        <w:t xml:space="preserve">kurie </w:t>
      </w:r>
      <w:r w:rsidR="001143E9" w:rsidRPr="001143E9">
        <w:rPr>
          <w:szCs w:val="22"/>
        </w:rPr>
        <w:t>paracetamol</w:t>
      </w:r>
      <w:r>
        <w:rPr>
          <w:szCs w:val="22"/>
        </w:rPr>
        <w:t>io</w:t>
      </w:r>
      <w:r w:rsidR="001143E9" w:rsidRPr="001143E9">
        <w:rPr>
          <w:szCs w:val="22"/>
        </w:rPr>
        <w:t xml:space="preserve"> </w:t>
      </w:r>
      <w:r w:rsidRPr="001143E9">
        <w:rPr>
          <w:szCs w:val="22"/>
        </w:rPr>
        <w:t>vartoj</w:t>
      </w:r>
      <w:r>
        <w:rPr>
          <w:szCs w:val="22"/>
        </w:rPr>
        <w:t>a</w:t>
      </w:r>
      <w:r w:rsidRPr="001143E9">
        <w:rPr>
          <w:szCs w:val="22"/>
        </w:rPr>
        <w:t xml:space="preserve"> </w:t>
      </w:r>
      <w:r w:rsidR="001143E9" w:rsidRPr="001143E9">
        <w:rPr>
          <w:szCs w:val="22"/>
        </w:rPr>
        <w:t>kartu su kit</w:t>
      </w:r>
      <w:r w:rsidR="00F132DE">
        <w:rPr>
          <w:szCs w:val="22"/>
        </w:rPr>
        <w:t>omis</w:t>
      </w:r>
      <w:r w:rsidR="001143E9" w:rsidRPr="001143E9">
        <w:rPr>
          <w:szCs w:val="22"/>
        </w:rPr>
        <w:t xml:space="preserve"> kepenis pažeidžianči</w:t>
      </w:r>
      <w:r w:rsidR="00F132DE">
        <w:rPr>
          <w:szCs w:val="22"/>
        </w:rPr>
        <w:t>omis</w:t>
      </w:r>
      <w:r w:rsidR="001143E9" w:rsidRPr="001143E9">
        <w:rPr>
          <w:szCs w:val="22"/>
        </w:rPr>
        <w:t xml:space="preserve"> </w:t>
      </w:r>
      <w:r w:rsidR="00F132DE">
        <w:rPr>
          <w:szCs w:val="22"/>
        </w:rPr>
        <w:t>medžiagomis</w:t>
      </w:r>
      <w:r w:rsidR="00F132DE" w:rsidRPr="001143E9">
        <w:rPr>
          <w:szCs w:val="22"/>
        </w:rPr>
        <w:t xml:space="preserve"> </w:t>
      </w:r>
      <w:r w:rsidR="001143E9" w:rsidRPr="001143E9">
        <w:rPr>
          <w:szCs w:val="22"/>
        </w:rPr>
        <w:t xml:space="preserve">(pvz., alkoholiu), reikia </w:t>
      </w:r>
      <w:r>
        <w:rPr>
          <w:szCs w:val="22"/>
        </w:rPr>
        <w:t>įvertinti</w:t>
      </w:r>
      <w:r w:rsidR="001143E9" w:rsidRPr="001143E9">
        <w:rPr>
          <w:szCs w:val="22"/>
        </w:rPr>
        <w:t xml:space="preserve"> kepenų pažeidimo riziką. </w:t>
      </w:r>
    </w:p>
    <w:p w14:paraId="5A564904" w14:textId="77777777" w:rsidR="000A7ECC" w:rsidRDefault="00630009" w:rsidP="00FC0EEA">
      <w:pPr>
        <w:rPr>
          <w:szCs w:val="22"/>
        </w:rPr>
      </w:pPr>
      <w:r w:rsidRPr="00630009">
        <w:rPr>
          <w:szCs w:val="22"/>
        </w:rPr>
        <w:t>Nepageidaujamos reakcijos išvardytos toliau pagal organų sistemų klas</w:t>
      </w:r>
      <w:r>
        <w:rPr>
          <w:szCs w:val="22"/>
        </w:rPr>
        <w:t xml:space="preserve">es </w:t>
      </w:r>
      <w:r w:rsidRPr="00630009">
        <w:rPr>
          <w:szCs w:val="22"/>
        </w:rPr>
        <w:t>ir dažnį.</w:t>
      </w:r>
      <w:r>
        <w:rPr>
          <w:szCs w:val="22"/>
        </w:rPr>
        <w:t xml:space="preserve"> </w:t>
      </w:r>
      <w:r w:rsidR="000A7ECC">
        <w:rPr>
          <w:szCs w:val="22"/>
        </w:rPr>
        <w:t>Nepageidaujamo poveikio</w:t>
      </w:r>
      <w:r w:rsidR="000A7ECC" w:rsidRPr="009B1F0F">
        <w:rPr>
          <w:szCs w:val="22"/>
        </w:rPr>
        <w:t xml:space="preserve"> dažnis apibūdinamas taip: labai dažn</w:t>
      </w:r>
      <w:r w:rsidR="000A7ECC">
        <w:rPr>
          <w:szCs w:val="22"/>
        </w:rPr>
        <w:t>as</w:t>
      </w:r>
      <w:r w:rsidR="000A7ECC" w:rsidRPr="009B1F0F">
        <w:rPr>
          <w:szCs w:val="22"/>
        </w:rPr>
        <w:t xml:space="preserve"> (</w:t>
      </w:r>
      <w:r w:rsidR="000A7ECC" w:rsidRPr="009B1F0F">
        <w:rPr>
          <w:szCs w:val="22"/>
        </w:rPr>
        <w:sym w:font="Symbol" w:char="F0B3"/>
      </w:r>
      <w:r w:rsidR="000A7ECC" w:rsidRPr="009B1F0F">
        <w:rPr>
          <w:szCs w:val="22"/>
        </w:rPr>
        <w:t> 1/10), dažn</w:t>
      </w:r>
      <w:r w:rsidR="000A7ECC">
        <w:rPr>
          <w:szCs w:val="22"/>
        </w:rPr>
        <w:t>as</w:t>
      </w:r>
      <w:r w:rsidR="000A7ECC" w:rsidRPr="009B1F0F">
        <w:rPr>
          <w:szCs w:val="22"/>
        </w:rPr>
        <w:t xml:space="preserve"> (nuo </w:t>
      </w:r>
      <w:r w:rsidR="000A7ECC" w:rsidRPr="009B1F0F">
        <w:rPr>
          <w:szCs w:val="22"/>
        </w:rPr>
        <w:sym w:font="Symbol" w:char="F0B3"/>
      </w:r>
      <w:r w:rsidR="000A7ECC" w:rsidRPr="009B1F0F">
        <w:rPr>
          <w:szCs w:val="22"/>
        </w:rPr>
        <w:t xml:space="preserve"> 1/100 iki </w:t>
      </w:r>
      <w:r w:rsidR="000A7ECC" w:rsidRPr="009B1F0F">
        <w:rPr>
          <w:szCs w:val="22"/>
        </w:rPr>
        <w:sym w:font="Symbol" w:char="F03C"/>
      </w:r>
      <w:r w:rsidR="000A7ECC" w:rsidRPr="009B1F0F">
        <w:rPr>
          <w:szCs w:val="22"/>
        </w:rPr>
        <w:t> 1/10), nedažn</w:t>
      </w:r>
      <w:r w:rsidR="000A7ECC">
        <w:rPr>
          <w:szCs w:val="22"/>
        </w:rPr>
        <w:t>as</w:t>
      </w:r>
      <w:r w:rsidR="000A7ECC" w:rsidRPr="009B1F0F">
        <w:rPr>
          <w:szCs w:val="22"/>
        </w:rPr>
        <w:t xml:space="preserve"> (nuo </w:t>
      </w:r>
      <w:r w:rsidR="000A7ECC" w:rsidRPr="009B1F0F">
        <w:rPr>
          <w:szCs w:val="22"/>
        </w:rPr>
        <w:sym w:font="Symbol" w:char="F0B3"/>
      </w:r>
      <w:r w:rsidR="000A7ECC" w:rsidRPr="009B1F0F">
        <w:rPr>
          <w:szCs w:val="22"/>
        </w:rPr>
        <w:t xml:space="preserve"> 1/1 000 iki </w:t>
      </w:r>
      <w:r w:rsidR="000A7ECC" w:rsidRPr="009B1F0F">
        <w:rPr>
          <w:szCs w:val="22"/>
        </w:rPr>
        <w:sym w:font="Symbol" w:char="F03C"/>
      </w:r>
      <w:r w:rsidR="000A7ECC" w:rsidRPr="009B1F0F">
        <w:rPr>
          <w:szCs w:val="22"/>
        </w:rPr>
        <w:t> 1/100), ret</w:t>
      </w:r>
      <w:r w:rsidR="000A7ECC">
        <w:rPr>
          <w:szCs w:val="22"/>
        </w:rPr>
        <w:t>as</w:t>
      </w:r>
      <w:r w:rsidR="000A7ECC" w:rsidRPr="009B1F0F">
        <w:rPr>
          <w:szCs w:val="22"/>
        </w:rPr>
        <w:t xml:space="preserve"> (nuo </w:t>
      </w:r>
      <w:r w:rsidR="000A7ECC" w:rsidRPr="009B1F0F">
        <w:rPr>
          <w:szCs w:val="22"/>
        </w:rPr>
        <w:sym w:font="Symbol" w:char="F0B3"/>
      </w:r>
      <w:r w:rsidR="000A7ECC" w:rsidRPr="009B1F0F">
        <w:rPr>
          <w:szCs w:val="22"/>
        </w:rPr>
        <w:t xml:space="preserve"> 1/10 000 iki </w:t>
      </w:r>
      <w:r w:rsidR="000A7ECC" w:rsidRPr="009B1F0F">
        <w:rPr>
          <w:szCs w:val="22"/>
        </w:rPr>
        <w:sym w:font="Symbol" w:char="F03C"/>
      </w:r>
      <w:r w:rsidR="000A7ECC" w:rsidRPr="009B1F0F">
        <w:rPr>
          <w:szCs w:val="22"/>
        </w:rPr>
        <w:t> 1/1 000), labai ret</w:t>
      </w:r>
      <w:r w:rsidR="000A7ECC">
        <w:rPr>
          <w:szCs w:val="22"/>
        </w:rPr>
        <w:t>as</w:t>
      </w:r>
      <w:r w:rsidR="000A7ECC" w:rsidRPr="009B1F0F">
        <w:rPr>
          <w:szCs w:val="22"/>
        </w:rPr>
        <w:t xml:space="preserve"> (</w:t>
      </w:r>
      <w:r w:rsidR="000A7ECC" w:rsidRPr="009B1F0F">
        <w:rPr>
          <w:szCs w:val="22"/>
        </w:rPr>
        <w:sym w:font="Symbol" w:char="F03C"/>
      </w:r>
      <w:r w:rsidR="000A7ECC" w:rsidRPr="009B1F0F">
        <w:rPr>
          <w:szCs w:val="22"/>
        </w:rPr>
        <w:t> 1/10 000)</w:t>
      </w:r>
      <w:r w:rsidR="000A7ECC">
        <w:rPr>
          <w:szCs w:val="22"/>
        </w:rPr>
        <w:t xml:space="preserve"> ir </w:t>
      </w:r>
      <w:r w:rsidR="000A7ECC" w:rsidRPr="009B1F0F">
        <w:rPr>
          <w:szCs w:val="22"/>
        </w:rPr>
        <w:t xml:space="preserve">nežinomas (negali būti </w:t>
      </w:r>
      <w:r w:rsidR="000A7ECC">
        <w:rPr>
          <w:szCs w:val="22"/>
        </w:rPr>
        <w:t>apskaičiuo</w:t>
      </w:r>
      <w:r w:rsidR="000A7ECC" w:rsidRPr="009B1F0F">
        <w:rPr>
          <w:szCs w:val="22"/>
        </w:rPr>
        <w:t>tas pagal turimus duomenis).</w:t>
      </w:r>
    </w:p>
    <w:p w14:paraId="3B3C0268" w14:textId="77777777" w:rsidR="000A7ECC" w:rsidRPr="005C44E7" w:rsidRDefault="000A7ECC" w:rsidP="00FC0EEA"/>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8"/>
        <w:gridCol w:w="2662"/>
        <w:gridCol w:w="2268"/>
        <w:gridCol w:w="2120"/>
      </w:tblGrid>
      <w:tr w:rsidR="006558CA" w:rsidRPr="009B1F0F" w14:paraId="3A220EAE" w14:textId="77777777" w:rsidTr="008246CC">
        <w:trPr>
          <w:trHeight w:val="538"/>
        </w:trPr>
        <w:tc>
          <w:tcPr>
            <w:tcW w:w="2578" w:type="dxa"/>
          </w:tcPr>
          <w:p w14:paraId="08353576" w14:textId="77777777" w:rsidR="00174675" w:rsidRPr="009B1F0F" w:rsidRDefault="00174675" w:rsidP="00FC0EEA">
            <w:pPr>
              <w:pStyle w:val="Pavadinimas"/>
              <w:outlineLvl w:val="9"/>
            </w:pPr>
            <w:r w:rsidRPr="009B1F0F">
              <w:t>Organų sistemų klasė</w:t>
            </w:r>
          </w:p>
        </w:tc>
        <w:tc>
          <w:tcPr>
            <w:tcW w:w="2662" w:type="dxa"/>
          </w:tcPr>
          <w:p w14:paraId="7C50B5FF" w14:textId="77777777" w:rsidR="00174675" w:rsidRPr="009B1F0F" w:rsidRDefault="00174675" w:rsidP="00FC0EEA">
            <w:pPr>
              <w:keepNext/>
              <w:jc w:val="center"/>
              <w:rPr>
                <w:b/>
                <w:szCs w:val="22"/>
              </w:rPr>
            </w:pPr>
            <w:r>
              <w:rPr>
                <w:b/>
                <w:szCs w:val="22"/>
              </w:rPr>
              <w:t>Retas</w:t>
            </w:r>
          </w:p>
        </w:tc>
        <w:tc>
          <w:tcPr>
            <w:tcW w:w="2268" w:type="dxa"/>
          </w:tcPr>
          <w:p w14:paraId="3F62F870" w14:textId="77777777" w:rsidR="00174675" w:rsidRPr="009B1F0F" w:rsidRDefault="00174675" w:rsidP="00FC0EEA">
            <w:pPr>
              <w:keepNext/>
              <w:jc w:val="center"/>
              <w:rPr>
                <w:b/>
                <w:szCs w:val="22"/>
              </w:rPr>
            </w:pPr>
            <w:r>
              <w:rPr>
                <w:b/>
                <w:szCs w:val="22"/>
              </w:rPr>
              <w:t>Labai retas</w:t>
            </w:r>
          </w:p>
        </w:tc>
        <w:tc>
          <w:tcPr>
            <w:tcW w:w="2120" w:type="dxa"/>
          </w:tcPr>
          <w:p w14:paraId="52E1C3D1" w14:textId="77777777" w:rsidR="00174675" w:rsidRPr="009B1F0F" w:rsidRDefault="00174675" w:rsidP="00FC0EEA">
            <w:pPr>
              <w:keepNext/>
              <w:jc w:val="center"/>
              <w:rPr>
                <w:b/>
                <w:szCs w:val="22"/>
              </w:rPr>
            </w:pPr>
            <w:r>
              <w:rPr>
                <w:b/>
                <w:szCs w:val="22"/>
              </w:rPr>
              <w:t>Nežinomas</w:t>
            </w:r>
          </w:p>
        </w:tc>
      </w:tr>
      <w:tr w:rsidR="006558CA" w:rsidRPr="009B1F0F" w14:paraId="05A35A35" w14:textId="77777777" w:rsidTr="008246CC">
        <w:trPr>
          <w:trHeight w:val="1086"/>
        </w:trPr>
        <w:tc>
          <w:tcPr>
            <w:tcW w:w="2578" w:type="dxa"/>
          </w:tcPr>
          <w:p w14:paraId="4799F650" w14:textId="77777777" w:rsidR="00174675" w:rsidRPr="00174675" w:rsidRDefault="00174675" w:rsidP="00FC0EEA">
            <w:pPr>
              <w:pStyle w:val="Pavadinimas"/>
              <w:outlineLvl w:val="9"/>
            </w:pPr>
            <w:r w:rsidRPr="00174675">
              <w:t>Kraujo ir limfinės sistemos sutrikimai</w:t>
            </w:r>
          </w:p>
          <w:p w14:paraId="788B3160" w14:textId="77777777" w:rsidR="00174675" w:rsidRPr="00AD5F08" w:rsidRDefault="00174675" w:rsidP="00FC0EEA">
            <w:pPr>
              <w:pStyle w:val="Pavadinimas"/>
              <w:outlineLvl w:val="9"/>
              <w:rPr>
                <w:highlight w:val="red"/>
              </w:rPr>
            </w:pPr>
          </w:p>
          <w:p w14:paraId="0EF239AC" w14:textId="77777777" w:rsidR="00174675" w:rsidRPr="00AD5F08" w:rsidRDefault="00174675" w:rsidP="00FC0EEA">
            <w:pPr>
              <w:pStyle w:val="Pavadinimas"/>
              <w:outlineLvl w:val="9"/>
            </w:pPr>
          </w:p>
        </w:tc>
        <w:tc>
          <w:tcPr>
            <w:tcW w:w="2662" w:type="dxa"/>
          </w:tcPr>
          <w:p w14:paraId="7D9B3075" w14:textId="77777777" w:rsidR="00174675" w:rsidRPr="009B1F0F" w:rsidRDefault="00790CB0" w:rsidP="00FC0EEA">
            <w:pPr>
              <w:keepNext/>
              <w:rPr>
                <w:szCs w:val="22"/>
              </w:rPr>
            </w:pPr>
            <w:r w:rsidRPr="00790CB0">
              <w:rPr>
                <w:szCs w:val="22"/>
              </w:rPr>
              <w:t>Trombocitų sutrikimai, kamieninių ląstelių sutrikimai, agranulocitozė, leukopenija, trombocitopenija, hemolizinė anemija, pancitopenija</w:t>
            </w:r>
          </w:p>
        </w:tc>
        <w:tc>
          <w:tcPr>
            <w:tcW w:w="2268" w:type="dxa"/>
          </w:tcPr>
          <w:p w14:paraId="459EE274" w14:textId="77777777" w:rsidR="00174675" w:rsidRPr="009B1F0F" w:rsidRDefault="00174675" w:rsidP="00FC0EEA">
            <w:pPr>
              <w:keepNext/>
              <w:rPr>
                <w:szCs w:val="22"/>
              </w:rPr>
            </w:pPr>
          </w:p>
        </w:tc>
        <w:tc>
          <w:tcPr>
            <w:tcW w:w="2120" w:type="dxa"/>
          </w:tcPr>
          <w:p w14:paraId="7B624FFB" w14:textId="77777777" w:rsidR="00174675" w:rsidRPr="009B1F0F" w:rsidRDefault="00174675" w:rsidP="00FC0EEA">
            <w:pPr>
              <w:keepNext/>
              <w:rPr>
                <w:szCs w:val="22"/>
              </w:rPr>
            </w:pPr>
          </w:p>
        </w:tc>
      </w:tr>
      <w:tr w:rsidR="006558CA" w:rsidRPr="009B1F0F" w14:paraId="1DF02BF6" w14:textId="77777777" w:rsidTr="008246CC">
        <w:trPr>
          <w:trHeight w:val="538"/>
        </w:trPr>
        <w:tc>
          <w:tcPr>
            <w:tcW w:w="2578" w:type="dxa"/>
          </w:tcPr>
          <w:p w14:paraId="66C846D8" w14:textId="77777777" w:rsidR="00174675" w:rsidRPr="00790CB0" w:rsidRDefault="00174675" w:rsidP="00FC0EEA">
            <w:pPr>
              <w:rPr>
                <w:b/>
                <w:bCs/>
                <w:szCs w:val="22"/>
              </w:rPr>
            </w:pPr>
            <w:r w:rsidRPr="00790CB0">
              <w:rPr>
                <w:b/>
                <w:bCs/>
                <w:szCs w:val="22"/>
              </w:rPr>
              <w:t>Imuninės sistemos sutrikimai</w:t>
            </w:r>
          </w:p>
          <w:p w14:paraId="2C52B106" w14:textId="77777777" w:rsidR="00174675" w:rsidRPr="009B1F0F" w:rsidRDefault="00174675" w:rsidP="00FC0EEA">
            <w:pPr>
              <w:pStyle w:val="Pavadinimas"/>
              <w:outlineLvl w:val="9"/>
              <w:rPr>
                <w:highlight w:val="red"/>
              </w:rPr>
            </w:pPr>
          </w:p>
        </w:tc>
        <w:tc>
          <w:tcPr>
            <w:tcW w:w="2662" w:type="dxa"/>
          </w:tcPr>
          <w:p w14:paraId="7B5E03E0" w14:textId="77777777" w:rsidR="00174675" w:rsidRPr="009B1F0F" w:rsidRDefault="00790CB0" w:rsidP="00FC0EEA">
            <w:pPr>
              <w:rPr>
                <w:szCs w:val="22"/>
              </w:rPr>
            </w:pPr>
            <w:r>
              <w:rPr>
                <w:szCs w:val="22"/>
              </w:rPr>
              <w:t>Alergi</w:t>
            </w:r>
            <w:r w:rsidR="008246CC">
              <w:rPr>
                <w:szCs w:val="22"/>
              </w:rPr>
              <w:t>ja (išskyrus</w:t>
            </w:r>
            <w:r>
              <w:rPr>
                <w:szCs w:val="22"/>
              </w:rPr>
              <w:t xml:space="preserve"> angioneurozinę edemą)</w:t>
            </w:r>
          </w:p>
        </w:tc>
        <w:tc>
          <w:tcPr>
            <w:tcW w:w="2268" w:type="dxa"/>
          </w:tcPr>
          <w:p w14:paraId="60C79A44" w14:textId="77777777" w:rsidR="00174675" w:rsidRPr="009B1F0F" w:rsidRDefault="00174675" w:rsidP="00FC0EEA">
            <w:pPr>
              <w:rPr>
                <w:i/>
                <w:szCs w:val="22"/>
              </w:rPr>
            </w:pPr>
            <w:r>
              <w:rPr>
                <w:szCs w:val="22"/>
              </w:rPr>
              <w:t>Anafilaksin</w:t>
            </w:r>
            <w:r w:rsidR="00790CB0">
              <w:rPr>
                <w:szCs w:val="22"/>
              </w:rPr>
              <w:t>i</w:t>
            </w:r>
            <w:r>
              <w:rPr>
                <w:szCs w:val="22"/>
              </w:rPr>
              <w:t xml:space="preserve">s </w:t>
            </w:r>
            <w:r w:rsidR="00790CB0" w:rsidRPr="00E913A5">
              <w:rPr>
                <w:szCs w:val="22"/>
              </w:rPr>
              <w:t>šokas</w:t>
            </w:r>
            <w:r>
              <w:rPr>
                <w:szCs w:val="22"/>
              </w:rPr>
              <w:t xml:space="preserve">, </w:t>
            </w:r>
            <w:r w:rsidRPr="00E913A5">
              <w:rPr>
                <w:szCs w:val="22"/>
              </w:rPr>
              <w:t>padidėjusio jautrumo reakcij</w:t>
            </w:r>
            <w:r w:rsidR="00790CB0">
              <w:rPr>
                <w:szCs w:val="22"/>
              </w:rPr>
              <w:t>a (reikalaujanti gydymo nutraukimo)</w:t>
            </w:r>
          </w:p>
        </w:tc>
        <w:tc>
          <w:tcPr>
            <w:tcW w:w="2120" w:type="dxa"/>
          </w:tcPr>
          <w:p w14:paraId="64760023" w14:textId="77777777" w:rsidR="00174675" w:rsidRDefault="00174675" w:rsidP="00FC0EEA">
            <w:pPr>
              <w:rPr>
                <w:szCs w:val="22"/>
              </w:rPr>
            </w:pPr>
          </w:p>
        </w:tc>
      </w:tr>
      <w:tr w:rsidR="006558CA" w:rsidRPr="009B1F0F" w14:paraId="1BFD361F" w14:textId="77777777" w:rsidTr="008246CC">
        <w:trPr>
          <w:trHeight w:val="538"/>
        </w:trPr>
        <w:tc>
          <w:tcPr>
            <w:tcW w:w="2578" w:type="dxa"/>
          </w:tcPr>
          <w:p w14:paraId="21D34FC4" w14:textId="77777777" w:rsidR="00174675" w:rsidRPr="00790CB0" w:rsidRDefault="00174675" w:rsidP="00FC0EEA">
            <w:pPr>
              <w:rPr>
                <w:b/>
                <w:bCs/>
                <w:szCs w:val="22"/>
              </w:rPr>
            </w:pPr>
            <w:r w:rsidRPr="00790CB0">
              <w:rPr>
                <w:b/>
                <w:bCs/>
                <w:szCs w:val="22"/>
              </w:rPr>
              <w:t>Metabolizmo ir mitybos sutrikimai</w:t>
            </w:r>
          </w:p>
          <w:p w14:paraId="42A7CC0C" w14:textId="77777777" w:rsidR="00174675" w:rsidRPr="00790CB0" w:rsidRDefault="00174675" w:rsidP="00FC0EEA">
            <w:pPr>
              <w:rPr>
                <w:b/>
                <w:bCs/>
                <w:szCs w:val="22"/>
              </w:rPr>
            </w:pPr>
          </w:p>
        </w:tc>
        <w:tc>
          <w:tcPr>
            <w:tcW w:w="2662" w:type="dxa"/>
          </w:tcPr>
          <w:p w14:paraId="3A4BCAE4" w14:textId="77777777" w:rsidR="00174675" w:rsidRPr="009B1F0F" w:rsidRDefault="00174675" w:rsidP="00FC0EEA">
            <w:pPr>
              <w:rPr>
                <w:szCs w:val="22"/>
              </w:rPr>
            </w:pPr>
          </w:p>
        </w:tc>
        <w:tc>
          <w:tcPr>
            <w:tcW w:w="2268" w:type="dxa"/>
          </w:tcPr>
          <w:p w14:paraId="08B36133" w14:textId="77777777" w:rsidR="00174675" w:rsidRPr="009B1F0F" w:rsidRDefault="00174675" w:rsidP="00FC0EEA">
            <w:pPr>
              <w:rPr>
                <w:szCs w:val="22"/>
              </w:rPr>
            </w:pPr>
            <w:r w:rsidRPr="009B1F0F">
              <w:rPr>
                <w:szCs w:val="22"/>
              </w:rPr>
              <w:t>Hipoglikemija</w:t>
            </w:r>
            <w:r w:rsidR="00790CB0">
              <w:rPr>
                <w:szCs w:val="22"/>
              </w:rPr>
              <w:t xml:space="preserve">, </w:t>
            </w:r>
            <w:r w:rsidR="00790CB0" w:rsidRPr="00790CB0">
              <w:rPr>
                <w:szCs w:val="22"/>
              </w:rPr>
              <w:t>labai ret</w:t>
            </w:r>
            <w:r w:rsidR="00790CB0">
              <w:rPr>
                <w:szCs w:val="22"/>
              </w:rPr>
              <w:t>i</w:t>
            </w:r>
            <w:r w:rsidR="00790CB0" w:rsidRPr="00790CB0">
              <w:rPr>
                <w:szCs w:val="22"/>
              </w:rPr>
              <w:t xml:space="preserve"> dideli</w:t>
            </w:r>
            <w:r w:rsidR="00790CB0">
              <w:rPr>
                <w:szCs w:val="22"/>
              </w:rPr>
              <w:t>o</w:t>
            </w:r>
            <w:r w:rsidR="00790CB0" w:rsidRPr="00790CB0">
              <w:rPr>
                <w:szCs w:val="22"/>
              </w:rPr>
              <w:t xml:space="preserve"> anijonų tarp</w:t>
            </w:r>
            <w:r w:rsidR="00790CB0">
              <w:rPr>
                <w:szCs w:val="22"/>
              </w:rPr>
              <w:t>o</w:t>
            </w:r>
            <w:r w:rsidR="00790CB0" w:rsidRPr="00790CB0">
              <w:rPr>
                <w:szCs w:val="22"/>
              </w:rPr>
              <w:t xml:space="preserve"> metabolinė</w:t>
            </w:r>
            <w:r w:rsidR="00790CB0">
              <w:rPr>
                <w:szCs w:val="22"/>
              </w:rPr>
              <w:t>s</w:t>
            </w:r>
            <w:r w:rsidR="00790CB0" w:rsidRPr="00790CB0">
              <w:rPr>
                <w:szCs w:val="22"/>
              </w:rPr>
              <w:t xml:space="preserve"> acidozė</w:t>
            </w:r>
            <w:r w:rsidR="00790CB0">
              <w:rPr>
                <w:szCs w:val="22"/>
              </w:rPr>
              <w:t>s</w:t>
            </w:r>
            <w:r w:rsidR="00790CB0" w:rsidRPr="00790CB0">
              <w:rPr>
                <w:szCs w:val="22"/>
              </w:rPr>
              <w:t xml:space="preserve"> atvejai, kai kartu su paracetamoliu vartojama </w:t>
            </w:r>
            <w:r w:rsidR="005B6249">
              <w:rPr>
                <w:szCs w:val="22"/>
              </w:rPr>
              <w:t>f</w:t>
            </w:r>
            <w:r w:rsidR="00790CB0" w:rsidRPr="00790CB0">
              <w:rPr>
                <w:szCs w:val="22"/>
              </w:rPr>
              <w:t>lukloksacilin</w:t>
            </w:r>
            <w:r w:rsidR="00790CB0">
              <w:rPr>
                <w:szCs w:val="22"/>
              </w:rPr>
              <w:t>o</w:t>
            </w:r>
            <w:r w:rsidR="00790CB0" w:rsidRPr="00790CB0">
              <w:rPr>
                <w:szCs w:val="22"/>
              </w:rPr>
              <w:t xml:space="preserve">, paprastai esant rizikos </w:t>
            </w:r>
            <w:r w:rsidR="00790CB0" w:rsidRPr="00790CB0">
              <w:rPr>
                <w:szCs w:val="22"/>
              </w:rPr>
              <w:lastRenderedPageBreak/>
              <w:t>veiksniams (žr. 4.4 skyrių).</w:t>
            </w:r>
          </w:p>
        </w:tc>
        <w:tc>
          <w:tcPr>
            <w:tcW w:w="2120" w:type="dxa"/>
          </w:tcPr>
          <w:p w14:paraId="64A4A93B" w14:textId="422B3175" w:rsidR="00174675" w:rsidRPr="009B1F0F" w:rsidRDefault="001A326C" w:rsidP="00FC0EEA">
            <w:pPr>
              <w:rPr>
                <w:szCs w:val="22"/>
              </w:rPr>
            </w:pPr>
            <w:r w:rsidRPr="001A326C">
              <w:rPr>
                <w:szCs w:val="22"/>
              </w:rPr>
              <w:lastRenderedPageBreak/>
              <w:t>Padidėjęs anijoninis tarpas esant metabolinei acidozei</w:t>
            </w:r>
          </w:p>
        </w:tc>
      </w:tr>
      <w:tr w:rsidR="006558CA" w:rsidRPr="009B1F0F" w14:paraId="397416BA" w14:textId="77777777" w:rsidTr="00432612">
        <w:trPr>
          <w:trHeight w:val="538"/>
        </w:trPr>
        <w:tc>
          <w:tcPr>
            <w:tcW w:w="2578" w:type="dxa"/>
          </w:tcPr>
          <w:p w14:paraId="5C11F623" w14:textId="77777777" w:rsidR="00174675" w:rsidRPr="00790CB0" w:rsidRDefault="00174675" w:rsidP="00FC0EEA">
            <w:pPr>
              <w:rPr>
                <w:b/>
                <w:bCs/>
                <w:szCs w:val="22"/>
              </w:rPr>
            </w:pPr>
            <w:r w:rsidRPr="00790CB0">
              <w:rPr>
                <w:b/>
                <w:bCs/>
                <w:szCs w:val="22"/>
              </w:rPr>
              <w:t>Psichikos sutrikimai</w:t>
            </w:r>
          </w:p>
          <w:p w14:paraId="381C835E" w14:textId="77777777" w:rsidR="00174675" w:rsidRPr="00790CB0" w:rsidRDefault="00174675" w:rsidP="00FC0EEA">
            <w:pPr>
              <w:rPr>
                <w:b/>
                <w:bCs/>
                <w:szCs w:val="22"/>
              </w:rPr>
            </w:pPr>
          </w:p>
        </w:tc>
        <w:tc>
          <w:tcPr>
            <w:tcW w:w="2662" w:type="dxa"/>
          </w:tcPr>
          <w:p w14:paraId="38E88125" w14:textId="77777777" w:rsidR="00174675" w:rsidRPr="009B1F0F" w:rsidRDefault="00790CB0" w:rsidP="00FC0EEA">
            <w:pPr>
              <w:rPr>
                <w:szCs w:val="22"/>
              </w:rPr>
            </w:pPr>
            <w:r w:rsidRPr="009B1F0F">
              <w:rPr>
                <w:szCs w:val="22"/>
              </w:rPr>
              <w:t xml:space="preserve">Depresija (NOS), </w:t>
            </w:r>
            <w:r w:rsidR="008246CC">
              <w:rPr>
                <w:szCs w:val="22"/>
              </w:rPr>
              <w:t xml:space="preserve">sumišimas, </w:t>
            </w:r>
            <w:r w:rsidRPr="009B1F0F">
              <w:rPr>
                <w:szCs w:val="22"/>
              </w:rPr>
              <w:t>haliucinacijos</w:t>
            </w:r>
          </w:p>
        </w:tc>
        <w:tc>
          <w:tcPr>
            <w:tcW w:w="2268" w:type="dxa"/>
            <w:tcBorders>
              <w:bottom w:val="single" w:sz="4" w:space="0" w:color="auto"/>
            </w:tcBorders>
          </w:tcPr>
          <w:p w14:paraId="4AAF33AB" w14:textId="77777777" w:rsidR="00174675" w:rsidRPr="009B1F0F" w:rsidRDefault="00174675" w:rsidP="00FC0EEA">
            <w:pPr>
              <w:rPr>
                <w:szCs w:val="22"/>
              </w:rPr>
            </w:pPr>
          </w:p>
        </w:tc>
        <w:tc>
          <w:tcPr>
            <w:tcW w:w="2120" w:type="dxa"/>
            <w:tcBorders>
              <w:bottom w:val="single" w:sz="4" w:space="0" w:color="auto"/>
            </w:tcBorders>
          </w:tcPr>
          <w:p w14:paraId="3E5E0F0C" w14:textId="77777777" w:rsidR="00174675" w:rsidRPr="009B1F0F" w:rsidRDefault="00174675" w:rsidP="00FC0EEA">
            <w:pPr>
              <w:rPr>
                <w:szCs w:val="22"/>
              </w:rPr>
            </w:pPr>
          </w:p>
        </w:tc>
      </w:tr>
      <w:tr w:rsidR="006558CA" w:rsidRPr="009B1F0F" w14:paraId="7A752933" w14:textId="77777777" w:rsidTr="00432612">
        <w:trPr>
          <w:trHeight w:val="338"/>
        </w:trPr>
        <w:tc>
          <w:tcPr>
            <w:tcW w:w="2578" w:type="dxa"/>
            <w:vMerge w:val="restart"/>
          </w:tcPr>
          <w:p w14:paraId="3598AF78" w14:textId="77777777" w:rsidR="006558CA" w:rsidRPr="00790CB0" w:rsidRDefault="006558CA" w:rsidP="00FC0EEA">
            <w:pPr>
              <w:rPr>
                <w:b/>
                <w:bCs/>
                <w:szCs w:val="22"/>
              </w:rPr>
            </w:pPr>
            <w:r w:rsidRPr="00790CB0">
              <w:rPr>
                <w:b/>
                <w:bCs/>
                <w:szCs w:val="22"/>
              </w:rPr>
              <w:t>Nervų sistemos sutrikimai</w:t>
            </w:r>
          </w:p>
          <w:p w14:paraId="3D905686" w14:textId="77777777" w:rsidR="006558CA" w:rsidRPr="009B1F0F" w:rsidRDefault="006558CA" w:rsidP="00FC0EEA">
            <w:pPr>
              <w:rPr>
                <w:szCs w:val="22"/>
              </w:rPr>
            </w:pPr>
          </w:p>
        </w:tc>
        <w:tc>
          <w:tcPr>
            <w:tcW w:w="2662" w:type="dxa"/>
            <w:vMerge w:val="restart"/>
          </w:tcPr>
          <w:p w14:paraId="65543AE7" w14:textId="77777777" w:rsidR="006558CA" w:rsidRPr="009B1F0F" w:rsidRDefault="006558CA" w:rsidP="00FC0EEA">
            <w:pPr>
              <w:rPr>
                <w:szCs w:val="22"/>
              </w:rPr>
            </w:pPr>
            <w:r w:rsidRPr="009B1F0F">
              <w:rPr>
                <w:szCs w:val="22"/>
              </w:rPr>
              <w:t>Tremoras (NOS), galvos skausmas (NOS)</w:t>
            </w:r>
          </w:p>
        </w:tc>
        <w:tc>
          <w:tcPr>
            <w:tcW w:w="2268" w:type="dxa"/>
            <w:tcBorders>
              <w:bottom w:val="nil"/>
            </w:tcBorders>
          </w:tcPr>
          <w:p w14:paraId="6B64A328" w14:textId="77777777" w:rsidR="006558CA" w:rsidRPr="009B1F0F" w:rsidRDefault="006558CA" w:rsidP="00FC0EEA">
            <w:pPr>
              <w:rPr>
                <w:szCs w:val="22"/>
              </w:rPr>
            </w:pPr>
          </w:p>
        </w:tc>
        <w:tc>
          <w:tcPr>
            <w:tcW w:w="2120" w:type="dxa"/>
            <w:tcBorders>
              <w:bottom w:val="nil"/>
            </w:tcBorders>
          </w:tcPr>
          <w:p w14:paraId="0ED41D4F" w14:textId="77777777" w:rsidR="006558CA" w:rsidRDefault="006558CA" w:rsidP="00FC0EEA"/>
        </w:tc>
      </w:tr>
      <w:tr w:rsidR="006558CA" w:rsidRPr="009B1F0F" w14:paraId="3F21020D" w14:textId="77777777" w:rsidTr="00432612">
        <w:trPr>
          <w:trHeight w:val="338"/>
        </w:trPr>
        <w:tc>
          <w:tcPr>
            <w:tcW w:w="2578" w:type="dxa"/>
            <w:vMerge/>
          </w:tcPr>
          <w:p w14:paraId="7BBA90FF" w14:textId="77777777" w:rsidR="006558CA" w:rsidRPr="009B1F0F" w:rsidRDefault="006558CA" w:rsidP="00FC0EEA">
            <w:pPr>
              <w:rPr>
                <w:szCs w:val="22"/>
              </w:rPr>
            </w:pPr>
          </w:p>
        </w:tc>
        <w:tc>
          <w:tcPr>
            <w:tcW w:w="2662" w:type="dxa"/>
            <w:vMerge/>
          </w:tcPr>
          <w:p w14:paraId="3F597010" w14:textId="77777777" w:rsidR="006558CA" w:rsidRPr="009B1F0F" w:rsidDel="00E913A5" w:rsidRDefault="006558CA" w:rsidP="00FC0EEA">
            <w:pPr>
              <w:rPr>
                <w:szCs w:val="22"/>
              </w:rPr>
            </w:pPr>
          </w:p>
        </w:tc>
        <w:tc>
          <w:tcPr>
            <w:tcW w:w="2268" w:type="dxa"/>
            <w:tcBorders>
              <w:top w:val="nil"/>
              <w:bottom w:val="single" w:sz="4" w:space="0" w:color="auto"/>
            </w:tcBorders>
          </w:tcPr>
          <w:p w14:paraId="652CDF2A" w14:textId="77777777" w:rsidR="006558CA" w:rsidRPr="009B1F0F" w:rsidRDefault="006558CA" w:rsidP="00FC0EEA">
            <w:pPr>
              <w:rPr>
                <w:szCs w:val="22"/>
              </w:rPr>
            </w:pPr>
          </w:p>
        </w:tc>
        <w:tc>
          <w:tcPr>
            <w:tcW w:w="2120" w:type="dxa"/>
            <w:tcBorders>
              <w:top w:val="nil"/>
              <w:bottom w:val="single" w:sz="4" w:space="0" w:color="auto"/>
            </w:tcBorders>
          </w:tcPr>
          <w:p w14:paraId="057A47CC" w14:textId="77777777" w:rsidR="006558CA" w:rsidRPr="009B1F0F" w:rsidRDefault="006558CA" w:rsidP="00FC0EEA">
            <w:pPr>
              <w:rPr>
                <w:szCs w:val="22"/>
              </w:rPr>
            </w:pPr>
          </w:p>
        </w:tc>
      </w:tr>
      <w:tr w:rsidR="006558CA" w:rsidRPr="009B1F0F" w14:paraId="03E22DEB" w14:textId="77777777" w:rsidTr="00432612">
        <w:trPr>
          <w:trHeight w:val="538"/>
        </w:trPr>
        <w:tc>
          <w:tcPr>
            <w:tcW w:w="2578" w:type="dxa"/>
          </w:tcPr>
          <w:p w14:paraId="70587540" w14:textId="77777777" w:rsidR="00174675" w:rsidRPr="006558CA" w:rsidRDefault="00174675" w:rsidP="00FC0EEA">
            <w:pPr>
              <w:rPr>
                <w:b/>
                <w:bCs/>
                <w:szCs w:val="22"/>
              </w:rPr>
            </w:pPr>
            <w:r w:rsidRPr="006558CA">
              <w:rPr>
                <w:b/>
                <w:bCs/>
                <w:szCs w:val="22"/>
              </w:rPr>
              <w:t>Akių sutrikimai</w:t>
            </w:r>
          </w:p>
        </w:tc>
        <w:tc>
          <w:tcPr>
            <w:tcW w:w="2662" w:type="dxa"/>
          </w:tcPr>
          <w:p w14:paraId="0C9711DD" w14:textId="77777777" w:rsidR="00174675" w:rsidRPr="009B1F0F" w:rsidRDefault="006558CA" w:rsidP="00FC0EEA">
            <w:pPr>
              <w:rPr>
                <w:szCs w:val="22"/>
              </w:rPr>
            </w:pPr>
            <w:r w:rsidRPr="006558CA">
              <w:rPr>
                <w:szCs w:val="22"/>
              </w:rPr>
              <w:t>Nenormalus regėjimas</w:t>
            </w:r>
          </w:p>
        </w:tc>
        <w:tc>
          <w:tcPr>
            <w:tcW w:w="2268" w:type="dxa"/>
            <w:tcBorders>
              <w:top w:val="single" w:sz="4" w:space="0" w:color="auto"/>
            </w:tcBorders>
          </w:tcPr>
          <w:p w14:paraId="1A94F745" w14:textId="77777777" w:rsidR="00174675" w:rsidRPr="009B1F0F" w:rsidRDefault="00174675" w:rsidP="00FC0EEA">
            <w:pPr>
              <w:rPr>
                <w:szCs w:val="22"/>
              </w:rPr>
            </w:pPr>
          </w:p>
        </w:tc>
        <w:tc>
          <w:tcPr>
            <w:tcW w:w="2120" w:type="dxa"/>
            <w:tcBorders>
              <w:top w:val="single" w:sz="4" w:space="0" w:color="auto"/>
            </w:tcBorders>
          </w:tcPr>
          <w:p w14:paraId="5FDEDD71" w14:textId="77777777" w:rsidR="00174675" w:rsidRPr="009B1F0F" w:rsidRDefault="00174675" w:rsidP="00FC0EEA">
            <w:pPr>
              <w:rPr>
                <w:szCs w:val="22"/>
              </w:rPr>
            </w:pPr>
          </w:p>
        </w:tc>
      </w:tr>
      <w:tr w:rsidR="006558CA" w:rsidRPr="009B1F0F" w14:paraId="0734C148" w14:textId="77777777" w:rsidTr="008246CC">
        <w:trPr>
          <w:trHeight w:val="538"/>
        </w:trPr>
        <w:tc>
          <w:tcPr>
            <w:tcW w:w="2578" w:type="dxa"/>
          </w:tcPr>
          <w:p w14:paraId="17083923" w14:textId="77777777" w:rsidR="006558CA" w:rsidRPr="00153901" w:rsidRDefault="006558CA" w:rsidP="00FC0EEA">
            <w:pPr>
              <w:pStyle w:val="Pavadinimas"/>
              <w:outlineLvl w:val="9"/>
            </w:pPr>
            <w:r w:rsidRPr="00153901">
              <w:t xml:space="preserve">Kvėpavimo sistemos, krūtinės ląstos ir tarpuplaučio sutrikimai </w:t>
            </w:r>
          </w:p>
          <w:p w14:paraId="3184A000" w14:textId="77777777" w:rsidR="006558CA" w:rsidRPr="006558CA" w:rsidRDefault="006558CA" w:rsidP="00FC0EEA">
            <w:pPr>
              <w:rPr>
                <w:b/>
                <w:bCs/>
                <w:szCs w:val="22"/>
              </w:rPr>
            </w:pPr>
          </w:p>
        </w:tc>
        <w:tc>
          <w:tcPr>
            <w:tcW w:w="2662" w:type="dxa"/>
          </w:tcPr>
          <w:p w14:paraId="47FAE0E3" w14:textId="77777777" w:rsidR="006558CA" w:rsidRPr="006558CA" w:rsidRDefault="006558CA" w:rsidP="00FC0EEA">
            <w:pPr>
              <w:rPr>
                <w:szCs w:val="22"/>
              </w:rPr>
            </w:pPr>
          </w:p>
        </w:tc>
        <w:tc>
          <w:tcPr>
            <w:tcW w:w="2268" w:type="dxa"/>
          </w:tcPr>
          <w:p w14:paraId="7E9249D7" w14:textId="77777777" w:rsidR="006558CA" w:rsidRPr="009B1F0F" w:rsidRDefault="006558CA" w:rsidP="00FC0EEA">
            <w:pPr>
              <w:rPr>
                <w:szCs w:val="22"/>
              </w:rPr>
            </w:pPr>
            <w:r>
              <w:rPr>
                <w:szCs w:val="22"/>
              </w:rPr>
              <w:t>B</w:t>
            </w:r>
            <w:r w:rsidRPr="00641B85">
              <w:rPr>
                <w:szCs w:val="22"/>
              </w:rPr>
              <w:t>ronchų spazma</w:t>
            </w:r>
            <w:r w:rsidR="008246CC">
              <w:rPr>
                <w:szCs w:val="22"/>
              </w:rPr>
              <w:t>s</w:t>
            </w:r>
            <w:r w:rsidRPr="00641B85">
              <w:rPr>
                <w:szCs w:val="22"/>
              </w:rPr>
              <w:t xml:space="preserve"> </w:t>
            </w:r>
          </w:p>
        </w:tc>
        <w:tc>
          <w:tcPr>
            <w:tcW w:w="2120" w:type="dxa"/>
          </w:tcPr>
          <w:p w14:paraId="4D27B417" w14:textId="77777777" w:rsidR="006558CA" w:rsidRPr="009B1F0F" w:rsidRDefault="006558CA" w:rsidP="00FC0EEA">
            <w:pPr>
              <w:rPr>
                <w:szCs w:val="22"/>
              </w:rPr>
            </w:pPr>
          </w:p>
        </w:tc>
      </w:tr>
      <w:tr w:rsidR="006558CA" w:rsidRPr="009B1F0F" w14:paraId="299761F7" w14:textId="77777777" w:rsidTr="008246CC">
        <w:trPr>
          <w:trHeight w:val="538"/>
        </w:trPr>
        <w:tc>
          <w:tcPr>
            <w:tcW w:w="2578" w:type="dxa"/>
          </w:tcPr>
          <w:p w14:paraId="0DE7A25A" w14:textId="77777777" w:rsidR="006558CA" w:rsidRPr="00153901" w:rsidRDefault="006558CA" w:rsidP="00FC0EEA">
            <w:pPr>
              <w:pStyle w:val="Pavadinimas"/>
              <w:outlineLvl w:val="9"/>
            </w:pPr>
            <w:r w:rsidRPr="009B1F0F">
              <w:rPr>
                <w:szCs w:val="22"/>
              </w:rPr>
              <w:t>Virškinimo trakto sutrikimai</w:t>
            </w:r>
          </w:p>
        </w:tc>
        <w:tc>
          <w:tcPr>
            <w:tcW w:w="2662" w:type="dxa"/>
          </w:tcPr>
          <w:p w14:paraId="0A4C1D35" w14:textId="77777777" w:rsidR="006558CA" w:rsidRPr="006558CA" w:rsidRDefault="006558CA" w:rsidP="00FC0EEA">
            <w:pPr>
              <w:rPr>
                <w:szCs w:val="22"/>
              </w:rPr>
            </w:pPr>
            <w:r w:rsidRPr="009B1F0F">
              <w:rPr>
                <w:szCs w:val="22"/>
              </w:rPr>
              <w:t>Hemoragija</w:t>
            </w:r>
            <w:r>
              <w:rPr>
                <w:szCs w:val="22"/>
              </w:rPr>
              <w:t xml:space="preserve"> (NOS), </w:t>
            </w:r>
            <w:r w:rsidRPr="00641B85">
              <w:rPr>
                <w:szCs w:val="22"/>
              </w:rPr>
              <w:t xml:space="preserve">pilvo skausmas </w:t>
            </w:r>
            <w:r w:rsidR="008246CC">
              <w:rPr>
                <w:szCs w:val="22"/>
              </w:rPr>
              <w:t>(</w:t>
            </w:r>
            <w:r>
              <w:rPr>
                <w:szCs w:val="22"/>
              </w:rPr>
              <w:t>NOS</w:t>
            </w:r>
            <w:r w:rsidR="008246CC">
              <w:rPr>
                <w:szCs w:val="22"/>
              </w:rPr>
              <w:t>)</w:t>
            </w:r>
            <w:r>
              <w:rPr>
                <w:szCs w:val="22"/>
              </w:rPr>
              <w:t>, v</w:t>
            </w:r>
            <w:r w:rsidRPr="00641B85">
              <w:rPr>
                <w:szCs w:val="22"/>
              </w:rPr>
              <w:t>iduriavimas</w:t>
            </w:r>
            <w:r>
              <w:rPr>
                <w:szCs w:val="22"/>
              </w:rPr>
              <w:t xml:space="preserve"> </w:t>
            </w:r>
            <w:r w:rsidR="008246CC">
              <w:rPr>
                <w:szCs w:val="22"/>
              </w:rPr>
              <w:t>(</w:t>
            </w:r>
            <w:r>
              <w:rPr>
                <w:szCs w:val="22"/>
              </w:rPr>
              <w:t>NOS</w:t>
            </w:r>
            <w:r w:rsidR="008246CC">
              <w:rPr>
                <w:szCs w:val="22"/>
              </w:rPr>
              <w:t>)</w:t>
            </w:r>
            <w:r w:rsidRPr="00641B85">
              <w:rPr>
                <w:szCs w:val="22"/>
              </w:rPr>
              <w:t>,</w:t>
            </w:r>
            <w:r>
              <w:rPr>
                <w:szCs w:val="22"/>
              </w:rPr>
              <w:t xml:space="preserve"> p</w:t>
            </w:r>
            <w:r w:rsidRPr="009B1F0F">
              <w:rPr>
                <w:szCs w:val="22"/>
              </w:rPr>
              <w:t>ykinimas, vėmimas</w:t>
            </w:r>
          </w:p>
        </w:tc>
        <w:tc>
          <w:tcPr>
            <w:tcW w:w="2268" w:type="dxa"/>
          </w:tcPr>
          <w:p w14:paraId="25092ACF" w14:textId="77777777" w:rsidR="006558CA" w:rsidRDefault="006558CA" w:rsidP="00FC0EEA">
            <w:pPr>
              <w:rPr>
                <w:szCs w:val="22"/>
              </w:rPr>
            </w:pPr>
          </w:p>
        </w:tc>
        <w:tc>
          <w:tcPr>
            <w:tcW w:w="2120" w:type="dxa"/>
          </w:tcPr>
          <w:p w14:paraId="6BBC15A6" w14:textId="77777777" w:rsidR="006558CA" w:rsidRPr="009B1F0F" w:rsidRDefault="006558CA" w:rsidP="00FC0EEA">
            <w:pPr>
              <w:rPr>
                <w:szCs w:val="22"/>
              </w:rPr>
            </w:pPr>
          </w:p>
        </w:tc>
      </w:tr>
      <w:tr w:rsidR="008246CC" w:rsidRPr="009B1F0F" w14:paraId="5D0ED2BA" w14:textId="77777777" w:rsidTr="008246CC">
        <w:trPr>
          <w:trHeight w:val="538"/>
        </w:trPr>
        <w:tc>
          <w:tcPr>
            <w:tcW w:w="2578" w:type="dxa"/>
          </w:tcPr>
          <w:p w14:paraId="2F96007F" w14:textId="77777777" w:rsidR="006558CA" w:rsidRPr="009B1F0F" w:rsidRDefault="006558CA" w:rsidP="00FC0EEA">
            <w:pPr>
              <w:pStyle w:val="Pavadinimas"/>
              <w:outlineLvl w:val="9"/>
            </w:pPr>
            <w:r w:rsidRPr="009B1F0F">
              <w:t>Kepenų, tulžies pūslės ir latakų sutrikimai</w:t>
            </w:r>
          </w:p>
          <w:p w14:paraId="289DD1B8" w14:textId="77777777" w:rsidR="006558CA" w:rsidRPr="009B1F0F" w:rsidRDefault="006558CA" w:rsidP="00FC0EEA">
            <w:pPr>
              <w:pStyle w:val="Pavadinimas"/>
              <w:outlineLvl w:val="9"/>
              <w:rPr>
                <w:szCs w:val="22"/>
              </w:rPr>
            </w:pPr>
          </w:p>
        </w:tc>
        <w:tc>
          <w:tcPr>
            <w:tcW w:w="2662" w:type="dxa"/>
          </w:tcPr>
          <w:p w14:paraId="4983418E" w14:textId="77777777" w:rsidR="006558CA" w:rsidRPr="009B1F0F" w:rsidRDefault="006558CA" w:rsidP="00FC0EEA">
            <w:pPr>
              <w:rPr>
                <w:szCs w:val="22"/>
              </w:rPr>
            </w:pPr>
            <w:r w:rsidRPr="009B1F0F">
              <w:rPr>
                <w:szCs w:val="22"/>
              </w:rPr>
              <w:t>Kepenų funkcijos sutrikimas, kepenų nepakankamumas, kepenų nekrozė, gelta</w:t>
            </w:r>
          </w:p>
        </w:tc>
        <w:tc>
          <w:tcPr>
            <w:tcW w:w="2268" w:type="dxa"/>
          </w:tcPr>
          <w:p w14:paraId="4B76C9E3" w14:textId="77777777" w:rsidR="006558CA" w:rsidRDefault="006558CA" w:rsidP="00FC0EEA">
            <w:pPr>
              <w:rPr>
                <w:szCs w:val="22"/>
              </w:rPr>
            </w:pPr>
            <w:r w:rsidRPr="009B1F0F">
              <w:t>Toksinis poveikis kepenims</w:t>
            </w:r>
          </w:p>
        </w:tc>
        <w:tc>
          <w:tcPr>
            <w:tcW w:w="2120" w:type="dxa"/>
          </w:tcPr>
          <w:p w14:paraId="272BF97C" w14:textId="77777777" w:rsidR="006558CA" w:rsidRPr="009B1F0F" w:rsidRDefault="006558CA" w:rsidP="00FC0EEA">
            <w:pPr>
              <w:rPr>
                <w:szCs w:val="22"/>
              </w:rPr>
            </w:pPr>
          </w:p>
        </w:tc>
      </w:tr>
      <w:tr w:rsidR="008246CC" w:rsidRPr="009B1F0F" w14:paraId="0ACED60C" w14:textId="77777777" w:rsidTr="008246CC">
        <w:trPr>
          <w:trHeight w:val="538"/>
        </w:trPr>
        <w:tc>
          <w:tcPr>
            <w:tcW w:w="2578" w:type="dxa"/>
          </w:tcPr>
          <w:p w14:paraId="1CB70AC1" w14:textId="77777777" w:rsidR="006558CA" w:rsidRPr="009B1F0F" w:rsidRDefault="006558CA" w:rsidP="00FC0EEA">
            <w:pPr>
              <w:pStyle w:val="Pavadinimas"/>
              <w:outlineLvl w:val="9"/>
            </w:pPr>
            <w:r w:rsidRPr="009B1F0F">
              <w:t>Odos ir poodinio audinio sutrikimai</w:t>
            </w:r>
          </w:p>
          <w:p w14:paraId="35245825" w14:textId="77777777" w:rsidR="006558CA" w:rsidRPr="009B1F0F" w:rsidRDefault="006558CA" w:rsidP="00FC0EEA">
            <w:pPr>
              <w:pStyle w:val="Pavadinimas"/>
              <w:outlineLvl w:val="9"/>
            </w:pPr>
          </w:p>
        </w:tc>
        <w:tc>
          <w:tcPr>
            <w:tcW w:w="2662" w:type="dxa"/>
          </w:tcPr>
          <w:p w14:paraId="4E56489A" w14:textId="295ABA0A" w:rsidR="006558CA" w:rsidRPr="009B1F0F" w:rsidRDefault="006558CA" w:rsidP="00FC0EEA">
            <w:pPr>
              <w:rPr>
                <w:szCs w:val="22"/>
              </w:rPr>
            </w:pPr>
            <w:r w:rsidRPr="009B1F0F">
              <w:t>Niež</w:t>
            </w:r>
            <w:r w:rsidR="005B6249">
              <w:t>ėjimas</w:t>
            </w:r>
            <w:r w:rsidRPr="009B1F0F">
              <w:t xml:space="preserve">, išbėrimas, </w:t>
            </w:r>
            <w:r>
              <w:t xml:space="preserve">angioneurozinė edema, </w:t>
            </w:r>
            <w:r w:rsidRPr="009B1F0F">
              <w:t>dilgėlinė</w:t>
            </w:r>
            <w:r>
              <w:t>,</w:t>
            </w:r>
            <w:r w:rsidRPr="009B1F0F">
              <w:t xml:space="preserve"> prakaitavimas, purpura</w:t>
            </w:r>
          </w:p>
        </w:tc>
        <w:tc>
          <w:tcPr>
            <w:tcW w:w="2268" w:type="dxa"/>
          </w:tcPr>
          <w:p w14:paraId="5F2C0885" w14:textId="77777777" w:rsidR="006558CA" w:rsidRPr="009B1F0F" w:rsidRDefault="00380437" w:rsidP="00FC0EEA">
            <w:r>
              <w:t>Ū</w:t>
            </w:r>
            <w:r w:rsidRPr="00380437">
              <w:t>minė išplitusi pustulinė egzantema</w:t>
            </w:r>
          </w:p>
        </w:tc>
        <w:tc>
          <w:tcPr>
            <w:tcW w:w="2120" w:type="dxa"/>
          </w:tcPr>
          <w:p w14:paraId="374FC895" w14:textId="77777777" w:rsidR="006558CA" w:rsidRPr="009B1F0F" w:rsidRDefault="00380437" w:rsidP="00FC0EEA">
            <w:pPr>
              <w:rPr>
                <w:szCs w:val="22"/>
              </w:rPr>
            </w:pPr>
            <w:r w:rsidRPr="00380437">
              <w:rPr>
                <w:szCs w:val="22"/>
              </w:rPr>
              <w:t xml:space="preserve">Stivenso-Džonsono </w:t>
            </w:r>
            <w:r>
              <w:rPr>
                <w:szCs w:val="22"/>
              </w:rPr>
              <w:t>(</w:t>
            </w:r>
            <w:r w:rsidRPr="00380437">
              <w:rPr>
                <w:i/>
                <w:iCs/>
                <w:color w:val="000000"/>
                <w:szCs w:val="22"/>
              </w:rPr>
              <w:t>Stevens-Johnson</w:t>
            </w:r>
            <w:r>
              <w:rPr>
                <w:color w:val="000000"/>
                <w:szCs w:val="22"/>
              </w:rPr>
              <w:t xml:space="preserve">) </w:t>
            </w:r>
            <w:r w:rsidRPr="00380437">
              <w:rPr>
                <w:szCs w:val="22"/>
              </w:rPr>
              <w:t>sindromas, toksinė epidermio nekrolizė</w:t>
            </w:r>
          </w:p>
        </w:tc>
      </w:tr>
      <w:tr w:rsidR="00380437" w:rsidRPr="009B1F0F" w14:paraId="7B129782" w14:textId="77777777" w:rsidTr="008246CC">
        <w:trPr>
          <w:trHeight w:val="538"/>
        </w:trPr>
        <w:tc>
          <w:tcPr>
            <w:tcW w:w="2578" w:type="dxa"/>
          </w:tcPr>
          <w:p w14:paraId="3BF63CA3" w14:textId="77777777" w:rsidR="00380437" w:rsidRPr="009B1F0F" w:rsidRDefault="00380437" w:rsidP="00FC0EEA">
            <w:pPr>
              <w:pStyle w:val="Pavadinimas"/>
              <w:outlineLvl w:val="9"/>
            </w:pPr>
            <w:r w:rsidRPr="009B1F0F">
              <w:t xml:space="preserve">Inkstų ir šlapimo takų sutrikimai </w:t>
            </w:r>
          </w:p>
          <w:p w14:paraId="70810E7B" w14:textId="77777777" w:rsidR="00380437" w:rsidRPr="009B1F0F" w:rsidRDefault="00380437" w:rsidP="00FC0EEA">
            <w:pPr>
              <w:pStyle w:val="Pavadinimas"/>
              <w:outlineLvl w:val="9"/>
            </w:pPr>
          </w:p>
        </w:tc>
        <w:tc>
          <w:tcPr>
            <w:tcW w:w="2662" w:type="dxa"/>
          </w:tcPr>
          <w:p w14:paraId="221579A6" w14:textId="77777777" w:rsidR="00380437" w:rsidRPr="009B1F0F" w:rsidRDefault="00380437" w:rsidP="00FC0EEA"/>
        </w:tc>
        <w:tc>
          <w:tcPr>
            <w:tcW w:w="2268" w:type="dxa"/>
          </w:tcPr>
          <w:p w14:paraId="2CE89D9D" w14:textId="77777777" w:rsidR="00380437" w:rsidRDefault="00380437" w:rsidP="00FC0EEA">
            <w:r w:rsidRPr="009B1F0F">
              <w:rPr>
                <w:szCs w:val="22"/>
              </w:rPr>
              <w:t xml:space="preserve">Sterili piurija (drumstas šlapimas) ir </w:t>
            </w:r>
            <w:r>
              <w:rPr>
                <w:szCs w:val="22"/>
              </w:rPr>
              <w:t>inkstų sutrikimai</w:t>
            </w:r>
          </w:p>
        </w:tc>
        <w:tc>
          <w:tcPr>
            <w:tcW w:w="2120" w:type="dxa"/>
          </w:tcPr>
          <w:p w14:paraId="72F34E5F" w14:textId="77777777" w:rsidR="00380437" w:rsidRPr="00380437" w:rsidRDefault="00380437" w:rsidP="00FC0EEA">
            <w:pPr>
              <w:rPr>
                <w:szCs w:val="22"/>
              </w:rPr>
            </w:pPr>
          </w:p>
        </w:tc>
      </w:tr>
      <w:tr w:rsidR="00380437" w:rsidRPr="009B1F0F" w14:paraId="442C0E02" w14:textId="77777777" w:rsidTr="008246CC">
        <w:trPr>
          <w:trHeight w:val="538"/>
        </w:trPr>
        <w:tc>
          <w:tcPr>
            <w:tcW w:w="2578" w:type="dxa"/>
          </w:tcPr>
          <w:p w14:paraId="134B3FF4" w14:textId="77777777" w:rsidR="00380437" w:rsidRPr="009B1F0F" w:rsidRDefault="00380437" w:rsidP="00FC0EEA">
            <w:pPr>
              <w:pStyle w:val="Pavadinimas"/>
              <w:outlineLvl w:val="9"/>
            </w:pPr>
            <w:r w:rsidRPr="009B1F0F">
              <w:t>Bendrieji sutrikimai ir vartojimo vietos pažeidimai</w:t>
            </w:r>
          </w:p>
        </w:tc>
        <w:tc>
          <w:tcPr>
            <w:tcW w:w="2662" w:type="dxa"/>
          </w:tcPr>
          <w:p w14:paraId="48E13281" w14:textId="77777777" w:rsidR="00380437" w:rsidRPr="009B1F0F" w:rsidRDefault="00380437" w:rsidP="00FC0EEA">
            <w:r>
              <w:t>Edema, hipertermija</w:t>
            </w:r>
          </w:p>
        </w:tc>
        <w:tc>
          <w:tcPr>
            <w:tcW w:w="2268" w:type="dxa"/>
          </w:tcPr>
          <w:p w14:paraId="025B67EB" w14:textId="77777777" w:rsidR="00380437" w:rsidRPr="009B1F0F" w:rsidRDefault="00380437" w:rsidP="00FC0EEA">
            <w:pPr>
              <w:rPr>
                <w:szCs w:val="22"/>
              </w:rPr>
            </w:pPr>
            <w:r>
              <w:rPr>
                <w:szCs w:val="22"/>
              </w:rPr>
              <w:t xml:space="preserve">Svaigulys (išskyrus vertigo), negalavimas, sedacija, vaistinių preparatų sąveika </w:t>
            </w:r>
            <w:r w:rsidR="008246CC">
              <w:rPr>
                <w:szCs w:val="22"/>
              </w:rPr>
              <w:t>(</w:t>
            </w:r>
            <w:r>
              <w:rPr>
                <w:szCs w:val="22"/>
              </w:rPr>
              <w:t>NOS</w:t>
            </w:r>
            <w:r w:rsidR="008246CC">
              <w:rPr>
                <w:szCs w:val="22"/>
              </w:rPr>
              <w:t>)</w:t>
            </w:r>
          </w:p>
        </w:tc>
        <w:tc>
          <w:tcPr>
            <w:tcW w:w="2120" w:type="dxa"/>
          </w:tcPr>
          <w:p w14:paraId="07AE48D0" w14:textId="77777777" w:rsidR="00380437" w:rsidRPr="00380437" w:rsidRDefault="00380437" w:rsidP="00FC0EEA">
            <w:pPr>
              <w:rPr>
                <w:szCs w:val="22"/>
              </w:rPr>
            </w:pPr>
          </w:p>
        </w:tc>
      </w:tr>
    </w:tbl>
    <w:p w14:paraId="69224745" w14:textId="77777777" w:rsidR="00380437" w:rsidRDefault="00380437" w:rsidP="00FC0EEA">
      <w:pPr>
        <w:rPr>
          <w:szCs w:val="22"/>
        </w:rPr>
      </w:pPr>
    </w:p>
    <w:p w14:paraId="631509D7" w14:textId="77777777" w:rsidR="00F81D8C" w:rsidRDefault="00F81D8C" w:rsidP="00FC0EEA">
      <w:pPr>
        <w:rPr>
          <w:szCs w:val="22"/>
        </w:rPr>
      </w:pPr>
      <w:r w:rsidRPr="00F81D8C">
        <w:rPr>
          <w:szCs w:val="22"/>
        </w:rPr>
        <w:t>Atsitiktinai pranešta apie intersticinį nefritą</w:t>
      </w:r>
      <w:r>
        <w:rPr>
          <w:szCs w:val="22"/>
        </w:rPr>
        <w:t>,</w:t>
      </w:r>
      <w:r w:rsidRPr="00F81D8C">
        <w:rPr>
          <w:szCs w:val="22"/>
        </w:rPr>
        <w:t xml:space="preserve"> </w:t>
      </w:r>
      <w:r w:rsidR="005F59E4">
        <w:rPr>
          <w:szCs w:val="22"/>
        </w:rPr>
        <w:t xml:space="preserve">pasireiškusį </w:t>
      </w:r>
      <w:r w:rsidRPr="00F81D8C">
        <w:rPr>
          <w:szCs w:val="22"/>
        </w:rPr>
        <w:t>ilgai vartoj</w:t>
      </w:r>
      <w:r>
        <w:rPr>
          <w:szCs w:val="22"/>
        </w:rPr>
        <w:t>us</w:t>
      </w:r>
      <w:r w:rsidRPr="00F81D8C">
        <w:rPr>
          <w:szCs w:val="22"/>
        </w:rPr>
        <w:t xml:space="preserve"> dideles dozes. Buvo pranešta apie daugiaformės </w:t>
      </w:r>
      <w:r w:rsidR="00457BE8">
        <w:rPr>
          <w:szCs w:val="22"/>
        </w:rPr>
        <w:t>raudonės</w:t>
      </w:r>
      <w:r w:rsidR="005016B7">
        <w:rPr>
          <w:szCs w:val="22"/>
        </w:rPr>
        <w:t xml:space="preserve"> </w:t>
      </w:r>
      <w:r w:rsidR="001574E0">
        <w:rPr>
          <w:szCs w:val="22"/>
        </w:rPr>
        <w:t>(</w:t>
      </w:r>
      <w:r w:rsidRPr="00F81D8C">
        <w:rPr>
          <w:szCs w:val="22"/>
        </w:rPr>
        <w:t>eritemos</w:t>
      </w:r>
      <w:r w:rsidR="001574E0">
        <w:rPr>
          <w:szCs w:val="22"/>
        </w:rPr>
        <w:t>)</w:t>
      </w:r>
      <w:r w:rsidRPr="00F81D8C">
        <w:rPr>
          <w:szCs w:val="22"/>
        </w:rPr>
        <w:t xml:space="preserve">, gerklų edemos, anemijos, kepenų pakitimų ir hepatito, inkstų </w:t>
      </w:r>
      <w:r w:rsidR="005F59E4">
        <w:rPr>
          <w:szCs w:val="22"/>
        </w:rPr>
        <w:t>spakitimų</w:t>
      </w:r>
      <w:r w:rsidRPr="00F81D8C">
        <w:rPr>
          <w:szCs w:val="22"/>
        </w:rPr>
        <w:t xml:space="preserve"> (sunkus inkstų funkcijos sutrikimas, hematurija, anurezė) ir galvos svaigimo atvejus. Buvo pranešta apie labai retus sunkių odos reakcijų atvejus.</w:t>
      </w:r>
    </w:p>
    <w:p w14:paraId="39276CE6" w14:textId="77777777" w:rsidR="00F81D8C" w:rsidRDefault="00F81D8C" w:rsidP="00FC0EEA">
      <w:pPr>
        <w:rPr>
          <w:szCs w:val="22"/>
        </w:rPr>
      </w:pPr>
    </w:p>
    <w:p w14:paraId="32C0E0A6" w14:textId="144433B1" w:rsidR="001A326C" w:rsidRPr="001A326C" w:rsidRDefault="001A326C" w:rsidP="001A326C">
      <w:pPr>
        <w:rPr>
          <w:szCs w:val="22"/>
        </w:rPr>
      </w:pPr>
      <w:r w:rsidRPr="001A326C">
        <w:rPr>
          <w:szCs w:val="22"/>
        </w:rPr>
        <w:t xml:space="preserve">Pacientams, kuriems nustatyta rizikos veiksnių vartojant </w:t>
      </w:r>
      <w:proofErr w:type="spellStart"/>
      <w:r w:rsidRPr="001A326C">
        <w:rPr>
          <w:szCs w:val="22"/>
        </w:rPr>
        <w:t>paracetamol</w:t>
      </w:r>
      <w:r w:rsidR="00134EB9">
        <w:rPr>
          <w:szCs w:val="22"/>
        </w:rPr>
        <w:t>io</w:t>
      </w:r>
      <w:proofErr w:type="spellEnd"/>
      <w:r w:rsidRPr="001A326C">
        <w:rPr>
          <w:szCs w:val="22"/>
        </w:rPr>
        <w:t xml:space="preserve">, nustatyta </w:t>
      </w:r>
      <w:proofErr w:type="spellStart"/>
      <w:r w:rsidRPr="001A326C">
        <w:rPr>
          <w:szCs w:val="22"/>
        </w:rPr>
        <w:t>piroglutamato</w:t>
      </w:r>
      <w:proofErr w:type="spellEnd"/>
      <w:r w:rsidRPr="001A326C">
        <w:rPr>
          <w:szCs w:val="22"/>
        </w:rPr>
        <w:t xml:space="preserve"> </w:t>
      </w:r>
      <w:proofErr w:type="spellStart"/>
      <w:r w:rsidRPr="001A326C">
        <w:rPr>
          <w:szCs w:val="22"/>
        </w:rPr>
        <w:t>acidozės</w:t>
      </w:r>
      <w:proofErr w:type="spellEnd"/>
      <w:r w:rsidRPr="001A326C">
        <w:rPr>
          <w:szCs w:val="22"/>
        </w:rPr>
        <w:t xml:space="preserve"> sukeliamo padidėjusio anijoninio tarpo esant metabolinei acidozei atvejų (žr. 4.4 skyrių).</w:t>
      </w:r>
    </w:p>
    <w:p w14:paraId="30606692" w14:textId="177FC4AD" w:rsidR="001A326C" w:rsidRDefault="001A326C" w:rsidP="001A326C">
      <w:pPr>
        <w:rPr>
          <w:szCs w:val="22"/>
        </w:rPr>
      </w:pPr>
      <w:r w:rsidRPr="001A326C">
        <w:rPr>
          <w:szCs w:val="22"/>
        </w:rPr>
        <w:t>Piroglutamato acidozė šiems pacientams gali pasireikšti dėl sumažėjusio</w:t>
      </w:r>
      <w:r w:rsidR="00134EB9">
        <w:rPr>
          <w:szCs w:val="22"/>
        </w:rPr>
        <w:t>s</w:t>
      </w:r>
      <w:r w:rsidRPr="001A326C">
        <w:rPr>
          <w:szCs w:val="22"/>
        </w:rPr>
        <w:t xml:space="preserve"> </w:t>
      </w:r>
      <w:proofErr w:type="spellStart"/>
      <w:r w:rsidRPr="001A326C">
        <w:rPr>
          <w:szCs w:val="22"/>
        </w:rPr>
        <w:t>glutationo</w:t>
      </w:r>
      <w:proofErr w:type="spellEnd"/>
      <w:r w:rsidRPr="001A326C">
        <w:rPr>
          <w:szCs w:val="22"/>
        </w:rPr>
        <w:t xml:space="preserve"> </w:t>
      </w:r>
      <w:r w:rsidR="00134EB9">
        <w:rPr>
          <w:szCs w:val="22"/>
        </w:rPr>
        <w:t>koncentracijos</w:t>
      </w:r>
      <w:r w:rsidRPr="001A326C">
        <w:rPr>
          <w:szCs w:val="22"/>
        </w:rPr>
        <w:t>.</w:t>
      </w:r>
    </w:p>
    <w:p w14:paraId="129B87CE" w14:textId="77777777" w:rsidR="001A326C" w:rsidRDefault="001A326C" w:rsidP="00FC0EEA">
      <w:pPr>
        <w:rPr>
          <w:szCs w:val="22"/>
        </w:rPr>
      </w:pPr>
    </w:p>
    <w:p w14:paraId="38898DB2" w14:textId="77777777" w:rsidR="000A7ECC" w:rsidRPr="00676E18" w:rsidRDefault="000A7ECC" w:rsidP="00FC0EEA">
      <w:pPr>
        <w:autoSpaceDE w:val="0"/>
        <w:autoSpaceDN w:val="0"/>
        <w:adjustRightInd w:val="0"/>
        <w:rPr>
          <w:snapToGrid w:val="0"/>
          <w:szCs w:val="24"/>
          <w:u w:val="single"/>
        </w:rPr>
      </w:pPr>
      <w:r w:rsidRPr="00676E18">
        <w:rPr>
          <w:noProof/>
          <w:snapToGrid w:val="0"/>
          <w:szCs w:val="24"/>
          <w:u w:val="single"/>
        </w:rPr>
        <w:t>Pranešimas apie įtariamas nepageidaujamas reakcijas</w:t>
      </w:r>
    </w:p>
    <w:p w14:paraId="77ACC9BC" w14:textId="42FC4209" w:rsidR="005F59E4" w:rsidRDefault="00250D3A" w:rsidP="00FC0EEA">
      <w:pPr>
        <w:autoSpaceDE w:val="0"/>
        <w:autoSpaceDN w:val="0"/>
        <w:adjustRightInd w:val="0"/>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4FC4D2C3" w14:textId="77777777" w:rsidR="00250D3A" w:rsidRPr="00676E18" w:rsidRDefault="00250D3A" w:rsidP="00FC0EEA">
      <w:pPr>
        <w:autoSpaceDE w:val="0"/>
        <w:autoSpaceDN w:val="0"/>
        <w:adjustRightInd w:val="0"/>
      </w:pPr>
    </w:p>
    <w:p w14:paraId="3AC42762" w14:textId="77777777" w:rsidR="000A7ECC" w:rsidRPr="0084041E" w:rsidRDefault="000A7ECC" w:rsidP="00FC0EEA">
      <w:pPr>
        <w:pStyle w:val="PI-2EMEASMCA"/>
        <w:outlineLvl w:val="9"/>
      </w:pPr>
      <w:bookmarkStart w:id="26" w:name="_Toc129243110"/>
      <w:bookmarkStart w:id="27" w:name="_Toc129243235"/>
      <w:r w:rsidRPr="0084041E">
        <w:t>4.9</w:t>
      </w:r>
      <w:r w:rsidRPr="0084041E">
        <w:tab/>
        <w:t>Perdozavimas</w:t>
      </w:r>
      <w:bookmarkEnd w:id="26"/>
      <w:bookmarkEnd w:id="27"/>
    </w:p>
    <w:p w14:paraId="1227BEA2" w14:textId="77777777" w:rsidR="000A7ECC" w:rsidRDefault="000A7ECC" w:rsidP="001E1730">
      <w:pPr>
        <w:pStyle w:val="BTEMEASMCA"/>
      </w:pPr>
    </w:p>
    <w:p w14:paraId="19C91323" w14:textId="77777777" w:rsidR="005F59E4" w:rsidRDefault="005F59E4" w:rsidP="001E1730">
      <w:pPr>
        <w:pStyle w:val="BTEMEASMCA"/>
      </w:pPr>
      <w:r>
        <w:t>Perdozavus paracetamolio, būtina nedelsiant kreiptis į gydytoją, net jei nepasireiškia perdozavimo simptomų.</w:t>
      </w:r>
    </w:p>
    <w:p w14:paraId="51EFE7BA" w14:textId="77777777" w:rsidR="005F59E4" w:rsidRDefault="005F59E4" w:rsidP="001E1730">
      <w:pPr>
        <w:pStyle w:val="BTEMEASMCA"/>
      </w:pPr>
    </w:p>
    <w:p w14:paraId="7B99A561" w14:textId="54E76FCF" w:rsidR="005F59E4" w:rsidRDefault="005F59E4" w:rsidP="001E1730">
      <w:pPr>
        <w:pStyle w:val="BTEMEASMCA"/>
      </w:pPr>
      <w:r>
        <w:lastRenderedPageBreak/>
        <w:t>Ūminis perdozavimas</w:t>
      </w:r>
      <w:r w:rsidR="00883358">
        <w:t>,</w:t>
      </w:r>
      <w:r>
        <w:t xml:space="preserve"> </w:t>
      </w:r>
      <w:r w:rsidR="00883358">
        <w:t xml:space="preserve">suaugusiesiems per kartą suvartojus </w:t>
      </w:r>
      <w:r>
        <w:t>10</w:t>
      </w:r>
      <w:r w:rsidR="00883358">
        <w:t> </w:t>
      </w:r>
      <w:r>
        <w:t>g ar daugiau paracetamolio</w:t>
      </w:r>
      <w:r w:rsidR="00883358">
        <w:t xml:space="preserve">, o vaikams per kartą suvartojus </w:t>
      </w:r>
      <w:r>
        <w:t>150</w:t>
      </w:r>
      <w:r w:rsidR="00883358">
        <w:t> </w:t>
      </w:r>
      <w:r>
        <w:t>mg/kg kūno svorio</w:t>
      </w:r>
      <w:r w:rsidR="00883358">
        <w:t xml:space="preserve"> dozę</w:t>
      </w:r>
      <w:r>
        <w:t xml:space="preserve">, gali sukelti toksinį poveikį </w:t>
      </w:r>
      <w:r w:rsidR="00883358">
        <w:t xml:space="preserve">kepenims </w:t>
      </w:r>
      <w:r>
        <w:t>arba net kepenų nekrozę. Paracetamolio perdozavimas, įskaitant didel</w:t>
      </w:r>
      <w:r w:rsidR="00883358">
        <w:t>ę</w:t>
      </w:r>
      <w:r>
        <w:t xml:space="preserve"> </w:t>
      </w:r>
      <w:r w:rsidR="00883358">
        <w:t xml:space="preserve">suminę </w:t>
      </w:r>
      <w:r>
        <w:t>doz</w:t>
      </w:r>
      <w:r w:rsidR="00883358">
        <w:t>ę</w:t>
      </w:r>
      <w:r>
        <w:t xml:space="preserve"> (≥</w:t>
      </w:r>
      <w:r w:rsidR="00883358">
        <w:t> </w:t>
      </w:r>
      <w:r>
        <w:t>6</w:t>
      </w:r>
      <w:r w:rsidR="00883358">
        <w:t> </w:t>
      </w:r>
      <w:r>
        <w:t xml:space="preserve">g per parą), </w:t>
      </w:r>
      <w:r w:rsidR="00883358">
        <w:t>suvartojamą</w:t>
      </w:r>
      <w:r>
        <w:t xml:space="preserve"> </w:t>
      </w:r>
      <w:r w:rsidR="00883358">
        <w:t xml:space="preserve">per </w:t>
      </w:r>
      <w:r>
        <w:t>ilg</w:t>
      </w:r>
      <w:r w:rsidR="00883358">
        <w:t>esnį</w:t>
      </w:r>
      <w:r>
        <w:t xml:space="preserve"> laik</w:t>
      </w:r>
      <w:r w:rsidR="00883358">
        <w:t>otarpį</w:t>
      </w:r>
      <w:r>
        <w:t xml:space="preserve">, gali sukelti </w:t>
      </w:r>
      <w:r w:rsidR="00AA7B6C">
        <w:t xml:space="preserve">analgetikų sukeltą </w:t>
      </w:r>
      <w:r>
        <w:t xml:space="preserve">nefropatiją su negrįžtamu kepenų nepakankamumu. Pacientus reikia įspėti, kad kartu nevartotų kitų </w:t>
      </w:r>
      <w:r w:rsidR="00916D97">
        <w:t>vaistinių preparatų</w:t>
      </w:r>
      <w:r>
        <w:t>, kurių sudėtyje yra paracetamolio.</w:t>
      </w:r>
    </w:p>
    <w:p w14:paraId="506A8022" w14:textId="77777777" w:rsidR="005F59E4" w:rsidRDefault="005F59E4">
      <w:pPr>
        <w:pStyle w:val="BTEMEASMCA"/>
      </w:pPr>
    </w:p>
    <w:p w14:paraId="20C288F9" w14:textId="77777777" w:rsidR="005F59E4" w:rsidRDefault="005F59E4">
      <w:pPr>
        <w:pStyle w:val="BTEMEASMCA"/>
      </w:pPr>
      <w:r>
        <w:t xml:space="preserve">Yra apsinuodijimo rizika, ypač </w:t>
      </w:r>
      <w:r w:rsidR="00916D97">
        <w:t>senyviems</w:t>
      </w:r>
      <w:r>
        <w:t xml:space="preserve"> žmonėms, mažiems vaikams, pacientams, sergantiems kepenų ligomis, lėtiniu alkoholizmo</w:t>
      </w:r>
      <w:r w:rsidR="00916D97">
        <w:t>, taip pat</w:t>
      </w:r>
      <w:r>
        <w:t xml:space="preserve"> pacientams, kurie </w:t>
      </w:r>
      <w:r w:rsidR="00916D97" w:rsidRPr="00916D97">
        <w:t>nuolat blogai maitinasi</w:t>
      </w:r>
      <w:r>
        <w:t>. Paracetamolio perdozavimas gali būti mirtinas visose populiacijose.</w:t>
      </w:r>
    </w:p>
    <w:p w14:paraId="620D6C28" w14:textId="77777777" w:rsidR="005F59E4" w:rsidRDefault="005F59E4">
      <w:pPr>
        <w:pStyle w:val="BTEMEASMCA"/>
      </w:pPr>
    </w:p>
    <w:p w14:paraId="37FB211C" w14:textId="53B90734" w:rsidR="005F59E4" w:rsidRDefault="00916D97">
      <w:pPr>
        <w:pStyle w:val="BTEMEASMCA"/>
      </w:pPr>
      <w:r>
        <w:t>Per pirmąsias 24 valandas pasireiškiantys p</w:t>
      </w:r>
      <w:r w:rsidR="005F59E4">
        <w:t xml:space="preserve">aracetamolio perdozavimo simptomai yra blyškumas, pykinimas, vėmimas ir anoreksija. Pilvo skausmas gali būti pirmasis kepenų pažeidimo požymis, kuris paprastai nepasireiškia </w:t>
      </w:r>
      <w:r>
        <w:t xml:space="preserve">pirmas </w:t>
      </w:r>
      <w:r w:rsidR="005F59E4">
        <w:t xml:space="preserve">24–48 valandas, o kartais iki 4–6 dienų po </w:t>
      </w:r>
      <w:r w:rsidR="00AA7B6C">
        <w:t>vartojimo</w:t>
      </w:r>
      <w:r w:rsidR="005F59E4">
        <w:t xml:space="preserve">. Kepenų pažeidimas paprastai būna </w:t>
      </w:r>
      <w:r w:rsidR="00274056">
        <w:t>sunkiausias</w:t>
      </w:r>
      <w:r w:rsidR="005F59E4">
        <w:t xml:space="preserve"> praėjus 72–96 valandoms po </w:t>
      </w:r>
      <w:r w:rsidR="00AA7B6C">
        <w:t>vartojimo</w:t>
      </w:r>
      <w:r w:rsidR="005F59E4">
        <w:t>. Gali atsirasti gliukozės metabolizmo sutrikimų ir metabolinė acidozė. Ūminis inkstų nepakankamumas su ūmine kanalėlių nekroze gali išsivystyti net ir nesant sunkaus kepenų pažeidimo. Buvo pranešta apie širdies aritmijas ir pankreatitą.</w:t>
      </w:r>
    </w:p>
    <w:p w14:paraId="3831FC33" w14:textId="77777777" w:rsidR="005F59E4" w:rsidRDefault="005F59E4">
      <w:pPr>
        <w:pStyle w:val="BTEMEASMCA"/>
      </w:pPr>
    </w:p>
    <w:p w14:paraId="70A4FFE0" w14:textId="77777777" w:rsidR="005F59E4" w:rsidRDefault="005F59E4">
      <w:pPr>
        <w:pStyle w:val="BTEMEASMCA"/>
      </w:pPr>
      <w:r>
        <w:t xml:space="preserve">Pirmoji pagalba perdozavus apima aktyvintos anglies skyrimą. Jei buvo </w:t>
      </w:r>
      <w:r w:rsidR="00274056">
        <w:t>suvartota</w:t>
      </w:r>
      <w:r>
        <w:t xml:space="preserve"> daugiau kaip 125</w:t>
      </w:r>
      <w:r w:rsidR="00274056">
        <w:t> </w:t>
      </w:r>
      <w:r>
        <w:t xml:space="preserve">mg/kg </w:t>
      </w:r>
      <w:r w:rsidR="00274056">
        <w:t xml:space="preserve">paracetamolio </w:t>
      </w:r>
      <w:r>
        <w:t>arba paracetamolio koncentracija plazmoje padidėja iki šių reikšmių: 1</w:t>
      </w:r>
      <w:r w:rsidR="0071017D">
        <w:t> </w:t>
      </w:r>
      <w:r>
        <w:t>350</w:t>
      </w:r>
      <w:r w:rsidR="00274056">
        <w:t> </w:t>
      </w:r>
      <w:r w:rsidR="00274056" w:rsidRPr="00432612">
        <w:t>µ</w:t>
      </w:r>
      <w:r>
        <w:t>mol/l per 4</w:t>
      </w:r>
      <w:r w:rsidR="00274056">
        <w:t> </w:t>
      </w:r>
      <w:r>
        <w:t>valandas, 990</w:t>
      </w:r>
      <w:r w:rsidR="00274056">
        <w:t> </w:t>
      </w:r>
      <w:r w:rsidR="00274056" w:rsidRPr="00432612">
        <w:t>µ</w:t>
      </w:r>
      <w:r>
        <w:t>mol/l per 6 valandas arba 660</w:t>
      </w:r>
      <w:r w:rsidR="00274056">
        <w:t> </w:t>
      </w:r>
      <w:r w:rsidR="00274056" w:rsidRPr="00432612">
        <w:t>µ</w:t>
      </w:r>
      <w:r>
        <w:t xml:space="preserve">mol/l per 9 valandas, </w:t>
      </w:r>
      <w:r w:rsidR="00A80C7B">
        <w:t>reikia kuo greičiau pradėti gydym</w:t>
      </w:r>
      <w:r w:rsidR="00D933D3">
        <w:t>ą</w:t>
      </w:r>
      <w:r w:rsidR="00A80C7B">
        <w:t xml:space="preserve"> </w:t>
      </w:r>
      <w:r>
        <w:t>acetilcisteino injekcij</w:t>
      </w:r>
      <w:r w:rsidR="00A80C7B">
        <w:t>omis</w:t>
      </w:r>
      <w:r>
        <w:t xml:space="preserve"> į veną.</w:t>
      </w:r>
    </w:p>
    <w:p w14:paraId="04F91BEE" w14:textId="77777777" w:rsidR="005F59E4" w:rsidRDefault="005F59E4">
      <w:pPr>
        <w:pStyle w:val="BTEMEASMCA"/>
      </w:pPr>
      <w:r>
        <w:t>Acetilcisteiną reikia ištirpinti 5</w:t>
      </w:r>
      <w:r w:rsidR="00A80C7B">
        <w:t> </w:t>
      </w:r>
      <w:r>
        <w:t>% gliukozės tirpale ir iš pradžių suleisti 150</w:t>
      </w:r>
      <w:r w:rsidR="00A80C7B">
        <w:t> </w:t>
      </w:r>
      <w:r>
        <w:t xml:space="preserve">mg/kg kūno svorio </w:t>
      </w:r>
      <w:r w:rsidR="00A80C7B">
        <w:t xml:space="preserve">dozę </w:t>
      </w:r>
      <w:r>
        <w:t>infuzij</w:t>
      </w:r>
      <w:r w:rsidR="00A80C7B">
        <w:t xml:space="preserve">os būdu </w:t>
      </w:r>
      <w:r>
        <w:t xml:space="preserve">per 15 minučių. Infuziją reikia tęsti </w:t>
      </w:r>
      <w:r w:rsidR="00A80C7B">
        <w:t xml:space="preserve">skiriant </w:t>
      </w:r>
      <w:r>
        <w:t>po 50</w:t>
      </w:r>
      <w:r w:rsidR="00A80C7B">
        <w:t> </w:t>
      </w:r>
      <w:r>
        <w:t>mg/kg per 4 valandas ir po 100</w:t>
      </w:r>
      <w:r w:rsidR="00A80C7B">
        <w:t> </w:t>
      </w:r>
      <w:r>
        <w:t>mg/kg per 16 valandų (iš viso 300</w:t>
      </w:r>
      <w:r w:rsidR="00A80C7B">
        <w:t> </w:t>
      </w:r>
      <w:r>
        <w:t>mg/kg).</w:t>
      </w:r>
    </w:p>
    <w:p w14:paraId="63B12E22" w14:textId="77777777" w:rsidR="005F59E4" w:rsidRDefault="005F59E4">
      <w:pPr>
        <w:pStyle w:val="BTEMEASMCA"/>
      </w:pPr>
      <w:r>
        <w:t xml:space="preserve">Gydymas acetilcisteinu yra veiksmingas per 24–72 valandas po perdozavimo. Kaip alternatyva gali būti </w:t>
      </w:r>
      <w:r w:rsidR="00D933D3">
        <w:t>skiriamas</w:t>
      </w:r>
      <w:r>
        <w:t xml:space="preserve"> metioninas.</w:t>
      </w:r>
    </w:p>
    <w:p w14:paraId="1F43C2CB" w14:textId="77777777" w:rsidR="005F59E4" w:rsidRDefault="005F59E4">
      <w:pPr>
        <w:pStyle w:val="BTEMEASMCA"/>
      </w:pPr>
      <w:r>
        <w:t>Dažnai reikia skirti antihistamininių vaist</w:t>
      </w:r>
      <w:r w:rsidR="00D933D3">
        <w:t>ini</w:t>
      </w:r>
      <w:r>
        <w:t>ų</w:t>
      </w:r>
      <w:r w:rsidR="00D933D3">
        <w:t xml:space="preserve"> preparatų</w:t>
      </w:r>
      <w:r>
        <w:t>, nes acetilcisteinas gali sukelti anafilaksiją.</w:t>
      </w:r>
    </w:p>
    <w:p w14:paraId="0594A391" w14:textId="77777777" w:rsidR="005F59E4" w:rsidRDefault="005F59E4">
      <w:pPr>
        <w:pStyle w:val="BTEMEASMCA"/>
      </w:pPr>
    </w:p>
    <w:p w14:paraId="32539F88" w14:textId="77777777" w:rsidR="005F59E4" w:rsidRPr="0084041E" w:rsidRDefault="005F59E4">
      <w:pPr>
        <w:pStyle w:val="BTEMEASMCA"/>
      </w:pPr>
    </w:p>
    <w:p w14:paraId="4D1C048A" w14:textId="26C5FCDE" w:rsidR="000A7ECC" w:rsidRPr="0084041E" w:rsidRDefault="000A7ECC" w:rsidP="00432612">
      <w:pPr>
        <w:pStyle w:val="PI-1EMEASMCA"/>
      </w:pPr>
      <w:bookmarkStart w:id="28" w:name="_Toc129243111"/>
      <w:bookmarkStart w:id="29" w:name="_Toc129243236"/>
      <w:r w:rsidRPr="0084041E">
        <w:t>5.</w:t>
      </w:r>
      <w:r w:rsidRPr="0084041E">
        <w:tab/>
        <w:t>FARMAKOLOGINĖS SAVYBĖS</w:t>
      </w:r>
      <w:bookmarkEnd w:id="28"/>
      <w:bookmarkEnd w:id="29"/>
    </w:p>
    <w:p w14:paraId="46E6FDB2" w14:textId="77777777" w:rsidR="000A7ECC" w:rsidRPr="0084041E" w:rsidRDefault="000A7ECC" w:rsidP="001E1730">
      <w:pPr>
        <w:pStyle w:val="BTEMEASMCA"/>
      </w:pPr>
    </w:p>
    <w:p w14:paraId="269F6E28" w14:textId="7F566857" w:rsidR="000A7ECC" w:rsidRPr="0084041E" w:rsidRDefault="000A7ECC" w:rsidP="00FC0EEA">
      <w:pPr>
        <w:pStyle w:val="PI-2EMEASMCA"/>
        <w:outlineLvl w:val="9"/>
      </w:pPr>
      <w:bookmarkStart w:id="30" w:name="_Toc129243112"/>
      <w:bookmarkStart w:id="31" w:name="_Toc129243237"/>
      <w:r>
        <w:t>5.1</w:t>
      </w:r>
      <w:r w:rsidRPr="0084041E">
        <w:tab/>
        <w:t>Farmakodinaminės savybės</w:t>
      </w:r>
      <w:bookmarkEnd w:id="30"/>
      <w:bookmarkEnd w:id="31"/>
    </w:p>
    <w:p w14:paraId="4D51BBDD" w14:textId="77777777" w:rsidR="000A7ECC" w:rsidRPr="0084041E" w:rsidRDefault="000A7ECC" w:rsidP="001E1730">
      <w:pPr>
        <w:pStyle w:val="BTEMEASMCA"/>
      </w:pPr>
    </w:p>
    <w:p w14:paraId="53A0E420" w14:textId="77777777" w:rsidR="000A7ECC" w:rsidRDefault="000A7ECC" w:rsidP="00FC0EEA">
      <w:r w:rsidRPr="00406BCA">
        <w:t xml:space="preserve">Farmakoterapinė grupė – </w:t>
      </w:r>
      <w:r w:rsidR="00D933D3">
        <w:t xml:space="preserve">kiti </w:t>
      </w:r>
      <w:r w:rsidRPr="00406BCA">
        <w:t>skausmą ir karščiavimą mažinantys vaist</w:t>
      </w:r>
      <w:r w:rsidR="00D933D3">
        <w:t>ini</w:t>
      </w:r>
      <w:r w:rsidRPr="00406BCA">
        <w:t>ai</w:t>
      </w:r>
      <w:r w:rsidR="00D933D3">
        <w:t xml:space="preserve"> preparatai</w:t>
      </w:r>
      <w:r w:rsidRPr="00406BCA">
        <w:t xml:space="preserve">. </w:t>
      </w:r>
      <w:r w:rsidRPr="0031650E">
        <w:t>ATC kodas – N02BE01.</w:t>
      </w:r>
    </w:p>
    <w:p w14:paraId="5E5C8D78" w14:textId="77777777" w:rsidR="000A7ECC" w:rsidRPr="0031650E" w:rsidRDefault="000A7ECC" w:rsidP="00FC0EEA"/>
    <w:p w14:paraId="1FAC1960" w14:textId="77777777" w:rsidR="00D933D3" w:rsidRDefault="00F60977" w:rsidP="00FC0EEA">
      <w:r>
        <w:t xml:space="preserve">Paracetamolis turi analgetines ir antipiretines savybes. </w:t>
      </w:r>
      <w:r w:rsidR="00D933D3" w:rsidRPr="00D933D3">
        <w:t xml:space="preserve">Manoma, kad pagrindinis veikimo mechanizmas yra prostaglandinų sintezės slopinimas, pirmiausia centrinėje nervų sistemoje. Paracetamolis sukelia periferinių kraujagyslių išsiplėtimą, dėl kurio padidėja kraujo tekėjimas per odą, prakaitavimas ir šilumos </w:t>
      </w:r>
      <w:r w:rsidR="00930F5B">
        <w:t>išskyrimas.</w:t>
      </w:r>
    </w:p>
    <w:p w14:paraId="2856371E" w14:textId="77777777" w:rsidR="000A7ECC" w:rsidRPr="0031650E" w:rsidRDefault="000A7ECC" w:rsidP="00FC0EEA"/>
    <w:p w14:paraId="0E8D3911" w14:textId="77777777" w:rsidR="000A7ECC" w:rsidRPr="0084041E" w:rsidRDefault="000A7ECC" w:rsidP="00FC0EEA">
      <w:pPr>
        <w:pStyle w:val="PI-2EMEASMCA"/>
        <w:outlineLvl w:val="9"/>
      </w:pPr>
      <w:bookmarkStart w:id="32" w:name="_Toc129243113"/>
      <w:bookmarkStart w:id="33" w:name="_Toc129243238"/>
      <w:r w:rsidRPr="0084041E">
        <w:t>5.2</w:t>
      </w:r>
      <w:r w:rsidRPr="0084041E">
        <w:tab/>
        <w:t>Farmakokinetinės savybės</w:t>
      </w:r>
      <w:bookmarkEnd w:id="32"/>
      <w:bookmarkEnd w:id="33"/>
    </w:p>
    <w:p w14:paraId="5AD2F95F" w14:textId="77777777" w:rsidR="000A7ECC" w:rsidRPr="0031650E" w:rsidRDefault="000A7ECC" w:rsidP="00FC0EEA"/>
    <w:p w14:paraId="6AB59431" w14:textId="77777777" w:rsidR="00930F5B" w:rsidRPr="00930F5B" w:rsidRDefault="00930F5B" w:rsidP="00FC0EEA">
      <w:pPr>
        <w:rPr>
          <w:iCs/>
          <w:szCs w:val="22"/>
          <w:u w:val="single"/>
        </w:rPr>
      </w:pPr>
      <w:r w:rsidRPr="00930F5B">
        <w:rPr>
          <w:iCs/>
          <w:szCs w:val="22"/>
          <w:u w:val="single"/>
        </w:rPr>
        <w:t>Absorbcija</w:t>
      </w:r>
    </w:p>
    <w:p w14:paraId="5302FE1B" w14:textId="77777777" w:rsidR="00930F5B" w:rsidRPr="00930F5B" w:rsidRDefault="00930F5B" w:rsidP="00FC0EEA">
      <w:pPr>
        <w:rPr>
          <w:iCs/>
          <w:szCs w:val="22"/>
        </w:rPr>
      </w:pPr>
      <w:r w:rsidRPr="00930F5B">
        <w:rPr>
          <w:iCs/>
          <w:szCs w:val="22"/>
        </w:rPr>
        <w:t>Paracetamolis greitai ir beveik visiškai absorbuojamas iš virškinimo trakto. Didžiausia koncentracija plazmoje atsiranda po 30–60 minučių.</w:t>
      </w:r>
    </w:p>
    <w:p w14:paraId="34DB37A3" w14:textId="77777777" w:rsidR="00930F5B" w:rsidRPr="00930F5B" w:rsidRDefault="00930F5B" w:rsidP="00FC0EEA">
      <w:pPr>
        <w:rPr>
          <w:iCs/>
          <w:szCs w:val="22"/>
        </w:rPr>
      </w:pPr>
    </w:p>
    <w:p w14:paraId="58F23C48" w14:textId="77777777" w:rsidR="00930F5B" w:rsidRPr="00930F5B" w:rsidRDefault="00930F5B" w:rsidP="00FC0EEA">
      <w:pPr>
        <w:rPr>
          <w:iCs/>
          <w:szCs w:val="22"/>
          <w:u w:val="single"/>
        </w:rPr>
      </w:pPr>
      <w:r w:rsidRPr="00930F5B">
        <w:rPr>
          <w:iCs/>
          <w:szCs w:val="22"/>
          <w:u w:val="single"/>
        </w:rPr>
        <w:t>Pas</w:t>
      </w:r>
      <w:r>
        <w:rPr>
          <w:iCs/>
          <w:szCs w:val="22"/>
          <w:u w:val="single"/>
        </w:rPr>
        <w:t>is</w:t>
      </w:r>
      <w:r w:rsidRPr="00930F5B">
        <w:rPr>
          <w:iCs/>
          <w:szCs w:val="22"/>
          <w:u w:val="single"/>
        </w:rPr>
        <w:t>kirstymas</w:t>
      </w:r>
    </w:p>
    <w:p w14:paraId="5FFF8EB7" w14:textId="77777777" w:rsidR="00930F5B" w:rsidRPr="00930F5B" w:rsidRDefault="00930F5B" w:rsidP="00FC0EEA">
      <w:pPr>
        <w:rPr>
          <w:iCs/>
          <w:szCs w:val="22"/>
        </w:rPr>
      </w:pPr>
      <w:r w:rsidRPr="00930F5B">
        <w:rPr>
          <w:iCs/>
          <w:szCs w:val="22"/>
        </w:rPr>
        <w:t xml:space="preserve">Paracetamolis greitai pasiskirsto visuose audiniuose. Koncentracijos kraujo plazmoje ir seilėse yra panašios. Vartojant rekomenduojamas dozes, </w:t>
      </w:r>
      <w:r w:rsidR="003A146E">
        <w:rPr>
          <w:iCs/>
          <w:szCs w:val="22"/>
        </w:rPr>
        <w:t xml:space="preserve">susijungimas </w:t>
      </w:r>
      <w:r w:rsidRPr="00930F5B">
        <w:rPr>
          <w:iCs/>
          <w:szCs w:val="22"/>
        </w:rPr>
        <w:t>su baltymais yra mažas.</w:t>
      </w:r>
    </w:p>
    <w:p w14:paraId="6A12E648" w14:textId="77777777" w:rsidR="00930F5B" w:rsidRPr="00930F5B" w:rsidRDefault="00930F5B" w:rsidP="00FC0EEA">
      <w:pPr>
        <w:rPr>
          <w:iCs/>
          <w:szCs w:val="22"/>
        </w:rPr>
      </w:pPr>
    </w:p>
    <w:p w14:paraId="72195642" w14:textId="77777777" w:rsidR="00930F5B" w:rsidRPr="003A146E" w:rsidRDefault="00930F5B" w:rsidP="00FC0EEA">
      <w:pPr>
        <w:rPr>
          <w:iCs/>
          <w:szCs w:val="22"/>
          <w:u w:val="single"/>
        </w:rPr>
      </w:pPr>
      <w:r w:rsidRPr="003A146E">
        <w:rPr>
          <w:iCs/>
          <w:szCs w:val="22"/>
          <w:u w:val="single"/>
        </w:rPr>
        <w:t>Biotransformacija</w:t>
      </w:r>
    </w:p>
    <w:p w14:paraId="510F16B7" w14:textId="7C562AC8" w:rsidR="00930F5B" w:rsidRPr="00930F5B" w:rsidRDefault="00930F5B" w:rsidP="00FC0EEA">
      <w:pPr>
        <w:rPr>
          <w:iCs/>
          <w:szCs w:val="22"/>
        </w:rPr>
      </w:pPr>
      <w:r w:rsidRPr="00930F5B">
        <w:rPr>
          <w:iCs/>
          <w:szCs w:val="22"/>
        </w:rPr>
        <w:t xml:space="preserve">Paracetamolis daugiausia metabolizuojamas kepenyse konjuguojant su gliukurono rūgštimi ir sieros rūgštimi. Mažesnė metabolizmo dalis vyksta per katalizatorių, citochromą P450 (daugiausia CYP2E1), </w:t>
      </w:r>
      <w:r w:rsidRPr="00930F5B">
        <w:rPr>
          <w:iCs/>
          <w:szCs w:val="22"/>
        </w:rPr>
        <w:lastRenderedPageBreak/>
        <w:t>todėl susidaro metabolitas N-acetil-p-benzo</w:t>
      </w:r>
      <w:r w:rsidR="001B6202">
        <w:rPr>
          <w:iCs/>
          <w:szCs w:val="22"/>
        </w:rPr>
        <w:t>ch</w:t>
      </w:r>
      <w:r w:rsidRPr="00930F5B">
        <w:rPr>
          <w:iCs/>
          <w:szCs w:val="22"/>
        </w:rPr>
        <w:t xml:space="preserve">inono iminas, kurį paprastai greitai detoksikuoja glutationas ir suriša cisteinas bei merkapturo rūgštis. </w:t>
      </w:r>
      <w:r w:rsidR="003564BD">
        <w:rPr>
          <w:iCs/>
          <w:szCs w:val="22"/>
        </w:rPr>
        <w:t>Sunkaus</w:t>
      </w:r>
      <w:r w:rsidRPr="00930F5B">
        <w:rPr>
          <w:iCs/>
          <w:szCs w:val="22"/>
        </w:rPr>
        <w:t xml:space="preserve"> perdozavimo atveju padidėja šio toksiško metabolito kiekis.</w:t>
      </w:r>
    </w:p>
    <w:p w14:paraId="4AE74452" w14:textId="77777777" w:rsidR="00930F5B" w:rsidRPr="00930F5B" w:rsidRDefault="00930F5B" w:rsidP="00FC0EEA">
      <w:pPr>
        <w:rPr>
          <w:iCs/>
          <w:szCs w:val="22"/>
        </w:rPr>
      </w:pPr>
    </w:p>
    <w:p w14:paraId="2534CF76" w14:textId="77777777" w:rsidR="00930F5B" w:rsidRPr="003564BD" w:rsidRDefault="003564BD" w:rsidP="00FC0EEA">
      <w:pPr>
        <w:rPr>
          <w:iCs/>
          <w:szCs w:val="22"/>
          <w:u w:val="single"/>
        </w:rPr>
      </w:pPr>
      <w:r w:rsidRPr="003564BD">
        <w:rPr>
          <w:iCs/>
          <w:szCs w:val="22"/>
          <w:u w:val="single"/>
        </w:rPr>
        <w:t>Eliminacija</w:t>
      </w:r>
    </w:p>
    <w:p w14:paraId="7607BB41" w14:textId="77777777" w:rsidR="00930F5B" w:rsidRPr="00930F5B" w:rsidRDefault="00DF7EE8" w:rsidP="00FC0EEA">
      <w:pPr>
        <w:rPr>
          <w:iCs/>
          <w:szCs w:val="22"/>
        </w:rPr>
      </w:pPr>
      <w:r>
        <w:rPr>
          <w:iCs/>
          <w:szCs w:val="22"/>
        </w:rPr>
        <w:t>Paracetamolis išskiriam</w:t>
      </w:r>
      <w:r w:rsidR="0088460D">
        <w:rPr>
          <w:iCs/>
          <w:szCs w:val="22"/>
        </w:rPr>
        <w:t>a</w:t>
      </w:r>
      <w:r>
        <w:rPr>
          <w:iCs/>
          <w:szCs w:val="22"/>
        </w:rPr>
        <w:t xml:space="preserve">s </w:t>
      </w:r>
      <w:r w:rsidR="0088460D" w:rsidRPr="00930F5B">
        <w:rPr>
          <w:iCs/>
          <w:szCs w:val="22"/>
        </w:rPr>
        <w:t xml:space="preserve">daugiausia </w:t>
      </w:r>
      <w:r w:rsidR="00930F5B" w:rsidRPr="00930F5B">
        <w:rPr>
          <w:iCs/>
          <w:szCs w:val="22"/>
        </w:rPr>
        <w:t>su šlapimu. 90</w:t>
      </w:r>
      <w:r w:rsidR="003564BD">
        <w:rPr>
          <w:iCs/>
          <w:szCs w:val="22"/>
        </w:rPr>
        <w:t> </w:t>
      </w:r>
      <w:r w:rsidR="00930F5B" w:rsidRPr="00930F5B">
        <w:rPr>
          <w:iCs/>
          <w:szCs w:val="22"/>
        </w:rPr>
        <w:t>% absorbuoto kiekio išsiskiria per inkstus per 24 valandas, daugiausia gliukuronidų (60–80</w:t>
      </w:r>
      <w:r w:rsidR="003564BD">
        <w:rPr>
          <w:iCs/>
          <w:szCs w:val="22"/>
        </w:rPr>
        <w:t> </w:t>
      </w:r>
      <w:r w:rsidR="00930F5B" w:rsidRPr="00930F5B">
        <w:rPr>
          <w:iCs/>
          <w:szCs w:val="22"/>
        </w:rPr>
        <w:t>%) ir sulfatų konjugatų (20–30</w:t>
      </w:r>
      <w:r w:rsidR="003564BD">
        <w:rPr>
          <w:iCs/>
          <w:szCs w:val="22"/>
        </w:rPr>
        <w:t> </w:t>
      </w:r>
      <w:r w:rsidR="00930F5B" w:rsidRPr="00930F5B">
        <w:rPr>
          <w:iCs/>
          <w:szCs w:val="22"/>
        </w:rPr>
        <w:t>%) pavidalu. Mažiau nei 5</w:t>
      </w:r>
      <w:r w:rsidR="003564BD">
        <w:rPr>
          <w:iCs/>
          <w:szCs w:val="22"/>
        </w:rPr>
        <w:t> </w:t>
      </w:r>
      <w:r w:rsidR="00930F5B" w:rsidRPr="00930F5B">
        <w:rPr>
          <w:iCs/>
          <w:szCs w:val="22"/>
        </w:rPr>
        <w:t>% pašalinama nepakitusiu pavidalu. Pusinės eliminacijos laikas yra maždaug 2 valandos.</w:t>
      </w:r>
    </w:p>
    <w:p w14:paraId="21A7A134" w14:textId="77777777" w:rsidR="00930F5B" w:rsidRPr="00930F5B" w:rsidRDefault="00930F5B" w:rsidP="00FC0EEA">
      <w:pPr>
        <w:rPr>
          <w:iCs/>
          <w:szCs w:val="22"/>
        </w:rPr>
      </w:pPr>
    </w:p>
    <w:p w14:paraId="36E013A5" w14:textId="10B43325" w:rsidR="00930F5B" w:rsidRPr="0088460D" w:rsidRDefault="003216DE" w:rsidP="00FC0EEA">
      <w:pPr>
        <w:rPr>
          <w:iCs/>
          <w:szCs w:val="22"/>
          <w:u w:val="single"/>
        </w:rPr>
      </w:pPr>
      <w:r>
        <w:rPr>
          <w:iCs/>
          <w:szCs w:val="22"/>
          <w:u w:val="single"/>
        </w:rPr>
        <w:t>Sutrikusi inkstų funkcija</w:t>
      </w:r>
    </w:p>
    <w:p w14:paraId="4D5E6CEB" w14:textId="77777777" w:rsidR="00930F5B" w:rsidRPr="00930F5B" w:rsidRDefault="00930F5B" w:rsidP="00FC0EEA">
      <w:pPr>
        <w:rPr>
          <w:iCs/>
          <w:szCs w:val="22"/>
        </w:rPr>
      </w:pPr>
      <w:r w:rsidRPr="00930F5B">
        <w:rPr>
          <w:iCs/>
          <w:szCs w:val="22"/>
        </w:rPr>
        <w:t>Pacientams, kuriems yra sunkus inkstų nepakankamumas (kreatinino klirensas &lt;</w:t>
      </w:r>
      <w:r w:rsidR="0088460D">
        <w:rPr>
          <w:iCs/>
          <w:szCs w:val="22"/>
        </w:rPr>
        <w:t> </w:t>
      </w:r>
      <w:r w:rsidRPr="0088460D">
        <w:t>10</w:t>
      </w:r>
      <w:r w:rsidR="0088460D">
        <w:t> </w:t>
      </w:r>
      <w:r w:rsidRPr="0088460D">
        <w:t>ml</w:t>
      </w:r>
      <w:r w:rsidRPr="00930F5B">
        <w:rPr>
          <w:iCs/>
          <w:szCs w:val="22"/>
        </w:rPr>
        <w:t xml:space="preserve">/min.), paracetamolio ir jo metabolitų </w:t>
      </w:r>
      <w:r w:rsidR="0088460D">
        <w:rPr>
          <w:iCs/>
          <w:szCs w:val="22"/>
        </w:rPr>
        <w:t>eliminacija</w:t>
      </w:r>
      <w:r w:rsidRPr="00930F5B">
        <w:rPr>
          <w:iCs/>
          <w:szCs w:val="22"/>
        </w:rPr>
        <w:t xml:space="preserve"> sulėtėja.</w:t>
      </w:r>
    </w:p>
    <w:p w14:paraId="3A855441" w14:textId="77777777" w:rsidR="00930F5B" w:rsidRPr="00930F5B" w:rsidRDefault="00930F5B" w:rsidP="00FC0EEA">
      <w:pPr>
        <w:rPr>
          <w:iCs/>
          <w:szCs w:val="22"/>
        </w:rPr>
      </w:pPr>
    </w:p>
    <w:p w14:paraId="27FE1622" w14:textId="77777777" w:rsidR="00930F5B" w:rsidRPr="0088460D" w:rsidRDefault="00930F5B" w:rsidP="00FC0EEA">
      <w:pPr>
        <w:rPr>
          <w:iCs/>
          <w:szCs w:val="22"/>
          <w:u w:val="single"/>
        </w:rPr>
      </w:pPr>
      <w:r w:rsidRPr="0088460D">
        <w:rPr>
          <w:iCs/>
          <w:szCs w:val="22"/>
          <w:u w:val="single"/>
        </w:rPr>
        <w:t>Senyvi pacienta</w:t>
      </w:r>
      <w:r w:rsidR="0088460D">
        <w:rPr>
          <w:iCs/>
          <w:szCs w:val="22"/>
          <w:u w:val="single"/>
        </w:rPr>
        <w:t>i</w:t>
      </w:r>
    </w:p>
    <w:p w14:paraId="59A3EBFE" w14:textId="77777777" w:rsidR="00930F5B" w:rsidRPr="00930F5B" w:rsidRDefault="00930F5B" w:rsidP="00FC0EEA">
      <w:pPr>
        <w:rPr>
          <w:iCs/>
          <w:szCs w:val="22"/>
        </w:rPr>
      </w:pPr>
      <w:r w:rsidRPr="00930F5B">
        <w:rPr>
          <w:iCs/>
          <w:szCs w:val="22"/>
        </w:rPr>
        <w:t>Šioje pacientų grupėje konjugacija ne</w:t>
      </w:r>
      <w:r w:rsidR="0088460D">
        <w:rPr>
          <w:iCs/>
          <w:szCs w:val="22"/>
        </w:rPr>
        <w:t>pakinta</w:t>
      </w:r>
      <w:r w:rsidRPr="00930F5B">
        <w:rPr>
          <w:iCs/>
          <w:szCs w:val="22"/>
        </w:rPr>
        <w:t>.</w:t>
      </w:r>
    </w:p>
    <w:p w14:paraId="00A160B8" w14:textId="77777777" w:rsidR="00930F5B" w:rsidRDefault="00930F5B" w:rsidP="00FC0EEA">
      <w:pPr>
        <w:rPr>
          <w:i/>
          <w:szCs w:val="22"/>
          <w:u w:val="single"/>
        </w:rPr>
      </w:pPr>
    </w:p>
    <w:p w14:paraId="4A082678" w14:textId="77777777" w:rsidR="000A7ECC" w:rsidRPr="0084041E" w:rsidRDefault="000A7ECC" w:rsidP="00FC0EEA">
      <w:pPr>
        <w:pStyle w:val="PI-2EMEASMCA"/>
        <w:outlineLvl w:val="9"/>
      </w:pPr>
      <w:bookmarkStart w:id="34" w:name="_Toc129243114"/>
      <w:bookmarkStart w:id="35" w:name="_Toc129243239"/>
      <w:r w:rsidRPr="0084041E">
        <w:t>5.3</w:t>
      </w:r>
      <w:r w:rsidRPr="0084041E">
        <w:tab/>
        <w:t>Ikiklinikinių saugumo tyrimų duomenys</w:t>
      </w:r>
      <w:bookmarkEnd w:id="34"/>
      <w:bookmarkEnd w:id="35"/>
    </w:p>
    <w:p w14:paraId="35B8A934" w14:textId="77777777" w:rsidR="000A7ECC" w:rsidRPr="0084041E" w:rsidRDefault="000A7ECC" w:rsidP="001E1730">
      <w:pPr>
        <w:pStyle w:val="BTEMEASMCA"/>
      </w:pPr>
    </w:p>
    <w:p w14:paraId="08400C81" w14:textId="77777777" w:rsidR="000A7ECC" w:rsidRDefault="000A7ECC" w:rsidP="00FC0EEA">
      <w:pPr>
        <w:rPr>
          <w:szCs w:val="22"/>
        </w:rPr>
      </w:pPr>
      <w:r w:rsidRPr="00153901">
        <w:rPr>
          <w:szCs w:val="22"/>
        </w:rPr>
        <w:t>Įprastų farmakologinio saugumo, kartotinių dozių toksiškumo, genotoksiškumo, galimo kancegoriškumo ikiklinikinių tyrimų duomenys specifinio pavojaus žmogui nerodo</w:t>
      </w:r>
      <w:r>
        <w:rPr>
          <w:szCs w:val="22"/>
        </w:rPr>
        <w:t>.</w:t>
      </w:r>
    </w:p>
    <w:p w14:paraId="1C2C77D3" w14:textId="77777777" w:rsidR="000A7ECC" w:rsidRDefault="000A7ECC" w:rsidP="00FC0EEA">
      <w:pPr>
        <w:rPr>
          <w:szCs w:val="22"/>
        </w:rPr>
      </w:pPr>
    </w:p>
    <w:p w14:paraId="70FD8DA6" w14:textId="77777777" w:rsidR="000A7ECC" w:rsidRDefault="00C0119E" w:rsidP="001E1730">
      <w:pPr>
        <w:pStyle w:val="BTEMEASMCA"/>
      </w:pPr>
      <w:r w:rsidRPr="0027383C">
        <w:t>Įprastinių toksinio poveikio reprodukcijai ir vystymuisi tyrimų, kurių metu būtų taikomi šiuo metu patvirtinti standartai, neatlikta</w:t>
      </w:r>
      <w:r>
        <w:t>.</w:t>
      </w:r>
    </w:p>
    <w:p w14:paraId="4A301BC1" w14:textId="77777777" w:rsidR="0088460D" w:rsidRDefault="0088460D" w:rsidP="001E1730">
      <w:pPr>
        <w:pStyle w:val="BTEMEASMCA"/>
      </w:pPr>
    </w:p>
    <w:p w14:paraId="32A59E18" w14:textId="77777777" w:rsidR="000A7ECC" w:rsidRPr="0084041E" w:rsidRDefault="000A7ECC" w:rsidP="001E1730">
      <w:pPr>
        <w:pStyle w:val="BTEMEASMCA"/>
      </w:pPr>
    </w:p>
    <w:p w14:paraId="16AED68A" w14:textId="71C76ABA" w:rsidR="000A7ECC" w:rsidRPr="0084041E" w:rsidRDefault="000A7ECC" w:rsidP="00432612">
      <w:pPr>
        <w:pStyle w:val="PI-1EMEASMCA"/>
      </w:pPr>
      <w:bookmarkStart w:id="36" w:name="_Toc129243115"/>
      <w:bookmarkStart w:id="37" w:name="_Toc129243240"/>
      <w:r w:rsidRPr="0084041E">
        <w:t>6.</w:t>
      </w:r>
      <w:r w:rsidRPr="0084041E">
        <w:tab/>
        <w:t>FARMACINĖ INFORMACIJA</w:t>
      </w:r>
      <w:bookmarkEnd w:id="36"/>
      <w:bookmarkEnd w:id="37"/>
    </w:p>
    <w:p w14:paraId="4C691B1D" w14:textId="77777777" w:rsidR="000A7ECC" w:rsidRPr="0084041E" w:rsidRDefault="000A7ECC" w:rsidP="001E1730">
      <w:pPr>
        <w:pStyle w:val="BTEMEASMCA"/>
      </w:pPr>
    </w:p>
    <w:p w14:paraId="7741FD1A" w14:textId="6FDB64D5" w:rsidR="000A7ECC" w:rsidRPr="0084041E" w:rsidRDefault="000A7ECC" w:rsidP="00FC0EEA">
      <w:pPr>
        <w:pStyle w:val="PI-2EMEASMCA"/>
        <w:outlineLvl w:val="9"/>
      </w:pPr>
      <w:bookmarkStart w:id="38" w:name="_Toc129243116"/>
      <w:bookmarkStart w:id="39" w:name="_Toc129243241"/>
      <w:r w:rsidRPr="0084041E">
        <w:t>6.1</w:t>
      </w:r>
      <w:r w:rsidRPr="0084041E">
        <w:tab/>
        <w:t>Pagalbinių medžiagų sąrašas</w:t>
      </w:r>
      <w:bookmarkEnd w:id="38"/>
      <w:bookmarkEnd w:id="39"/>
    </w:p>
    <w:p w14:paraId="3997B8EB" w14:textId="77777777" w:rsidR="000A7ECC" w:rsidRPr="0031650E" w:rsidRDefault="000A7ECC" w:rsidP="00FC0EEA">
      <w:pPr>
        <w:spacing w:line="240" w:lineRule="auto"/>
      </w:pPr>
    </w:p>
    <w:p w14:paraId="0C9DED8F" w14:textId="77777777" w:rsidR="0088460D" w:rsidRDefault="0088460D" w:rsidP="00FC0EEA">
      <w:pPr>
        <w:spacing w:line="240" w:lineRule="auto"/>
      </w:pPr>
      <w:r>
        <w:t>Manitolis (E 421)</w:t>
      </w:r>
    </w:p>
    <w:p w14:paraId="21AF46CA" w14:textId="77777777" w:rsidR="0088460D" w:rsidRDefault="0088460D" w:rsidP="00FC0EEA">
      <w:pPr>
        <w:spacing w:line="240" w:lineRule="auto"/>
      </w:pPr>
      <w:r>
        <w:t>Ksilitolis (E 967)</w:t>
      </w:r>
    </w:p>
    <w:p w14:paraId="5C3B83EE" w14:textId="77777777" w:rsidR="0088460D" w:rsidRDefault="0088460D" w:rsidP="00FC0EEA">
      <w:pPr>
        <w:spacing w:line="240" w:lineRule="auto"/>
      </w:pPr>
      <w:r>
        <w:t>Juodųjų serbentų aromat</w:t>
      </w:r>
      <w:r w:rsidR="00067674">
        <w:t>inė medžiaga</w:t>
      </w:r>
      <w:r>
        <w:t xml:space="preserve"> (maltodekstrinas, dekstrozė, triacetinas </w:t>
      </w:r>
      <w:r w:rsidR="00885965">
        <w:t>[</w:t>
      </w:r>
      <w:r>
        <w:t>E</w:t>
      </w:r>
      <w:r w:rsidR="00885965">
        <w:t xml:space="preserve"> </w:t>
      </w:r>
      <w:r>
        <w:t>1518</w:t>
      </w:r>
      <w:r w:rsidR="00885965">
        <w:t>]</w:t>
      </w:r>
      <w:r>
        <w:t xml:space="preserve">, </w:t>
      </w:r>
      <w:r w:rsidR="00885965">
        <w:t>g</w:t>
      </w:r>
      <w:r w:rsidR="00885965" w:rsidRPr="00885965">
        <w:t>umiarabikas</w:t>
      </w:r>
      <w:r w:rsidR="00885965">
        <w:t xml:space="preserve"> [</w:t>
      </w:r>
      <w:r>
        <w:t>E</w:t>
      </w:r>
      <w:r w:rsidR="00885965">
        <w:t> </w:t>
      </w:r>
      <w:r>
        <w:t>414</w:t>
      </w:r>
      <w:r w:rsidR="00885965">
        <w:t>]</w:t>
      </w:r>
      <w:r>
        <w:t xml:space="preserve">, natrio diacetatas </w:t>
      </w:r>
      <w:r w:rsidR="00885965">
        <w:t>[</w:t>
      </w:r>
      <w:r>
        <w:t>E</w:t>
      </w:r>
      <w:r w:rsidR="00885965">
        <w:t xml:space="preserve"> </w:t>
      </w:r>
      <w:r>
        <w:t>262</w:t>
      </w:r>
      <w:r w:rsidR="00885965">
        <w:t>])</w:t>
      </w:r>
    </w:p>
    <w:p w14:paraId="7241256A" w14:textId="77777777" w:rsidR="0088460D" w:rsidRDefault="0088460D" w:rsidP="00FC0EEA">
      <w:pPr>
        <w:spacing w:line="240" w:lineRule="auto"/>
      </w:pPr>
      <w:r>
        <w:t>Steviolio glikozidas</w:t>
      </w:r>
    </w:p>
    <w:p w14:paraId="4845392F" w14:textId="77777777" w:rsidR="0088460D" w:rsidRDefault="0088460D" w:rsidP="00FC0EEA">
      <w:pPr>
        <w:spacing w:line="240" w:lineRule="auto"/>
      </w:pPr>
      <w:r>
        <w:t xml:space="preserve">Raudonųjų burokėlių milteliai (raudonųjų burokėlių sulčių koncentratas, maltodekstrinas, citrinų rūgštis </w:t>
      </w:r>
      <w:r w:rsidR="00885965">
        <w:t>[</w:t>
      </w:r>
      <w:r>
        <w:t>E</w:t>
      </w:r>
      <w:r w:rsidR="00885965">
        <w:t> </w:t>
      </w:r>
      <w:r>
        <w:t>330</w:t>
      </w:r>
      <w:r w:rsidR="00885965">
        <w:t>]</w:t>
      </w:r>
      <w:r>
        <w:t>)</w:t>
      </w:r>
    </w:p>
    <w:p w14:paraId="22AFACA6" w14:textId="77777777" w:rsidR="000A7ECC" w:rsidRDefault="0088460D" w:rsidP="00FC0EEA">
      <w:pPr>
        <w:spacing w:line="240" w:lineRule="auto"/>
      </w:pPr>
      <w:r>
        <w:t>Mentolio aromat</w:t>
      </w:r>
      <w:r w:rsidR="00885965">
        <w:t>inė medžiaga</w:t>
      </w:r>
      <w:r>
        <w:t xml:space="preserve"> (maltodekstrinas, dekstrozė, silicio dioksidas </w:t>
      </w:r>
      <w:r w:rsidR="00885965">
        <w:t>[</w:t>
      </w:r>
      <w:r>
        <w:t>E</w:t>
      </w:r>
      <w:r w:rsidR="00885965">
        <w:t xml:space="preserve"> </w:t>
      </w:r>
      <w:r>
        <w:t>551</w:t>
      </w:r>
      <w:r w:rsidR="00885965">
        <w:t>]</w:t>
      </w:r>
      <w:r>
        <w:t xml:space="preserve">, </w:t>
      </w:r>
      <w:r w:rsidR="00885965">
        <w:t>g</w:t>
      </w:r>
      <w:r w:rsidR="00885965" w:rsidRPr="00885965">
        <w:t>umiarabikas</w:t>
      </w:r>
      <w:r w:rsidR="00885965">
        <w:t xml:space="preserve"> [</w:t>
      </w:r>
      <w:r>
        <w:t>E</w:t>
      </w:r>
      <w:r w:rsidR="00885965">
        <w:t xml:space="preserve"> </w:t>
      </w:r>
      <w:r>
        <w:t>414</w:t>
      </w:r>
      <w:r w:rsidR="00885965">
        <w:t>]</w:t>
      </w:r>
      <w:r>
        <w:t>, pulegonas)</w:t>
      </w:r>
    </w:p>
    <w:p w14:paraId="487F1759" w14:textId="77777777" w:rsidR="0088460D" w:rsidRPr="0031650E" w:rsidRDefault="0088460D" w:rsidP="00FC0EEA">
      <w:pPr>
        <w:spacing w:line="240" w:lineRule="auto"/>
        <w:rPr>
          <w:lang w:val="pt-BR"/>
        </w:rPr>
      </w:pPr>
    </w:p>
    <w:p w14:paraId="4EAF9044" w14:textId="77777777" w:rsidR="000A7ECC" w:rsidRPr="0084041E" w:rsidRDefault="000A7ECC" w:rsidP="00FC0EEA">
      <w:pPr>
        <w:pStyle w:val="PI-2EMEASMCA"/>
        <w:outlineLvl w:val="9"/>
      </w:pPr>
      <w:bookmarkStart w:id="40" w:name="_Toc129243117"/>
      <w:bookmarkStart w:id="41" w:name="_Toc129243242"/>
      <w:r w:rsidRPr="0084041E">
        <w:t>6.2</w:t>
      </w:r>
      <w:r w:rsidRPr="0084041E">
        <w:tab/>
        <w:t>Nesuderinamumas</w:t>
      </w:r>
      <w:bookmarkEnd w:id="40"/>
      <w:bookmarkEnd w:id="41"/>
    </w:p>
    <w:p w14:paraId="403E5FDD" w14:textId="77777777" w:rsidR="000A7ECC" w:rsidRPr="0084041E" w:rsidRDefault="000A7ECC" w:rsidP="001E1730">
      <w:pPr>
        <w:pStyle w:val="BTEMEASMCA"/>
      </w:pPr>
    </w:p>
    <w:p w14:paraId="33F06EFD" w14:textId="77777777" w:rsidR="000A7ECC" w:rsidRPr="0084041E" w:rsidRDefault="000A7ECC" w:rsidP="001E1730">
      <w:pPr>
        <w:pStyle w:val="BTEMEASMCA"/>
      </w:pPr>
      <w:r w:rsidRPr="0084041E">
        <w:t>Duomenys nebūtini.</w:t>
      </w:r>
    </w:p>
    <w:p w14:paraId="29DEA140" w14:textId="77777777" w:rsidR="000A7ECC" w:rsidRPr="0084041E" w:rsidRDefault="000A7ECC" w:rsidP="001E1730">
      <w:pPr>
        <w:pStyle w:val="BTEMEASMCA"/>
      </w:pPr>
    </w:p>
    <w:p w14:paraId="5CDCD6B6" w14:textId="48ED998C" w:rsidR="000A7ECC" w:rsidRPr="0084041E" w:rsidRDefault="000A7ECC" w:rsidP="00FC0EEA">
      <w:pPr>
        <w:pStyle w:val="PI-2EMEASMCA"/>
        <w:outlineLvl w:val="9"/>
      </w:pPr>
      <w:bookmarkStart w:id="42" w:name="_Toc129243118"/>
      <w:bookmarkStart w:id="43" w:name="_Toc129243243"/>
      <w:r w:rsidRPr="0084041E">
        <w:t>6.3</w:t>
      </w:r>
      <w:r w:rsidRPr="0084041E">
        <w:tab/>
        <w:t>Tinkamumo laikas</w:t>
      </w:r>
      <w:bookmarkEnd w:id="42"/>
      <w:bookmarkEnd w:id="43"/>
    </w:p>
    <w:p w14:paraId="1F25E261" w14:textId="77777777" w:rsidR="000A7ECC" w:rsidRPr="0084041E" w:rsidRDefault="000A7ECC" w:rsidP="001E1730">
      <w:pPr>
        <w:pStyle w:val="BTEMEASMCA"/>
      </w:pPr>
    </w:p>
    <w:p w14:paraId="0B6A6A0D" w14:textId="77777777" w:rsidR="000A7ECC" w:rsidRPr="0084041E" w:rsidRDefault="00885965" w:rsidP="001E1730">
      <w:pPr>
        <w:pStyle w:val="BTEMEASMCA"/>
      </w:pPr>
      <w:r>
        <w:t>3</w:t>
      </w:r>
      <w:r w:rsidR="000A7ECC">
        <w:t xml:space="preserve"> metai.</w:t>
      </w:r>
    </w:p>
    <w:p w14:paraId="0C731ACA" w14:textId="77777777" w:rsidR="000A7ECC" w:rsidRPr="0084041E" w:rsidRDefault="000A7ECC" w:rsidP="001E1730">
      <w:pPr>
        <w:pStyle w:val="BTEMEASMCA"/>
      </w:pPr>
    </w:p>
    <w:p w14:paraId="36D77559" w14:textId="6C82286F" w:rsidR="000A7ECC" w:rsidRPr="0084041E" w:rsidRDefault="000A7ECC" w:rsidP="00FC0EEA">
      <w:pPr>
        <w:pStyle w:val="PI-2EMEASMCA"/>
        <w:outlineLvl w:val="9"/>
      </w:pPr>
      <w:bookmarkStart w:id="44" w:name="_Toc129243119"/>
      <w:bookmarkStart w:id="45" w:name="_Toc129243244"/>
      <w:r w:rsidRPr="0084041E">
        <w:t>6.4</w:t>
      </w:r>
      <w:r w:rsidRPr="0084041E">
        <w:tab/>
        <w:t>Specialios laikymo sąlygos</w:t>
      </w:r>
      <w:bookmarkEnd w:id="44"/>
      <w:bookmarkEnd w:id="45"/>
    </w:p>
    <w:p w14:paraId="02BDB97E" w14:textId="77777777" w:rsidR="000A7ECC" w:rsidRPr="0084041E" w:rsidRDefault="000A7ECC" w:rsidP="001E1730">
      <w:pPr>
        <w:pStyle w:val="BTEMEASMCA"/>
      </w:pPr>
    </w:p>
    <w:p w14:paraId="4381C84D" w14:textId="77777777" w:rsidR="00885965" w:rsidRDefault="00885965" w:rsidP="001E1730">
      <w:pPr>
        <w:pStyle w:val="BTEMEASMCA"/>
      </w:pPr>
      <w:r>
        <w:t>Laikyti žemesnėje kaip 30 </w:t>
      </w:r>
      <w:r w:rsidRPr="00153901">
        <w:sym w:font="Symbol" w:char="F0B0"/>
      </w:r>
      <w:r w:rsidRPr="00153901">
        <w:t>C</w:t>
      </w:r>
      <w:r>
        <w:t xml:space="preserve"> </w:t>
      </w:r>
      <w:r w:rsidRPr="00153901">
        <w:t>temperatūroje</w:t>
      </w:r>
      <w:r>
        <w:t>.</w:t>
      </w:r>
    </w:p>
    <w:p w14:paraId="64EE0E49" w14:textId="77777777" w:rsidR="000A7ECC" w:rsidRDefault="00885965" w:rsidP="001E1730">
      <w:pPr>
        <w:pStyle w:val="BTEMEASMCA"/>
      </w:pPr>
      <w:r>
        <w:t xml:space="preserve">Laikyti gamintojo pakuotėje (paketėlyje), kad vaistinis preparatas būtų apsaugotas nuo šviesos. </w:t>
      </w:r>
    </w:p>
    <w:p w14:paraId="1BA6EEF9" w14:textId="77777777" w:rsidR="000A7ECC" w:rsidRPr="003C34A1" w:rsidRDefault="000A7ECC" w:rsidP="001E1730">
      <w:pPr>
        <w:pStyle w:val="BTEMEASMCA"/>
      </w:pPr>
    </w:p>
    <w:p w14:paraId="6E2A81DF" w14:textId="788EF523" w:rsidR="000A7ECC" w:rsidRPr="0084041E" w:rsidRDefault="000A7ECC" w:rsidP="00FC0EEA">
      <w:pPr>
        <w:pStyle w:val="PI-2EMEASMCA"/>
        <w:outlineLvl w:val="9"/>
      </w:pPr>
      <w:bookmarkStart w:id="46" w:name="_Toc129243120"/>
      <w:bookmarkStart w:id="47" w:name="_Toc129243245"/>
      <w:r w:rsidRPr="0084041E">
        <w:t>6.5</w:t>
      </w:r>
      <w:r w:rsidRPr="0084041E">
        <w:tab/>
      </w:r>
      <w:r w:rsidRPr="000062CA">
        <w:rPr>
          <w:bCs/>
        </w:rPr>
        <w:t>Talpyklės pobūdis</w:t>
      </w:r>
      <w:r w:rsidRPr="000062CA">
        <w:t xml:space="preserve"> ir</w:t>
      </w:r>
      <w:r w:rsidRPr="0084041E">
        <w:t xml:space="preserve"> jos turinys</w:t>
      </w:r>
      <w:bookmarkEnd w:id="46"/>
      <w:bookmarkEnd w:id="47"/>
    </w:p>
    <w:p w14:paraId="6FC549C9" w14:textId="77777777" w:rsidR="000A7ECC" w:rsidRPr="0084041E" w:rsidRDefault="000A7ECC" w:rsidP="001E1730">
      <w:pPr>
        <w:pStyle w:val="BTEMEASMCA"/>
      </w:pPr>
    </w:p>
    <w:p w14:paraId="7EAC94EF" w14:textId="77777777" w:rsidR="00885965" w:rsidRDefault="00885965" w:rsidP="00FC0EEA">
      <w:r>
        <w:t>5, 6, 10, 12, 20, 24 ir 30 aliuminio laminato paketėlių kartoninėje dėžutėje. Aliuminio laminat</w:t>
      </w:r>
      <w:r w:rsidR="005448F2">
        <w:t>ą</w:t>
      </w:r>
      <w:r>
        <w:t xml:space="preserve"> </w:t>
      </w:r>
      <w:r w:rsidR="005448F2">
        <w:t xml:space="preserve">sudaro </w:t>
      </w:r>
      <w:r>
        <w:t>dengto popieriaus, polietileno, aliuminio folijos ir jonomerinės dervos sluoksni</w:t>
      </w:r>
      <w:r w:rsidR="005448F2">
        <w:t>ai</w:t>
      </w:r>
      <w:r>
        <w:t>.</w:t>
      </w:r>
    </w:p>
    <w:p w14:paraId="3DDA8AD6" w14:textId="77777777" w:rsidR="00885965" w:rsidRDefault="00885965" w:rsidP="00FC0EEA"/>
    <w:p w14:paraId="040D10E2" w14:textId="77777777" w:rsidR="00885965" w:rsidRDefault="00885965" w:rsidP="00FC0EEA">
      <w:r>
        <w:t>Gali būti tiekiamos ne visų dydžių pakuotės.</w:t>
      </w:r>
    </w:p>
    <w:p w14:paraId="044D591D" w14:textId="77777777" w:rsidR="00885965" w:rsidRDefault="00885965" w:rsidP="00FC0EEA"/>
    <w:p w14:paraId="26606B0E" w14:textId="77777777" w:rsidR="000A7ECC" w:rsidRPr="0084041E" w:rsidRDefault="000A7ECC" w:rsidP="00FC0EEA">
      <w:pPr>
        <w:pStyle w:val="PI-2EMEASMCA"/>
        <w:outlineLvl w:val="9"/>
      </w:pPr>
      <w:bookmarkStart w:id="48" w:name="_Toc129243121"/>
      <w:bookmarkStart w:id="49" w:name="_Toc129243246"/>
      <w:r w:rsidRPr="0084041E">
        <w:t>6.6</w:t>
      </w:r>
      <w:r w:rsidRPr="0084041E">
        <w:tab/>
        <w:t xml:space="preserve">Specialūs </w:t>
      </w:r>
      <w:r>
        <w:t>reikalavimai atliekoms tvarkyti</w:t>
      </w:r>
      <w:bookmarkEnd w:id="48"/>
      <w:bookmarkEnd w:id="49"/>
    </w:p>
    <w:p w14:paraId="5BF7B06E" w14:textId="77777777" w:rsidR="000A7ECC" w:rsidRPr="0084041E" w:rsidRDefault="000A7ECC" w:rsidP="001E1730">
      <w:pPr>
        <w:pStyle w:val="BTEMEASMCA"/>
      </w:pPr>
    </w:p>
    <w:p w14:paraId="48385C94" w14:textId="77777777" w:rsidR="000A7ECC" w:rsidRDefault="000A7ECC" w:rsidP="001E1730">
      <w:pPr>
        <w:pStyle w:val="BTEMEASMCA"/>
      </w:pPr>
      <w:r w:rsidRPr="0084041E">
        <w:t>Specialių reikalavimų nėra.</w:t>
      </w:r>
      <w:r w:rsidR="005448F2">
        <w:t xml:space="preserve"> Paruošto vaistinio preparato išvaizda: raudonas tirpalas.</w:t>
      </w:r>
    </w:p>
    <w:p w14:paraId="354473D5" w14:textId="77777777" w:rsidR="005448F2" w:rsidRPr="0084041E" w:rsidRDefault="005448F2" w:rsidP="001E1730">
      <w:pPr>
        <w:pStyle w:val="BTEMEASMCA"/>
      </w:pPr>
    </w:p>
    <w:p w14:paraId="1E1C7298" w14:textId="77777777" w:rsidR="005448F2" w:rsidRPr="005448F2" w:rsidRDefault="005448F2" w:rsidP="00FC0EEA">
      <w:pPr>
        <w:tabs>
          <w:tab w:val="clear" w:pos="567"/>
        </w:tabs>
        <w:spacing w:line="240" w:lineRule="auto"/>
        <w:rPr>
          <w:szCs w:val="24"/>
        </w:rPr>
      </w:pPr>
      <w:r w:rsidRPr="005448F2">
        <w:rPr>
          <w:szCs w:val="24"/>
        </w:rPr>
        <w:t>Nesuvartotą vaistinį preparatą ar atliekas reikia tvarkyti laikantis vietinių reikalavimų.</w:t>
      </w:r>
    </w:p>
    <w:p w14:paraId="4464FE3F" w14:textId="77777777" w:rsidR="000A7ECC" w:rsidRDefault="000A7ECC" w:rsidP="001E1730">
      <w:pPr>
        <w:pStyle w:val="BTEMEASMCA"/>
      </w:pPr>
    </w:p>
    <w:p w14:paraId="717A863C" w14:textId="77777777" w:rsidR="000A7ECC" w:rsidRPr="0084041E" w:rsidRDefault="000A7ECC" w:rsidP="001E1730">
      <w:pPr>
        <w:pStyle w:val="BTEMEASMCA"/>
      </w:pPr>
    </w:p>
    <w:p w14:paraId="047C935A" w14:textId="6BA8B8B9" w:rsidR="000A7ECC" w:rsidRPr="0084041E" w:rsidRDefault="000A7ECC" w:rsidP="00432612">
      <w:pPr>
        <w:pStyle w:val="PI-1EMEASMCA"/>
      </w:pPr>
      <w:bookmarkStart w:id="50" w:name="_Toc129243122"/>
      <w:bookmarkStart w:id="51" w:name="_Toc129243247"/>
      <w:r w:rsidRPr="0084041E">
        <w:t>7.</w:t>
      </w:r>
      <w:r w:rsidRPr="0084041E">
        <w:tab/>
      </w:r>
      <w:r w:rsidRPr="00676E18">
        <w:t>REGISTRUOTOJAS</w:t>
      </w:r>
      <w:bookmarkEnd w:id="50"/>
      <w:bookmarkEnd w:id="51"/>
    </w:p>
    <w:p w14:paraId="3A2D985F" w14:textId="77777777" w:rsidR="005448F2" w:rsidRDefault="005448F2" w:rsidP="00FC0EEA"/>
    <w:p w14:paraId="023B4297" w14:textId="77777777" w:rsidR="000A7ECC" w:rsidRPr="0031650E" w:rsidRDefault="000A7ECC" w:rsidP="00FC0EEA">
      <w:r w:rsidRPr="0031650E">
        <w:t>Vitabalans Oy</w:t>
      </w:r>
    </w:p>
    <w:p w14:paraId="367658AC" w14:textId="77777777" w:rsidR="000A7ECC" w:rsidRPr="0031650E" w:rsidRDefault="000A7ECC" w:rsidP="00FC0EEA">
      <w:r w:rsidRPr="0031650E">
        <w:t>Varastokatu 8</w:t>
      </w:r>
    </w:p>
    <w:p w14:paraId="753492B4" w14:textId="77777777" w:rsidR="000A7ECC" w:rsidRPr="0031650E" w:rsidRDefault="000A7ECC" w:rsidP="00FC0EEA">
      <w:pPr>
        <w:rPr>
          <w:lang w:val="fi-FI"/>
        </w:rPr>
      </w:pPr>
      <w:r w:rsidRPr="0031650E">
        <w:rPr>
          <w:lang w:val="fi-FI"/>
        </w:rPr>
        <w:t>13500 H</w:t>
      </w:r>
      <w:r>
        <w:rPr>
          <w:lang w:val="fi-FI"/>
        </w:rPr>
        <w:t>ä</w:t>
      </w:r>
      <w:r w:rsidRPr="0031650E">
        <w:rPr>
          <w:lang w:val="fi-FI"/>
        </w:rPr>
        <w:t>meenlinna</w:t>
      </w:r>
    </w:p>
    <w:p w14:paraId="7CECFA86" w14:textId="77777777" w:rsidR="000A7ECC" w:rsidRPr="0031650E" w:rsidRDefault="000A7ECC" w:rsidP="00FC0EEA">
      <w:pPr>
        <w:rPr>
          <w:lang w:val="fi-FI"/>
        </w:rPr>
      </w:pPr>
      <w:r w:rsidRPr="0031650E">
        <w:rPr>
          <w:lang w:val="fi-FI"/>
        </w:rPr>
        <w:t>Suomija</w:t>
      </w:r>
    </w:p>
    <w:p w14:paraId="6EB94A43" w14:textId="3C5A984E" w:rsidR="000A7ECC" w:rsidRDefault="005448F2" w:rsidP="00655305">
      <w:pPr>
        <w:rPr>
          <w:noProof/>
          <w:lang w:val="sv-SE"/>
        </w:rPr>
      </w:pPr>
      <w:r>
        <w:rPr>
          <w:szCs w:val="24"/>
        </w:rPr>
        <w:t xml:space="preserve">Tel. </w:t>
      </w:r>
      <w:r>
        <w:rPr>
          <w:noProof/>
          <w:lang w:val="sv-SE"/>
        </w:rPr>
        <w:t>+358 3 615 600</w:t>
      </w:r>
    </w:p>
    <w:p w14:paraId="5562D8AF" w14:textId="77777777" w:rsidR="005448F2" w:rsidRPr="00253DE6" w:rsidRDefault="005448F2" w:rsidP="00FC0EEA">
      <w:pPr>
        <w:rPr>
          <w:lang w:val="pt-PT"/>
        </w:rPr>
      </w:pPr>
    </w:p>
    <w:p w14:paraId="4C1FA497" w14:textId="77777777" w:rsidR="000A7ECC" w:rsidRPr="0084041E" w:rsidRDefault="000A7ECC" w:rsidP="001E1730">
      <w:pPr>
        <w:pStyle w:val="BTEMEASMCA"/>
      </w:pPr>
    </w:p>
    <w:p w14:paraId="74FA07B9" w14:textId="61341E3A" w:rsidR="000A7ECC" w:rsidRPr="000062CA" w:rsidRDefault="000A7ECC" w:rsidP="00432612">
      <w:pPr>
        <w:pStyle w:val="PI-1EMEASMCA"/>
      </w:pPr>
      <w:bookmarkStart w:id="52" w:name="_Toc129243123"/>
      <w:bookmarkStart w:id="53" w:name="_Toc129243248"/>
      <w:r w:rsidRPr="000062CA">
        <w:t>8.</w:t>
      </w:r>
      <w:r w:rsidRPr="000062CA">
        <w:tab/>
      </w:r>
      <w:r w:rsidRPr="004F5824">
        <w:t xml:space="preserve">REGISTRACIJOS PAŽYMĖJIMO </w:t>
      </w:r>
      <w:r w:rsidRPr="000062CA">
        <w:t>NUMERIS</w:t>
      </w:r>
      <w:bookmarkEnd w:id="52"/>
      <w:bookmarkEnd w:id="53"/>
      <w:r w:rsidRPr="000062CA">
        <w:t xml:space="preserve"> (-IAI)</w:t>
      </w:r>
    </w:p>
    <w:p w14:paraId="3707405D" w14:textId="77777777" w:rsidR="000A7ECC" w:rsidRPr="000062CA" w:rsidRDefault="000A7ECC" w:rsidP="001E1730">
      <w:pPr>
        <w:pStyle w:val="BTEMEASMCA"/>
      </w:pPr>
    </w:p>
    <w:p w14:paraId="30AA2C87" w14:textId="77777777" w:rsidR="007C2D9E" w:rsidRDefault="007C2D9E" w:rsidP="007C2D9E">
      <w:pPr>
        <w:pStyle w:val="BTEMEASMCA"/>
      </w:pPr>
      <w:r>
        <w:t>LT/1/22/5055/001 – N5</w:t>
      </w:r>
    </w:p>
    <w:p w14:paraId="0B7B0FB0" w14:textId="77777777" w:rsidR="007C2D9E" w:rsidRDefault="007C2D9E" w:rsidP="007C2D9E">
      <w:pPr>
        <w:pStyle w:val="BTEMEASMCA"/>
      </w:pPr>
      <w:r>
        <w:t>LT/1/22/5055/002 – N6</w:t>
      </w:r>
    </w:p>
    <w:p w14:paraId="0B1598D9" w14:textId="77777777" w:rsidR="007C2D9E" w:rsidRDefault="007C2D9E" w:rsidP="007C2D9E">
      <w:pPr>
        <w:pStyle w:val="BTEMEASMCA"/>
      </w:pPr>
      <w:r>
        <w:t>LT/1/22/5055/003 – N10</w:t>
      </w:r>
    </w:p>
    <w:p w14:paraId="5695825D" w14:textId="77777777" w:rsidR="007C2D9E" w:rsidRDefault="007C2D9E" w:rsidP="007C2D9E">
      <w:pPr>
        <w:pStyle w:val="BTEMEASMCA"/>
      </w:pPr>
      <w:r>
        <w:t>LT/1/22/5055/004 – N12</w:t>
      </w:r>
    </w:p>
    <w:p w14:paraId="40B71934" w14:textId="77777777" w:rsidR="007C2D9E" w:rsidRDefault="007C2D9E" w:rsidP="007C2D9E">
      <w:pPr>
        <w:pStyle w:val="BTEMEASMCA"/>
      </w:pPr>
      <w:r>
        <w:t>LT/1/22/5055/005 – N20</w:t>
      </w:r>
    </w:p>
    <w:p w14:paraId="4B4EBD8D" w14:textId="77777777" w:rsidR="007C2D9E" w:rsidRDefault="007C2D9E" w:rsidP="007C2D9E">
      <w:pPr>
        <w:pStyle w:val="BTEMEASMCA"/>
      </w:pPr>
      <w:r>
        <w:t>LT/1/22/5055/006 – N24</w:t>
      </w:r>
    </w:p>
    <w:p w14:paraId="2C3D08E0" w14:textId="26CAA603" w:rsidR="000A7ECC" w:rsidRDefault="007C2D9E" w:rsidP="007C2D9E">
      <w:pPr>
        <w:pStyle w:val="BTEMEASMCA"/>
      </w:pPr>
      <w:r>
        <w:t>LT/1/22/5055/007 – N30</w:t>
      </w:r>
    </w:p>
    <w:p w14:paraId="474F881F" w14:textId="77777777" w:rsidR="007C2D9E" w:rsidRPr="000062CA" w:rsidRDefault="007C2D9E" w:rsidP="007C2D9E">
      <w:pPr>
        <w:pStyle w:val="BTEMEASMCA"/>
      </w:pPr>
    </w:p>
    <w:p w14:paraId="3C8A5217" w14:textId="77777777" w:rsidR="000A7ECC" w:rsidRPr="000062CA" w:rsidRDefault="000A7ECC" w:rsidP="001E1730">
      <w:pPr>
        <w:pStyle w:val="BTEMEASMCA"/>
      </w:pPr>
    </w:p>
    <w:p w14:paraId="217C1898" w14:textId="3C896D84" w:rsidR="000A7ECC" w:rsidRPr="000062CA" w:rsidRDefault="000A7ECC" w:rsidP="00432612">
      <w:pPr>
        <w:pStyle w:val="PI-1EMEASMCA"/>
      </w:pPr>
      <w:bookmarkStart w:id="54" w:name="_Toc129243124"/>
      <w:bookmarkStart w:id="55" w:name="_Toc129243249"/>
      <w:r w:rsidRPr="000062CA">
        <w:t>9.</w:t>
      </w:r>
      <w:r w:rsidRPr="000062CA">
        <w:tab/>
      </w:r>
      <w:r w:rsidRPr="00676E18">
        <w:t>REGISTRAVIMO / PERREGISTRAVIMO DATA</w:t>
      </w:r>
      <w:bookmarkEnd w:id="54"/>
      <w:bookmarkEnd w:id="55"/>
    </w:p>
    <w:p w14:paraId="30C849B3" w14:textId="77777777" w:rsidR="000A7ECC" w:rsidRDefault="000A7ECC" w:rsidP="00FC0EEA">
      <w:pPr>
        <w:tabs>
          <w:tab w:val="clear" w:pos="567"/>
        </w:tabs>
        <w:spacing w:line="240" w:lineRule="auto"/>
        <w:rPr>
          <w:szCs w:val="22"/>
        </w:rPr>
      </w:pPr>
    </w:p>
    <w:p w14:paraId="0EC020A3" w14:textId="48C822B8" w:rsidR="000A7ECC" w:rsidRPr="00B40936" w:rsidRDefault="000A7ECC" w:rsidP="00FC0EEA">
      <w:pPr>
        <w:tabs>
          <w:tab w:val="clear" w:pos="567"/>
        </w:tabs>
        <w:spacing w:line="240" w:lineRule="auto"/>
        <w:rPr>
          <w:szCs w:val="22"/>
        </w:rPr>
      </w:pPr>
      <w:r w:rsidRPr="00381BD1">
        <w:rPr>
          <w:szCs w:val="22"/>
        </w:rPr>
        <w:t>R</w:t>
      </w:r>
      <w:r>
        <w:rPr>
          <w:szCs w:val="22"/>
        </w:rPr>
        <w:t>egistravimo data</w:t>
      </w:r>
      <w:r w:rsidRPr="00381BD1">
        <w:rPr>
          <w:szCs w:val="22"/>
        </w:rPr>
        <w:t xml:space="preserve">: </w:t>
      </w:r>
      <w:r w:rsidR="007C2D9E">
        <w:rPr>
          <w:noProof/>
          <w:snapToGrid w:val="0"/>
          <w:szCs w:val="24"/>
        </w:rPr>
        <w:t>2022 m. spalio 24 d.</w:t>
      </w:r>
    </w:p>
    <w:p w14:paraId="7BB0C110" w14:textId="77777777" w:rsidR="000A7ECC" w:rsidRPr="000062CA" w:rsidRDefault="000A7ECC" w:rsidP="001E1730">
      <w:pPr>
        <w:pStyle w:val="BTEMEASMCA"/>
      </w:pPr>
    </w:p>
    <w:p w14:paraId="46EB7753" w14:textId="77777777" w:rsidR="000A7ECC" w:rsidRPr="0084041E" w:rsidRDefault="000A7ECC" w:rsidP="001E1730">
      <w:pPr>
        <w:pStyle w:val="BTEMEASMCA"/>
      </w:pPr>
    </w:p>
    <w:p w14:paraId="524D9660" w14:textId="1328C3A4" w:rsidR="000A7ECC" w:rsidRPr="0084041E" w:rsidRDefault="000A7ECC" w:rsidP="00432612">
      <w:pPr>
        <w:pStyle w:val="PI-1EMEASMCA"/>
      </w:pPr>
      <w:bookmarkStart w:id="56" w:name="_Toc129243125"/>
      <w:bookmarkStart w:id="57" w:name="_Toc129243250"/>
      <w:r w:rsidRPr="0084041E">
        <w:t>10.</w:t>
      </w:r>
      <w:r w:rsidRPr="0084041E">
        <w:tab/>
        <w:t>TEKSTO PERŽIŪROS DATA</w:t>
      </w:r>
      <w:bookmarkEnd w:id="56"/>
      <w:bookmarkEnd w:id="57"/>
    </w:p>
    <w:p w14:paraId="058EB7F2" w14:textId="77777777" w:rsidR="000A7ECC" w:rsidRDefault="000A7ECC" w:rsidP="001E1730">
      <w:pPr>
        <w:pStyle w:val="BTEMEASMCA"/>
      </w:pPr>
    </w:p>
    <w:p w14:paraId="3E3134C9" w14:textId="55E8A9DA" w:rsidR="00E35FD0" w:rsidRDefault="00AC13CB" w:rsidP="001E1730">
      <w:pPr>
        <w:pStyle w:val="BTEMEASMCA"/>
        <w:rPr>
          <w:snapToGrid w:val="0"/>
        </w:rPr>
      </w:pPr>
      <w:r>
        <w:rPr>
          <w:snapToGrid w:val="0"/>
        </w:rPr>
        <w:t>2025 m. sausio 16 d.</w:t>
      </w:r>
    </w:p>
    <w:p w14:paraId="0419F39B" w14:textId="77777777" w:rsidR="00457964" w:rsidRDefault="00457964" w:rsidP="001E1730">
      <w:pPr>
        <w:pStyle w:val="BTEMEASMCA"/>
      </w:pPr>
    </w:p>
    <w:p w14:paraId="72A341AB" w14:textId="77777777" w:rsidR="005448F2" w:rsidRPr="0084041E" w:rsidRDefault="005448F2" w:rsidP="001E1730">
      <w:pPr>
        <w:pStyle w:val="BTEMEASMCA"/>
      </w:pPr>
    </w:p>
    <w:p w14:paraId="7C1B3E72" w14:textId="59C901B6" w:rsidR="000A7ECC" w:rsidRPr="008F3D2A" w:rsidRDefault="000A7ECC">
      <w:pPr>
        <w:pStyle w:val="BTEMEASMCA"/>
        <w:rPr>
          <w:color w:val="0000FF"/>
        </w:rPr>
      </w:pPr>
      <w:r w:rsidRPr="008F3D2A">
        <w:t>Išsami informacija apie šį vaistinį preparatą pateikiama Valstybinės vaistų kontrolės tarnybos prie Lietuvos Respublikos sveikatos apsaugos ministerijos tinklalapyje</w:t>
      </w:r>
      <w:r w:rsidR="008C6CEB">
        <w:t xml:space="preserve"> </w:t>
      </w:r>
      <w:r w:rsidR="008C6CEB">
        <w:rPr>
          <w:color w:val="0000EE"/>
          <w:u w:val="single"/>
          <w:lang w:eastAsia="lt-LT"/>
        </w:rPr>
        <w:t>https://vvkt.lrv.lt/lt.</w:t>
      </w:r>
      <w:r w:rsidRPr="008F3D2A">
        <w:rPr>
          <w:i/>
        </w:rPr>
        <w:t xml:space="preserve"> </w:t>
      </w:r>
    </w:p>
    <w:p w14:paraId="3C378909" w14:textId="77777777" w:rsidR="000A7ECC" w:rsidRPr="00432612" w:rsidRDefault="000A7ECC">
      <w:pPr>
        <w:pStyle w:val="BTEMEASMCA"/>
      </w:pPr>
      <w:r w:rsidRPr="00DF4173">
        <w:br w:type="page"/>
      </w:r>
    </w:p>
    <w:p w14:paraId="3990EE38" w14:textId="77777777" w:rsidR="000A7ECC" w:rsidRDefault="000A7ECC" w:rsidP="00FC0EEA">
      <w:pPr>
        <w:rPr>
          <w:noProof/>
        </w:rPr>
      </w:pPr>
    </w:p>
    <w:p w14:paraId="080FACEB" w14:textId="77777777" w:rsidR="000A7ECC" w:rsidRDefault="000A7ECC" w:rsidP="00FC0EEA">
      <w:pPr>
        <w:jc w:val="center"/>
        <w:rPr>
          <w:noProof/>
        </w:rPr>
      </w:pPr>
    </w:p>
    <w:p w14:paraId="5C696D4A" w14:textId="77777777" w:rsidR="000A7ECC" w:rsidRDefault="000A7ECC" w:rsidP="00FC0EEA">
      <w:pPr>
        <w:jc w:val="center"/>
        <w:rPr>
          <w:noProof/>
        </w:rPr>
      </w:pPr>
    </w:p>
    <w:p w14:paraId="53929962" w14:textId="77777777" w:rsidR="000A7ECC" w:rsidRDefault="000A7ECC" w:rsidP="00FC0EEA">
      <w:pPr>
        <w:jc w:val="center"/>
        <w:rPr>
          <w:noProof/>
        </w:rPr>
      </w:pPr>
    </w:p>
    <w:p w14:paraId="3A1314DA" w14:textId="77777777" w:rsidR="000A7ECC" w:rsidRDefault="000A7ECC" w:rsidP="00FC0EEA">
      <w:pPr>
        <w:jc w:val="center"/>
        <w:rPr>
          <w:noProof/>
        </w:rPr>
      </w:pPr>
    </w:p>
    <w:p w14:paraId="0913B748" w14:textId="77777777" w:rsidR="000A7ECC" w:rsidRDefault="000A7ECC" w:rsidP="00FC0EEA">
      <w:pPr>
        <w:jc w:val="center"/>
        <w:rPr>
          <w:noProof/>
        </w:rPr>
      </w:pPr>
    </w:p>
    <w:p w14:paraId="546AEE97" w14:textId="77777777" w:rsidR="000A7ECC" w:rsidRDefault="000A7ECC" w:rsidP="00FC0EEA">
      <w:pPr>
        <w:jc w:val="center"/>
        <w:rPr>
          <w:noProof/>
        </w:rPr>
      </w:pPr>
    </w:p>
    <w:p w14:paraId="255001DB" w14:textId="77777777" w:rsidR="000A7ECC" w:rsidRDefault="000A7ECC" w:rsidP="00FC0EEA">
      <w:pPr>
        <w:jc w:val="center"/>
        <w:rPr>
          <w:noProof/>
        </w:rPr>
      </w:pPr>
    </w:p>
    <w:p w14:paraId="0963F0B9" w14:textId="77777777" w:rsidR="000A7ECC" w:rsidRDefault="000A7ECC" w:rsidP="00FC0EEA">
      <w:pPr>
        <w:jc w:val="center"/>
        <w:rPr>
          <w:noProof/>
        </w:rPr>
      </w:pPr>
    </w:p>
    <w:p w14:paraId="5A16AB98" w14:textId="77777777" w:rsidR="000A7ECC" w:rsidRDefault="000A7ECC" w:rsidP="00FC0EEA">
      <w:pPr>
        <w:jc w:val="center"/>
        <w:rPr>
          <w:noProof/>
        </w:rPr>
      </w:pPr>
    </w:p>
    <w:p w14:paraId="32C1BD83" w14:textId="77777777" w:rsidR="000A7ECC" w:rsidRDefault="000A7ECC" w:rsidP="00FC0EEA">
      <w:pPr>
        <w:jc w:val="center"/>
        <w:rPr>
          <w:noProof/>
        </w:rPr>
      </w:pPr>
    </w:p>
    <w:p w14:paraId="4D901585" w14:textId="77777777" w:rsidR="000A7ECC" w:rsidRDefault="000A7ECC" w:rsidP="00FC0EEA">
      <w:pPr>
        <w:jc w:val="center"/>
        <w:rPr>
          <w:noProof/>
        </w:rPr>
      </w:pPr>
    </w:p>
    <w:p w14:paraId="2B965B5F" w14:textId="77777777" w:rsidR="000A7ECC" w:rsidRDefault="000A7ECC" w:rsidP="00FC0EEA">
      <w:pPr>
        <w:jc w:val="center"/>
        <w:rPr>
          <w:noProof/>
        </w:rPr>
      </w:pPr>
    </w:p>
    <w:p w14:paraId="423C0D00" w14:textId="77777777" w:rsidR="000A7ECC" w:rsidRDefault="000A7ECC" w:rsidP="00FC0EEA">
      <w:pPr>
        <w:jc w:val="center"/>
        <w:rPr>
          <w:noProof/>
        </w:rPr>
      </w:pPr>
    </w:p>
    <w:p w14:paraId="14CB8967" w14:textId="77777777" w:rsidR="000A7ECC" w:rsidRDefault="000A7ECC" w:rsidP="00FC0EEA">
      <w:pPr>
        <w:jc w:val="center"/>
        <w:rPr>
          <w:noProof/>
        </w:rPr>
      </w:pPr>
    </w:p>
    <w:p w14:paraId="5F62E412" w14:textId="77777777" w:rsidR="000A7ECC" w:rsidRDefault="000A7ECC" w:rsidP="00FC0EEA">
      <w:pPr>
        <w:jc w:val="center"/>
        <w:rPr>
          <w:noProof/>
        </w:rPr>
      </w:pPr>
    </w:p>
    <w:p w14:paraId="6FD47475" w14:textId="77777777" w:rsidR="000A7ECC" w:rsidRDefault="000A7ECC" w:rsidP="00FC0EEA">
      <w:pPr>
        <w:jc w:val="center"/>
        <w:rPr>
          <w:noProof/>
        </w:rPr>
      </w:pPr>
    </w:p>
    <w:p w14:paraId="44849840" w14:textId="77777777" w:rsidR="000A7ECC" w:rsidRDefault="000A7ECC" w:rsidP="00FC0EEA">
      <w:pPr>
        <w:jc w:val="center"/>
        <w:rPr>
          <w:noProof/>
        </w:rPr>
      </w:pPr>
    </w:p>
    <w:p w14:paraId="2DD1B0E2" w14:textId="77777777" w:rsidR="000A7ECC" w:rsidRDefault="000A7ECC" w:rsidP="00FC0EEA">
      <w:pPr>
        <w:jc w:val="center"/>
        <w:rPr>
          <w:noProof/>
        </w:rPr>
      </w:pPr>
    </w:p>
    <w:p w14:paraId="607B9B93" w14:textId="77777777" w:rsidR="000A7ECC" w:rsidRDefault="000A7ECC" w:rsidP="00FC0EEA">
      <w:pPr>
        <w:jc w:val="center"/>
        <w:rPr>
          <w:noProof/>
        </w:rPr>
      </w:pPr>
    </w:p>
    <w:p w14:paraId="010C4F91" w14:textId="77777777" w:rsidR="000A7ECC" w:rsidRDefault="000A7ECC" w:rsidP="00FC0EEA">
      <w:pPr>
        <w:jc w:val="center"/>
        <w:rPr>
          <w:noProof/>
        </w:rPr>
      </w:pPr>
    </w:p>
    <w:p w14:paraId="50551623" w14:textId="77777777" w:rsidR="000A7ECC" w:rsidRDefault="000A7ECC" w:rsidP="00FC0EEA">
      <w:pPr>
        <w:jc w:val="center"/>
        <w:rPr>
          <w:noProof/>
        </w:rPr>
      </w:pPr>
    </w:p>
    <w:p w14:paraId="6B3F19D9" w14:textId="77777777" w:rsidR="000A7ECC" w:rsidRDefault="000A7ECC" w:rsidP="00FC0EEA">
      <w:pPr>
        <w:jc w:val="center"/>
        <w:rPr>
          <w:noProof/>
        </w:rPr>
      </w:pPr>
    </w:p>
    <w:p w14:paraId="6ECF9D07" w14:textId="77777777" w:rsidR="00457964" w:rsidRDefault="00457964" w:rsidP="00FC0EEA">
      <w:pPr>
        <w:jc w:val="center"/>
        <w:rPr>
          <w:noProof/>
        </w:rPr>
      </w:pPr>
    </w:p>
    <w:p w14:paraId="2DC817D8" w14:textId="77777777" w:rsidR="000A7ECC" w:rsidRPr="00DF4173" w:rsidRDefault="000A7ECC" w:rsidP="00FC0EEA">
      <w:pPr>
        <w:pStyle w:val="TTEMEASMCA"/>
        <w:outlineLvl w:val="9"/>
      </w:pPr>
      <w:bookmarkStart w:id="58" w:name="_Toc129243128"/>
      <w:bookmarkStart w:id="59" w:name="_Toc129243253"/>
      <w:r w:rsidRPr="00DF4173">
        <w:t>II PRIEDAS</w:t>
      </w:r>
      <w:bookmarkEnd w:id="58"/>
      <w:bookmarkEnd w:id="59"/>
    </w:p>
    <w:p w14:paraId="70478E82" w14:textId="77777777" w:rsidR="000A7ECC" w:rsidRDefault="000A7ECC" w:rsidP="001E1730">
      <w:pPr>
        <w:pStyle w:val="BTEMEASMCA"/>
        <w:rPr>
          <w:highlight w:val="yellow"/>
        </w:rPr>
      </w:pPr>
    </w:p>
    <w:p w14:paraId="043317A7" w14:textId="77777777" w:rsidR="000A7ECC" w:rsidRPr="008D49B1" w:rsidRDefault="000A7ECC" w:rsidP="00FC0EEA">
      <w:pPr>
        <w:pStyle w:val="TTEMEASMCA"/>
        <w:outlineLvl w:val="9"/>
      </w:pPr>
      <w:r w:rsidRPr="00676E18">
        <w:t>REGISTRACIJOS</w:t>
      </w:r>
      <w:r w:rsidRPr="004B6D5B">
        <w:t xml:space="preserve"> SĄLYGOS</w:t>
      </w:r>
    </w:p>
    <w:p w14:paraId="371F100D" w14:textId="77777777" w:rsidR="000A7ECC" w:rsidRPr="00DF4173" w:rsidRDefault="000A7ECC" w:rsidP="001E1730">
      <w:pPr>
        <w:pStyle w:val="BTEMEASMCA"/>
        <w:rPr>
          <w:highlight w:val="yellow"/>
        </w:rPr>
      </w:pPr>
    </w:p>
    <w:p w14:paraId="3DB786E8" w14:textId="77777777" w:rsidR="000A7ECC" w:rsidRPr="00624622" w:rsidRDefault="000A7ECC" w:rsidP="00FC0EEA">
      <w:pPr>
        <w:pStyle w:val="BTAnIIEMEASMCA"/>
        <w:rPr>
          <w:highlight w:val="yellow"/>
        </w:rPr>
      </w:pPr>
      <w:r w:rsidRPr="00624622">
        <w:t>A.</w:t>
      </w:r>
      <w:r w:rsidRPr="00624622">
        <w:tab/>
        <w:t>GAMINTOJAS, ATSAKINGAS UŽ SERIJŲ IŠLEIDIMĄ</w:t>
      </w:r>
    </w:p>
    <w:p w14:paraId="44BF575C" w14:textId="77777777" w:rsidR="000A7ECC" w:rsidRDefault="000A7ECC" w:rsidP="001E1730">
      <w:pPr>
        <w:pStyle w:val="BTEMEASMCA"/>
        <w:rPr>
          <w:highlight w:val="yellow"/>
        </w:rPr>
      </w:pPr>
    </w:p>
    <w:p w14:paraId="7B873F88" w14:textId="77777777" w:rsidR="000A7ECC" w:rsidRPr="00624622" w:rsidRDefault="000A7ECC" w:rsidP="00FC0EEA">
      <w:pPr>
        <w:suppressLineNumbers/>
        <w:spacing w:line="240" w:lineRule="auto"/>
        <w:ind w:left="1701" w:right="1416" w:hanging="567"/>
        <w:rPr>
          <w:b/>
        </w:rPr>
      </w:pPr>
      <w:r w:rsidRPr="00381BD1">
        <w:rPr>
          <w:b/>
        </w:rPr>
        <w:t>B.</w:t>
      </w:r>
      <w:r w:rsidRPr="00381BD1">
        <w:rPr>
          <w:b/>
        </w:rPr>
        <w:tab/>
      </w:r>
      <w:r w:rsidRPr="00624622">
        <w:rPr>
          <w:b/>
          <w:szCs w:val="24"/>
        </w:rPr>
        <w:t>TIEKIMO IR VARTOJIMO SĄLYGOS AR APRIBOJIMAI</w:t>
      </w:r>
    </w:p>
    <w:p w14:paraId="0E9D3FD1" w14:textId="77777777" w:rsidR="000A7ECC" w:rsidRPr="00DF4173" w:rsidRDefault="000A7ECC" w:rsidP="00FC0EEA">
      <w:pPr>
        <w:pStyle w:val="BTAnIIEMEASMCA"/>
        <w:tabs>
          <w:tab w:val="clear" w:pos="1701"/>
        </w:tabs>
        <w:ind w:left="567"/>
      </w:pPr>
      <w:r w:rsidRPr="00624622">
        <w:br w:type="page"/>
      </w:r>
      <w:r>
        <w:lastRenderedPageBreak/>
        <w:t>A.</w:t>
      </w:r>
      <w:r>
        <w:tab/>
      </w:r>
      <w:r w:rsidRPr="00DF4173">
        <w:t>GAM</w:t>
      </w:r>
      <w:r>
        <w:t>INTOJAS (-AI)</w:t>
      </w:r>
      <w:r w:rsidRPr="00DF4173">
        <w:t xml:space="preserve">, ATSAKINGAS </w:t>
      </w:r>
      <w:r>
        <w:t xml:space="preserve">(-I) </w:t>
      </w:r>
      <w:r w:rsidRPr="00DF4173">
        <w:t>UŽ SERIJŲ IŠLEIDIMĄ</w:t>
      </w:r>
    </w:p>
    <w:p w14:paraId="41A5EEB2" w14:textId="77777777" w:rsidR="000A7ECC" w:rsidRDefault="000A7ECC" w:rsidP="001E1730">
      <w:pPr>
        <w:pStyle w:val="BTEMEASMCA"/>
        <w:rPr>
          <w:highlight w:val="yellow"/>
        </w:rPr>
      </w:pPr>
    </w:p>
    <w:p w14:paraId="15C2FE3B" w14:textId="77777777" w:rsidR="000A7ECC" w:rsidRDefault="000A7ECC" w:rsidP="001E1730">
      <w:pPr>
        <w:pStyle w:val="BTuEMEASMCA"/>
      </w:pPr>
      <w:r w:rsidRPr="00DF4173">
        <w:t>Gamintojo, atsakingo už serijų išleidimą, pavadinimas</w:t>
      </w:r>
      <w:r>
        <w:t xml:space="preserve"> </w:t>
      </w:r>
      <w:r w:rsidRPr="00DF4173">
        <w:t>ir adresas</w:t>
      </w:r>
      <w:r>
        <w:t xml:space="preserve"> </w:t>
      </w:r>
    </w:p>
    <w:p w14:paraId="749FCF8F" w14:textId="77777777" w:rsidR="000A7ECC" w:rsidRDefault="000A7ECC" w:rsidP="001E1730">
      <w:pPr>
        <w:pStyle w:val="BTEMEASMCA"/>
      </w:pPr>
    </w:p>
    <w:p w14:paraId="31EA8EA5" w14:textId="77777777" w:rsidR="000A7ECC" w:rsidRPr="003C34A1" w:rsidRDefault="000A7ECC" w:rsidP="00FC0EEA">
      <w:pPr>
        <w:ind w:left="567" w:hanging="567"/>
        <w:rPr>
          <w:lang w:val="fi-FI"/>
        </w:rPr>
      </w:pPr>
      <w:r w:rsidRPr="003C34A1">
        <w:rPr>
          <w:lang w:val="fi-FI"/>
        </w:rPr>
        <w:t>Vitabalans Oy</w:t>
      </w:r>
    </w:p>
    <w:p w14:paraId="0E6F26C9" w14:textId="77777777" w:rsidR="000A7ECC" w:rsidRPr="003C34A1" w:rsidRDefault="000A7ECC" w:rsidP="00FC0EEA">
      <w:pPr>
        <w:ind w:left="567" w:hanging="567"/>
        <w:rPr>
          <w:lang w:val="fi-FI"/>
        </w:rPr>
      </w:pPr>
      <w:r w:rsidRPr="003C34A1">
        <w:rPr>
          <w:lang w:val="fi-FI"/>
        </w:rPr>
        <w:t>Varastokatu 8</w:t>
      </w:r>
    </w:p>
    <w:p w14:paraId="592FB480" w14:textId="77777777" w:rsidR="000A7ECC" w:rsidRPr="003C34A1" w:rsidRDefault="000A7ECC" w:rsidP="00FC0EEA">
      <w:pPr>
        <w:ind w:left="567" w:hanging="567"/>
        <w:rPr>
          <w:lang w:val="fi-FI"/>
        </w:rPr>
      </w:pPr>
      <w:r w:rsidRPr="003C34A1">
        <w:rPr>
          <w:lang w:val="fi-FI"/>
        </w:rPr>
        <w:t>13500 H</w:t>
      </w:r>
      <w:r>
        <w:rPr>
          <w:lang w:val="fi-FI"/>
        </w:rPr>
        <w:t>ä</w:t>
      </w:r>
      <w:r w:rsidRPr="003C34A1">
        <w:rPr>
          <w:lang w:val="fi-FI"/>
        </w:rPr>
        <w:t>meenlinna</w:t>
      </w:r>
    </w:p>
    <w:p w14:paraId="162C7748" w14:textId="77777777" w:rsidR="000A7ECC" w:rsidRPr="003C34A1" w:rsidRDefault="000A7ECC" w:rsidP="00FC0EEA">
      <w:pPr>
        <w:ind w:left="567" w:hanging="567"/>
        <w:rPr>
          <w:highlight w:val="yellow"/>
          <w:lang w:val="fi-FI"/>
        </w:rPr>
      </w:pPr>
      <w:r w:rsidRPr="003C34A1">
        <w:rPr>
          <w:lang w:val="fi-FI"/>
        </w:rPr>
        <w:t>Suomija</w:t>
      </w:r>
    </w:p>
    <w:p w14:paraId="42E8C465" w14:textId="77777777" w:rsidR="000A7ECC" w:rsidRDefault="000A7ECC" w:rsidP="001E1730">
      <w:pPr>
        <w:pStyle w:val="BTEMEASMCA"/>
        <w:rPr>
          <w:highlight w:val="yellow"/>
        </w:rPr>
      </w:pPr>
    </w:p>
    <w:p w14:paraId="76C33C37" w14:textId="77777777" w:rsidR="000A7ECC" w:rsidRDefault="000A7ECC" w:rsidP="001E1730">
      <w:pPr>
        <w:pStyle w:val="BTEMEASMCA"/>
        <w:rPr>
          <w:highlight w:val="yellow"/>
        </w:rPr>
      </w:pPr>
    </w:p>
    <w:p w14:paraId="3AEA0EE7" w14:textId="40DF4A81" w:rsidR="000A7ECC" w:rsidRPr="00DF4173" w:rsidRDefault="000A7ECC" w:rsidP="00FC0EEA">
      <w:pPr>
        <w:pStyle w:val="PI-2EMEASMCA"/>
        <w:outlineLvl w:val="9"/>
      </w:pPr>
      <w:bookmarkStart w:id="60" w:name="_Toc129243129"/>
      <w:bookmarkStart w:id="61" w:name="_Toc129243254"/>
      <w:r w:rsidRPr="00DF4173">
        <w:t>B.</w:t>
      </w:r>
      <w:r w:rsidRPr="00DF4173">
        <w:tab/>
      </w:r>
      <w:bookmarkStart w:id="62" w:name="_Toc129243130"/>
      <w:bookmarkStart w:id="63" w:name="_Toc129243255"/>
      <w:bookmarkEnd w:id="60"/>
      <w:bookmarkEnd w:id="61"/>
      <w:r w:rsidRPr="00DF4173">
        <w:t>TIEKIMO IR VARTOJIMO SĄLYGOS AR APRIBOJIMAI</w:t>
      </w:r>
      <w:bookmarkEnd w:id="62"/>
      <w:bookmarkEnd w:id="63"/>
    </w:p>
    <w:p w14:paraId="404A96C0" w14:textId="77777777" w:rsidR="000A7ECC" w:rsidRDefault="000A7ECC" w:rsidP="001E1730">
      <w:pPr>
        <w:pStyle w:val="BTEMEASMCA"/>
      </w:pPr>
    </w:p>
    <w:p w14:paraId="08860DA2" w14:textId="77777777" w:rsidR="000A7ECC" w:rsidRDefault="000A7ECC" w:rsidP="001E1730">
      <w:pPr>
        <w:pStyle w:val="BTEMEASMCA"/>
      </w:pPr>
      <w:r w:rsidRPr="00DF4173">
        <w:t>Nereceptinis vaistinis preparatas</w:t>
      </w:r>
      <w:r>
        <w:t>.</w:t>
      </w:r>
    </w:p>
    <w:p w14:paraId="19C5B714" w14:textId="77777777" w:rsidR="000A7ECC" w:rsidRPr="004B6086" w:rsidRDefault="000A7ECC" w:rsidP="00FC0EEA"/>
    <w:p w14:paraId="510D28B8" w14:textId="77777777" w:rsidR="000A7ECC" w:rsidRPr="00DF4173" w:rsidRDefault="000A7ECC" w:rsidP="001E1730">
      <w:pPr>
        <w:pStyle w:val="BTEMEASMCA"/>
      </w:pPr>
    </w:p>
    <w:p w14:paraId="00E00C5D" w14:textId="77777777" w:rsidR="000A7ECC" w:rsidRDefault="000A7ECC" w:rsidP="00FC0EEA">
      <w:pPr>
        <w:ind w:right="-8"/>
        <w:jc w:val="both"/>
        <w:rPr>
          <w:noProof/>
        </w:rPr>
      </w:pPr>
      <w:r w:rsidRPr="00DF4173">
        <w:br w:type="page"/>
      </w:r>
    </w:p>
    <w:p w14:paraId="2E470661" w14:textId="77777777" w:rsidR="000A7ECC" w:rsidRDefault="000A7ECC" w:rsidP="00FC0EEA">
      <w:pPr>
        <w:rPr>
          <w:noProof/>
        </w:rPr>
      </w:pPr>
    </w:p>
    <w:p w14:paraId="75CC92B9" w14:textId="77777777" w:rsidR="000A7ECC" w:rsidRDefault="000A7ECC" w:rsidP="00FC0EEA">
      <w:pPr>
        <w:tabs>
          <w:tab w:val="clear" w:pos="567"/>
        </w:tabs>
        <w:spacing w:line="240" w:lineRule="auto"/>
        <w:rPr>
          <w:noProof/>
        </w:rPr>
      </w:pPr>
    </w:p>
    <w:p w14:paraId="4425C698" w14:textId="77777777" w:rsidR="000A7ECC" w:rsidRDefault="000A7ECC" w:rsidP="00FC0EEA">
      <w:pPr>
        <w:tabs>
          <w:tab w:val="clear" w:pos="567"/>
        </w:tabs>
        <w:spacing w:line="240" w:lineRule="auto"/>
        <w:rPr>
          <w:noProof/>
        </w:rPr>
      </w:pPr>
    </w:p>
    <w:p w14:paraId="78408F5B" w14:textId="77777777" w:rsidR="000A7ECC" w:rsidRDefault="000A7ECC" w:rsidP="00FC0EEA">
      <w:pPr>
        <w:tabs>
          <w:tab w:val="clear" w:pos="567"/>
        </w:tabs>
        <w:spacing w:line="240" w:lineRule="auto"/>
        <w:rPr>
          <w:noProof/>
        </w:rPr>
      </w:pPr>
    </w:p>
    <w:p w14:paraId="5FC8839A" w14:textId="77777777" w:rsidR="000A7ECC" w:rsidRDefault="000A7ECC" w:rsidP="00FC0EEA">
      <w:pPr>
        <w:tabs>
          <w:tab w:val="clear" w:pos="567"/>
        </w:tabs>
        <w:spacing w:line="240" w:lineRule="auto"/>
        <w:rPr>
          <w:noProof/>
        </w:rPr>
      </w:pPr>
    </w:p>
    <w:p w14:paraId="2A6D9A5E" w14:textId="77777777" w:rsidR="000A7ECC" w:rsidRDefault="000A7ECC" w:rsidP="00FC0EEA">
      <w:pPr>
        <w:tabs>
          <w:tab w:val="clear" w:pos="567"/>
        </w:tabs>
        <w:spacing w:line="240" w:lineRule="auto"/>
        <w:rPr>
          <w:noProof/>
        </w:rPr>
      </w:pPr>
    </w:p>
    <w:p w14:paraId="49C7BF72" w14:textId="77777777" w:rsidR="000A7ECC" w:rsidRDefault="000A7ECC" w:rsidP="00FC0EEA">
      <w:pPr>
        <w:tabs>
          <w:tab w:val="clear" w:pos="567"/>
        </w:tabs>
        <w:spacing w:line="240" w:lineRule="auto"/>
        <w:rPr>
          <w:noProof/>
        </w:rPr>
      </w:pPr>
    </w:p>
    <w:p w14:paraId="0F085434" w14:textId="77777777" w:rsidR="000A7ECC" w:rsidRDefault="000A7ECC" w:rsidP="00FC0EEA">
      <w:pPr>
        <w:tabs>
          <w:tab w:val="clear" w:pos="567"/>
        </w:tabs>
        <w:spacing w:line="240" w:lineRule="auto"/>
        <w:rPr>
          <w:noProof/>
        </w:rPr>
      </w:pPr>
    </w:p>
    <w:p w14:paraId="4D9315EC" w14:textId="77777777" w:rsidR="000A7ECC" w:rsidRDefault="000A7ECC" w:rsidP="00FC0EEA">
      <w:pPr>
        <w:tabs>
          <w:tab w:val="clear" w:pos="567"/>
        </w:tabs>
        <w:spacing w:line="240" w:lineRule="auto"/>
        <w:rPr>
          <w:noProof/>
        </w:rPr>
      </w:pPr>
    </w:p>
    <w:p w14:paraId="1EBCE012" w14:textId="77777777" w:rsidR="000A7ECC" w:rsidRDefault="000A7ECC" w:rsidP="00FC0EEA">
      <w:pPr>
        <w:tabs>
          <w:tab w:val="clear" w:pos="567"/>
        </w:tabs>
        <w:spacing w:line="240" w:lineRule="auto"/>
        <w:rPr>
          <w:noProof/>
        </w:rPr>
      </w:pPr>
    </w:p>
    <w:p w14:paraId="4EECC424" w14:textId="77777777" w:rsidR="000A7ECC" w:rsidRDefault="000A7ECC" w:rsidP="00FC0EEA">
      <w:pPr>
        <w:tabs>
          <w:tab w:val="clear" w:pos="567"/>
        </w:tabs>
        <w:spacing w:line="240" w:lineRule="auto"/>
        <w:rPr>
          <w:noProof/>
        </w:rPr>
      </w:pPr>
    </w:p>
    <w:p w14:paraId="6C2D7C5B" w14:textId="77777777" w:rsidR="000A7ECC" w:rsidRDefault="000A7ECC" w:rsidP="00FC0EEA">
      <w:pPr>
        <w:tabs>
          <w:tab w:val="clear" w:pos="567"/>
        </w:tabs>
        <w:spacing w:line="240" w:lineRule="auto"/>
        <w:rPr>
          <w:noProof/>
        </w:rPr>
      </w:pPr>
    </w:p>
    <w:p w14:paraId="2808A2C0" w14:textId="77777777" w:rsidR="000A7ECC" w:rsidRDefault="000A7ECC" w:rsidP="00FC0EEA">
      <w:pPr>
        <w:tabs>
          <w:tab w:val="clear" w:pos="567"/>
        </w:tabs>
        <w:spacing w:line="240" w:lineRule="auto"/>
        <w:rPr>
          <w:noProof/>
        </w:rPr>
      </w:pPr>
    </w:p>
    <w:p w14:paraId="6E58649B" w14:textId="77777777" w:rsidR="000A7ECC" w:rsidRDefault="000A7ECC" w:rsidP="00FC0EEA">
      <w:pPr>
        <w:tabs>
          <w:tab w:val="clear" w:pos="567"/>
        </w:tabs>
        <w:spacing w:line="240" w:lineRule="auto"/>
        <w:rPr>
          <w:noProof/>
        </w:rPr>
      </w:pPr>
    </w:p>
    <w:p w14:paraId="50188BBD" w14:textId="77777777" w:rsidR="000A7ECC" w:rsidRDefault="000A7ECC" w:rsidP="00FC0EEA">
      <w:pPr>
        <w:tabs>
          <w:tab w:val="clear" w:pos="567"/>
        </w:tabs>
        <w:spacing w:line="240" w:lineRule="auto"/>
        <w:rPr>
          <w:noProof/>
        </w:rPr>
      </w:pPr>
    </w:p>
    <w:p w14:paraId="58B5AE32" w14:textId="77777777" w:rsidR="000A7ECC" w:rsidRDefault="000A7ECC" w:rsidP="00FC0EEA">
      <w:pPr>
        <w:tabs>
          <w:tab w:val="clear" w:pos="567"/>
        </w:tabs>
        <w:spacing w:line="240" w:lineRule="auto"/>
        <w:rPr>
          <w:noProof/>
        </w:rPr>
      </w:pPr>
    </w:p>
    <w:p w14:paraId="4CE89A84" w14:textId="77777777" w:rsidR="000A7ECC" w:rsidRDefault="000A7ECC" w:rsidP="00FC0EEA">
      <w:pPr>
        <w:tabs>
          <w:tab w:val="clear" w:pos="567"/>
        </w:tabs>
        <w:spacing w:line="240" w:lineRule="auto"/>
        <w:rPr>
          <w:noProof/>
        </w:rPr>
      </w:pPr>
    </w:p>
    <w:p w14:paraId="127C9871" w14:textId="77777777" w:rsidR="000A7ECC" w:rsidRDefault="000A7ECC" w:rsidP="00FC0EEA">
      <w:pPr>
        <w:tabs>
          <w:tab w:val="clear" w:pos="567"/>
        </w:tabs>
        <w:spacing w:line="240" w:lineRule="auto"/>
        <w:rPr>
          <w:noProof/>
        </w:rPr>
      </w:pPr>
    </w:p>
    <w:p w14:paraId="50F0DC66" w14:textId="77777777" w:rsidR="000A7ECC" w:rsidRDefault="000A7ECC" w:rsidP="00FC0EEA">
      <w:pPr>
        <w:tabs>
          <w:tab w:val="clear" w:pos="567"/>
        </w:tabs>
        <w:spacing w:line="240" w:lineRule="auto"/>
        <w:rPr>
          <w:noProof/>
        </w:rPr>
      </w:pPr>
    </w:p>
    <w:p w14:paraId="43441B7B" w14:textId="77777777" w:rsidR="000A7ECC" w:rsidRDefault="000A7ECC" w:rsidP="00FC0EEA">
      <w:pPr>
        <w:tabs>
          <w:tab w:val="clear" w:pos="567"/>
        </w:tabs>
        <w:spacing w:line="240" w:lineRule="auto"/>
        <w:rPr>
          <w:noProof/>
        </w:rPr>
      </w:pPr>
    </w:p>
    <w:p w14:paraId="26DF2323" w14:textId="77777777" w:rsidR="000A7ECC" w:rsidRDefault="000A7ECC" w:rsidP="00FC0EEA">
      <w:pPr>
        <w:tabs>
          <w:tab w:val="clear" w:pos="567"/>
        </w:tabs>
        <w:spacing w:line="240" w:lineRule="auto"/>
        <w:jc w:val="center"/>
        <w:rPr>
          <w:b/>
          <w:noProof/>
        </w:rPr>
      </w:pPr>
    </w:p>
    <w:p w14:paraId="5953CD4E" w14:textId="77777777" w:rsidR="000A7ECC" w:rsidRDefault="000A7ECC" w:rsidP="00FC0EEA">
      <w:pPr>
        <w:tabs>
          <w:tab w:val="clear" w:pos="567"/>
        </w:tabs>
        <w:spacing w:line="240" w:lineRule="auto"/>
        <w:jc w:val="center"/>
        <w:rPr>
          <w:b/>
          <w:noProof/>
        </w:rPr>
      </w:pPr>
    </w:p>
    <w:p w14:paraId="7EF81022" w14:textId="77777777" w:rsidR="000A7ECC" w:rsidRDefault="000A7ECC" w:rsidP="00FC0EEA">
      <w:pPr>
        <w:tabs>
          <w:tab w:val="clear" w:pos="567"/>
        </w:tabs>
        <w:spacing w:line="240" w:lineRule="auto"/>
        <w:jc w:val="center"/>
        <w:rPr>
          <w:b/>
          <w:noProof/>
        </w:rPr>
      </w:pPr>
    </w:p>
    <w:p w14:paraId="0D8FF0A6" w14:textId="77777777" w:rsidR="000A7ECC" w:rsidRPr="00DF4173" w:rsidRDefault="000A7ECC" w:rsidP="00FC0EEA">
      <w:pPr>
        <w:pStyle w:val="TTEMEASMCA"/>
        <w:outlineLvl w:val="9"/>
      </w:pPr>
      <w:bookmarkStart w:id="64" w:name="_Toc129243134"/>
      <w:bookmarkStart w:id="65" w:name="_Toc129243259"/>
      <w:r w:rsidRPr="00DF4173">
        <w:t>III PRIEDAS</w:t>
      </w:r>
      <w:bookmarkEnd w:id="64"/>
      <w:bookmarkEnd w:id="65"/>
    </w:p>
    <w:p w14:paraId="660FD35D" w14:textId="77777777" w:rsidR="000A7ECC" w:rsidRPr="00DF4173" w:rsidRDefault="000A7ECC" w:rsidP="001E1730">
      <w:pPr>
        <w:pStyle w:val="BTEMEASMCA"/>
      </w:pPr>
    </w:p>
    <w:p w14:paraId="082C866F" w14:textId="1F46BFDC" w:rsidR="000A7ECC" w:rsidRPr="00DF4173" w:rsidRDefault="000A7ECC" w:rsidP="00FC0EEA">
      <w:pPr>
        <w:pStyle w:val="TTEMEASMCA"/>
        <w:outlineLvl w:val="9"/>
      </w:pPr>
      <w:bookmarkStart w:id="66" w:name="_Toc129243135"/>
      <w:bookmarkStart w:id="67" w:name="_Toc129243260"/>
      <w:r w:rsidRPr="00DF4173">
        <w:t>ŽENKLINIMAS IR PAKUOTĖS LAPELIS</w:t>
      </w:r>
      <w:bookmarkEnd w:id="66"/>
      <w:bookmarkEnd w:id="67"/>
    </w:p>
    <w:p w14:paraId="2F2DF62A" w14:textId="77777777" w:rsidR="000A7ECC" w:rsidRDefault="000A7ECC" w:rsidP="00FC0EEA">
      <w:pPr>
        <w:tabs>
          <w:tab w:val="clear" w:pos="567"/>
        </w:tabs>
        <w:spacing w:line="240" w:lineRule="auto"/>
        <w:rPr>
          <w:noProof/>
        </w:rPr>
      </w:pPr>
      <w:r>
        <w:rPr>
          <w:noProof/>
        </w:rPr>
        <w:br w:type="page"/>
      </w:r>
    </w:p>
    <w:p w14:paraId="114978AF" w14:textId="77777777" w:rsidR="000A7ECC" w:rsidRDefault="000A7ECC" w:rsidP="00FC0EEA">
      <w:pPr>
        <w:tabs>
          <w:tab w:val="clear" w:pos="567"/>
        </w:tabs>
        <w:spacing w:line="240" w:lineRule="auto"/>
        <w:rPr>
          <w:noProof/>
        </w:rPr>
      </w:pPr>
    </w:p>
    <w:p w14:paraId="4AA799BB" w14:textId="77777777" w:rsidR="000A7ECC" w:rsidRDefault="000A7ECC" w:rsidP="00FC0EEA">
      <w:pPr>
        <w:tabs>
          <w:tab w:val="clear" w:pos="567"/>
        </w:tabs>
        <w:spacing w:line="240" w:lineRule="auto"/>
        <w:rPr>
          <w:noProof/>
        </w:rPr>
      </w:pPr>
    </w:p>
    <w:p w14:paraId="1AC171B4" w14:textId="77777777" w:rsidR="000A7ECC" w:rsidRDefault="000A7ECC" w:rsidP="00FC0EEA">
      <w:pPr>
        <w:tabs>
          <w:tab w:val="clear" w:pos="567"/>
        </w:tabs>
        <w:spacing w:line="240" w:lineRule="auto"/>
        <w:rPr>
          <w:noProof/>
        </w:rPr>
      </w:pPr>
    </w:p>
    <w:p w14:paraId="0A33C6E8" w14:textId="77777777" w:rsidR="000A7ECC" w:rsidRDefault="000A7ECC" w:rsidP="00FC0EEA">
      <w:pPr>
        <w:tabs>
          <w:tab w:val="clear" w:pos="567"/>
        </w:tabs>
        <w:spacing w:line="240" w:lineRule="auto"/>
        <w:rPr>
          <w:noProof/>
        </w:rPr>
      </w:pPr>
    </w:p>
    <w:p w14:paraId="7F6274D0" w14:textId="77777777" w:rsidR="000A7ECC" w:rsidRDefault="000A7ECC" w:rsidP="00FC0EEA">
      <w:pPr>
        <w:tabs>
          <w:tab w:val="clear" w:pos="567"/>
        </w:tabs>
        <w:spacing w:line="240" w:lineRule="auto"/>
        <w:rPr>
          <w:noProof/>
        </w:rPr>
      </w:pPr>
    </w:p>
    <w:p w14:paraId="7F285B26" w14:textId="77777777" w:rsidR="000A7ECC" w:rsidRDefault="000A7ECC" w:rsidP="00FC0EEA">
      <w:pPr>
        <w:tabs>
          <w:tab w:val="clear" w:pos="567"/>
        </w:tabs>
        <w:spacing w:line="240" w:lineRule="auto"/>
        <w:rPr>
          <w:noProof/>
        </w:rPr>
      </w:pPr>
    </w:p>
    <w:p w14:paraId="4A3DD04B" w14:textId="77777777" w:rsidR="000A7ECC" w:rsidRDefault="000A7ECC" w:rsidP="00FC0EEA">
      <w:pPr>
        <w:tabs>
          <w:tab w:val="clear" w:pos="567"/>
        </w:tabs>
        <w:spacing w:line="240" w:lineRule="auto"/>
        <w:rPr>
          <w:noProof/>
        </w:rPr>
      </w:pPr>
    </w:p>
    <w:p w14:paraId="406CA117" w14:textId="77777777" w:rsidR="000A7ECC" w:rsidRDefault="000A7ECC" w:rsidP="00FC0EEA">
      <w:pPr>
        <w:tabs>
          <w:tab w:val="clear" w:pos="567"/>
        </w:tabs>
        <w:spacing w:line="240" w:lineRule="auto"/>
        <w:rPr>
          <w:noProof/>
        </w:rPr>
      </w:pPr>
    </w:p>
    <w:p w14:paraId="226CD303" w14:textId="77777777" w:rsidR="000A7ECC" w:rsidRDefault="000A7ECC" w:rsidP="00FC0EEA">
      <w:pPr>
        <w:tabs>
          <w:tab w:val="clear" w:pos="567"/>
        </w:tabs>
        <w:spacing w:line="240" w:lineRule="auto"/>
        <w:rPr>
          <w:noProof/>
        </w:rPr>
      </w:pPr>
    </w:p>
    <w:p w14:paraId="43E7E3E5" w14:textId="77777777" w:rsidR="000A7ECC" w:rsidRDefault="000A7ECC" w:rsidP="00FC0EEA">
      <w:pPr>
        <w:tabs>
          <w:tab w:val="clear" w:pos="567"/>
        </w:tabs>
        <w:spacing w:line="240" w:lineRule="auto"/>
        <w:rPr>
          <w:noProof/>
        </w:rPr>
      </w:pPr>
    </w:p>
    <w:p w14:paraId="321E9ECF" w14:textId="77777777" w:rsidR="000A7ECC" w:rsidRDefault="000A7ECC" w:rsidP="00FC0EEA">
      <w:pPr>
        <w:tabs>
          <w:tab w:val="clear" w:pos="567"/>
        </w:tabs>
        <w:spacing w:line="240" w:lineRule="auto"/>
        <w:rPr>
          <w:noProof/>
        </w:rPr>
      </w:pPr>
    </w:p>
    <w:p w14:paraId="5BBF4423" w14:textId="77777777" w:rsidR="000A7ECC" w:rsidRDefault="000A7ECC" w:rsidP="00FC0EEA">
      <w:pPr>
        <w:tabs>
          <w:tab w:val="clear" w:pos="567"/>
        </w:tabs>
        <w:spacing w:line="240" w:lineRule="auto"/>
        <w:rPr>
          <w:noProof/>
        </w:rPr>
      </w:pPr>
    </w:p>
    <w:p w14:paraId="53A5E3DB" w14:textId="77777777" w:rsidR="000A7ECC" w:rsidRDefault="000A7ECC" w:rsidP="00FC0EEA">
      <w:pPr>
        <w:tabs>
          <w:tab w:val="clear" w:pos="567"/>
        </w:tabs>
        <w:spacing w:line="240" w:lineRule="auto"/>
        <w:rPr>
          <w:noProof/>
        </w:rPr>
      </w:pPr>
    </w:p>
    <w:p w14:paraId="1E232D0A" w14:textId="77777777" w:rsidR="000A7ECC" w:rsidRDefault="000A7ECC" w:rsidP="00FC0EEA">
      <w:pPr>
        <w:tabs>
          <w:tab w:val="clear" w:pos="567"/>
        </w:tabs>
        <w:spacing w:line="240" w:lineRule="auto"/>
        <w:rPr>
          <w:noProof/>
        </w:rPr>
      </w:pPr>
    </w:p>
    <w:p w14:paraId="4683A25D" w14:textId="77777777" w:rsidR="000A7ECC" w:rsidRDefault="000A7ECC" w:rsidP="00FC0EEA">
      <w:pPr>
        <w:tabs>
          <w:tab w:val="clear" w:pos="567"/>
        </w:tabs>
        <w:spacing w:line="240" w:lineRule="auto"/>
        <w:rPr>
          <w:noProof/>
        </w:rPr>
      </w:pPr>
    </w:p>
    <w:p w14:paraId="42F8996F" w14:textId="77777777" w:rsidR="000A7ECC" w:rsidRDefault="000A7ECC" w:rsidP="00FC0EEA">
      <w:pPr>
        <w:tabs>
          <w:tab w:val="clear" w:pos="567"/>
        </w:tabs>
        <w:spacing w:line="240" w:lineRule="auto"/>
        <w:rPr>
          <w:noProof/>
        </w:rPr>
      </w:pPr>
    </w:p>
    <w:p w14:paraId="56231462" w14:textId="77777777" w:rsidR="000A7ECC" w:rsidRDefault="000A7ECC" w:rsidP="00FC0EEA">
      <w:pPr>
        <w:tabs>
          <w:tab w:val="clear" w:pos="567"/>
        </w:tabs>
        <w:spacing w:line="240" w:lineRule="auto"/>
        <w:rPr>
          <w:noProof/>
        </w:rPr>
      </w:pPr>
    </w:p>
    <w:p w14:paraId="1AD1E45F" w14:textId="77777777" w:rsidR="000A7ECC" w:rsidRDefault="000A7ECC" w:rsidP="00FC0EEA">
      <w:pPr>
        <w:tabs>
          <w:tab w:val="clear" w:pos="567"/>
        </w:tabs>
        <w:spacing w:line="240" w:lineRule="auto"/>
        <w:rPr>
          <w:noProof/>
        </w:rPr>
      </w:pPr>
    </w:p>
    <w:p w14:paraId="0132D227" w14:textId="77777777" w:rsidR="000A7ECC" w:rsidRDefault="000A7ECC" w:rsidP="00FC0EEA">
      <w:pPr>
        <w:tabs>
          <w:tab w:val="clear" w:pos="567"/>
        </w:tabs>
        <w:spacing w:line="240" w:lineRule="auto"/>
        <w:rPr>
          <w:noProof/>
        </w:rPr>
      </w:pPr>
    </w:p>
    <w:p w14:paraId="15B4DA24" w14:textId="77777777" w:rsidR="000A7ECC" w:rsidRDefault="000A7ECC" w:rsidP="00FC0EEA">
      <w:pPr>
        <w:tabs>
          <w:tab w:val="clear" w:pos="567"/>
        </w:tabs>
        <w:spacing w:line="240" w:lineRule="auto"/>
        <w:rPr>
          <w:noProof/>
        </w:rPr>
      </w:pPr>
    </w:p>
    <w:p w14:paraId="562164DB" w14:textId="77777777" w:rsidR="000A7ECC" w:rsidRDefault="000A7ECC" w:rsidP="00FC0EEA">
      <w:pPr>
        <w:tabs>
          <w:tab w:val="clear" w:pos="567"/>
        </w:tabs>
        <w:spacing w:line="240" w:lineRule="auto"/>
        <w:rPr>
          <w:noProof/>
        </w:rPr>
      </w:pPr>
    </w:p>
    <w:p w14:paraId="5A26F95D" w14:textId="77777777" w:rsidR="000A7ECC" w:rsidRDefault="000A7ECC" w:rsidP="00FC0EEA">
      <w:pPr>
        <w:tabs>
          <w:tab w:val="clear" w:pos="567"/>
        </w:tabs>
        <w:spacing w:line="240" w:lineRule="auto"/>
        <w:rPr>
          <w:noProof/>
        </w:rPr>
      </w:pPr>
    </w:p>
    <w:p w14:paraId="2439582D" w14:textId="77777777" w:rsidR="000A7ECC" w:rsidRDefault="000A7ECC" w:rsidP="00FC0EEA">
      <w:pPr>
        <w:tabs>
          <w:tab w:val="clear" w:pos="567"/>
        </w:tabs>
        <w:spacing w:line="240" w:lineRule="auto"/>
        <w:rPr>
          <w:noProof/>
        </w:rPr>
      </w:pPr>
    </w:p>
    <w:p w14:paraId="46F885B2" w14:textId="77777777" w:rsidR="000A7ECC" w:rsidRDefault="000A7ECC" w:rsidP="00FC0EEA">
      <w:pPr>
        <w:tabs>
          <w:tab w:val="clear" w:pos="567"/>
        </w:tabs>
        <w:spacing w:line="240" w:lineRule="auto"/>
        <w:jc w:val="center"/>
        <w:rPr>
          <w:noProof/>
        </w:rPr>
      </w:pPr>
      <w:r>
        <w:rPr>
          <w:b/>
          <w:noProof/>
        </w:rPr>
        <w:t>A. ŽENKLINIMAS</w:t>
      </w:r>
    </w:p>
    <w:p w14:paraId="472DE537" w14:textId="77777777" w:rsidR="000A7ECC" w:rsidRDefault="000A7ECC" w:rsidP="00FC0EEA">
      <w:pPr>
        <w:shd w:val="clear" w:color="auto" w:fill="FFFFFF"/>
        <w:tabs>
          <w:tab w:val="clear" w:pos="567"/>
        </w:tabs>
        <w:spacing w:line="240" w:lineRule="auto"/>
        <w:rPr>
          <w:noProof/>
        </w:rPr>
      </w:pPr>
      <w:r>
        <w:rPr>
          <w:noProof/>
        </w:rPr>
        <w:br w:type="page"/>
      </w:r>
    </w:p>
    <w:p w14:paraId="46BF49DE" w14:textId="77777777" w:rsidR="002D324B" w:rsidRPr="009A04CF" w:rsidRDefault="002D324B" w:rsidP="00FC0EEA">
      <w:pPr>
        <w:pBdr>
          <w:top w:val="single" w:sz="4" w:space="1" w:color="auto"/>
          <w:left w:val="single" w:sz="4" w:space="4" w:color="auto"/>
          <w:bottom w:val="single" w:sz="4" w:space="1" w:color="auto"/>
          <w:right w:val="single" w:sz="4" w:space="4" w:color="auto"/>
        </w:pBdr>
        <w:rPr>
          <w:b/>
          <w:szCs w:val="22"/>
        </w:rPr>
      </w:pPr>
      <w:r w:rsidRPr="009A04CF">
        <w:rPr>
          <w:b/>
          <w:szCs w:val="22"/>
        </w:rPr>
        <w:lastRenderedPageBreak/>
        <w:t>INFORMACIJA ANT IŠORINĖS PAKUOTĖS</w:t>
      </w:r>
    </w:p>
    <w:p w14:paraId="3381B027" w14:textId="77777777" w:rsidR="002D324B" w:rsidRPr="009A04CF" w:rsidRDefault="002D324B" w:rsidP="00FC0EEA">
      <w:pPr>
        <w:pBdr>
          <w:top w:val="single" w:sz="4" w:space="1" w:color="auto"/>
          <w:left w:val="single" w:sz="4" w:space="4" w:color="auto"/>
          <w:bottom w:val="single" w:sz="4" w:space="1" w:color="auto"/>
          <w:right w:val="single" w:sz="4" w:space="4" w:color="auto"/>
        </w:pBdr>
        <w:ind w:left="567" w:hanging="567"/>
        <w:rPr>
          <w:b/>
          <w:szCs w:val="22"/>
        </w:rPr>
      </w:pPr>
    </w:p>
    <w:p w14:paraId="114F8E3B" w14:textId="77777777" w:rsidR="002D324B" w:rsidRPr="009A04CF" w:rsidRDefault="002D324B" w:rsidP="00FC0EEA">
      <w:pPr>
        <w:pBdr>
          <w:top w:val="single" w:sz="4" w:space="1" w:color="auto"/>
          <w:left w:val="single" w:sz="4" w:space="4" w:color="auto"/>
          <w:bottom w:val="single" w:sz="4" w:space="1" w:color="auto"/>
          <w:right w:val="single" w:sz="4" w:space="4" w:color="auto"/>
        </w:pBdr>
        <w:rPr>
          <w:b/>
          <w:szCs w:val="22"/>
        </w:rPr>
      </w:pPr>
      <w:r w:rsidRPr="009A04CF">
        <w:rPr>
          <w:b/>
          <w:szCs w:val="22"/>
        </w:rPr>
        <w:t>KARTONO DĖŽUTĖ</w:t>
      </w:r>
    </w:p>
    <w:p w14:paraId="34101A8B" w14:textId="77777777" w:rsidR="002D324B" w:rsidRPr="009A04CF" w:rsidRDefault="002D324B" w:rsidP="00FC0EEA">
      <w:pPr>
        <w:rPr>
          <w:szCs w:val="22"/>
        </w:rPr>
      </w:pPr>
    </w:p>
    <w:p w14:paraId="68D7074F" w14:textId="77777777" w:rsidR="002D324B" w:rsidRPr="009A04CF" w:rsidRDefault="002D324B" w:rsidP="00FC0EEA">
      <w:pPr>
        <w:rPr>
          <w:szCs w:val="22"/>
        </w:rPr>
      </w:pPr>
    </w:p>
    <w:p w14:paraId="1C40401D" w14:textId="77777777" w:rsidR="002D324B" w:rsidRPr="009A04CF" w:rsidRDefault="002D324B" w:rsidP="00FC0EEA">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1.</w:t>
      </w:r>
      <w:r w:rsidRPr="009A04CF">
        <w:rPr>
          <w:b/>
          <w:szCs w:val="22"/>
        </w:rPr>
        <w:tab/>
      </w:r>
      <w:r w:rsidRPr="009A04CF">
        <w:rPr>
          <w:b/>
          <w:caps/>
          <w:szCs w:val="22"/>
        </w:rPr>
        <w:t>VAISTINIO</w:t>
      </w:r>
      <w:r w:rsidRPr="009A04CF">
        <w:rPr>
          <w:b/>
          <w:szCs w:val="22"/>
        </w:rPr>
        <w:t xml:space="preserve"> PREPARATO PAVADINIMAS</w:t>
      </w:r>
    </w:p>
    <w:p w14:paraId="67E846EA" w14:textId="77777777" w:rsidR="002D324B" w:rsidRPr="009A04CF" w:rsidRDefault="002D324B" w:rsidP="00FC0EEA">
      <w:pPr>
        <w:rPr>
          <w:szCs w:val="22"/>
        </w:rPr>
      </w:pPr>
    </w:p>
    <w:p w14:paraId="54F5698E" w14:textId="0625B5A6" w:rsidR="002D324B" w:rsidRPr="009A04CF" w:rsidRDefault="00AC43B9" w:rsidP="00FC0EEA">
      <w:pPr>
        <w:rPr>
          <w:szCs w:val="22"/>
        </w:rPr>
      </w:pPr>
      <w:r>
        <w:rPr>
          <w:szCs w:val="22"/>
        </w:rPr>
        <w:t>Arax</w:t>
      </w:r>
      <w:r w:rsidR="002D324B" w:rsidRPr="009A04CF">
        <w:rPr>
          <w:szCs w:val="22"/>
        </w:rPr>
        <w:t xml:space="preserve"> 500 mg milteliai geriamajam tirpalui paketėlyje</w:t>
      </w:r>
    </w:p>
    <w:p w14:paraId="65DF51AA" w14:textId="77777777" w:rsidR="002D324B" w:rsidRPr="009A04CF" w:rsidRDefault="002D324B" w:rsidP="00FC0EEA">
      <w:pPr>
        <w:rPr>
          <w:szCs w:val="22"/>
        </w:rPr>
      </w:pPr>
    </w:p>
    <w:p w14:paraId="434CC1DF" w14:textId="77777777" w:rsidR="002D324B" w:rsidRPr="009A04CF" w:rsidRDefault="002D324B" w:rsidP="00FC0EEA">
      <w:pPr>
        <w:rPr>
          <w:szCs w:val="22"/>
        </w:rPr>
      </w:pPr>
      <w:r w:rsidRPr="009A04CF">
        <w:rPr>
          <w:szCs w:val="22"/>
        </w:rPr>
        <w:t>paracetamolis</w:t>
      </w:r>
    </w:p>
    <w:p w14:paraId="72B65D0D" w14:textId="77777777" w:rsidR="002D324B" w:rsidRPr="009A04CF" w:rsidRDefault="002D324B" w:rsidP="00FC0EEA">
      <w:pPr>
        <w:rPr>
          <w:szCs w:val="22"/>
        </w:rPr>
      </w:pPr>
    </w:p>
    <w:p w14:paraId="591CC225" w14:textId="77777777" w:rsidR="002D324B" w:rsidRPr="009A04CF" w:rsidRDefault="002D324B" w:rsidP="00FC0EEA">
      <w:pPr>
        <w:rPr>
          <w:szCs w:val="22"/>
        </w:rPr>
      </w:pPr>
    </w:p>
    <w:p w14:paraId="3F50DA30" w14:textId="77777777" w:rsidR="002D324B" w:rsidRPr="009A04CF" w:rsidRDefault="002D324B" w:rsidP="00FC0EEA">
      <w:pPr>
        <w:pBdr>
          <w:top w:val="single" w:sz="4" w:space="1" w:color="auto"/>
          <w:left w:val="single" w:sz="4" w:space="4" w:color="auto"/>
          <w:bottom w:val="single" w:sz="4" w:space="1" w:color="auto"/>
          <w:right w:val="single" w:sz="4" w:space="4" w:color="auto"/>
        </w:pBdr>
        <w:ind w:left="567" w:hanging="567"/>
        <w:rPr>
          <w:b/>
          <w:szCs w:val="22"/>
        </w:rPr>
      </w:pPr>
      <w:r w:rsidRPr="009A04CF">
        <w:rPr>
          <w:b/>
          <w:szCs w:val="22"/>
        </w:rPr>
        <w:t>2.</w:t>
      </w:r>
      <w:r w:rsidRPr="009A04CF">
        <w:rPr>
          <w:b/>
          <w:szCs w:val="22"/>
        </w:rPr>
        <w:tab/>
        <w:t>VEIKLIOJI (-IOS) MEDŽIAGA (-OS) IR JOS (-Ų) KIEKIS (-IAI)</w:t>
      </w:r>
    </w:p>
    <w:p w14:paraId="1BCF27A0" w14:textId="77777777" w:rsidR="002D324B" w:rsidRPr="009A04CF" w:rsidRDefault="002D324B" w:rsidP="00FC0EEA">
      <w:pPr>
        <w:rPr>
          <w:szCs w:val="22"/>
        </w:rPr>
      </w:pPr>
    </w:p>
    <w:p w14:paraId="752FE3D6" w14:textId="77777777" w:rsidR="002D324B" w:rsidRPr="009A04CF" w:rsidRDefault="002D324B" w:rsidP="00FC0EEA">
      <w:pPr>
        <w:rPr>
          <w:szCs w:val="22"/>
        </w:rPr>
      </w:pPr>
      <w:r w:rsidRPr="009A04CF">
        <w:rPr>
          <w:szCs w:val="22"/>
        </w:rPr>
        <w:t>Kiekviename paketėlyje yra 500 mg paracetamolio.</w:t>
      </w:r>
    </w:p>
    <w:p w14:paraId="49448A38" w14:textId="77777777" w:rsidR="002D324B" w:rsidRPr="009A04CF" w:rsidRDefault="002D324B" w:rsidP="00FC0EEA">
      <w:pPr>
        <w:rPr>
          <w:szCs w:val="22"/>
        </w:rPr>
      </w:pPr>
    </w:p>
    <w:p w14:paraId="65775B63" w14:textId="77777777" w:rsidR="002D324B" w:rsidRPr="009A04CF" w:rsidRDefault="002D324B" w:rsidP="00FC0EEA">
      <w:pPr>
        <w:rPr>
          <w:szCs w:val="22"/>
        </w:rPr>
      </w:pPr>
    </w:p>
    <w:p w14:paraId="2EF9C506" w14:textId="77777777" w:rsidR="002D324B" w:rsidRPr="009A04CF" w:rsidRDefault="002D324B" w:rsidP="00FC0EEA">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3.</w:t>
      </w:r>
      <w:r w:rsidRPr="009A04CF">
        <w:rPr>
          <w:b/>
          <w:szCs w:val="22"/>
        </w:rPr>
        <w:tab/>
        <w:t>PAGALBINIŲ MEDŽIAGŲ SĄRAŠAS</w:t>
      </w:r>
    </w:p>
    <w:p w14:paraId="3F084BC6" w14:textId="77777777" w:rsidR="002D324B" w:rsidRPr="009A04CF" w:rsidRDefault="002D324B" w:rsidP="00FC0EEA">
      <w:pPr>
        <w:rPr>
          <w:szCs w:val="22"/>
        </w:rPr>
      </w:pPr>
    </w:p>
    <w:p w14:paraId="3C4FC78B" w14:textId="77777777" w:rsidR="002D324B" w:rsidRPr="009A04CF" w:rsidRDefault="002D324B" w:rsidP="00FC0EEA">
      <w:pPr>
        <w:rPr>
          <w:szCs w:val="22"/>
        </w:rPr>
      </w:pPr>
      <w:r w:rsidRPr="009A04CF">
        <w:rPr>
          <w:szCs w:val="22"/>
        </w:rPr>
        <w:t>Sudėtyje yra manitolio (E 421), ksilitolio (E 967).</w:t>
      </w:r>
    </w:p>
    <w:p w14:paraId="5BA6E674" w14:textId="77777777" w:rsidR="002D324B" w:rsidRPr="009A04CF" w:rsidRDefault="002D324B" w:rsidP="00FC0EEA">
      <w:pPr>
        <w:rPr>
          <w:szCs w:val="22"/>
        </w:rPr>
      </w:pPr>
      <w:r w:rsidRPr="009A04CF">
        <w:rPr>
          <w:szCs w:val="22"/>
        </w:rPr>
        <w:t>Daugiau informacijos pateikta pakuotės lapelyje.</w:t>
      </w:r>
    </w:p>
    <w:p w14:paraId="2CE3CA81" w14:textId="77777777" w:rsidR="002D324B" w:rsidRPr="009A04CF" w:rsidRDefault="002D324B" w:rsidP="00FC0EEA">
      <w:pPr>
        <w:rPr>
          <w:szCs w:val="22"/>
        </w:rPr>
      </w:pPr>
    </w:p>
    <w:p w14:paraId="39DC92F3" w14:textId="77777777" w:rsidR="002D324B" w:rsidRPr="009A04CF" w:rsidRDefault="002D324B" w:rsidP="00FC0EEA">
      <w:pPr>
        <w:rPr>
          <w:szCs w:val="22"/>
        </w:rPr>
      </w:pPr>
      <w:r w:rsidRPr="009A04CF">
        <w:rPr>
          <w:szCs w:val="22"/>
        </w:rPr>
        <w:t>Juodųjų serbentų ir mentolio skonio</w:t>
      </w:r>
    </w:p>
    <w:p w14:paraId="5DFE572E" w14:textId="77777777" w:rsidR="002D324B" w:rsidRPr="009A04CF" w:rsidRDefault="002D324B" w:rsidP="00FC0EEA">
      <w:pPr>
        <w:rPr>
          <w:szCs w:val="22"/>
        </w:rPr>
      </w:pPr>
    </w:p>
    <w:p w14:paraId="016376ED" w14:textId="77777777" w:rsidR="002D324B" w:rsidRPr="009A04CF" w:rsidRDefault="002D324B" w:rsidP="00FC0EEA">
      <w:pPr>
        <w:rPr>
          <w:szCs w:val="22"/>
        </w:rPr>
      </w:pPr>
    </w:p>
    <w:p w14:paraId="5FD61532" w14:textId="77777777" w:rsidR="002D324B" w:rsidRPr="009A04CF" w:rsidRDefault="002D324B" w:rsidP="00FC0EEA">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4.</w:t>
      </w:r>
      <w:r w:rsidRPr="009A04CF">
        <w:rPr>
          <w:b/>
          <w:szCs w:val="22"/>
        </w:rPr>
        <w:tab/>
        <w:t>FARMACINĖ FORMA IR KIEKIS PAKUOTĖJE</w:t>
      </w:r>
    </w:p>
    <w:p w14:paraId="32F81AB9" w14:textId="77777777" w:rsidR="002D324B" w:rsidRPr="009A04CF" w:rsidRDefault="002D324B" w:rsidP="00FC0EEA">
      <w:pPr>
        <w:rPr>
          <w:szCs w:val="22"/>
        </w:rPr>
      </w:pPr>
    </w:p>
    <w:p w14:paraId="7325FE4D" w14:textId="77777777" w:rsidR="002D324B" w:rsidRPr="009A04CF" w:rsidRDefault="002D324B" w:rsidP="00FC0EEA">
      <w:pPr>
        <w:rPr>
          <w:szCs w:val="22"/>
        </w:rPr>
      </w:pPr>
      <w:r w:rsidRPr="009A04CF">
        <w:rPr>
          <w:szCs w:val="22"/>
          <w:highlight w:val="lightGray"/>
        </w:rPr>
        <w:t>Milteliai geriamajam tirpalui</w:t>
      </w:r>
    </w:p>
    <w:p w14:paraId="1399BAAC" w14:textId="77777777" w:rsidR="002D324B" w:rsidRPr="009A04CF" w:rsidRDefault="002D324B" w:rsidP="00FC0EEA">
      <w:pPr>
        <w:rPr>
          <w:szCs w:val="22"/>
        </w:rPr>
      </w:pPr>
    </w:p>
    <w:p w14:paraId="0B9B2524" w14:textId="77777777" w:rsidR="002D324B" w:rsidRPr="009A04CF" w:rsidRDefault="002D324B" w:rsidP="00FC0EEA">
      <w:pPr>
        <w:rPr>
          <w:szCs w:val="22"/>
        </w:rPr>
      </w:pPr>
      <w:r w:rsidRPr="009A04CF">
        <w:rPr>
          <w:szCs w:val="22"/>
        </w:rPr>
        <w:t>5 paketėliai</w:t>
      </w:r>
    </w:p>
    <w:p w14:paraId="59EC8296" w14:textId="77777777" w:rsidR="002D324B" w:rsidRPr="009A04CF" w:rsidRDefault="002D324B" w:rsidP="00FC0EEA">
      <w:pPr>
        <w:rPr>
          <w:szCs w:val="22"/>
          <w:highlight w:val="lightGray"/>
        </w:rPr>
      </w:pPr>
      <w:r w:rsidRPr="009A04CF">
        <w:rPr>
          <w:szCs w:val="22"/>
          <w:highlight w:val="lightGray"/>
        </w:rPr>
        <w:t>6 paketėliai</w:t>
      </w:r>
    </w:p>
    <w:p w14:paraId="615A8A49" w14:textId="77777777" w:rsidR="002D324B" w:rsidRPr="009A04CF" w:rsidRDefault="002D324B" w:rsidP="00FC0EEA">
      <w:pPr>
        <w:rPr>
          <w:szCs w:val="22"/>
          <w:highlight w:val="lightGray"/>
        </w:rPr>
      </w:pPr>
      <w:r w:rsidRPr="009A04CF">
        <w:rPr>
          <w:szCs w:val="22"/>
          <w:highlight w:val="lightGray"/>
        </w:rPr>
        <w:t>10 paketėlių</w:t>
      </w:r>
    </w:p>
    <w:p w14:paraId="6977EB88" w14:textId="77777777" w:rsidR="002D324B" w:rsidRPr="009A04CF" w:rsidRDefault="002D324B" w:rsidP="00FC0EEA">
      <w:pPr>
        <w:rPr>
          <w:szCs w:val="22"/>
          <w:highlight w:val="lightGray"/>
        </w:rPr>
      </w:pPr>
      <w:r w:rsidRPr="009A04CF">
        <w:rPr>
          <w:szCs w:val="22"/>
          <w:highlight w:val="lightGray"/>
        </w:rPr>
        <w:t>12 paketėlių</w:t>
      </w:r>
    </w:p>
    <w:p w14:paraId="3893B884" w14:textId="77777777" w:rsidR="002D324B" w:rsidRPr="009A04CF" w:rsidRDefault="002D324B" w:rsidP="00FC0EEA">
      <w:pPr>
        <w:rPr>
          <w:szCs w:val="22"/>
          <w:highlight w:val="lightGray"/>
        </w:rPr>
      </w:pPr>
      <w:r w:rsidRPr="009A04CF">
        <w:rPr>
          <w:szCs w:val="22"/>
          <w:highlight w:val="lightGray"/>
        </w:rPr>
        <w:t>20 paketėlių</w:t>
      </w:r>
    </w:p>
    <w:p w14:paraId="161A8050" w14:textId="77777777" w:rsidR="002D324B" w:rsidRPr="009A04CF" w:rsidRDefault="002D324B" w:rsidP="00FC0EEA">
      <w:pPr>
        <w:rPr>
          <w:szCs w:val="22"/>
          <w:highlight w:val="lightGray"/>
        </w:rPr>
      </w:pPr>
      <w:r w:rsidRPr="009A04CF">
        <w:rPr>
          <w:szCs w:val="22"/>
          <w:highlight w:val="lightGray"/>
        </w:rPr>
        <w:t>24 paketėliai</w:t>
      </w:r>
    </w:p>
    <w:p w14:paraId="11B9472B" w14:textId="77777777" w:rsidR="002D324B" w:rsidRPr="009A04CF" w:rsidRDefault="002D324B" w:rsidP="00FC0EEA">
      <w:pPr>
        <w:rPr>
          <w:szCs w:val="22"/>
        </w:rPr>
      </w:pPr>
      <w:r w:rsidRPr="009A04CF">
        <w:rPr>
          <w:szCs w:val="22"/>
          <w:highlight w:val="lightGray"/>
        </w:rPr>
        <w:t>30 paketėlių</w:t>
      </w:r>
    </w:p>
    <w:p w14:paraId="0BEC08C0" w14:textId="77777777" w:rsidR="002D324B" w:rsidRPr="009A04CF" w:rsidRDefault="002D324B" w:rsidP="00FC0EEA">
      <w:pPr>
        <w:rPr>
          <w:szCs w:val="22"/>
        </w:rPr>
      </w:pPr>
    </w:p>
    <w:p w14:paraId="79187634" w14:textId="77777777" w:rsidR="002D324B" w:rsidRPr="009A04CF" w:rsidRDefault="002D324B" w:rsidP="00FC0EEA">
      <w:pPr>
        <w:rPr>
          <w:szCs w:val="22"/>
        </w:rPr>
      </w:pPr>
    </w:p>
    <w:p w14:paraId="3A7B9B88" w14:textId="77777777" w:rsidR="002D324B" w:rsidRPr="009A04CF" w:rsidRDefault="002D324B" w:rsidP="00FC0EEA">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5.</w:t>
      </w:r>
      <w:r w:rsidRPr="009A04CF">
        <w:rPr>
          <w:b/>
          <w:szCs w:val="22"/>
        </w:rPr>
        <w:tab/>
        <w:t>VARTOJIMO METODAS IR BŪDAS (-AI)</w:t>
      </w:r>
    </w:p>
    <w:p w14:paraId="330A86F3" w14:textId="77777777" w:rsidR="002D324B" w:rsidRPr="009A04CF" w:rsidRDefault="002D324B" w:rsidP="00FC0EEA">
      <w:pPr>
        <w:rPr>
          <w:szCs w:val="22"/>
        </w:rPr>
      </w:pPr>
    </w:p>
    <w:p w14:paraId="35E7EA40" w14:textId="77777777" w:rsidR="002D324B" w:rsidRPr="003F69F2" w:rsidRDefault="002D324B" w:rsidP="00FC0EEA">
      <w:pPr>
        <w:ind w:right="-1"/>
        <w:rPr>
          <w:szCs w:val="22"/>
        </w:rPr>
      </w:pPr>
      <w:r w:rsidRPr="003F69F2">
        <w:rPr>
          <w:szCs w:val="22"/>
        </w:rPr>
        <w:t>Vartoti per burną.</w:t>
      </w:r>
    </w:p>
    <w:p w14:paraId="1D126827" w14:textId="77777777" w:rsidR="002D324B" w:rsidRPr="009A04CF" w:rsidRDefault="002D324B" w:rsidP="00FC0EEA">
      <w:pPr>
        <w:rPr>
          <w:szCs w:val="22"/>
        </w:rPr>
      </w:pPr>
      <w:r w:rsidRPr="009A04CF">
        <w:rPr>
          <w:szCs w:val="22"/>
        </w:rPr>
        <w:t>Prieš vartojimą perskaitykite pakuotės lapelį.</w:t>
      </w:r>
    </w:p>
    <w:p w14:paraId="66325DE8" w14:textId="77777777" w:rsidR="002D324B" w:rsidRPr="009A04CF" w:rsidRDefault="002D324B" w:rsidP="00FC0EEA">
      <w:pPr>
        <w:rPr>
          <w:szCs w:val="22"/>
        </w:rPr>
      </w:pPr>
    </w:p>
    <w:p w14:paraId="354980E6" w14:textId="77777777" w:rsidR="002D324B" w:rsidRPr="009A04CF" w:rsidRDefault="002D324B" w:rsidP="00FC0EEA">
      <w:pPr>
        <w:rPr>
          <w:szCs w:val="22"/>
        </w:rPr>
      </w:pPr>
    </w:p>
    <w:p w14:paraId="5FE2B572" w14:textId="77777777" w:rsidR="002D324B" w:rsidRPr="009A04CF" w:rsidRDefault="002D324B" w:rsidP="00FC0EEA">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6.</w:t>
      </w:r>
      <w:r w:rsidRPr="009A04CF">
        <w:rPr>
          <w:b/>
          <w:szCs w:val="22"/>
        </w:rPr>
        <w:tab/>
        <w:t>SPECIALUS ĮSPĖJIMAS, KAD VAISTINĮ PREPARATĄ BŪTINA LAIKYTI VAIKAMS NEPASTEBIMOJE IR  NEPASIEKIAMOJE VIETOJE</w:t>
      </w:r>
    </w:p>
    <w:p w14:paraId="1757B19B" w14:textId="77777777" w:rsidR="002D324B" w:rsidRPr="009A04CF" w:rsidRDefault="002D324B" w:rsidP="00FC0EEA">
      <w:pPr>
        <w:rPr>
          <w:szCs w:val="22"/>
        </w:rPr>
      </w:pPr>
    </w:p>
    <w:p w14:paraId="1A453CF6" w14:textId="77777777" w:rsidR="002D324B" w:rsidRPr="009A04CF" w:rsidRDefault="002D324B" w:rsidP="00FC0EEA">
      <w:pPr>
        <w:rPr>
          <w:szCs w:val="22"/>
        </w:rPr>
      </w:pPr>
      <w:r w:rsidRPr="009A04CF">
        <w:rPr>
          <w:szCs w:val="22"/>
        </w:rPr>
        <w:t>Laikyti vaikams nepastebimoje ir nepasiekiamoje vietoje.</w:t>
      </w:r>
    </w:p>
    <w:p w14:paraId="6D405EF0" w14:textId="77777777" w:rsidR="002D324B" w:rsidRPr="009A04CF" w:rsidRDefault="002D324B" w:rsidP="00FC0EEA">
      <w:pPr>
        <w:rPr>
          <w:szCs w:val="22"/>
        </w:rPr>
      </w:pPr>
    </w:p>
    <w:p w14:paraId="59871885" w14:textId="77777777" w:rsidR="002D324B" w:rsidRPr="009A04CF" w:rsidRDefault="002D324B" w:rsidP="00FC0EEA">
      <w:pPr>
        <w:rPr>
          <w:szCs w:val="22"/>
        </w:rPr>
      </w:pPr>
    </w:p>
    <w:p w14:paraId="2EC47F8F" w14:textId="77777777" w:rsidR="002D324B" w:rsidRPr="009A04CF" w:rsidRDefault="002D324B" w:rsidP="00FC0EEA">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7.</w:t>
      </w:r>
      <w:r w:rsidRPr="009A04CF">
        <w:rPr>
          <w:b/>
          <w:szCs w:val="22"/>
        </w:rPr>
        <w:tab/>
        <w:t>KITAS (-I) SPECIALUS (-ŪS) ĮSPĖJIMAS (-AI) (JEI REIKIA)</w:t>
      </w:r>
    </w:p>
    <w:p w14:paraId="435E513D" w14:textId="77777777" w:rsidR="002D324B" w:rsidRPr="009A04CF" w:rsidRDefault="002D324B" w:rsidP="00FC0EEA">
      <w:pPr>
        <w:rPr>
          <w:szCs w:val="22"/>
        </w:rPr>
      </w:pPr>
    </w:p>
    <w:p w14:paraId="145F6528" w14:textId="77777777" w:rsidR="002D324B" w:rsidRPr="009A04CF" w:rsidRDefault="002D324B" w:rsidP="00FC0EEA">
      <w:pPr>
        <w:rPr>
          <w:szCs w:val="22"/>
        </w:rPr>
      </w:pPr>
    </w:p>
    <w:p w14:paraId="2AB87AC3" w14:textId="77777777" w:rsidR="002D324B" w:rsidRPr="009A04CF" w:rsidRDefault="002D324B" w:rsidP="00FC0EEA">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lastRenderedPageBreak/>
        <w:t>8.</w:t>
      </w:r>
      <w:r w:rsidRPr="009A04CF">
        <w:rPr>
          <w:b/>
          <w:szCs w:val="22"/>
        </w:rPr>
        <w:tab/>
        <w:t>TINKAMUMO LAIKAS</w:t>
      </w:r>
    </w:p>
    <w:p w14:paraId="024A4C68" w14:textId="77777777" w:rsidR="002D324B" w:rsidRPr="009A04CF" w:rsidRDefault="002D324B" w:rsidP="00FC0EEA">
      <w:pPr>
        <w:rPr>
          <w:szCs w:val="22"/>
        </w:rPr>
      </w:pPr>
    </w:p>
    <w:p w14:paraId="7761E2C8" w14:textId="42395023" w:rsidR="002D324B" w:rsidRPr="009A04CF" w:rsidRDefault="002D324B" w:rsidP="00FC0EEA">
      <w:pPr>
        <w:rPr>
          <w:szCs w:val="22"/>
        </w:rPr>
      </w:pPr>
      <w:r w:rsidRPr="009A04CF">
        <w:rPr>
          <w:szCs w:val="22"/>
        </w:rPr>
        <w:t>EXP:</w:t>
      </w:r>
      <w:r w:rsidR="009E3C7A" w:rsidRPr="009E3C7A">
        <w:rPr>
          <w:szCs w:val="22"/>
        </w:rPr>
        <w:t xml:space="preserve"> {mm/MMMM}</w:t>
      </w:r>
    </w:p>
    <w:p w14:paraId="01460AEC" w14:textId="77777777" w:rsidR="002D324B" w:rsidRPr="009A04CF" w:rsidRDefault="002D324B" w:rsidP="00FC0EEA">
      <w:pPr>
        <w:rPr>
          <w:szCs w:val="22"/>
        </w:rPr>
      </w:pPr>
    </w:p>
    <w:p w14:paraId="771DB84D" w14:textId="77777777" w:rsidR="002D324B" w:rsidRPr="009A04CF" w:rsidRDefault="002D324B" w:rsidP="00FC0EEA">
      <w:pPr>
        <w:rPr>
          <w:szCs w:val="22"/>
        </w:rPr>
      </w:pPr>
    </w:p>
    <w:p w14:paraId="4A34677F" w14:textId="77777777" w:rsidR="002D324B" w:rsidRPr="009A04CF" w:rsidRDefault="002D324B" w:rsidP="00FC0EEA">
      <w:pPr>
        <w:keepNext/>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9.</w:t>
      </w:r>
      <w:r w:rsidRPr="009A04CF">
        <w:rPr>
          <w:b/>
          <w:szCs w:val="22"/>
        </w:rPr>
        <w:tab/>
        <w:t>SPECIALIOS LAIKYMO SĄLYGOS</w:t>
      </w:r>
    </w:p>
    <w:p w14:paraId="57734C60" w14:textId="77777777" w:rsidR="002D324B" w:rsidRPr="009A04CF" w:rsidRDefault="002D324B" w:rsidP="00FC0EEA">
      <w:pPr>
        <w:rPr>
          <w:szCs w:val="22"/>
        </w:rPr>
      </w:pPr>
    </w:p>
    <w:p w14:paraId="7D45E586" w14:textId="77777777" w:rsidR="002D324B" w:rsidRPr="009A04CF" w:rsidRDefault="002D324B" w:rsidP="00FC0EEA">
      <w:pPr>
        <w:rPr>
          <w:szCs w:val="22"/>
        </w:rPr>
      </w:pPr>
      <w:r w:rsidRPr="00571643">
        <w:rPr>
          <w:szCs w:val="22"/>
        </w:rPr>
        <w:t xml:space="preserve">Laikyti žemesnėje kaip </w:t>
      </w:r>
      <w:r w:rsidRPr="009A04CF">
        <w:rPr>
          <w:szCs w:val="22"/>
        </w:rPr>
        <w:t>30</w:t>
      </w:r>
      <w:r w:rsidRPr="00571643">
        <w:rPr>
          <w:szCs w:val="22"/>
        </w:rPr>
        <w:t> ºC temperatūroje.</w:t>
      </w:r>
    </w:p>
    <w:p w14:paraId="7D834009" w14:textId="77777777" w:rsidR="002D324B" w:rsidRPr="009A04CF" w:rsidRDefault="002D324B" w:rsidP="00FC0EEA">
      <w:pPr>
        <w:rPr>
          <w:szCs w:val="22"/>
        </w:rPr>
      </w:pPr>
      <w:r w:rsidRPr="009A04CF">
        <w:rPr>
          <w:szCs w:val="22"/>
        </w:rPr>
        <w:t>Laikyti gamintojo pakuotėje (paketėlyje), kad vaistas būtų apsaugotas nuo šviesos.</w:t>
      </w:r>
    </w:p>
    <w:p w14:paraId="2F3C8AF0" w14:textId="77777777" w:rsidR="002D324B" w:rsidRPr="009A04CF" w:rsidRDefault="002D324B" w:rsidP="00FC0EEA">
      <w:pPr>
        <w:rPr>
          <w:szCs w:val="22"/>
        </w:rPr>
      </w:pPr>
    </w:p>
    <w:p w14:paraId="40AAE1CB" w14:textId="77777777" w:rsidR="002D324B" w:rsidRPr="009A04CF" w:rsidRDefault="002D324B" w:rsidP="00FC0EEA">
      <w:pPr>
        <w:rPr>
          <w:szCs w:val="22"/>
        </w:rPr>
      </w:pPr>
    </w:p>
    <w:p w14:paraId="76A502F5" w14:textId="77777777" w:rsidR="002D324B" w:rsidRPr="009A04CF" w:rsidRDefault="002D324B" w:rsidP="00FC0EEA">
      <w:pPr>
        <w:pBdr>
          <w:top w:val="single" w:sz="4" w:space="1" w:color="auto"/>
          <w:left w:val="single" w:sz="4" w:space="4" w:color="auto"/>
          <w:bottom w:val="single" w:sz="4" w:space="1" w:color="auto"/>
          <w:right w:val="single" w:sz="4" w:space="4" w:color="auto"/>
        </w:pBdr>
        <w:rPr>
          <w:b/>
          <w:szCs w:val="22"/>
        </w:rPr>
      </w:pPr>
      <w:r w:rsidRPr="009A04CF">
        <w:rPr>
          <w:b/>
          <w:szCs w:val="22"/>
        </w:rPr>
        <w:t>10.</w:t>
      </w:r>
      <w:r w:rsidRPr="009A04CF">
        <w:rPr>
          <w:b/>
          <w:szCs w:val="22"/>
        </w:rPr>
        <w:tab/>
        <w:t>SPECIALIOS ATSARGUMO PRIEMONĖS DĖL NESUVARTOTO VAISTINIO PREPARATO AR JO ATLIEKŲ TVARKYMO (JEI REIKIA)</w:t>
      </w:r>
    </w:p>
    <w:p w14:paraId="336F6585" w14:textId="77777777" w:rsidR="002D324B" w:rsidRPr="009A04CF" w:rsidRDefault="002D324B" w:rsidP="00FC0EEA">
      <w:pPr>
        <w:rPr>
          <w:szCs w:val="22"/>
        </w:rPr>
      </w:pPr>
    </w:p>
    <w:p w14:paraId="5396642D" w14:textId="77777777" w:rsidR="002D324B" w:rsidRPr="009A04CF" w:rsidRDefault="002D324B" w:rsidP="00FC0EEA">
      <w:pPr>
        <w:rPr>
          <w:szCs w:val="22"/>
        </w:rPr>
      </w:pPr>
    </w:p>
    <w:p w14:paraId="4B8DE96A" w14:textId="77777777" w:rsidR="002D324B" w:rsidRPr="009A04CF" w:rsidRDefault="002D324B" w:rsidP="00FC0EEA">
      <w:pPr>
        <w:pBdr>
          <w:top w:val="single" w:sz="4" w:space="1" w:color="auto"/>
          <w:left w:val="single" w:sz="4" w:space="4" w:color="auto"/>
          <w:bottom w:val="single" w:sz="4" w:space="1" w:color="auto"/>
          <w:right w:val="single" w:sz="4" w:space="4" w:color="auto"/>
        </w:pBdr>
        <w:rPr>
          <w:b/>
          <w:szCs w:val="22"/>
        </w:rPr>
      </w:pPr>
      <w:r w:rsidRPr="009A04CF">
        <w:rPr>
          <w:b/>
          <w:szCs w:val="22"/>
        </w:rPr>
        <w:t>11.</w:t>
      </w:r>
      <w:r w:rsidRPr="009A04CF">
        <w:rPr>
          <w:b/>
          <w:szCs w:val="22"/>
        </w:rPr>
        <w:tab/>
      </w:r>
      <w:r w:rsidRPr="009A04CF">
        <w:rPr>
          <w:b/>
          <w:caps/>
          <w:szCs w:val="22"/>
        </w:rPr>
        <w:t xml:space="preserve"> REGISTRUOTOJO PAVADINIMAS IR ADRESAS</w:t>
      </w:r>
    </w:p>
    <w:p w14:paraId="1E4063E6" w14:textId="77777777" w:rsidR="002D324B" w:rsidRPr="009A04CF" w:rsidRDefault="002D324B" w:rsidP="00FC0EEA">
      <w:pPr>
        <w:rPr>
          <w:szCs w:val="22"/>
        </w:rPr>
      </w:pPr>
    </w:p>
    <w:p w14:paraId="2745209C" w14:textId="77777777" w:rsidR="002D324B" w:rsidRPr="009A04CF" w:rsidRDefault="002D324B" w:rsidP="00FC0EEA">
      <w:pPr>
        <w:rPr>
          <w:szCs w:val="22"/>
        </w:rPr>
      </w:pPr>
      <w:r w:rsidRPr="009A04CF">
        <w:rPr>
          <w:szCs w:val="22"/>
        </w:rPr>
        <w:t>Vitabalans Oy, Varastokatu 8, FI-13500 Hämeenlinna, Suomija</w:t>
      </w:r>
    </w:p>
    <w:p w14:paraId="2200C10A" w14:textId="77777777" w:rsidR="002D324B" w:rsidRPr="009A04CF" w:rsidRDefault="002D324B" w:rsidP="00FC0EEA">
      <w:pPr>
        <w:rPr>
          <w:szCs w:val="22"/>
        </w:rPr>
      </w:pPr>
    </w:p>
    <w:p w14:paraId="11FA513C" w14:textId="77777777" w:rsidR="002D324B" w:rsidRPr="009A04CF" w:rsidRDefault="002D324B" w:rsidP="00FC0EEA">
      <w:pPr>
        <w:rPr>
          <w:szCs w:val="22"/>
        </w:rPr>
      </w:pPr>
    </w:p>
    <w:p w14:paraId="4B0B31E7" w14:textId="77777777" w:rsidR="002D324B" w:rsidRPr="009A04CF" w:rsidRDefault="002D324B" w:rsidP="00FC0EEA">
      <w:pPr>
        <w:pBdr>
          <w:top w:val="single" w:sz="4" w:space="1" w:color="auto"/>
          <w:left w:val="single" w:sz="4" w:space="4" w:color="auto"/>
          <w:bottom w:val="single" w:sz="4" w:space="1" w:color="auto"/>
          <w:right w:val="single" w:sz="4" w:space="4" w:color="auto"/>
        </w:pBdr>
        <w:rPr>
          <w:szCs w:val="22"/>
        </w:rPr>
      </w:pPr>
      <w:r w:rsidRPr="009A04CF">
        <w:rPr>
          <w:b/>
          <w:szCs w:val="22"/>
        </w:rPr>
        <w:t>12.</w:t>
      </w:r>
      <w:r w:rsidRPr="009A04CF">
        <w:rPr>
          <w:b/>
          <w:szCs w:val="22"/>
        </w:rPr>
        <w:tab/>
        <w:t xml:space="preserve">REGISTRACIJOS PAŽYMĖJIMO NUMERIS (-IAI) </w:t>
      </w:r>
    </w:p>
    <w:p w14:paraId="07865339" w14:textId="77777777" w:rsidR="002D324B" w:rsidRPr="009A04CF" w:rsidRDefault="002D324B" w:rsidP="00FC0EEA">
      <w:pPr>
        <w:rPr>
          <w:szCs w:val="22"/>
        </w:rPr>
      </w:pPr>
    </w:p>
    <w:p w14:paraId="44A62D92" w14:textId="77777777" w:rsidR="007C2D9E" w:rsidRPr="007C2D9E" w:rsidRDefault="007C2D9E" w:rsidP="007C2D9E">
      <w:pPr>
        <w:rPr>
          <w:szCs w:val="22"/>
          <w:shd w:val="clear" w:color="auto" w:fill="D9D9D9" w:themeFill="background1" w:themeFillShade="D9"/>
        </w:rPr>
      </w:pPr>
      <w:r w:rsidRPr="007C2D9E">
        <w:rPr>
          <w:szCs w:val="22"/>
        </w:rPr>
        <w:t xml:space="preserve">LT/1/22/5055/001 </w:t>
      </w:r>
      <w:r w:rsidRPr="007C2D9E">
        <w:rPr>
          <w:szCs w:val="22"/>
          <w:shd w:val="clear" w:color="auto" w:fill="D9D9D9" w:themeFill="background1" w:themeFillShade="D9"/>
        </w:rPr>
        <w:t>– N5</w:t>
      </w:r>
    </w:p>
    <w:p w14:paraId="362F0A97"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LT/1/22/5055/002 – N6</w:t>
      </w:r>
    </w:p>
    <w:p w14:paraId="45B60072"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LT/1/22/5055/003 – N10</w:t>
      </w:r>
    </w:p>
    <w:p w14:paraId="723BFB17"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LT/1/22/5055/004 – N12</w:t>
      </w:r>
    </w:p>
    <w:p w14:paraId="021C8DDB"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LT/1/22/5055/005 – N20</w:t>
      </w:r>
    </w:p>
    <w:p w14:paraId="1C7ABEA3"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LT/1/22/5055/006 – N24</w:t>
      </w:r>
    </w:p>
    <w:p w14:paraId="47335F30" w14:textId="2BF02FE9" w:rsidR="002D324B"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LT/1/22/5055/007 – N30</w:t>
      </w:r>
    </w:p>
    <w:p w14:paraId="386ACD12" w14:textId="77777777" w:rsidR="007C2D9E" w:rsidRPr="009A04CF" w:rsidRDefault="007C2D9E" w:rsidP="007C2D9E">
      <w:pPr>
        <w:rPr>
          <w:szCs w:val="22"/>
        </w:rPr>
      </w:pPr>
    </w:p>
    <w:p w14:paraId="18D79818" w14:textId="77777777" w:rsidR="002D324B" w:rsidRPr="009A04CF" w:rsidRDefault="002D324B" w:rsidP="00FC0EEA">
      <w:pPr>
        <w:rPr>
          <w:szCs w:val="22"/>
        </w:rPr>
      </w:pPr>
    </w:p>
    <w:p w14:paraId="21F29A86" w14:textId="77777777" w:rsidR="002D324B" w:rsidRPr="009A04CF" w:rsidRDefault="002D324B" w:rsidP="00FC0EEA">
      <w:pPr>
        <w:pBdr>
          <w:top w:val="single" w:sz="4" w:space="1" w:color="auto"/>
          <w:left w:val="single" w:sz="4" w:space="4" w:color="auto"/>
          <w:bottom w:val="single" w:sz="4" w:space="1" w:color="auto"/>
          <w:right w:val="single" w:sz="4" w:space="4" w:color="auto"/>
        </w:pBdr>
        <w:rPr>
          <w:szCs w:val="22"/>
        </w:rPr>
      </w:pPr>
      <w:r w:rsidRPr="009A04CF">
        <w:rPr>
          <w:b/>
          <w:szCs w:val="22"/>
        </w:rPr>
        <w:t>13.</w:t>
      </w:r>
      <w:r w:rsidRPr="009A04CF">
        <w:rPr>
          <w:b/>
          <w:szCs w:val="22"/>
        </w:rPr>
        <w:tab/>
        <w:t xml:space="preserve">SERIJOS NUMERIS </w:t>
      </w:r>
    </w:p>
    <w:p w14:paraId="731EDD4B" w14:textId="77777777" w:rsidR="002D324B" w:rsidRPr="009A04CF" w:rsidRDefault="002D324B" w:rsidP="00FC0EEA">
      <w:pPr>
        <w:rPr>
          <w:szCs w:val="22"/>
        </w:rPr>
      </w:pPr>
    </w:p>
    <w:p w14:paraId="021C858E" w14:textId="77777777" w:rsidR="002D324B" w:rsidRPr="009A04CF" w:rsidRDefault="002D324B" w:rsidP="00FC0EEA">
      <w:pPr>
        <w:rPr>
          <w:szCs w:val="22"/>
        </w:rPr>
      </w:pPr>
      <w:r w:rsidRPr="009A04CF">
        <w:rPr>
          <w:szCs w:val="22"/>
        </w:rPr>
        <w:t>Lot:</w:t>
      </w:r>
    </w:p>
    <w:p w14:paraId="1B3C3D14" w14:textId="77777777" w:rsidR="002D324B" w:rsidRPr="009A04CF" w:rsidRDefault="002D324B" w:rsidP="00FC0EEA">
      <w:pPr>
        <w:rPr>
          <w:szCs w:val="22"/>
        </w:rPr>
      </w:pPr>
    </w:p>
    <w:p w14:paraId="70FFED59" w14:textId="77777777" w:rsidR="002D324B" w:rsidRPr="009A04CF" w:rsidRDefault="002D324B" w:rsidP="00FC0EEA">
      <w:pPr>
        <w:rPr>
          <w:szCs w:val="22"/>
        </w:rPr>
      </w:pPr>
    </w:p>
    <w:p w14:paraId="2541724F" w14:textId="77777777" w:rsidR="002D324B" w:rsidRPr="009A04CF" w:rsidRDefault="002D324B" w:rsidP="00FC0EEA">
      <w:pPr>
        <w:pBdr>
          <w:top w:val="single" w:sz="4" w:space="1" w:color="auto"/>
          <w:left w:val="single" w:sz="4" w:space="4" w:color="auto"/>
          <w:bottom w:val="single" w:sz="4" w:space="1" w:color="auto"/>
          <w:right w:val="single" w:sz="4" w:space="4" w:color="auto"/>
        </w:pBdr>
        <w:rPr>
          <w:szCs w:val="22"/>
        </w:rPr>
      </w:pPr>
      <w:r w:rsidRPr="009A04CF">
        <w:rPr>
          <w:b/>
          <w:szCs w:val="22"/>
        </w:rPr>
        <w:t>14.</w:t>
      </w:r>
      <w:r w:rsidRPr="009A04CF">
        <w:rPr>
          <w:b/>
          <w:szCs w:val="22"/>
        </w:rPr>
        <w:tab/>
        <w:t>PARDAVIMO (IŠDAVIMO) TVARKA</w:t>
      </w:r>
    </w:p>
    <w:p w14:paraId="5ACB07A8" w14:textId="77777777" w:rsidR="002D324B" w:rsidRPr="009A04CF" w:rsidRDefault="002D324B" w:rsidP="00FC0EEA">
      <w:pPr>
        <w:rPr>
          <w:szCs w:val="22"/>
        </w:rPr>
      </w:pPr>
    </w:p>
    <w:p w14:paraId="39F19265" w14:textId="77777777" w:rsidR="002D324B" w:rsidRPr="009A04CF" w:rsidRDefault="002D324B" w:rsidP="00FC0EEA">
      <w:pPr>
        <w:rPr>
          <w:szCs w:val="22"/>
        </w:rPr>
      </w:pPr>
      <w:r w:rsidRPr="009A04CF">
        <w:rPr>
          <w:szCs w:val="22"/>
        </w:rPr>
        <w:t>Nereceptinis vaistas</w:t>
      </w:r>
    </w:p>
    <w:p w14:paraId="038A08C8" w14:textId="77777777" w:rsidR="002D324B" w:rsidRPr="009A04CF" w:rsidRDefault="002D324B" w:rsidP="00FC0EEA">
      <w:pPr>
        <w:rPr>
          <w:szCs w:val="22"/>
        </w:rPr>
      </w:pPr>
    </w:p>
    <w:p w14:paraId="617F9D32" w14:textId="77777777" w:rsidR="002D324B" w:rsidRPr="009A04CF" w:rsidRDefault="002D324B" w:rsidP="00FC0EEA">
      <w:pPr>
        <w:rPr>
          <w:szCs w:val="22"/>
        </w:rPr>
      </w:pPr>
    </w:p>
    <w:p w14:paraId="77BE7E5F" w14:textId="77777777" w:rsidR="002D324B" w:rsidRPr="009A04CF" w:rsidRDefault="002D324B" w:rsidP="00FC0EEA">
      <w:pPr>
        <w:pBdr>
          <w:top w:val="single" w:sz="4" w:space="2" w:color="auto"/>
          <w:left w:val="single" w:sz="4" w:space="4" w:color="auto"/>
          <w:bottom w:val="single" w:sz="4" w:space="1" w:color="auto"/>
          <w:right w:val="single" w:sz="4" w:space="4" w:color="auto"/>
        </w:pBdr>
        <w:rPr>
          <w:szCs w:val="22"/>
        </w:rPr>
      </w:pPr>
      <w:r w:rsidRPr="009A04CF">
        <w:rPr>
          <w:b/>
          <w:szCs w:val="22"/>
        </w:rPr>
        <w:t>15.</w:t>
      </w:r>
      <w:r w:rsidRPr="009A04CF">
        <w:rPr>
          <w:b/>
          <w:szCs w:val="22"/>
        </w:rPr>
        <w:tab/>
        <w:t>VARTOJIMO INSTRUKCIJA</w:t>
      </w:r>
    </w:p>
    <w:p w14:paraId="62030256" w14:textId="77777777" w:rsidR="002D324B" w:rsidRPr="009A04CF" w:rsidRDefault="002D324B" w:rsidP="00FC0EEA">
      <w:pPr>
        <w:rPr>
          <w:szCs w:val="22"/>
        </w:rPr>
      </w:pPr>
    </w:p>
    <w:p w14:paraId="287D98F3" w14:textId="77777777" w:rsidR="002D324B" w:rsidRPr="009520EB" w:rsidRDefault="002D324B" w:rsidP="00FC0EEA">
      <w:pPr>
        <w:ind w:right="-1"/>
        <w:rPr>
          <w:szCs w:val="22"/>
        </w:rPr>
      </w:pPr>
      <w:bookmarkStart w:id="68" w:name="_Hlk101773073"/>
      <w:bookmarkStart w:id="69" w:name="_Hlk101772897"/>
      <w:r w:rsidRPr="00571643">
        <w:rPr>
          <w:szCs w:val="22"/>
        </w:rPr>
        <w:t xml:space="preserve">Trumpalaikiam </w:t>
      </w:r>
      <w:r w:rsidRPr="009A04CF">
        <w:rPr>
          <w:szCs w:val="22"/>
        </w:rPr>
        <w:t xml:space="preserve">skausmo ir </w:t>
      </w:r>
      <w:r w:rsidRPr="009520EB">
        <w:rPr>
          <w:szCs w:val="22"/>
        </w:rPr>
        <w:t>karščiavimo gydymui.</w:t>
      </w:r>
    </w:p>
    <w:bookmarkEnd w:id="68"/>
    <w:p w14:paraId="756177D8" w14:textId="77777777" w:rsidR="002D324B" w:rsidRPr="009520EB" w:rsidRDefault="002D324B" w:rsidP="00FC0EEA">
      <w:pPr>
        <w:ind w:right="-1"/>
        <w:rPr>
          <w:szCs w:val="22"/>
        </w:rPr>
      </w:pPr>
    </w:p>
    <w:p w14:paraId="373F83F1" w14:textId="6FB65F58" w:rsidR="002D324B" w:rsidRPr="009520EB" w:rsidRDefault="00AC43B9" w:rsidP="00FC0EEA">
      <w:pPr>
        <w:ind w:right="-1"/>
        <w:rPr>
          <w:szCs w:val="22"/>
        </w:rPr>
      </w:pPr>
      <w:r>
        <w:rPr>
          <w:szCs w:val="22"/>
        </w:rPr>
        <w:t>Arax</w:t>
      </w:r>
      <w:r w:rsidR="002D324B" w:rsidRPr="009520EB">
        <w:rPr>
          <w:szCs w:val="22"/>
        </w:rPr>
        <w:t xml:space="preserve"> vartojamas trumpalaikiam lengvo ar vidutinio stiprumo skausmo </w:t>
      </w:r>
      <w:r w:rsidR="009520EB">
        <w:rPr>
          <w:szCs w:val="22"/>
        </w:rPr>
        <w:t>(</w:t>
      </w:r>
      <w:r w:rsidR="002D324B" w:rsidRPr="009520EB">
        <w:rPr>
          <w:szCs w:val="22"/>
        </w:rPr>
        <w:t>pvz., galvos skausmo, raumenų ir sąnarių skausmų, dantų ir menstruacijų skausmo</w:t>
      </w:r>
      <w:r w:rsidR="009520EB">
        <w:rPr>
          <w:szCs w:val="22"/>
        </w:rPr>
        <w:t>)</w:t>
      </w:r>
      <w:r w:rsidR="002D324B" w:rsidRPr="009520EB">
        <w:rPr>
          <w:szCs w:val="22"/>
        </w:rPr>
        <w:t xml:space="preserve"> bei karščiavimo, susijusio su peršalimu ir gripu, lengvinimui.</w:t>
      </w:r>
    </w:p>
    <w:p w14:paraId="1AB592BD" w14:textId="77777777" w:rsidR="002D324B" w:rsidRPr="009520EB" w:rsidRDefault="002D324B" w:rsidP="00FC0EEA">
      <w:pPr>
        <w:ind w:right="-1"/>
        <w:rPr>
          <w:szCs w:val="22"/>
        </w:rPr>
      </w:pPr>
    </w:p>
    <w:p w14:paraId="42CB1C80" w14:textId="77777777" w:rsidR="002D324B" w:rsidRPr="009520EB" w:rsidRDefault="002D324B" w:rsidP="00FC0EEA">
      <w:pPr>
        <w:rPr>
          <w:b/>
          <w:bCs/>
          <w:iCs/>
          <w:szCs w:val="22"/>
        </w:rPr>
      </w:pPr>
      <w:r w:rsidRPr="009520EB">
        <w:rPr>
          <w:b/>
          <w:bCs/>
          <w:iCs/>
          <w:szCs w:val="22"/>
        </w:rPr>
        <w:t>Suaugusiesiems ir vyresniems kaip 12 metų paaugliams</w:t>
      </w:r>
      <w:r w:rsidR="009520EB">
        <w:rPr>
          <w:b/>
          <w:bCs/>
          <w:iCs/>
          <w:szCs w:val="22"/>
        </w:rPr>
        <w:t>:</w:t>
      </w:r>
      <w:r w:rsidRPr="009520EB">
        <w:rPr>
          <w:b/>
          <w:bCs/>
          <w:iCs/>
          <w:szCs w:val="22"/>
        </w:rPr>
        <w:t xml:space="preserve"> </w:t>
      </w:r>
    </w:p>
    <w:p w14:paraId="05112B0D" w14:textId="77777777" w:rsidR="002D324B" w:rsidRPr="009520EB" w:rsidRDefault="002F2CDA" w:rsidP="00FC0EEA">
      <w:pPr>
        <w:ind w:right="-1"/>
        <w:rPr>
          <w:szCs w:val="22"/>
        </w:rPr>
      </w:pPr>
      <w:r>
        <w:rPr>
          <w:szCs w:val="22"/>
        </w:rPr>
        <w:t xml:space="preserve">Pacientams, sveriantiems </w:t>
      </w:r>
      <w:r w:rsidR="002D324B" w:rsidRPr="009520EB">
        <w:rPr>
          <w:szCs w:val="22"/>
        </w:rPr>
        <w:t>34-60 kg: 1 paketėlis kas 4-6 valandas pagal poreikį. Didžiausia paros dozė yra 4 paketėliai per 24 valandas.</w:t>
      </w:r>
    </w:p>
    <w:p w14:paraId="7EAD4F4F" w14:textId="774DFD29" w:rsidR="002D324B" w:rsidRPr="009520EB" w:rsidRDefault="002F2CDA" w:rsidP="00FC0EEA">
      <w:pPr>
        <w:ind w:right="-1"/>
        <w:rPr>
          <w:szCs w:val="22"/>
        </w:rPr>
      </w:pPr>
      <w:r>
        <w:rPr>
          <w:szCs w:val="22"/>
        </w:rPr>
        <w:t>Pacientams, sveriantiems d</w:t>
      </w:r>
      <w:r w:rsidR="002D324B" w:rsidRPr="009520EB">
        <w:rPr>
          <w:szCs w:val="22"/>
        </w:rPr>
        <w:t>augiau kaip 60 kg: 1-2 paketėliai kas 4-6 valandas pagal poreikį. Didžiausia paros dozė yra 6 paketėliai per 24 valandas.</w:t>
      </w:r>
    </w:p>
    <w:p w14:paraId="59C895BD" w14:textId="77777777" w:rsidR="002D324B" w:rsidRPr="009A04CF" w:rsidRDefault="002D324B" w:rsidP="00FC0EEA">
      <w:pPr>
        <w:ind w:right="-1"/>
        <w:rPr>
          <w:szCs w:val="22"/>
        </w:rPr>
      </w:pPr>
      <w:r w:rsidRPr="009520EB">
        <w:rPr>
          <w:szCs w:val="22"/>
        </w:rPr>
        <w:lastRenderedPageBreak/>
        <w:t>Tarp dozių vartojimo palikite mažiausiai 4 valandų intervalą.</w:t>
      </w:r>
    </w:p>
    <w:bookmarkEnd w:id="69"/>
    <w:p w14:paraId="7F25603A" w14:textId="77777777" w:rsidR="002D324B" w:rsidRPr="009A04CF" w:rsidRDefault="002D324B" w:rsidP="00FC0EEA">
      <w:pPr>
        <w:ind w:right="-1"/>
        <w:rPr>
          <w:szCs w:val="22"/>
        </w:rPr>
      </w:pPr>
    </w:p>
    <w:p w14:paraId="57E998D7" w14:textId="7AFA7C2B" w:rsidR="002D324B" w:rsidRPr="009A04CF" w:rsidRDefault="002D324B" w:rsidP="00FC0EEA">
      <w:pPr>
        <w:ind w:right="-1"/>
        <w:rPr>
          <w:b/>
          <w:bCs/>
          <w:szCs w:val="22"/>
        </w:rPr>
      </w:pPr>
      <w:r w:rsidRPr="009A04CF">
        <w:rPr>
          <w:b/>
          <w:bCs/>
          <w:szCs w:val="22"/>
        </w:rPr>
        <w:t>Neskirtas vaikams ir paaugliams iki 12 metų ir sveriantiems mažiau nei 34 kg.</w:t>
      </w:r>
    </w:p>
    <w:p w14:paraId="37994F0A" w14:textId="77777777" w:rsidR="002D324B" w:rsidRPr="009A04CF" w:rsidRDefault="002D324B" w:rsidP="00FC0EEA">
      <w:pPr>
        <w:ind w:right="-1"/>
        <w:rPr>
          <w:szCs w:val="22"/>
        </w:rPr>
      </w:pPr>
    </w:p>
    <w:p w14:paraId="0F7A11CC" w14:textId="77777777" w:rsidR="002D324B" w:rsidRPr="009A04CF" w:rsidRDefault="002D324B" w:rsidP="00FC0EEA">
      <w:pPr>
        <w:ind w:right="-1"/>
        <w:rPr>
          <w:szCs w:val="22"/>
        </w:rPr>
      </w:pPr>
      <w:bookmarkStart w:id="70" w:name="_Hlk101480801"/>
      <w:r w:rsidRPr="009A04CF">
        <w:rPr>
          <w:szCs w:val="22"/>
        </w:rPr>
        <w:t>Paketėlio turinį ištirpinkite puodelyje karšto, bet ne verdančio vandens ir gerai išmaišykite. Paruoštą tirpalą suvartokite per 30 minučių.</w:t>
      </w:r>
    </w:p>
    <w:bookmarkEnd w:id="70"/>
    <w:p w14:paraId="59096672" w14:textId="77777777" w:rsidR="002D324B" w:rsidRPr="009A04CF" w:rsidRDefault="002D324B" w:rsidP="00FC0EEA">
      <w:pPr>
        <w:ind w:right="-1"/>
        <w:rPr>
          <w:szCs w:val="22"/>
        </w:rPr>
      </w:pPr>
    </w:p>
    <w:p w14:paraId="58AC0B1D" w14:textId="77777777" w:rsidR="002D324B" w:rsidRPr="009A04CF" w:rsidRDefault="002D324B" w:rsidP="00FC0EEA">
      <w:pPr>
        <w:rPr>
          <w:szCs w:val="22"/>
        </w:rPr>
      </w:pPr>
    </w:p>
    <w:p w14:paraId="5B33405C" w14:textId="77777777" w:rsidR="002D324B" w:rsidRPr="009A04CF" w:rsidRDefault="002D324B" w:rsidP="00FC0EEA">
      <w:pPr>
        <w:pBdr>
          <w:top w:val="single" w:sz="4" w:space="1" w:color="auto"/>
          <w:left w:val="single" w:sz="4" w:space="4" w:color="auto"/>
          <w:bottom w:val="single" w:sz="4" w:space="0" w:color="auto"/>
          <w:right w:val="single" w:sz="4" w:space="4" w:color="auto"/>
        </w:pBdr>
        <w:rPr>
          <w:color w:val="008000"/>
          <w:szCs w:val="22"/>
        </w:rPr>
      </w:pPr>
      <w:r w:rsidRPr="009A04CF">
        <w:rPr>
          <w:b/>
          <w:szCs w:val="22"/>
        </w:rPr>
        <w:t>16.</w:t>
      </w:r>
      <w:r w:rsidRPr="009A04CF">
        <w:rPr>
          <w:b/>
          <w:szCs w:val="22"/>
        </w:rPr>
        <w:tab/>
        <w:t>INFORMACIJA BRAILIO RAŠTU</w:t>
      </w:r>
    </w:p>
    <w:p w14:paraId="5838E7AE" w14:textId="77777777" w:rsidR="002D324B" w:rsidRPr="009A04CF" w:rsidRDefault="002D324B" w:rsidP="00FC0EEA">
      <w:pPr>
        <w:rPr>
          <w:szCs w:val="22"/>
        </w:rPr>
      </w:pPr>
    </w:p>
    <w:p w14:paraId="1A1CEB62" w14:textId="485FEB3E" w:rsidR="002D324B" w:rsidRPr="009A04CF" w:rsidRDefault="00AC43B9" w:rsidP="00FC0EEA">
      <w:pPr>
        <w:rPr>
          <w:szCs w:val="22"/>
        </w:rPr>
      </w:pPr>
      <w:r>
        <w:rPr>
          <w:szCs w:val="22"/>
        </w:rPr>
        <w:t>Arax</w:t>
      </w:r>
    </w:p>
    <w:p w14:paraId="627EDB07" w14:textId="77777777" w:rsidR="002D324B" w:rsidRPr="009A04CF" w:rsidRDefault="002D324B" w:rsidP="00FC0EEA">
      <w:pPr>
        <w:rPr>
          <w:szCs w:val="22"/>
        </w:rPr>
      </w:pPr>
    </w:p>
    <w:p w14:paraId="37A57FDF" w14:textId="77777777" w:rsidR="002D324B" w:rsidRPr="009A04CF" w:rsidRDefault="002D324B" w:rsidP="00FC0EEA">
      <w:pPr>
        <w:rPr>
          <w:szCs w:val="22"/>
          <w:shd w:val="clear" w:color="auto" w:fill="CCCCCC"/>
        </w:rPr>
      </w:pPr>
    </w:p>
    <w:p w14:paraId="6327702A" w14:textId="77777777" w:rsidR="002D324B" w:rsidRPr="009A04CF" w:rsidRDefault="002D324B" w:rsidP="00FC0EEA">
      <w:pPr>
        <w:keepNext/>
        <w:pBdr>
          <w:top w:val="single" w:sz="4" w:space="1" w:color="auto"/>
          <w:left w:val="single" w:sz="4" w:space="4" w:color="auto"/>
          <w:bottom w:val="single" w:sz="4" w:space="1" w:color="auto"/>
          <w:right w:val="single" w:sz="4" w:space="4" w:color="auto"/>
        </w:pBdr>
        <w:tabs>
          <w:tab w:val="left" w:pos="0"/>
        </w:tabs>
        <w:rPr>
          <w:i/>
          <w:szCs w:val="22"/>
        </w:rPr>
      </w:pPr>
      <w:r w:rsidRPr="009A04CF">
        <w:rPr>
          <w:b/>
          <w:szCs w:val="22"/>
        </w:rPr>
        <w:t>17.</w:t>
      </w:r>
      <w:r w:rsidRPr="009A04CF">
        <w:rPr>
          <w:b/>
          <w:szCs w:val="22"/>
        </w:rPr>
        <w:tab/>
        <w:t>UNIKALUS IDENTIFIKATORIUS – 2D BRŪKŠNINIS KODAS</w:t>
      </w:r>
    </w:p>
    <w:p w14:paraId="7B06F982" w14:textId="77777777" w:rsidR="002D324B" w:rsidRPr="009A04CF" w:rsidRDefault="002D324B" w:rsidP="00FC0EEA">
      <w:pPr>
        <w:rPr>
          <w:szCs w:val="22"/>
        </w:rPr>
      </w:pPr>
    </w:p>
    <w:p w14:paraId="559EF2E7" w14:textId="77777777" w:rsidR="002D324B" w:rsidRPr="009A04CF" w:rsidRDefault="002D324B" w:rsidP="00FC0EEA">
      <w:pPr>
        <w:rPr>
          <w:szCs w:val="22"/>
          <w:highlight w:val="lightGray"/>
        </w:rPr>
      </w:pPr>
      <w:r w:rsidRPr="009A04CF">
        <w:rPr>
          <w:szCs w:val="22"/>
          <w:highlight w:val="lightGray"/>
        </w:rPr>
        <w:t xml:space="preserve">Duomenys nebūtini. </w:t>
      </w:r>
    </w:p>
    <w:p w14:paraId="4DD9595D" w14:textId="77777777" w:rsidR="002D324B" w:rsidRPr="009A04CF" w:rsidRDefault="002D324B" w:rsidP="00FC0EEA">
      <w:pPr>
        <w:rPr>
          <w:szCs w:val="22"/>
        </w:rPr>
      </w:pPr>
    </w:p>
    <w:p w14:paraId="26462FA3" w14:textId="77777777" w:rsidR="002D324B" w:rsidRPr="009A04CF" w:rsidRDefault="002D324B" w:rsidP="00FC0EEA">
      <w:pPr>
        <w:rPr>
          <w:szCs w:val="22"/>
        </w:rPr>
      </w:pPr>
    </w:p>
    <w:p w14:paraId="6D9E3470" w14:textId="77777777" w:rsidR="002D324B" w:rsidRPr="009A04CF" w:rsidRDefault="002D324B" w:rsidP="00FC0EEA">
      <w:pPr>
        <w:keepNext/>
        <w:pBdr>
          <w:top w:val="single" w:sz="4" w:space="1" w:color="auto"/>
          <w:left w:val="single" w:sz="4" w:space="4" w:color="auto"/>
          <w:bottom w:val="single" w:sz="4" w:space="1" w:color="auto"/>
          <w:right w:val="single" w:sz="4" w:space="4" w:color="auto"/>
        </w:pBdr>
        <w:tabs>
          <w:tab w:val="left" w:pos="0"/>
        </w:tabs>
        <w:rPr>
          <w:i/>
          <w:szCs w:val="22"/>
        </w:rPr>
      </w:pPr>
      <w:r w:rsidRPr="009A04CF">
        <w:rPr>
          <w:b/>
          <w:szCs w:val="22"/>
        </w:rPr>
        <w:t>18.</w:t>
      </w:r>
      <w:r w:rsidRPr="009A04CF">
        <w:rPr>
          <w:b/>
          <w:szCs w:val="22"/>
        </w:rPr>
        <w:tab/>
        <w:t>UNIKALUS IDENTIFIKATORIUS – ŽMONĖMS SUPRANTAMI DUOMENYS</w:t>
      </w:r>
    </w:p>
    <w:p w14:paraId="694E9DAD" w14:textId="77777777" w:rsidR="002D324B" w:rsidRPr="009A04CF" w:rsidRDefault="002D324B" w:rsidP="00FC0EEA">
      <w:pPr>
        <w:rPr>
          <w:szCs w:val="22"/>
        </w:rPr>
      </w:pPr>
    </w:p>
    <w:p w14:paraId="0803F2C2" w14:textId="77777777" w:rsidR="002D324B" w:rsidRDefault="002D324B" w:rsidP="00FC0EEA">
      <w:pPr>
        <w:rPr>
          <w:szCs w:val="22"/>
          <w:shd w:val="clear" w:color="auto" w:fill="CCCCCC"/>
        </w:rPr>
      </w:pPr>
      <w:r w:rsidRPr="009A04CF">
        <w:rPr>
          <w:szCs w:val="22"/>
          <w:highlight w:val="lightGray"/>
          <w:shd w:val="clear" w:color="auto" w:fill="CCCCCC"/>
        </w:rPr>
        <w:t>Duomenys nebūtini.</w:t>
      </w:r>
    </w:p>
    <w:p w14:paraId="1A84A816" w14:textId="77777777" w:rsidR="009520EB" w:rsidRDefault="009520EB">
      <w:pPr>
        <w:tabs>
          <w:tab w:val="clear" w:pos="567"/>
        </w:tabs>
        <w:spacing w:line="240" w:lineRule="auto"/>
        <w:rPr>
          <w:szCs w:val="22"/>
          <w:highlight w:val="lightGray"/>
          <w:shd w:val="clear" w:color="auto" w:fill="CCCCCC"/>
        </w:rPr>
      </w:pPr>
      <w:r>
        <w:rPr>
          <w:szCs w:val="22"/>
          <w:highlight w:val="lightGray"/>
          <w:shd w:val="clear" w:color="auto" w:fill="CCCCCC"/>
        </w:rPr>
        <w:br w:type="page"/>
      </w:r>
    </w:p>
    <w:p w14:paraId="6E3122E4" w14:textId="77777777" w:rsidR="009520EB" w:rsidRPr="009A04CF" w:rsidRDefault="009520EB" w:rsidP="009520EB">
      <w:pPr>
        <w:pBdr>
          <w:top w:val="single" w:sz="4" w:space="1" w:color="auto"/>
          <w:left w:val="single" w:sz="4" w:space="4" w:color="auto"/>
          <w:bottom w:val="single" w:sz="4" w:space="1" w:color="auto"/>
          <w:right w:val="single" w:sz="4" w:space="4" w:color="auto"/>
        </w:pBdr>
        <w:rPr>
          <w:b/>
          <w:szCs w:val="22"/>
        </w:rPr>
      </w:pPr>
      <w:r w:rsidRPr="009A04CF">
        <w:rPr>
          <w:b/>
          <w:szCs w:val="22"/>
        </w:rPr>
        <w:lastRenderedPageBreak/>
        <w:t xml:space="preserve">INFORMACIJA ANT </w:t>
      </w:r>
      <w:r w:rsidRPr="00F1359A">
        <w:rPr>
          <w:b/>
          <w:szCs w:val="22"/>
        </w:rPr>
        <w:t>VIDINĖS</w:t>
      </w:r>
      <w:r w:rsidRPr="009A04CF">
        <w:rPr>
          <w:b/>
          <w:szCs w:val="22"/>
        </w:rPr>
        <w:t xml:space="preserve"> PAKUOTĖS</w:t>
      </w:r>
    </w:p>
    <w:p w14:paraId="6E1468EE" w14:textId="77777777" w:rsidR="009520EB" w:rsidRPr="009A04CF" w:rsidRDefault="009520EB" w:rsidP="009520EB">
      <w:pPr>
        <w:pBdr>
          <w:top w:val="single" w:sz="4" w:space="1" w:color="auto"/>
          <w:left w:val="single" w:sz="4" w:space="4" w:color="auto"/>
          <w:bottom w:val="single" w:sz="4" w:space="1" w:color="auto"/>
          <w:right w:val="single" w:sz="4" w:space="4" w:color="auto"/>
        </w:pBdr>
        <w:ind w:left="567" w:hanging="567"/>
        <w:rPr>
          <w:b/>
          <w:szCs w:val="22"/>
        </w:rPr>
      </w:pPr>
    </w:p>
    <w:p w14:paraId="200A6614" w14:textId="77777777" w:rsidR="009520EB" w:rsidRPr="009A04CF" w:rsidRDefault="009520EB" w:rsidP="009520EB">
      <w:pPr>
        <w:pBdr>
          <w:top w:val="single" w:sz="4" w:space="1" w:color="auto"/>
          <w:left w:val="single" w:sz="4" w:space="4" w:color="auto"/>
          <w:bottom w:val="single" w:sz="4" w:space="1" w:color="auto"/>
          <w:right w:val="single" w:sz="4" w:space="4" w:color="auto"/>
        </w:pBdr>
        <w:rPr>
          <w:szCs w:val="22"/>
        </w:rPr>
      </w:pPr>
      <w:r w:rsidRPr="003E2AB0">
        <w:rPr>
          <w:b/>
          <w:szCs w:val="22"/>
        </w:rPr>
        <w:t>PAKETĖLIS</w:t>
      </w:r>
    </w:p>
    <w:p w14:paraId="49FACB3B" w14:textId="77777777" w:rsidR="009520EB" w:rsidRPr="009A04CF" w:rsidRDefault="009520EB" w:rsidP="009520EB">
      <w:pPr>
        <w:rPr>
          <w:szCs w:val="22"/>
        </w:rPr>
      </w:pPr>
    </w:p>
    <w:p w14:paraId="35537897" w14:textId="77777777" w:rsidR="009520EB" w:rsidRPr="009A04CF" w:rsidRDefault="009520EB" w:rsidP="009520EB">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1.</w:t>
      </w:r>
      <w:r w:rsidRPr="009A04CF">
        <w:rPr>
          <w:b/>
          <w:szCs w:val="22"/>
        </w:rPr>
        <w:tab/>
      </w:r>
      <w:r w:rsidRPr="009A04CF">
        <w:rPr>
          <w:b/>
          <w:caps/>
          <w:szCs w:val="22"/>
        </w:rPr>
        <w:t>VAISTINIO</w:t>
      </w:r>
      <w:r w:rsidRPr="009A04CF">
        <w:rPr>
          <w:b/>
          <w:szCs w:val="22"/>
        </w:rPr>
        <w:t xml:space="preserve"> PREPARATO PAVADINIMAS</w:t>
      </w:r>
    </w:p>
    <w:p w14:paraId="5E4610BF" w14:textId="77777777" w:rsidR="009520EB" w:rsidRPr="009A04CF" w:rsidRDefault="009520EB" w:rsidP="009520EB">
      <w:pPr>
        <w:rPr>
          <w:szCs w:val="22"/>
        </w:rPr>
      </w:pPr>
    </w:p>
    <w:p w14:paraId="40FD4BB3" w14:textId="541771E1" w:rsidR="009520EB" w:rsidRPr="009A04CF" w:rsidRDefault="00AC43B9" w:rsidP="009520EB">
      <w:pPr>
        <w:rPr>
          <w:szCs w:val="22"/>
        </w:rPr>
      </w:pPr>
      <w:r>
        <w:rPr>
          <w:szCs w:val="22"/>
        </w:rPr>
        <w:t>Arax</w:t>
      </w:r>
      <w:r w:rsidR="009520EB" w:rsidRPr="009A04CF">
        <w:rPr>
          <w:szCs w:val="22"/>
        </w:rPr>
        <w:t xml:space="preserve"> 500 mg milteliai geriamajam tirpalui paketėlyje</w:t>
      </w:r>
    </w:p>
    <w:p w14:paraId="504DE379" w14:textId="77777777" w:rsidR="009520EB" w:rsidRPr="009A04CF" w:rsidRDefault="009520EB" w:rsidP="009520EB">
      <w:pPr>
        <w:rPr>
          <w:szCs w:val="22"/>
        </w:rPr>
      </w:pPr>
    </w:p>
    <w:p w14:paraId="571C83CE" w14:textId="77777777" w:rsidR="009520EB" w:rsidRPr="009A04CF" w:rsidRDefault="009520EB" w:rsidP="009520EB">
      <w:pPr>
        <w:rPr>
          <w:szCs w:val="22"/>
        </w:rPr>
      </w:pPr>
      <w:r w:rsidRPr="009A04CF">
        <w:rPr>
          <w:szCs w:val="22"/>
        </w:rPr>
        <w:t>paracetamolis</w:t>
      </w:r>
    </w:p>
    <w:p w14:paraId="7BF9506C" w14:textId="77777777" w:rsidR="009520EB" w:rsidRPr="009A04CF" w:rsidRDefault="009520EB" w:rsidP="009520EB">
      <w:pPr>
        <w:rPr>
          <w:szCs w:val="22"/>
        </w:rPr>
      </w:pPr>
    </w:p>
    <w:p w14:paraId="268F303A" w14:textId="77777777" w:rsidR="009520EB" w:rsidRPr="009A04CF" w:rsidRDefault="009520EB" w:rsidP="009520EB">
      <w:pPr>
        <w:rPr>
          <w:szCs w:val="22"/>
        </w:rPr>
      </w:pPr>
    </w:p>
    <w:p w14:paraId="5E39F79C" w14:textId="77777777" w:rsidR="009520EB" w:rsidRPr="009A04CF" w:rsidRDefault="009520EB" w:rsidP="009520EB">
      <w:pPr>
        <w:pBdr>
          <w:top w:val="single" w:sz="4" w:space="1" w:color="auto"/>
          <w:left w:val="single" w:sz="4" w:space="4" w:color="auto"/>
          <w:bottom w:val="single" w:sz="4" w:space="1" w:color="auto"/>
          <w:right w:val="single" w:sz="4" w:space="4" w:color="auto"/>
        </w:pBdr>
        <w:ind w:left="567" w:hanging="567"/>
        <w:rPr>
          <w:b/>
          <w:szCs w:val="22"/>
        </w:rPr>
      </w:pPr>
      <w:r w:rsidRPr="009A04CF">
        <w:rPr>
          <w:b/>
          <w:szCs w:val="22"/>
        </w:rPr>
        <w:t>2.</w:t>
      </w:r>
      <w:r w:rsidRPr="009A04CF">
        <w:rPr>
          <w:b/>
          <w:szCs w:val="22"/>
        </w:rPr>
        <w:tab/>
        <w:t>VEIKLIOJI (-IOS) MEDŽIAGA (-OS) IR JOS (-Ų) KIEKIS (-IAI)</w:t>
      </w:r>
    </w:p>
    <w:p w14:paraId="70DD1401" w14:textId="77777777" w:rsidR="009520EB" w:rsidRPr="009A04CF" w:rsidRDefault="009520EB" w:rsidP="009520EB">
      <w:pPr>
        <w:rPr>
          <w:szCs w:val="22"/>
        </w:rPr>
      </w:pPr>
    </w:p>
    <w:p w14:paraId="6C555FA0" w14:textId="77777777" w:rsidR="009520EB" w:rsidRPr="009A04CF" w:rsidRDefault="009520EB" w:rsidP="009520EB">
      <w:pPr>
        <w:rPr>
          <w:szCs w:val="22"/>
        </w:rPr>
      </w:pPr>
      <w:r>
        <w:rPr>
          <w:szCs w:val="22"/>
        </w:rPr>
        <w:t>V</w:t>
      </w:r>
      <w:r w:rsidRPr="009A04CF">
        <w:rPr>
          <w:szCs w:val="22"/>
        </w:rPr>
        <w:t>iename paketėlyje yra 500 mg paracetamolio.</w:t>
      </w:r>
    </w:p>
    <w:p w14:paraId="2242614E" w14:textId="77777777" w:rsidR="009520EB" w:rsidRPr="009A04CF" w:rsidRDefault="009520EB" w:rsidP="009520EB">
      <w:pPr>
        <w:rPr>
          <w:szCs w:val="22"/>
        </w:rPr>
      </w:pPr>
    </w:p>
    <w:p w14:paraId="679BC1A1" w14:textId="77777777" w:rsidR="009520EB" w:rsidRPr="009A04CF" w:rsidRDefault="009520EB" w:rsidP="009520EB">
      <w:pPr>
        <w:rPr>
          <w:szCs w:val="22"/>
        </w:rPr>
      </w:pPr>
    </w:p>
    <w:p w14:paraId="5D602497" w14:textId="77777777" w:rsidR="009520EB" w:rsidRPr="009A04CF" w:rsidRDefault="009520EB" w:rsidP="009520EB">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3.</w:t>
      </w:r>
      <w:r w:rsidRPr="009A04CF">
        <w:rPr>
          <w:b/>
          <w:szCs w:val="22"/>
        </w:rPr>
        <w:tab/>
        <w:t>PAGALBINIŲ MEDŽIAGŲ SĄRAŠAS</w:t>
      </w:r>
    </w:p>
    <w:p w14:paraId="4C688C4C" w14:textId="77777777" w:rsidR="009520EB" w:rsidRPr="009A04CF" w:rsidRDefault="009520EB" w:rsidP="009520EB">
      <w:pPr>
        <w:rPr>
          <w:szCs w:val="22"/>
        </w:rPr>
      </w:pPr>
    </w:p>
    <w:p w14:paraId="61DB1879" w14:textId="77777777" w:rsidR="009520EB" w:rsidRPr="009A04CF" w:rsidRDefault="009520EB" w:rsidP="009520EB">
      <w:pPr>
        <w:rPr>
          <w:szCs w:val="22"/>
        </w:rPr>
      </w:pPr>
      <w:r w:rsidRPr="009A04CF">
        <w:rPr>
          <w:szCs w:val="22"/>
        </w:rPr>
        <w:t>Sudėtyje yra manitolio (E 421), ksilitolio (E 967).</w:t>
      </w:r>
    </w:p>
    <w:p w14:paraId="2D46C422" w14:textId="77777777" w:rsidR="009520EB" w:rsidRPr="009A04CF" w:rsidRDefault="009520EB" w:rsidP="009520EB">
      <w:pPr>
        <w:rPr>
          <w:szCs w:val="22"/>
        </w:rPr>
      </w:pPr>
      <w:r w:rsidRPr="009A04CF">
        <w:rPr>
          <w:szCs w:val="22"/>
        </w:rPr>
        <w:t>Daugiau informacijos pateikta pakuotės lapelyje.</w:t>
      </w:r>
    </w:p>
    <w:p w14:paraId="0EDF0E97" w14:textId="77777777" w:rsidR="009520EB" w:rsidRPr="009A04CF" w:rsidRDefault="009520EB" w:rsidP="009520EB">
      <w:pPr>
        <w:rPr>
          <w:szCs w:val="22"/>
        </w:rPr>
      </w:pPr>
    </w:p>
    <w:p w14:paraId="1E3F8036" w14:textId="77777777" w:rsidR="009520EB" w:rsidRPr="009A04CF" w:rsidRDefault="009520EB" w:rsidP="009520EB">
      <w:pPr>
        <w:rPr>
          <w:szCs w:val="22"/>
        </w:rPr>
      </w:pPr>
    </w:p>
    <w:p w14:paraId="05266ACB" w14:textId="77777777" w:rsidR="009520EB" w:rsidRPr="009A04CF" w:rsidRDefault="009520EB" w:rsidP="009520EB">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4.</w:t>
      </w:r>
      <w:r w:rsidRPr="009A04CF">
        <w:rPr>
          <w:b/>
          <w:szCs w:val="22"/>
        </w:rPr>
        <w:tab/>
        <w:t>FARMACINĖ FORMA IR KIEKIS PAKUOTĖJE</w:t>
      </w:r>
    </w:p>
    <w:p w14:paraId="2DDB92B0" w14:textId="77777777" w:rsidR="009520EB" w:rsidRPr="009A04CF" w:rsidRDefault="009520EB" w:rsidP="009520EB">
      <w:pPr>
        <w:rPr>
          <w:szCs w:val="22"/>
        </w:rPr>
      </w:pPr>
    </w:p>
    <w:p w14:paraId="5B973277" w14:textId="77777777" w:rsidR="009520EB" w:rsidRPr="009A04CF" w:rsidRDefault="009520EB" w:rsidP="009520EB">
      <w:pPr>
        <w:rPr>
          <w:szCs w:val="22"/>
        </w:rPr>
      </w:pPr>
      <w:r w:rsidRPr="009A04CF">
        <w:rPr>
          <w:szCs w:val="22"/>
          <w:highlight w:val="lightGray"/>
        </w:rPr>
        <w:t>Milteliai geriamajam tirpalui</w:t>
      </w:r>
    </w:p>
    <w:p w14:paraId="5277F8D7" w14:textId="77777777" w:rsidR="009520EB" w:rsidRPr="009A04CF" w:rsidRDefault="009520EB" w:rsidP="009520EB">
      <w:pPr>
        <w:rPr>
          <w:szCs w:val="22"/>
        </w:rPr>
      </w:pPr>
    </w:p>
    <w:p w14:paraId="5F922260" w14:textId="77777777" w:rsidR="009520EB" w:rsidRPr="009A04CF" w:rsidRDefault="009520EB" w:rsidP="009520EB">
      <w:pPr>
        <w:rPr>
          <w:szCs w:val="22"/>
        </w:rPr>
      </w:pPr>
    </w:p>
    <w:p w14:paraId="043DA7A7" w14:textId="77777777" w:rsidR="009520EB" w:rsidRPr="009A04CF" w:rsidRDefault="009520EB" w:rsidP="009520EB">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5.</w:t>
      </w:r>
      <w:r w:rsidRPr="009A04CF">
        <w:rPr>
          <w:b/>
          <w:szCs w:val="22"/>
        </w:rPr>
        <w:tab/>
        <w:t>VARTOJIMO METODAS IR BŪDAS (-AI)</w:t>
      </w:r>
    </w:p>
    <w:p w14:paraId="4C555EED" w14:textId="77777777" w:rsidR="009520EB" w:rsidRPr="009A04CF" w:rsidRDefault="009520EB" w:rsidP="009520EB">
      <w:pPr>
        <w:rPr>
          <w:szCs w:val="22"/>
        </w:rPr>
      </w:pPr>
    </w:p>
    <w:p w14:paraId="022778DA" w14:textId="77777777" w:rsidR="009520EB" w:rsidRPr="003F69F2" w:rsidRDefault="009520EB" w:rsidP="009520EB">
      <w:pPr>
        <w:ind w:right="-1"/>
        <w:rPr>
          <w:szCs w:val="22"/>
        </w:rPr>
      </w:pPr>
      <w:r w:rsidRPr="003F69F2">
        <w:rPr>
          <w:szCs w:val="22"/>
        </w:rPr>
        <w:t>Vartoti per burną.</w:t>
      </w:r>
    </w:p>
    <w:p w14:paraId="3F53F300" w14:textId="77777777" w:rsidR="009520EB" w:rsidRPr="009A04CF" w:rsidRDefault="009520EB" w:rsidP="009520EB">
      <w:pPr>
        <w:rPr>
          <w:szCs w:val="22"/>
        </w:rPr>
      </w:pPr>
      <w:r w:rsidRPr="009A04CF">
        <w:rPr>
          <w:szCs w:val="22"/>
        </w:rPr>
        <w:t>Prieš vartojimą perskaitykite pakuotės lapelį.</w:t>
      </w:r>
    </w:p>
    <w:p w14:paraId="129E1C80" w14:textId="77777777" w:rsidR="009520EB" w:rsidRPr="009A04CF" w:rsidRDefault="009520EB" w:rsidP="009520EB">
      <w:pPr>
        <w:rPr>
          <w:szCs w:val="22"/>
        </w:rPr>
      </w:pPr>
    </w:p>
    <w:p w14:paraId="56B80848" w14:textId="77777777" w:rsidR="009520EB" w:rsidRPr="009A04CF" w:rsidRDefault="009520EB" w:rsidP="009520EB">
      <w:pPr>
        <w:rPr>
          <w:szCs w:val="22"/>
        </w:rPr>
      </w:pPr>
    </w:p>
    <w:p w14:paraId="6D228B52" w14:textId="77777777" w:rsidR="009520EB" w:rsidRPr="009A04CF" w:rsidRDefault="009520EB" w:rsidP="009520EB">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6.</w:t>
      </w:r>
      <w:r w:rsidRPr="009A04CF">
        <w:rPr>
          <w:b/>
          <w:szCs w:val="22"/>
        </w:rPr>
        <w:tab/>
        <w:t>SPECIALUS ĮSPĖJIMAS, KAD VAISTINĮ PREPARATĄ BŪTINA LAIKYTI VAIKAMS NEPASTEBIMOJE IR  NEPASIEKIAMOJE VIETOJE</w:t>
      </w:r>
    </w:p>
    <w:p w14:paraId="6147A879" w14:textId="77777777" w:rsidR="009520EB" w:rsidRPr="009A04CF" w:rsidRDefault="009520EB" w:rsidP="009520EB">
      <w:pPr>
        <w:rPr>
          <w:szCs w:val="22"/>
        </w:rPr>
      </w:pPr>
    </w:p>
    <w:p w14:paraId="15170227" w14:textId="77777777" w:rsidR="009520EB" w:rsidRPr="009A04CF" w:rsidRDefault="009520EB" w:rsidP="009520EB">
      <w:pPr>
        <w:rPr>
          <w:szCs w:val="22"/>
        </w:rPr>
      </w:pPr>
      <w:r w:rsidRPr="009A04CF">
        <w:rPr>
          <w:szCs w:val="22"/>
        </w:rPr>
        <w:t>Laikyti vaikams nepastebimoje ir nepasiekiamoje vietoje.</w:t>
      </w:r>
    </w:p>
    <w:p w14:paraId="2EBA3DA1" w14:textId="77777777" w:rsidR="009520EB" w:rsidRPr="009A04CF" w:rsidRDefault="009520EB" w:rsidP="009520EB">
      <w:pPr>
        <w:rPr>
          <w:szCs w:val="22"/>
        </w:rPr>
      </w:pPr>
    </w:p>
    <w:p w14:paraId="39DB0A74" w14:textId="77777777" w:rsidR="009520EB" w:rsidRPr="009A04CF" w:rsidRDefault="009520EB" w:rsidP="009520EB">
      <w:pPr>
        <w:rPr>
          <w:szCs w:val="22"/>
        </w:rPr>
      </w:pPr>
    </w:p>
    <w:p w14:paraId="232CCA20" w14:textId="77777777" w:rsidR="009520EB" w:rsidRPr="009A04CF" w:rsidRDefault="009520EB" w:rsidP="009520EB">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7.</w:t>
      </w:r>
      <w:r w:rsidRPr="009A04CF">
        <w:rPr>
          <w:b/>
          <w:szCs w:val="22"/>
        </w:rPr>
        <w:tab/>
        <w:t>KITAS (-I) SPECIALUS (-ŪS) ĮSPĖJIMAS (-AI) (JEI REIKIA)</w:t>
      </w:r>
    </w:p>
    <w:p w14:paraId="0852FA21" w14:textId="77777777" w:rsidR="009520EB" w:rsidRPr="009A04CF" w:rsidRDefault="009520EB" w:rsidP="009520EB">
      <w:pPr>
        <w:rPr>
          <w:szCs w:val="22"/>
        </w:rPr>
      </w:pPr>
    </w:p>
    <w:p w14:paraId="725288EB" w14:textId="77777777" w:rsidR="009520EB" w:rsidRPr="009A04CF" w:rsidRDefault="009520EB" w:rsidP="009520EB">
      <w:pPr>
        <w:rPr>
          <w:szCs w:val="22"/>
        </w:rPr>
      </w:pPr>
    </w:p>
    <w:p w14:paraId="635BA3C4" w14:textId="77777777" w:rsidR="009520EB" w:rsidRPr="009A04CF" w:rsidRDefault="009520EB" w:rsidP="009520EB">
      <w:pPr>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8.</w:t>
      </w:r>
      <w:r w:rsidRPr="009A04CF">
        <w:rPr>
          <w:b/>
          <w:szCs w:val="22"/>
        </w:rPr>
        <w:tab/>
        <w:t>TINKAMUMO LAIKAS</w:t>
      </w:r>
    </w:p>
    <w:p w14:paraId="4DA694E8" w14:textId="77777777" w:rsidR="009520EB" w:rsidRPr="009A04CF" w:rsidRDefault="009520EB" w:rsidP="009520EB">
      <w:pPr>
        <w:rPr>
          <w:szCs w:val="22"/>
        </w:rPr>
      </w:pPr>
    </w:p>
    <w:p w14:paraId="0AAB680B" w14:textId="5B5E7BAB" w:rsidR="009520EB" w:rsidRPr="009A04CF" w:rsidRDefault="009520EB" w:rsidP="009520EB">
      <w:pPr>
        <w:rPr>
          <w:szCs w:val="22"/>
        </w:rPr>
      </w:pPr>
      <w:r w:rsidRPr="009A04CF">
        <w:rPr>
          <w:szCs w:val="22"/>
        </w:rPr>
        <w:t>EXP:</w:t>
      </w:r>
      <w:r w:rsidR="009E3C7A">
        <w:rPr>
          <w:szCs w:val="22"/>
        </w:rPr>
        <w:t xml:space="preserve"> </w:t>
      </w:r>
      <w:r w:rsidR="009E3C7A" w:rsidRPr="009E3C7A">
        <w:rPr>
          <w:szCs w:val="22"/>
        </w:rPr>
        <w:t>{mm/MMMM}</w:t>
      </w:r>
    </w:p>
    <w:p w14:paraId="6CC326B7" w14:textId="77777777" w:rsidR="009520EB" w:rsidRPr="009A04CF" w:rsidRDefault="009520EB" w:rsidP="009520EB">
      <w:pPr>
        <w:rPr>
          <w:szCs w:val="22"/>
        </w:rPr>
      </w:pPr>
    </w:p>
    <w:p w14:paraId="15B12794" w14:textId="77777777" w:rsidR="009520EB" w:rsidRPr="009A04CF" w:rsidRDefault="009520EB" w:rsidP="009520EB">
      <w:pPr>
        <w:rPr>
          <w:szCs w:val="22"/>
        </w:rPr>
      </w:pPr>
    </w:p>
    <w:p w14:paraId="48481E39" w14:textId="77777777" w:rsidR="009520EB" w:rsidRPr="009A04CF" w:rsidRDefault="009520EB" w:rsidP="009520EB">
      <w:pPr>
        <w:keepNext/>
        <w:pBdr>
          <w:top w:val="single" w:sz="4" w:space="1" w:color="auto"/>
          <w:left w:val="single" w:sz="4" w:space="4" w:color="auto"/>
          <w:bottom w:val="single" w:sz="4" w:space="1" w:color="auto"/>
          <w:right w:val="single" w:sz="4" w:space="4" w:color="auto"/>
        </w:pBdr>
        <w:ind w:left="567" w:hanging="567"/>
        <w:rPr>
          <w:szCs w:val="22"/>
        </w:rPr>
      </w:pPr>
      <w:r w:rsidRPr="009A04CF">
        <w:rPr>
          <w:b/>
          <w:szCs w:val="22"/>
        </w:rPr>
        <w:t>9.</w:t>
      </w:r>
      <w:r w:rsidRPr="009A04CF">
        <w:rPr>
          <w:b/>
          <w:szCs w:val="22"/>
        </w:rPr>
        <w:tab/>
        <w:t>SPECIALIOS LAIKYMO SĄLYGOS</w:t>
      </w:r>
    </w:p>
    <w:p w14:paraId="11BC5929" w14:textId="77777777" w:rsidR="009520EB" w:rsidRPr="009A04CF" w:rsidRDefault="009520EB" w:rsidP="009520EB">
      <w:pPr>
        <w:rPr>
          <w:szCs w:val="22"/>
        </w:rPr>
      </w:pPr>
    </w:p>
    <w:p w14:paraId="01B53551" w14:textId="77777777" w:rsidR="009520EB" w:rsidRPr="009A04CF" w:rsidRDefault="009520EB" w:rsidP="009520EB">
      <w:pPr>
        <w:rPr>
          <w:szCs w:val="22"/>
        </w:rPr>
      </w:pPr>
      <w:r w:rsidRPr="00571643">
        <w:rPr>
          <w:szCs w:val="22"/>
        </w:rPr>
        <w:t xml:space="preserve">Laikyti žemesnėje kaip </w:t>
      </w:r>
      <w:r w:rsidRPr="009A04CF">
        <w:rPr>
          <w:szCs w:val="22"/>
        </w:rPr>
        <w:t>30</w:t>
      </w:r>
      <w:r w:rsidRPr="00571643">
        <w:rPr>
          <w:szCs w:val="22"/>
        </w:rPr>
        <w:t> ºC temperatūroje.</w:t>
      </w:r>
    </w:p>
    <w:p w14:paraId="1FCB197A" w14:textId="77777777" w:rsidR="009520EB" w:rsidRPr="009A04CF" w:rsidRDefault="009520EB" w:rsidP="009520EB">
      <w:pPr>
        <w:rPr>
          <w:szCs w:val="22"/>
        </w:rPr>
      </w:pPr>
      <w:r w:rsidRPr="009A04CF">
        <w:rPr>
          <w:szCs w:val="22"/>
        </w:rPr>
        <w:t>Laikyti gamintojo pakuotėje (paketėlyje), kad vaistas būtų apsaugotas nuo šviesos.</w:t>
      </w:r>
    </w:p>
    <w:p w14:paraId="4D9D27E0" w14:textId="77777777" w:rsidR="009520EB" w:rsidRPr="009A04CF" w:rsidRDefault="009520EB" w:rsidP="009520EB">
      <w:pPr>
        <w:rPr>
          <w:szCs w:val="22"/>
        </w:rPr>
      </w:pPr>
    </w:p>
    <w:p w14:paraId="210FA2F4" w14:textId="77777777" w:rsidR="009520EB" w:rsidRPr="009A04CF" w:rsidRDefault="009520EB" w:rsidP="009520EB">
      <w:pPr>
        <w:rPr>
          <w:szCs w:val="22"/>
        </w:rPr>
      </w:pPr>
    </w:p>
    <w:p w14:paraId="6FEB37AA" w14:textId="77777777" w:rsidR="009520EB" w:rsidRPr="009A04CF" w:rsidRDefault="009520EB" w:rsidP="009520EB">
      <w:pPr>
        <w:pBdr>
          <w:top w:val="single" w:sz="4" w:space="1" w:color="auto"/>
          <w:left w:val="single" w:sz="4" w:space="4" w:color="auto"/>
          <w:bottom w:val="single" w:sz="4" w:space="1" w:color="auto"/>
          <w:right w:val="single" w:sz="4" w:space="4" w:color="auto"/>
        </w:pBdr>
        <w:rPr>
          <w:b/>
          <w:szCs w:val="22"/>
        </w:rPr>
      </w:pPr>
      <w:r w:rsidRPr="009A04CF">
        <w:rPr>
          <w:b/>
          <w:szCs w:val="22"/>
        </w:rPr>
        <w:lastRenderedPageBreak/>
        <w:t>10.</w:t>
      </w:r>
      <w:r w:rsidRPr="009A04CF">
        <w:rPr>
          <w:b/>
          <w:szCs w:val="22"/>
        </w:rPr>
        <w:tab/>
        <w:t>SPECIALIOS ATSARGUMO PRIEMONĖS DĖL NESUVARTOTO VAISTINIO PREPARATO AR JO ATLIEKŲ TVARKYMO (JEI REIKIA)</w:t>
      </w:r>
    </w:p>
    <w:p w14:paraId="2DC36A79" w14:textId="77777777" w:rsidR="009520EB" w:rsidRPr="009A04CF" w:rsidRDefault="009520EB" w:rsidP="009520EB">
      <w:pPr>
        <w:rPr>
          <w:szCs w:val="22"/>
        </w:rPr>
      </w:pPr>
    </w:p>
    <w:p w14:paraId="3CD86538" w14:textId="77777777" w:rsidR="009520EB" w:rsidRPr="009A04CF" w:rsidRDefault="009520EB" w:rsidP="009520EB">
      <w:pPr>
        <w:rPr>
          <w:szCs w:val="22"/>
        </w:rPr>
      </w:pPr>
    </w:p>
    <w:p w14:paraId="54AFF733" w14:textId="77777777" w:rsidR="009520EB" w:rsidRPr="009A04CF" w:rsidRDefault="009520EB" w:rsidP="009520EB">
      <w:pPr>
        <w:pBdr>
          <w:top w:val="single" w:sz="4" w:space="1" w:color="auto"/>
          <w:left w:val="single" w:sz="4" w:space="4" w:color="auto"/>
          <w:bottom w:val="single" w:sz="4" w:space="1" w:color="auto"/>
          <w:right w:val="single" w:sz="4" w:space="4" w:color="auto"/>
        </w:pBdr>
        <w:rPr>
          <w:b/>
          <w:szCs w:val="22"/>
        </w:rPr>
      </w:pPr>
      <w:r w:rsidRPr="009A04CF">
        <w:rPr>
          <w:b/>
          <w:szCs w:val="22"/>
        </w:rPr>
        <w:t>11.</w:t>
      </w:r>
      <w:r w:rsidRPr="009A04CF">
        <w:rPr>
          <w:b/>
          <w:szCs w:val="22"/>
        </w:rPr>
        <w:tab/>
      </w:r>
      <w:r w:rsidRPr="009A04CF">
        <w:rPr>
          <w:b/>
          <w:caps/>
          <w:szCs w:val="22"/>
        </w:rPr>
        <w:t xml:space="preserve"> REGISTRUOTOJO PAVADINIMAS IR ADRESAS</w:t>
      </w:r>
    </w:p>
    <w:p w14:paraId="7DAB41E8" w14:textId="77777777" w:rsidR="009520EB" w:rsidRPr="009A04CF" w:rsidRDefault="009520EB" w:rsidP="009520EB">
      <w:pPr>
        <w:rPr>
          <w:szCs w:val="22"/>
        </w:rPr>
      </w:pPr>
    </w:p>
    <w:p w14:paraId="2E0C4E14" w14:textId="77777777" w:rsidR="009520EB" w:rsidRPr="009A04CF" w:rsidRDefault="009520EB" w:rsidP="009520EB">
      <w:pPr>
        <w:rPr>
          <w:szCs w:val="22"/>
        </w:rPr>
      </w:pPr>
      <w:r w:rsidRPr="009A04CF">
        <w:rPr>
          <w:szCs w:val="22"/>
        </w:rPr>
        <w:t>Vitabalans Oy, Hämeenlinna, Suomija</w:t>
      </w:r>
    </w:p>
    <w:p w14:paraId="291C2537" w14:textId="77777777" w:rsidR="009520EB" w:rsidRPr="009A04CF" w:rsidRDefault="009520EB" w:rsidP="009520EB">
      <w:pPr>
        <w:rPr>
          <w:szCs w:val="22"/>
        </w:rPr>
      </w:pPr>
    </w:p>
    <w:p w14:paraId="37CC818D" w14:textId="77777777" w:rsidR="009520EB" w:rsidRPr="009A04CF" w:rsidRDefault="009520EB" w:rsidP="009520EB">
      <w:pPr>
        <w:rPr>
          <w:szCs w:val="22"/>
        </w:rPr>
      </w:pPr>
    </w:p>
    <w:p w14:paraId="3B92DE82" w14:textId="77777777" w:rsidR="009520EB" w:rsidRPr="009A04CF" w:rsidRDefault="009520EB" w:rsidP="009520EB">
      <w:pPr>
        <w:pBdr>
          <w:top w:val="single" w:sz="4" w:space="1" w:color="auto"/>
          <w:left w:val="single" w:sz="4" w:space="4" w:color="auto"/>
          <w:bottom w:val="single" w:sz="4" w:space="1" w:color="auto"/>
          <w:right w:val="single" w:sz="4" w:space="4" w:color="auto"/>
        </w:pBdr>
        <w:rPr>
          <w:szCs w:val="22"/>
        </w:rPr>
      </w:pPr>
      <w:r w:rsidRPr="009A04CF">
        <w:rPr>
          <w:b/>
          <w:szCs w:val="22"/>
        </w:rPr>
        <w:t>12.</w:t>
      </w:r>
      <w:r w:rsidRPr="009A04CF">
        <w:rPr>
          <w:b/>
          <w:szCs w:val="22"/>
        </w:rPr>
        <w:tab/>
        <w:t xml:space="preserve">REGISTRACIJOS PAŽYMĖJIMO NUMERIS (-IAI) </w:t>
      </w:r>
    </w:p>
    <w:p w14:paraId="0C6EE45E" w14:textId="77777777" w:rsidR="009520EB" w:rsidRPr="009A04CF" w:rsidRDefault="009520EB" w:rsidP="009520EB">
      <w:pPr>
        <w:rPr>
          <w:szCs w:val="22"/>
        </w:rPr>
      </w:pPr>
    </w:p>
    <w:p w14:paraId="6A810467"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LT/1/22/5055/001 – N5</w:t>
      </w:r>
    </w:p>
    <w:p w14:paraId="7292DEBF"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LT/1/22/5055/002 – N6</w:t>
      </w:r>
    </w:p>
    <w:p w14:paraId="077844D8"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LT/1/22/5055/003 – N10</w:t>
      </w:r>
    </w:p>
    <w:p w14:paraId="2BF5C4E6"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LT/1/22/5055/004 – N12</w:t>
      </w:r>
    </w:p>
    <w:p w14:paraId="0E8F6866"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LT/1/22/5055/005 – N20</w:t>
      </w:r>
    </w:p>
    <w:p w14:paraId="2EA4D76A" w14:textId="77777777" w:rsidR="007C2D9E"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LT/1/22/5055/006 – N24</w:t>
      </w:r>
    </w:p>
    <w:p w14:paraId="153B9409" w14:textId="04E8C67E" w:rsidR="009520EB" w:rsidRPr="007C2D9E" w:rsidRDefault="007C2D9E" w:rsidP="007C2D9E">
      <w:pPr>
        <w:rPr>
          <w:szCs w:val="22"/>
          <w:shd w:val="clear" w:color="auto" w:fill="D9D9D9" w:themeFill="background1" w:themeFillShade="D9"/>
        </w:rPr>
      </w:pPr>
      <w:r w:rsidRPr="007C2D9E">
        <w:rPr>
          <w:szCs w:val="22"/>
          <w:shd w:val="clear" w:color="auto" w:fill="D9D9D9" w:themeFill="background1" w:themeFillShade="D9"/>
        </w:rPr>
        <w:t>LT/1/22/5055/007 – N30</w:t>
      </w:r>
    </w:p>
    <w:p w14:paraId="71138019" w14:textId="77777777" w:rsidR="007C2D9E" w:rsidRPr="009A04CF" w:rsidRDefault="007C2D9E" w:rsidP="007C2D9E">
      <w:pPr>
        <w:rPr>
          <w:szCs w:val="22"/>
        </w:rPr>
      </w:pPr>
    </w:p>
    <w:p w14:paraId="29AAE55A" w14:textId="77777777" w:rsidR="009520EB" w:rsidRPr="009A04CF" w:rsidRDefault="009520EB" w:rsidP="009520EB">
      <w:pPr>
        <w:rPr>
          <w:szCs w:val="22"/>
        </w:rPr>
      </w:pPr>
    </w:p>
    <w:p w14:paraId="1C2D7D7F" w14:textId="77777777" w:rsidR="009520EB" w:rsidRPr="009A04CF" w:rsidRDefault="009520EB" w:rsidP="009520EB">
      <w:pPr>
        <w:pBdr>
          <w:top w:val="single" w:sz="4" w:space="1" w:color="auto"/>
          <w:left w:val="single" w:sz="4" w:space="4" w:color="auto"/>
          <w:bottom w:val="single" w:sz="4" w:space="1" w:color="auto"/>
          <w:right w:val="single" w:sz="4" w:space="4" w:color="auto"/>
        </w:pBdr>
        <w:rPr>
          <w:szCs w:val="22"/>
        </w:rPr>
      </w:pPr>
      <w:r w:rsidRPr="009A04CF">
        <w:rPr>
          <w:b/>
          <w:szCs w:val="22"/>
        </w:rPr>
        <w:t>13.</w:t>
      </w:r>
      <w:r w:rsidRPr="009A04CF">
        <w:rPr>
          <w:b/>
          <w:szCs w:val="22"/>
        </w:rPr>
        <w:tab/>
        <w:t xml:space="preserve">SERIJOS NUMERIS </w:t>
      </w:r>
    </w:p>
    <w:p w14:paraId="183435C6" w14:textId="77777777" w:rsidR="009520EB" w:rsidRPr="009A04CF" w:rsidRDefault="009520EB" w:rsidP="009520EB">
      <w:pPr>
        <w:rPr>
          <w:szCs w:val="22"/>
        </w:rPr>
      </w:pPr>
    </w:p>
    <w:p w14:paraId="25FFAF18" w14:textId="77777777" w:rsidR="009520EB" w:rsidRPr="009A04CF" w:rsidRDefault="009520EB" w:rsidP="009520EB">
      <w:pPr>
        <w:rPr>
          <w:szCs w:val="22"/>
        </w:rPr>
      </w:pPr>
      <w:r w:rsidRPr="009A04CF">
        <w:rPr>
          <w:szCs w:val="22"/>
        </w:rPr>
        <w:t>Lot:</w:t>
      </w:r>
    </w:p>
    <w:p w14:paraId="5CECEE1B" w14:textId="77777777" w:rsidR="009520EB" w:rsidRPr="009A04CF" w:rsidRDefault="009520EB" w:rsidP="009520EB">
      <w:pPr>
        <w:rPr>
          <w:szCs w:val="22"/>
        </w:rPr>
      </w:pPr>
    </w:p>
    <w:p w14:paraId="0877591B" w14:textId="77777777" w:rsidR="009520EB" w:rsidRPr="009A04CF" w:rsidRDefault="009520EB" w:rsidP="009520EB">
      <w:pPr>
        <w:rPr>
          <w:szCs w:val="22"/>
        </w:rPr>
      </w:pPr>
    </w:p>
    <w:p w14:paraId="65A2055F" w14:textId="77777777" w:rsidR="009520EB" w:rsidRPr="009A04CF" w:rsidRDefault="009520EB" w:rsidP="009520EB">
      <w:pPr>
        <w:pBdr>
          <w:top w:val="single" w:sz="4" w:space="1" w:color="auto"/>
          <w:left w:val="single" w:sz="4" w:space="4" w:color="auto"/>
          <w:bottom w:val="single" w:sz="4" w:space="1" w:color="auto"/>
          <w:right w:val="single" w:sz="4" w:space="4" w:color="auto"/>
        </w:pBdr>
        <w:rPr>
          <w:szCs w:val="22"/>
        </w:rPr>
      </w:pPr>
      <w:r w:rsidRPr="009A04CF">
        <w:rPr>
          <w:b/>
          <w:szCs w:val="22"/>
        </w:rPr>
        <w:t>14.</w:t>
      </w:r>
      <w:r w:rsidRPr="009A04CF">
        <w:rPr>
          <w:b/>
          <w:szCs w:val="22"/>
        </w:rPr>
        <w:tab/>
        <w:t>PARDAVIMO (IŠDAVIMO) TVARKA</w:t>
      </w:r>
    </w:p>
    <w:p w14:paraId="13B4FFEE" w14:textId="77777777" w:rsidR="009520EB" w:rsidRPr="009A04CF" w:rsidRDefault="009520EB" w:rsidP="009520EB">
      <w:pPr>
        <w:rPr>
          <w:szCs w:val="22"/>
        </w:rPr>
      </w:pPr>
    </w:p>
    <w:p w14:paraId="21CB0EF3" w14:textId="77777777" w:rsidR="009520EB" w:rsidRPr="009A04CF" w:rsidRDefault="009520EB" w:rsidP="009520EB">
      <w:pPr>
        <w:rPr>
          <w:szCs w:val="22"/>
        </w:rPr>
      </w:pPr>
      <w:r w:rsidRPr="009A04CF">
        <w:rPr>
          <w:szCs w:val="22"/>
        </w:rPr>
        <w:t>Nereceptinis vaistas</w:t>
      </w:r>
    </w:p>
    <w:p w14:paraId="060950AE" w14:textId="77777777" w:rsidR="009520EB" w:rsidRPr="009A04CF" w:rsidRDefault="009520EB" w:rsidP="009520EB">
      <w:pPr>
        <w:rPr>
          <w:szCs w:val="22"/>
        </w:rPr>
      </w:pPr>
    </w:p>
    <w:p w14:paraId="2E68D2DE" w14:textId="77777777" w:rsidR="009520EB" w:rsidRPr="009A04CF" w:rsidRDefault="009520EB" w:rsidP="009520EB">
      <w:pPr>
        <w:rPr>
          <w:szCs w:val="22"/>
        </w:rPr>
      </w:pPr>
    </w:p>
    <w:p w14:paraId="066E5635" w14:textId="77777777" w:rsidR="009520EB" w:rsidRPr="009A04CF" w:rsidRDefault="009520EB" w:rsidP="009520EB">
      <w:pPr>
        <w:pBdr>
          <w:top w:val="single" w:sz="4" w:space="2" w:color="auto"/>
          <w:left w:val="single" w:sz="4" w:space="4" w:color="auto"/>
          <w:bottom w:val="single" w:sz="4" w:space="1" w:color="auto"/>
          <w:right w:val="single" w:sz="4" w:space="4" w:color="auto"/>
        </w:pBdr>
        <w:rPr>
          <w:szCs w:val="22"/>
        </w:rPr>
      </w:pPr>
      <w:r w:rsidRPr="009A04CF">
        <w:rPr>
          <w:b/>
          <w:szCs w:val="22"/>
        </w:rPr>
        <w:t>15.</w:t>
      </w:r>
      <w:r w:rsidRPr="009A04CF">
        <w:rPr>
          <w:b/>
          <w:szCs w:val="22"/>
        </w:rPr>
        <w:tab/>
        <w:t>VARTOJIMO INSTRUKCIJA</w:t>
      </w:r>
    </w:p>
    <w:p w14:paraId="51EDF4A3" w14:textId="77777777" w:rsidR="009520EB" w:rsidRPr="009A04CF" w:rsidRDefault="009520EB" w:rsidP="009520EB">
      <w:pPr>
        <w:rPr>
          <w:szCs w:val="22"/>
        </w:rPr>
      </w:pPr>
    </w:p>
    <w:p w14:paraId="30CEF2B3" w14:textId="77777777" w:rsidR="009520EB" w:rsidRDefault="009520EB" w:rsidP="009520EB">
      <w:pPr>
        <w:ind w:right="-1"/>
        <w:rPr>
          <w:szCs w:val="22"/>
        </w:rPr>
      </w:pPr>
      <w:r w:rsidRPr="007E2539">
        <w:rPr>
          <w:szCs w:val="22"/>
        </w:rPr>
        <w:t>Trumpalaikiam skausmo ir karščiavimo gydymui.</w:t>
      </w:r>
    </w:p>
    <w:p w14:paraId="0E417C92" w14:textId="77777777" w:rsidR="009520EB" w:rsidRPr="009A04CF" w:rsidRDefault="009520EB" w:rsidP="009520EB">
      <w:pPr>
        <w:ind w:right="-1"/>
        <w:rPr>
          <w:szCs w:val="22"/>
        </w:rPr>
      </w:pPr>
    </w:p>
    <w:p w14:paraId="0154A1B8" w14:textId="77777777" w:rsidR="009520EB" w:rsidRPr="009A04CF" w:rsidRDefault="009520EB" w:rsidP="009520EB">
      <w:pPr>
        <w:ind w:right="-1"/>
        <w:rPr>
          <w:szCs w:val="22"/>
        </w:rPr>
      </w:pPr>
      <w:r w:rsidRPr="009A04CF">
        <w:rPr>
          <w:szCs w:val="22"/>
        </w:rPr>
        <w:t>Paketėlio turinį ištirpinkite puodelyje karšto, bet ne verdančio vandens ir gerai išmaišykite.</w:t>
      </w:r>
    </w:p>
    <w:p w14:paraId="26CCB78F" w14:textId="77777777" w:rsidR="009520EB" w:rsidRPr="009A04CF" w:rsidRDefault="009520EB" w:rsidP="009520EB">
      <w:pPr>
        <w:ind w:right="-1"/>
        <w:rPr>
          <w:szCs w:val="22"/>
        </w:rPr>
      </w:pPr>
    </w:p>
    <w:p w14:paraId="16AAA6C5" w14:textId="77777777" w:rsidR="009520EB" w:rsidRPr="009A04CF" w:rsidRDefault="009520EB" w:rsidP="009520EB">
      <w:pPr>
        <w:rPr>
          <w:szCs w:val="22"/>
        </w:rPr>
      </w:pPr>
    </w:p>
    <w:p w14:paraId="2BCC8CED" w14:textId="77777777" w:rsidR="009520EB" w:rsidRPr="009A04CF" w:rsidRDefault="009520EB" w:rsidP="009520EB">
      <w:pPr>
        <w:pBdr>
          <w:top w:val="single" w:sz="4" w:space="1" w:color="auto"/>
          <w:left w:val="single" w:sz="4" w:space="4" w:color="auto"/>
          <w:bottom w:val="single" w:sz="4" w:space="0" w:color="auto"/>
          <w:right w:val="single" w:sz="4" w:space="4" w:color="auto"/>
        </w:pBdr>
        <w:rPr>
          <w:color w:val="008000"/>
          <w:szCs w:val="22"/>
        </w:rPr>
      </w:pPr>
      <w:r w:rsidRPr="009A04CF">
        <w:rPr>
          <w:b/>
          <w:szCs w:val="22"/>
        </w:rPr>
        <w:t>16.</w:t>
      </w:r>
      <w:r w:rsidRPr="009A04CF">
        <w:rPr>
          <w:b/>
          <w:szCs w:val="22"/>
        </w:rPr>
        <w:tab/>
        <w:t>INFORMACIJA BRAILIO RAŠTU</w:t>
      </w:r>
    </w:p>
    <w:p w14:paraId="61472884" w14:textId="77777777" w:rsidR="009520EB" w:rsidRPr="009A04CF" w:rsidRDefault="009520EB" w:rsidP="009520EB">
      <w:pPr>
        <w:rPr>
          <w:szCs w:val="22"/>
        </w:rPr>
      </w:pPr>
    </w:p>
    <w:p w14:paraId="01EA2BEF" w14:textId="77777777" w:rsidR="009520EB" w:rsidRPr="009A04CF" w:rsidRDefault="009520EB" w:rsidP="009520EB">
      <w:pPr>
        <w:rPr>
          <w:szCs w:val="22"/>
          <w:shd w:val="clear" w:color="auto" w:fill="CCCCCC"/>
        </w:rPr>
      </w:pPr>
    </w:p>
    <w:p w14:paraId="0FA40EB3" w14:textId="77777777" w:rsidR="009520EB" w:rsidRPr="009A04CF" w:rsidRDefault="009520EB" w:rsidP="009520EB">
      <w:pPr>
        <w:keepNext/>
        <w:pBdr>
          <w:top w:val="single" w:sz="4" w:space="1" w:color="auto"/>
          <w:left w:val="single" w:sz="4" w:space="4" w:color="auto"/>
          <w:bottom w:val="single" w:sz="4" w:space="1" w:color="auto"/>
          <w:right w:val="single" w:sz="4" w:space="4" w:color="auto"/>
        </w:pBdr>
        <w:tabs>
          <w:tab w:val="left" w:pos="0"/>
        </w:tabs>
        <w:rPr>
          <w:i/>
          <w:szCs w:val="22"/>
        </w:rPr>
      </w:pPr>
      <w:r w:rsidRPr="009A04CF">
        <w:rPr>
          <w:b/>
          <w:szCs w:val="22"/>
        </w:rPr>
        <w:t>17.</w:t>
      </w:r>
      <w:r w:rsidRPr="009A04CF">
        <w:rPr>
          <w:b/>
          <w:szCs w:val="22"/>
        </w:rPr>
        <w:tab/>
        <w:t>UNIKALUS IDENTIFIKATORIUS – 2D BRŪKŠNINIS KODAS</w:t>
      </w:r>
    </w:p>
    <w:p w14:paraId="23D49637" w14:textId="77777777" w:rsidR="009520EB" w:rsidRPr="009A04CF" w:rsidRDefault="009520EB" w:rsidP="009520EB">
      <w:pPr>
        <w:rPr>
          <w:szCs w:val="22"/>
        </w:rPr>
      </w:pPr>
    </w:p>
    <w:p w14:paraId="2D937467" w14:textId="77777777" w:rsidR="009520EB" w:rsidRPr="009A04CF" w:rsidRDefault="009520EB" w:rsidP="009520EB">
      <w:pPr>
        <w:rPr>
          <w:szCs w:val="22"/>
        </w:rPr>
      </w:pPr>
    </w:p>
    <w:p w14:paraId="0CE564A5" w14:textId="77777777" w:rsidR="009520EB" w:rsidRPr="009A04CF" w:rsidRDefault="009520EB" w:rsidP="009520EB">
      <w:pPr>
        <w:keepNext/>
        <w:pBdr>
          <w:top w:val="single" w:sz="4" w:space="1" w:color="auto"/>
          <w:left w:val="single" w:sz="4" w:space="4" w:color="auto"/>
          <w:bottom w:val="single" w:sz="4" w:space="1" w:color="auto"/>
          <w:right w:val="single" w:sz="4" w:space="4" w:color="auto"/>
        </w:pBdr>
        <w:tabs>
          <w:tab w:val="left" w:pos="0"/>
        </w:tabs>
        <w:rPr>
          <w:i/>
          <w:szCs w:val="22"/>
        </w:rPr>
      </w:pPr>
      <w:r w:rsidRPr="009A04CF">
        <w:rPr>
          <w:b/>
          <w:szCs w:val="22"/>
        </w:rPr>
        <w:t>18.</w:t>
      </w:r>
      <w:r w:rsidRPr="009A04CF">
        <w:rPr>
          <w:b/>
          <w:szCs w:val="22"/>
        </w:rPr>
        <w:tab/>
        <w:t>UNIKALUS IDENTIFIKATORIUS – ŽMONĖMS SUPRANTAMI DUOMENYS</w:t>
      </w:r>
    </w:p>
    <w:p w14:paraId="5752BD85" w14:textId="77777777" w:rsidR="009520EB" w:rsidRPr="009A04CF" w:rsidRDefault="009520EB" w:rsidP="009520EB">
      <w:pPr>
        <w:rPr>
          <w:szCs w:val="22"/>
        </w:rPr>
      </w:pPr>
    </w:p>
    <w:p w14:paraId="1C3D7E45" w14:textId="77777777" w:rsidR="009520EB" w:rsidRPr="009A04CF" w:rsidRDefault="009520EB" w:rsidP="009520EB">
      <w:pPr>
        <w:rPr>
          <w:vanish/>
          <w:szCs w:val="22"/>
        </w:rPr>
      </w:pPr>
    </w:p>
    <w:p w14:paraId="7E21E691" w14:textId="77777777" w:rsidR="009520EB" w:rsidRPr="009A04CF" w:rsidRDefault="009520EB" w:rsidP="009520EB">
      <w:pPr>
        <w:rPr>
          <w:vanish/>
          <w:szCs w:val="22"/>
        </w:rPr>
      </w:pPr>
    </w:p>
    <w:p w14:paraId="75975025" w14:textId="77777777" w:rsidR="009520EB" w:rsidRPr="009A04CF" w:rsidRDefault="009520EB" w:rsidP="009520EB">
      <w:pPr>
        <w:rPr>
          <w:vanish/>
          <w:szCs w:val="22"/>
        </w:rPr>
      </w:pPr>
    </w:p>
    <w:p w14:paraId="48EA84DE" w14:textId="77777777" w:rsidR="009520EB" w:rsidRPr="009A04CF" w:rsidRDefault="009520EB" w:rsidP="00FC0EEA">
      <w:pPr>
        <w:rPr>
          <w:vanish/>
          <w:szCs w:val="22"/>
        </w:rPr>
      </w:pPr>
    </w:p>
    <w:p w14:paraId="67F80200" w14:textId="77777777" w:rsidR="002D324B" w:rsidRPr="009A04CF" w:rsidRDefault="002D324B" w:rsidP="00FC0EEA">
      <w:pPr>
        <w:rPr>
          <w:vanish/>
          <w:szCs w:val="22"/>
        </w:rPr>
      </w:pPr>
    </w:p>
    <w:p w14:paraId="3071B389" w14:textId="77777777" w:rsidR="002D324B" w:rsidRPr="009A04CF" w:rsidRDefault="002D324B" w:rsidP="00FC0EEA">
      <w:pPr>
        <w:rPr>
          <w:vanish/>
          <w:szCs w:val="22"/>
        </w:rPr>
      </w:pPr>
    </w:p>
    <w:p w14:paraId="15015A13" w14:textId="77777777" w:rsidR="002D324B" w:rsidRDefault="002D324B" w:rsidP="00FC0EEA">
      <w:pPr>
        <w:tabs>
          <w:tab w:val="clear" w:pos="567"/>
        </w:tabs>
        <w:spacing w:line="240" w:lineRule="auto"/>
        <w:rPr>
          <w:noProof/>
          <w:szCs w:val="22"/>
        </w:rPr>
      </w:pPr>
      <w:r>
        <w:br w:type="page"/>
      </w:r>
    </w:p>
    <w:p w14:paraId="6FE9536E" w14:textId="77777777" w:rsidR="000A7ECC" w:rsidRPr="00DF4173" w:rsidRDefault="000A7ECC" w:rsidP="001E1730">
      <w:pPr>
        <w:pStyle w:val="BTEMEASMCA"/>
      </w:pPr>
    </w:p>
    <w:p w14:paraId="65329C91" w14:textId="77777777" w:rsidR="000A7ECC" w:rsidRPr="00DF4173" w:rsidRDefault="000A7ECC" w:rsidP="001E1730">
      <w:pPr>
        <w:pStyle w:val="BTEMEASMCA"/>
      </w:pPr>
    </w:p>
    <w:p w14:paraId="61AD5F62" w14:textId="77777777" w:rsidR="000A7ECC" w:rsidRPr="00DF4173" w:rsidRDefault="000A7ECC" w:rsidP="001E1730">
      <w:pPr>
        <w:pStyle w:val="BTEMEASMCA"/>
      </w:pPr>
    </w:p>
    <w:p w14:paraId="53312458" w14:textId="77777777" w:rsidR="000A7ECC" w:rsidRPr="00DF4173" w:rsidRDefault="000A7ECC" w:rsidP="001E1730">
      <w:pPr>
        <w:pStyle w:val="BTEMEASMCA"/>
      </w:pPr>
    </w:p>
    <w:p w14:paraId="1F4C1378" w14:textId="77777777" w:rsidR="000A7ECC" w:rsidRPr="00DF4173" w:rsidRDefault="000A7ECC">
      <w:pPr>
        <w:pStyle w:val="BTEMEASMCA"/>
      </w:pPr>
    </w:p>
    <w:p w14:paraId="4493B1B8" w14:textId="77777777" w:rsidR="000A7ECC" w:rsidRPr="00DF4173" w:rsidRDefault="000A7ECC">
      <w:pPr>
        <w:pStyle w:val="BTEMEASMCA"/>
      </w:pPr>
    </w:p>
    <w:p w14:paraId="7115B27D" w14:textId="77777777" w:rsidR="000A7ECC" w:rsidRPr="00DF4173" w:rsidRDefault="000A7ECC">
      <w:pPr>
        <w:pStyle w:val="BTEMEASMCA"/>
      </w:pPr>
    </w:p>
    <w:p w14:paraId="686D4CA9" w14:textId="77777777" w:rsidR="000A7ECC" w:rsidRPr="00DF4173" w:rsidRDefault="000A7ECC">
      <w:pPr>
        <w:pStyle w:val="BTEMEASMCA"/>
      </w:pPr>
    </w:p>
    <w:p w14:paraId="4422D4EC" w14:textId="77777777" w:rsidR="000A7ECC" w:rsidRPr="00DF4173" w:rsidRDefault="000A7ECC">
      <w:pPr>
        <w:pStyle w:val="BTEMEASMCA"/>
      </w:pPr>
    </w:p>
    <w:p w14:paraId="074F404C" w14:textId="77777777" w:rsidR="000A7ECC" w:rsidRPr="00DF4173" w:rsidRDefault="000A7ECC">
      <w:pPr>
        <w:pStyle w:val="BTEMEASMCA"/>
      </w:pPr>
    </w:p>
    <w:p w14:paraId="06625FEE" w14:textId="77777777" w:rsidR="000A7ECC" w:rsidRPr="00DF4173" w:rsidRDefault="000A7ECC">
      <w:pPr>
        <w:pStyle w:val="BTEMEASMCA"/>
      </w:pPr>
    </w:p>
    <w:p w14:paraId="0706E968" w14:textId="77777777" w:rsidR="000A7ECC" w:rsidRPr="00DF4173" w:rsidRDefault="000A7ECC">
      <w:pPr>
        <w:pStyle w:val="BTEMEASMCA"/>
      </w:pPr>
    </w:p>
    <w:p w14:paraId="2F34FA3F" w14:textId="77777777" w:rsidR="000A7ECC" w:rsidRPr="00DF4173" w:rsidRDefault="000A7ECC">
      <w:pPr>
        <w:pStyle w:val="BTEMEASMCA"/>
      </w:pPr>
    </w:p>
    <w:p w14:paraId="1E7116F5" w14:textId="77777777" w:rsidR="000A7ECC" w:rsidRPr="00DF4173" w:rsidRDefault="000A7ECC">
      <w:pPr>
        <w:pStyle w:val="BTEMEASMCA"/>
      </w:pPr>
    </w:p>
    <w:p w14:paraId="738A8733" w14:textId="77777777" w:rsidR="000A7ECC" w:rsidRPr="00DF4173" w:rsidRDefault="000A7ECC">
      <w:pPr>
        <w:pStyle w:val="BTEMEASMCA"/>
      </w:pPr>
    </w:p>
    <w:p w14:paraId="24719355" w14:textId="77777777" w:rsidR="000A7ECC" w:rsidRPr="00DF4173" w:rsidRDefault="000A7ECC">
      <w:pPr>
        <w:pStyle w:val="BTEMEASMCA"/>
      </w:pPr>
    </w:p>
    <w:p w14:paraId="342DFB9F" w14:textId="77777777" w:rsidR="000A7ECC" w:rsidRDefault="000A7ECC">
      <w:pPr>
        <w:pStyle w:val="BTEMEASMCA"/>
      </w:pPr>
    </w:p>
    <w:p w14:paraId="631AD123" w14:textId="77777777" w:rsidR="000A7ECC" w:rsidRDefault="000A7ECC">
      <w:pPr>
        <w:pStyle w:val="BTEMEASMCA"/>
      </w:pPr>
    </w:p>
    <w:p w14:paraId="16D60568" w14:textId="77777777" w:rsidR="000A7ECC" w:rsidRDefault="000A7ECC">
      <w:pPr>
        <w:pStyle w:val="BTEMEASMCA"/>
      </w:pPr>
    </w:p>
    <w:p w14:paraId="2B9A2A85" w14:textId="77777777" w:rsidR="000A7ECC" w:rsidRDefault="000A7ECC">
      <w:pPr>
        <w:pStyle w:val="BTEMEASMCA"/>
      </w:pPr>
    </w:p>
    <w:p w14:paraId="545DEB95" w14:textId="77777777" w:rsidR="000A7ECC" w:rsidRDefault="000A7ECC">
      <w:pPr>
        <w:pStyle w:val="BTEMEASMCA"/>
      </w:pPr>
    </w:p>
    <w:p w14:paraId="3223A6F8" w14:textId="77777777" w:rsidR="000A7ECC" w:rsidRDefault="000A7ECC">
      <w:pPr>
        <w:pStyle w:val="BTEMEASMCA"/>
      </w:pPr>
    </w:p>
    <w:p w14:paraId="1CC94AE4" w14:textId="77777777" w:rsidR="000A7ECC" w:rsidRDefault="000A7ECC" w:rsidP="00FC0EEA">
      <w:pPr>
        <w:pStyle w:val="TTEMEASMCA"/>
        <w:outlineLvl w:val="9"/>
      </w:pPr>
      <w:bookmarkStart w:id="71" w:name="_Toc129243137"/>
      <w:bookmarkStart w:id="72" w:name="_Toc129243262"/>
    </w:p>
    <w:p w14:paraId="714ADBA6" w14:textId="77777777" w:rsidR="000A7ECC" w:rsidRDefault="000A7ECC" w:rsidP="00FC0EEA">
      <w:pPr>
        <w:pStyle w:val="TTEMEASMCA"/>
        <w:outlineLvl w:val="9"/>
      </w:pPr>
    </w:p>
    <w:p w14:paraId="5FD972CD" w14:textId="71CAC12D" w:rsidR="000A7ECC" w:rsidRDefault="000A7ECC" w:rsidP="00FC0EEA">
      <w:pPr>
        <w:pStyle w:val="TTEMEASMCA"/>
        <w:outlineLvl w:val="9"/>
      </w:pPr>
      <w:r w:rsidRPr="00DF4173">
        <w:t>B. PAKUOTĖS LAPELIS</w:t>
      </w:r>
      <w:bookmarkEnd w:id="71"/>
      <w:bookmarkEnd w:id="72"/>
    </w:p>
    <w:p w14:paraId="34161A49" w14:textId="77777777" w:rsidR="000A7ECC" w:rsidRDefault="000A7ECC" w:rsidP="00FC0EEA">
      <w:pPr>
        <w:pStyle w:val="TTEMEASMCA"/>
        <w:outlineLvl w:val="9"/>
      </w:pPr>
      <w:r w:rsidRPr="00DF4173">
        <w:br w:type="page"/>
      </w:r>
      <w:bookmarkStart w:id="73" w:name="_Toc129243138"/>
      <w:bookmarkStart w:id="74" w:name="_Toc129243263"/>
      <w:r w:rsidRPr="00DF4173">
        <w:rPr>
          <w:caps w:val="0"/>
        </w:rPr>
        <w:lastRenderedPageBreak/>
        <w:t>Pakuotės lapelis: informacija vartotojui</w:t>
      </w:r>
      <w:bookmarkEnd w:id="73"/>
      <w:bookmarkEnd w:id="74"/>
    </w:p>
    <w:p w14:paraId="4EFB2701" w14:textId="77777777" w:rsidR="000A7ECC" w:rsidRPr="00DF4173" w:rsidRDefault="000A7ECC" w:rsidP="001E1730">
      <w:pPr>
        <w:pStyle w:val="BTEMEASMCA"/>
      </w:pPr>
    </w:p>
    <w:p w14:paraId="14142BF4" w14:textId="2278A03A" w:rsidR="00F11377" w:rsidRDefault="00AC43B9" w:rsidP="00FC0EEA">
      <w:pPr>
        <w:jc w:val="center"/>
        <w:rPr>
          <w:b/>
        </w:rPr>
      </w:pPr>
      <w:r>
        <w:rPr>
          <w:b/>
        </w:rPr>
        <w:t>Arax</w:t>
      </w:r>
      <w:r w:rsidR="00525EE9">
        <w:rPr>
          <w:b/>
        </w:rPr>
        <w:t xml:space="preserve"> </w:t>
      </w:r>
      <w:r w:rsidR="00F11377">
        <w:rPr>
          <w:b/>
        </w:rPr>
        <w:t xml:space="preserve">500 mg </w:t>
      </w:r>
      <w:r w:rsidR="00F11377" w:rsidRPr="00F11377">
        <w:rPr>
          <w:b/>
        </w:rPr>
        <w:t xml:space="preserve">milteliai geriamajam tirpalui paketėlyje </w:t>
      </w:r>
    </w:p>
    <w:p w14:paraId="64E6FA44" w14:textId="77777777" w:rsidR="000A7ECC" w:rsidRPr="0031650E" w:rsidRDefault="00F11377" w:rsidP="00FC0EEA">
      <w:pPr>
        <w:jc w:val="center"/>
      </w:pPr>
      <w:r>
        <w:t>p</w:t>
      </w:r>
      <w:r w:rsidR="000A7ECC" w:rsidRPr="0031650E">
        <w:t>aracetamol</w:t>
      </w:r>
      <w:r w:rsidR="000A7ECC">
        <w:t>is</w:t>
      </w:r>
    </w:p>
    <w:p w14:paraId="0C1BFF9D" w14:textId="77777777" w:rsidR="000A7ECC" w:rsidRPr="0031650E" w:rsidRDefault="000A7ECC" w:rsidP="00FC0EEA">
      <w:pPr>
        <w:jc w:val="center"/>
      </w:pPr>
    </w:p>
    <w:p w14:paraId="2929D5A5" w14:textId="77777777" w:rsidR="000A7ECC" w:rsidRPr="00F41502" w:rsidRDefault="000A7ECC" w:rsidP="001E1730">
      <w:pPr>
        <w:pStyle w:val="BTbEMEASMCA"/>
      </w:pPr>
      <w:r w:rsidRPr="00F41502">
        <w:t xml:space="preserve">Atidžiai perskaitykite visą šį lapelį, </w:t>
      </w:r>
      <w:r w:rsidRPr="00F41502">
        <w:rPr>
          <w:szCs w:val="24"/>
        </w:rPr>
        <w:t>prieš pradėdami vartoti šį vaistą,</w:t>
      </w:r>
      <w:r w:rsidRPr="00F41502">
        <w:t xml:space="preserve"> nes jame pateikiama Jums svarbi informacija.</w:t>
      </w:r>
    </w:p>
    <w:p w14:paraId="44F5E9D7" w14:textId="77777777" w:rsidR="000A7ECC" w:rsidRPr="00F41502" w:rsidRDefault="000A7ECC" w:rsidP="001E1730">
      <w:pPr>
        <w:pStyle w:val="BTEMEASMCA"/>
      </w:pPr>
      <w:r w:rsidRPr="00F41502">
        <w:t>Visada vartokite šį vaistą tiksliai kaip aprašyta šiame lapelyje arba kaip nurodė gydytojas arba vaistininkas.</w:t>
      </w:r>
    </w:p>
    <w:p w14:paraId="2918C136" w14:textId="77777777" w:rsidR="000A7ECC" w:rsidRPr="00F41502" w:rsidRDefault="000A7ECC" w:rsidP="00873D09">
      <w:pPr>
        <w:pStyle w:val="BT-EMEASMCA"/>
      </w:pPr>
      <w:r w:rsidRPr="00F41502">
        <w:t>Neišmeskite šio lapelio, nes vėl gali prireikti jį perskaityti.</w:t>
      </w:r>
    </w:p>
    <w:p w14:paraId="35B901DF" w14:textId="77777777" w:rsidR="000A7ECC" w:rsidRPr="00F41502" w:rsidRDefault="000A7ECC" w:rsidP="00873D09">
      <w:pPr>
        <w:pStyle w:val="BT-EMEASMCA"/>
      </w:pPr>
      <w:r w:rsidRPr="00F41502">
        <w:t>Jeigu norite sužinoti daugiau arba pasitarti, kreipkitės į vaistininką.</w:t>
      </w:r>
    </w:p>
    <w:p w14:paraId="158985E8" w14:textId="77777777" w:rsidR="000A7ECC" w:rsidRDefault="000A7ECC" w:rsidP="00873D09">
      <w:pPr>
        <w:pStyle w:val="BT-EMEASMCA"/>
      </w:pPr>
      <w:r w:rsidRPr="00F41502">
        <w:t xml:space="preserve">Jeigu pasireiškė šalutinis poveikis (net jeigu jis šiame lapelyje nenurodytas), kreipkitės į gydytoją arba vaistininką. </w:t>
      </w:r>
      <w:r w:rsidRPr="00B34FA1">
        <w:rPr>
          <w:szCs w:val="24"/>
        </w:rPr>
        <w:t>Žr. 4 skyrių.</w:t>
      </w:r>
    </w:p>
    <w:p w14:paraId="57E2CA1B" w14:textId="77777777" w:rsidR="000A7ECC" w:rsidRDefault="000A7ECC" w:rsidP="00873D09">
      <w:pPr>
        <w:pStyle w:val="BT-EMEASMCA"/>
      </w:pPr>
      <w:r w:rsidRPr="00F41502">
        <w:t xml:space="preserve">Jeigu per </w:t>
      </w:r>
      <w:r w:rsidR="007B5B80">
        <w:t xml:space="preserve">5 dienas karščiuojant ar per </w:t>
      </w:r>
      <w:r>
        <w:t>3</w:t>
      </w:r>
      <w:r w:rsidRPr="00F41502">
        <w:t xml:space="preserve"> </w:t>
      </w:r>
      <w:r>
        <w:t>dienas</w:t>
      </w:r>
      <w:r w:rsidR="007B5B80">
        <w:t xml:space="preserve"> esant skausmui</w:t>
      </w:r>
      <w:r>
        <w:t xml:space="preserve"> </w:t>
      </w:r>
      <w:r w:rsidRPr="00153901">
        <w:t>Jūsų savijauta nepagerėjo arba net pablogėjo, kreipkitės į gydytoją.</w:t>
      </w:r>
    </w:p>
    <w:p w14:paraId="327049D2" w14:textId="77777777" w:rsidR="000A7ECC" w:rsidRPr="00DF4173" w:rsidRDefault="000A7ECC">
      <w:pPr>
        <w:pStyle w:val="BTEMEASMCA"/>
      </w:pPr>
    </w:p>
    <w:p w14:paraId="18CCD93B" w14:textId="77777777" w:rsidR="000A7ECC" w:rsidRDefault="000A7ECC">
      <w:pPr>
        <w:pStyle w:val="BTbEMEASMCA"/>
      </w:pPr>
      <w:r>
        <w:t>Apie ką rašoma šiame lapelyje?</w:t>
      </w:r>
    </w:p>
    <w:p w14:paraId="05B65B0B" w14:textId="77777777" w:rsidR="000A7ECC" w:rsidRPr="00DF4173" w:rsidRDefault="000A7ECC">
      <w:pPr>
        <w:pStyle w:val="BTbEMEASMCA"/>
      </w:pPr>
    </w:p>
    <w:p w14:paraId="3FCF67B9" w14:textId="08A7A299" w:rsidR="000A7ECC" w:rsidRPr="00DF4173" w:rsidRDefault="000A7ECC">
      <w:pPr>
        <w:pStyle w:val="BTEMEASMCA"/>
      </w:pPr>
      <w:r w:rsidRPr="00DF4173">
        <w:t>1.</w:t>
      </w:r>
      <w:r w:rsidRPr="00DF4173">
        <w:tab/>
        <w:t xml:space="preserve">Kas yra </w:t>
      </w:r>
      <w:r w:rsidR="00AC43B9">
        <w:t>Arax</w:t>
      </w:r>
      <w:r w:rsidR="00525EE9">
        <w:t xml:space="preserve"> </w:t>
      </w:r>
      <w:r w:rsidRPr="00DF4173">
        <w:t xml:space="preserve">ir </w:t>
      </w:r>
      <w:r>
        <w:t>kam</w:t>
      </w:r>
      <w:r w:rsidRPr="00DF4173">
        <w:t xml:space="preserve"> jis vartojamas</w:t>
      </w:r>
    </w:p>
    <w:p w14:paraId="12CAFCED" w14:textId="22156CAC" w:rsidR="000A7ECC" w:rsidRPr="00DF4173" w:rsidRDefault="000A7ECC">
      <w:pPr>
        <w:pStyle w:val="BTEMEASMCA"/>
      </w:pPr>
      <w:r w:rsidRPr="00DF4173">
        <w:t>2.</w:t>
      </w:r>
      <w:r w:rsidRPr="00DF4173">
        <w:tab/>
        <w:t xml:space="preserve">Kas žinotina prieš vartojant </w:t>
      </w:r>
      <w:r w:rsidR="00AC43B9">
        <w:t>Arax</w:t>
      </w:r>
    </w:p>
    <w:p w14:paraId="1055C5F9" w14:textId="2AF6D8F4" w:rsidR="000A7ECC" w:rsidRPr="00DF4173" w:rsidRDefault="000A7ECC">
      <w:pPr>
        <w:pStyle w:val="BTEMEASMCA"/>
      </w:pPr>
      <w:r w:rsidRPr="00DF4173">
        <w:t>3.</w:t>
      </w:r>
      <w:r w:rsidRPr="00DF4173">
        <w:tab/>
        <w:t xml:space="preserve">Kaip vartoti </w:t>
      </w:r>
      <w:r w:rsidR="00AC43B9">
        <w:t>Arax</w:t>
      </w:r>
    </w:p>
    <w:p w14:paraId="4598ABF0" w14:textId="77777777" w:rsidR="000A7ECC" w:rsidRPr="00DF4173" w:rsidRDefault="000A7ECC">
      <w:pPr>
        <w:pStyle w:val="BTEMEASMCA"/>
      </w:pPr>
      <w:r w:rsidRPr="00DF4173">
        <w:t>4.</w:t>
      </w:r>
      <w:r w:rsidRPr="00DF4173">
        <w:tab/>
        <w:t>Galimas šalutinis poveikis</w:t>
      </w:r>
    </w:p>
    <w:p w14:paraId="0D08DECC" w14:textId="5AEDD3A4" w:rsidR="000A7ECC" w:rsidRPr="00DF4173" w:rsidRDefault="000A7ECC">
      <w:pPr>
        <w:pStyle w:val="BTEMEASMCA"/>
      </w:pPr>
      <w:r w:rsidRPr="00DF4173">
        <w:t>5.</w:t>
      </w:r>
      <w:r w:rsidRPr="00DF4173">
        <w:tab/>
        <w:t xml:space="preserve">Kaip laikyti </w:t>
      </w:r>
      <w:r w:rsidR="00AC43B9">
        <w:t>Arax</w:t>
      </w:r>
    </w:p>
    <w:p w14:paraId="2857EBF6" w14:textId="77777777" w:rsidR="000A7ECC" w:rsidRPr="00DF4173" w:rsidRDefault="000A7ECC">
      <w:pPr>
        <w:pStyle w:val="BTEMEASMCA"/>
      </w:pPr>
      <w:r w:rsidRPr="00DF4173">
        <w:t>6.</w:t>
      </w:r>
      <w:r w:rsidRPr="00DF4173">
        <w:tab/>
      </w:r>
      <w:r>
        <w:t>Pakuotės turinys ir k</w:t>
      </w:r>
      <w:r w:rsidRPr="00DF4173">
        <w:t>ita informacija</w:t>
      </w:r>
    </w:p>
    <w:p w14:paraId="50040A84" w14:textId="77777777" w:rsidR="000A7ECC" w:rsidRPr="00DF4173" w:rsidRDefault="000A7ECC">
      <w:pPr>
        <w:pStyle w:val="BTEMEASMCA"/>
      </w:pPr>
    </w:p>
    <w:p w14:paraId="4614551A" w14:textId="77777777" w:rsidR="000A7ECC" w:rsidRDefault="000A7ECC">
      <w:pPr>
        <w:pStyle w:val="BTEMEASMCA"/>
      </w:pPr>
    </w:p>
    <w:p w14:paraId="1511968C" w14:textId="70DD33F6" w:rsidR="000A7ECC" w:rsidRPr="00DF4173" w:rsidRDefault="000A7ECC" w:rsidP="00432612">
      <w:pPr>
        <w:pStyle w:val="PI-1EMEASMCA"/>
      </w:pPr>
      <w:bookmarkStart w:id="75" w:name="_Toc129243139"/>
      <w:bookmarkStart w:id="76" w:name="_Toc129243264"/>
      <w:r w:rsidRPr="00DF4173">
        <w:t>1.</w:t>
      </w:r>
      <w:r w:rsidRPr="00DF4173">
        <w:tab/>
        <w:t xml:space="preserve">Kas yra </w:t>
      </w:r>
      <w:r w:rsidR="00AC43B9">
        <w:t>Arax</w:t>
      </w:r>
      <w:r w:rsidR="00525EE9">
        <w:t xml:space="preserve"> </w:t>
      </w:r>
      <w:r w:rsidRPr="00DF4173">
        <w:t xml:space="preserve">ir </w:t>
      </w:r>
      <w:r>
        <w:t>kam</w:t>
      </w:r>
      <w:r w:rsidRPr="00DF4173">
        <w:t xml:space="preserve"> jis vartojamas</w:t>
      </w:r>
      <w:bookmarkEnd w:id="75"/>
      <w:bookmarkEnd w:id="76"/>
    </w:p>
    <w:p w14:paraId="5EC93301" w14:textId="77777777" w:rsidR="000A7ECC" w:rsidRPr="00DF4173" w:rsidRDefault="000A7ECC" w:rsidP="001E1730">
      <w:pPr>
        <w:pStyle w:val="BTEMEASMCA"/>
      </w:pPr>
    </w:p>
    <w:p w14:paraId="67B68567" w14:textId="427F31C5" w:rsidR="00F11377" w:rsidRPr="00F11377" w:rsidRDefault="00AC43B9" w:rsidP="00FC0EEA">
      <w:pPr>
        <w:rPr>
          <w:lang w:val="es-ES"/>
        </w:rPr>
      </w:pPr>
      <w:r>
        <w:rPr>
          <w:lang w:val="es-ES"/>
        </w:rPr>
        <w:t>Arax</w:t>
      </w:r>
      <w:r w:rsidR="00F11377" w:rsidRPr="00F11377">
        <w:rPr>
          <w:lang w:val="es-ES"/>
        </w:rPr>
        <w:t xml:space="preserve"> yra milteliai karštam skystam vaistui, tiekiami paketėliuose. Jame yra veikliosios medžiagos paracetamolio, kuri</w:t>
      </w:r>
      <w:r w:rsidR="00444F9F">
        <w:rPr>
          <w:lang w:val="es-ES"/>
        </w:rPr>
        <w:t>s</w:t>
      </w:r>
      <w:r w:rsidR="00F11377" w:rsidRPr="00F11377">
        <w:rPr>
          <w:lang w:val="es-ES"/>
        </w:rPr>
        <w:t xml:space="preserve"> priklauso vaistų, vadinamų analgetikais (skausmą malšinančiais</w:t>
      </w:r>
      <w:r w:rsidR="001527D3">
        <w:rPr>
          <w:lang w:val="es-ES"/>
        </w:rPr>
        <w:t xml:space="preserve"> vaistais</w:t>
      </w:r>
      <w:r w:rsidR="00F11377" w:rsidRPr="00F11377">
        <w:rPr>
          <w:lang w:val="es-ES"/>
        </w:rPr>
        <w:t xml:space="preserve">) ir </w:t>
      </w:r>
      <w:r w:rsidR="007B5B80">
        <w:rPr>
          <w:lang w:val="es-ES"/>
        </w:rPr>
        <w:t>antipiretikais (</w:t>
      </w:r>
      <w:r w:rsidR="00F11377" w:rsidRPr="00F11377">
        <w:rPr>
          <w:lang w:val="es-ES"/>
        </w:rPr>
        <w:t>karščiavimą mažinančiais vaistais</w:t>
      </w:r>
      <w:r w:rsidR="001527D3">
        <w:rPr>
          <w:lang w:val="es-ES"/>
        </w:rPr>
        <w:t>)</w:t>
      </w:r>
      <w:r w:rsidR="00F11377" w:rsidRPr="00F11377">
        <w:rPr>
          <w:lang w:val="es-ES"/>
        </w:rPr>
        <w:t>, grupei.</w:t>
      </w:r>
    </w:p>
    <w:p w14:paraId="6028AAAA" w14:textId="77777777" w:rsidR="00F11377" w:rsidRPr="00F11377" w:rsidRDefault="00F11377" w:rsidP="00FC0EEA">
      <w:pPr>
        <w:rPr>
          <w:lang w:val="es-ES"/>
        </w:rPr>
      </w:pPr>
    </w:p>
    <w:p w14:paraId="13282B54" w14:textId="24A51F4C" w:rsidR="00F11377" w:rsidRPr="00F11377" w:rsidRDefault="00AC43B9" w:rsidP="00FC0EEA">
      <w:pPr>
        <w:rPr>
          <w:lang w:val="es-ES"/>
        </w:rPr>
      </w:pPr>
      <w:r>
        <w:rPr>
          <w:lang w:val="es-ES"/>
        </w:rPr>
        <w:t>Arax</w:t>
      </w:r>
      <w:r w:rsidR="00444F9F" w:rsidRPr="00444F9F">
        <w:rPr>
          <w:lang w:val="es-ES"/>
        </w:rPr>
        <w:t xml:space="preserve"> </w:t>
      </w:r>
      <w:r w:rsidR="00F11377" w:rsidRPr="00F11377">
        <w:rPr>
          <w:lang w:val="es-ES"/>
        </w:rPr>
        <w:t xml:space="preserve">vartojamas trumpalaikiam </w:t>
      </w:r>
      <w:r w:rsidR="00E857BF">
        <w:rPr>
          <w:lang w:val="es-ES"/>
        </w:rPr>
        <w:t>lengvo</w:t>
      </w:r>
      <w:r w:rsidR="00E857BF" w:rsidRPr="00F11377">
        <w:rPr>
          <w:lang w:val="es-ES"/>
        </w:rPr>
        <w:t xml:space="preserve"> </w:t>
      </w:r>
      <w:r w:rsidR="00F11377" w:rsidRPr="00F11377">
        <w:rPr>
          <w:lang w:val="es-ES"/>
        </w:rPr>
        <w:t>ar vidutinio sunkumo skausmui (pvz., galvos, raumenų ir sąnarių skausmams, dantų ir menstruacijų skausmams) ir karščiavimui, susijusiam su peršalimu ir gripu, malšinti.</w:t>
      </w:r>
    </w:p>
    <w:p w14:paraId="0712FAC1" w14:textId="6DAE5A15" w:rsidR="00F11377" w:rsidRDefault="00AF6BC5" w:rsidP="00FC0EEA">
      <w:pPr>
        <w:rPr>
          <w:lang w:val="es-ES"/>
        </w:rPr>
      </w:pPr>
      <w:r>
        <w:rPr>
          <w:lang w:val="es-ES"/>
        </w:rPr>
        <w:t>Arax</w:t>
      </w:r>
      <w:r w:rsidR="00444F9F" w:rsidRPr="00444F9F">
        <w:rPr>
          <w:lang w:val="es-ES"/>
        </w:rPr>
        <w:t xml:space="preserve"> </w:t>
      </w:r>
      <w:r w:rsidR="00F11377" w:rsidRPr="00F11377">
        <w:rPr>
          <w:lang w:val="es-ES"/>
        </w:rPr>
        <w:t xml:space="preserve">skirtas suaugusiesiems </w:t>
      </w:r>
      <w:r w:rsidR="00444F9F">
        <w:rPr>
          <w:lang w:val="es-ES"/>
        </w:rPr>
        <w:t>bei</w:t>
      </w:r>
      <w:r w:rsidR="00F11377" w:rsidRPr="00F11377">
        <w:rPr>
          <w:lang w:val="es-ES"/>
        </w:rPr>
        <w:t xml:space="preserve"> 12 metų ir vyresniems paaugliams.</w:t>
      </w:r>
    </w:p>
    <w:p w14:paraId="7E2A6B4B" w14:textId="77777777" w:rsidR="00F11377" w:rsidRDefault="00F11377" w:rsidP="00FC0EEA">
      <w:pPr>
        <w:rPr>
          <w:lang w:val="es-ES"/>
        </w:rPr>
      </w:pPr>
    </w:p>
    <w:p w14:paraId="3C630A64" w14:textId="77777777" w:rsidR="00F11377" w:rsidRDefault="00F11377" w:rsidP="00FC0EEA">
      <w:pPr>
        <w:rPr>
          <w:lang w:val="es-ES"/>
        </w:rPr>
      </w:pPr>
    </w:p>
    <w:p w14:paraId="3E9278C4" w14:textId="54C2CFAA" w:rsidR="000A7ECC" w:rsidRPr="00DF4173" w:rsidRDefault="000A7ECC" w:rsidP="00432612">
      <w:pPr>
        <w:pStyle w:val="PI-1EMEASMCA"/>
      </w:pPr>
      <w:bookmarkStart w:id="77" w:name="_Toc129243140"/>
      <w:bookmarkStart w:id="78" w:name="_Toc129243265"/>
      <w:r w:rsidRPr="00DF4173">
        <w:t>2.</w:t>
      </w:r>
      <w:r w:rsidRPr="00DF4173">
        <w:tab/>
        <w:t xml:space="preserve">Kas žinotina prieš vartojant </w:t>
      </w:r>
      <w:bookmarkEnd w:id="77"/>
      <w:bookmarkEnd w:id="78"/>
      <w:r w:rsidR="00AF6BC5">
        <w:t>Arax</w:t>
      </w:r>
    </w:p>
    <w:p w14:paraId="142FDA43" w14:textId="77777777" w:rsidR="000A7ECC" w:rsidRPr="00DF4173" w:rsidRDefault="000A7ECC" w:rsidP="001E1730">
      <w:pPr>
        <w:pStyle w:val="BTEMEASMCA"/>
      </w:pPr>
    </w:p>
    <w:p w14:paraId="0AD4F4C4" w14:textId="50A5864C" w:rsidR="000A7ECC" w:rsidRPr="00126948" w:rsidRDefault="00AF6BC5" w:rsidP="00FC0EEA">
      <w:pPr>
        <w:pStyle w:val="PI-3EMEASMCA"/>
      </w:pPr>
      <w:r>
        <w:t>Arax</w:t>
      </w:r>
      <w:r w:rsidR="00525EE9">
        <w:t xml:space="preserve"> </w:t>
      </w:r>
      <w:r w:rsidR="000A7ECC" w:rsidRPr="00126948">
        <w:t xml:space="preserve">vartoti </w:t>
      </w:r>
      <w:r w:rsidR="00726040">
        <w:t>draudžiama</w:t>
      </w:r>
      <w:r w:rsidR="000A7ECC" w:rsidRPr="00126948">
        <w:t>:</w:t>
      </w:r>
    </w:p>
    <w:p w14:paraId="26BEAE10" w14:textId="77777777" w:rsidR="000A7ECC" w:rsidRDefault="000A7ECC" w:rsidP="00253DE6">
      <w:pPr>
        <w:pStyle w:val="BT-EMEASMCA"/>
        <w:ind w:left="567" w:hanging="567"/>
      </w:pPr>
      <w:r w:rsidRPr="00DF4173">
        <w:t xml:space="preserve">jeigu yra alergija </w:t>
      </w:r>
      <w:r>
        <w:t xml:space="preserve">paracetamoliui </w:t>
      </w:r>
      <w:r w:rsidRPr="00DF4173">
        <w:t xml:space="preserve">arba bet kuriai pagalbinei </w:t>
      </w:r>
      <w:r w:rsidRPr="00153901">
        <w:t>šio vaisto medžiagai (jos išvardytos 6 skyriuje)</w:t>
      </w:r>
      <w:r>
        <w:t xml:space="preserve">; </w:t>
      </w:r>
    </w:p>
    <w:p w14:paraId="7C2871C0" w14:textId="77777777" w:rsidR="000A7ECC" w:rsidRPr="00DF4173" w:rsidRDefault="000A7ECC" w:rsidP="00253DE6">
      <w:pPr>
        <w:pStyle w:val="BT-EMEASMCA"/>
        <w:ind w:left="567" w:hanging="567"/>
      </w:pPr>
      <w:r>
        <w:t>jeigu yra sunkus kepenų funkcijos nepakankamumas.</w:t>
      </w:r>
    </w:p>
    <w:p w14:paraId="36A0E011" w14:textId="77777777" w:rsidR="000A7ECC" w:rsidRPr="00DF4173" w:rsidRDefault="000A7ECC" w:rsidP="001E1730">
      <w:pPr>
        <w:pStyle w:val="BTEMEASMCA"/>
      </w:pPr>
    </w:p>
    <w:p w14:paraId="54C0B5D4" w14:textId="77777777" w:rsidR="000A7ECC" w:rsidRPr="008D0146" w:rsidRDefault="000A7ECC" w:rsidP="00FC0EEA">
      <w:pPr>
        <w:rPr>
          <w:b/>
          <w:bCs/>
        </w:rPr>
      </w:pPr>
      <w:r w:rsidRPr="008D0146">
        <w:rPr>
          <w:b/>
          <w:bCs/>
        </w:rPr>
        <w:t>Įspėjimai ir atsargumo priemonės</w:t>
      </w:r>
    </w:p>
    <w:p w14:paraId="000C7510" w14:textId="791DEDC5" w:rsidR="000A7ECC" w:rsidRPr="008D0146" w:rsidRDefault="000A7ECC" w:rsidP="00FC0EEA">
      <w:r w:rsidRPr="00505DBF">
        <w:t>Pasitarkite su gydytoju</w:t>
      </w:r>
      <w:r w:rsidR="00E857BF">
        <w:t xml:space="preserve"> ar vaistininku</w:t>
      </w:r>
      <w:r w:rsidRPr="00505DBF">
        <w:t xml:space="preserve"> prieš pradėdami vartoti</w:t>
      </w:r>
      <w:r>
        <w:t xml:space="preserve"> </w:t>
      </w:r>
      <w:r w:rsidR="00AF6BC5">
        <w:t>Arax</w:t>
      </w:r>
      <w:r>
        <w:t>:</w:t>
      </w:r>
    </w:p>
    <w:p w14:paraId="78F3A1A1" w14:textId="77777777" w:rsidR="008D0146" w:rsidRPr="008D0146" w:rsidRDefault="008D0146" w:rsidP="00FC0EEA">
      <w:r w:rsidRPr="008D0146">
        <w:t>-</w:t>
      </w:r>
      <w:r w:rsidR="00574E18">
        <w:tab/>
      </w:r>
      <w:r w:rsidRPr="008D0146">
        <w:t>jeigu yra susilpnėjusi inkstų funkcija</w:t>
      </w:r>
      <w:r w:rsidR="00574E18">
        <w:t>;</w:t>
      </w:r>
    </w:p>
    <w:p w14:paraId="358C8DE2" w14:textId="77777777" w:rsidR="008D0146" w:rsidRPr="008D0146" w:rsidRDefault="008D0146" w:rsidP="00FC0EEA">
      <w:r w:rsidRPr="008D0146">
        <w:t>-</w:t>
      </w:r>
      <w:r w:rsidR="00574E18">
        <w:tab/>
      </w:r>
      <w:r w:rsidRPr="008D0146">
        <w:t xml:space="preserve">jeigu yra susilpnėjusi kepenų funkcija (įskaitant </w:t>
      </w:r>
      <w:r w:rsidR="00574E18" w:rsidRPr="00574E18">
        <w:t xml:space="preserve">Žilberto </w:t>
      </w:r>
      <w:r w:rsidR="00574E18">
        <w:t>[</w:t>
      </w:r>
      <w:r w:rsidR="00574E18" w:rsidRPr="00574E18">
        <w:rPr>
          <w:i/>
          <w:iCs/>
        </w:rPr>
        <w:t>Gilbert</w:t>
      </w:r>
      <w:r w:rsidR="00574E18">
        <w:t>]</w:t>
      </w:r>
      <w:r w:rsidR="00574E18" w:rsidRPr="00574E18">
        <w:t xml:space="preserve"> </w:t>
      </w:r>
      <w:r w:rsidRPr="008D0146">
        <w:t xml:space="preserve">sindromą </w:t>
      </w:r>
      <w:r w:rsidR="00574E18">
        <w:t>[</w:t>
      </w:r>
      <w:r w:rsidRPr="008D0146">
        <w:t>lengvą gelt</w:t>
      </w:r>
      <w:r w:rsidR="00574E18">
        <w:t>ą]</w:t>
      </w:r>
      <w:r w:rsidRPr="008D0146">
        <w:t>);</w:t>
      </w:r>
    </w:p>
    <w:p w14:paraId="6C2BEA0B" w14:textId="77777777" w:rsidR="008D0146" w:rsidRPr="008D0146" w:rsidRDefault="008D0146" w:rsidP="00FC0EEA">
      <w:r w:rsidRPr="008D0146">
        <w:t>-</w:t>
      </w:r>
      <w:r w:rsidR="00574E18">
        <w:tab/>
      </w:r>
      <w:r w:rsidRPr="008D0146">
        <w:t>jeigu yra gliukozės-6-fosfat</w:t>
      </w:r>
      <w:r w:rsidR="00574E18">
        <w:t xml:space="preserve">o </w:t>
      </w:r>
      <w:r w:rsidRPr="008D0146">
        <w:t xml:space="preserve">dehidrogenazės trūkumas </w:t>
      </w:r>
      <w:r w:rsidR="00574E18">
        <w:t xml:space="preserve">organizme </w:t>
      </w:r>
      <w:r w:rsidRPr="008D0146">
        <w:t>(ferment</w:t>
      </w:r>
      <w:r w:rsidR="00574E18">
        <w:t>o</w:t>
      </w:r>
      <w:r w:rsidRPr="008D0146">
        <w:t xml:space="preserve"> trūkumas);</w:t>
      </w:r>
    </w:p>
    <w:p w14:paraId="6BBEAB1E" w14:textId="77777777" w:rsidR="008D0146" w:rsidRPr="008D0146" w:rsidRDefault="008D0146" w:rsidP="00FC0EEA">
      <w:r w:rsidRPr="008D0146">
        <w:t>-</w:t>
      </w:r>
      <w:r w:rsidR="00574E18">
        <w:tab/>
      </w:r>
      <w:r w:rsidRPr="008D0146">
        <w:t>jeigu sergate hemolizine anemija (nenormalus raudonųjų kraujo kūnelių irimas).</w:t>
      </w:r>
    </w:p>
    <w:p w14:paraId="0CB7994F" w14:textId="77777777" w:rsidR="008D0146" w:rsidRDefault="008D0146" w:rsidP="00FC0EEA"/>
    <w:p w14:paraId="26640E43" w14:textId="3071BC21" w:rsidR="00873D09" w:rsidRPr="00B832DF" w:rsidRDefault="00873D09" w:rsidP="00873D09">
      <w:pPr>
        <w:pStyle w:val="Betarp"/>
      </w:pPr>
      <w:r w:rsidRPr="00B832DF">
        <w:t xml:space="preserve">Gydymo </w:t>
      </w:r>
      <w:r>
        <w:t>Arax</w:t>
      </w:r>
      <w:r w:rsidRPr="00B832DF">
        <w:t xml:space="preserve"> laikotarpiu nedelsdami pasakykite gydytojui,</w:t>
      </w:r>
    </w:p>
    <w:p w14:paraId="6783DCBB" w14:textId="718ED5D9" w:rsidR="00873D09" w:rsidRDefault="00873D09" w:rsidP="00253DE6">
      <w:pPr>
        <w:pStyle w:val="BT-EMEASMCA"/>
        <w:ind w:left="567" w:hanging="567"/>
      </w:pPr>
      <w:r w:rsidRPr="00B832DF">
        <w:t>jeigu sergate sunkiomis ligomis, įskaitant sunkius inkstų funkcijos sutrikimus arba sepsį (kai į kraują patekus bakterijų ir jų toksinų pažeidžiami organai), netinkamą mitybą, lėtinį alkoholizmą arba jei vartojate ir flukloksacilin</w:t>
      </w:r>
      <w:r w:rsidR="008A7C4A">
        <w:t>o</w:t>
      </w:r>
      <w:r w:rsidRPr="00B832DF">
        <w:t xml:space="preserve"> (antibiotik</w:t>
      </w:r>
      <w:r w:rsidR="008A7C4A">
        <w:t>o</w:t>
      </w:r>
      <w:r w:rsidRPr="00B832DF">
        <w:t xml:space="preserve">). Gauta pranešimų apie sunkų sveikatos sutrikimą, vadinamą metaboline acidoze (nenormalių kraujo ir skysčių tyrimų </w:t>
      </w:r>
      <w:r w:rsidRPr="00B832DF">
        <w:lastRenderedPageBreak/>
        <w:t>rodiklių), pasireiškusį pacientams, vartojantiems paracetamol</w:t>
      </w:r>
      <w:r w:rsidR="008A7C4A">
        <w:t>io</w:t>
      </w:r>
      <w:r w:rsidRPr="00B832DF">
        <w:t xml:space="preserve"> įprastinėmis dozėmis ilgą laiką arba kai paracetamolis vartojamas kartu su flukloksacilinu. Metabolinės acidozės simptomai gali būti šie: labai pasunkėjęs kvėpavimas –</w:t>
      </w:r>
      <w:r>
        <w:t xml:space="preserve"> </w:t>
      </w:r>
      <w:r w:rsidRPr="00B832DF">
        <w:t>pagreitėjęs kvėpavimas, mieguistumas</w:t>
      </w:r>
      <w:r w:rsidR="008A7C4A">
        <w:t xml:space="preserve"> (somnolencija)</w:t>
      </w:r>
      <w:r w:rsidRPr="00B832DF">
        <w:t>, pykinimas ir vėmimas.</w:t>
      </w:r>
    </w:p>
    <w:p w14:paraId="79D74A60" w14:textId="77777777" w:rsidR="00873D09" w:rsidRPr="008D0146" w:rsidRDefault="00873D09" w:rsidP="00FC0EEA"/>
    <w:p w14:paraId="7A812577" w14:textId="0C378872" w:rsidR="008D0146" w:rsidRPr="008D0146" w:rsidRDefault="008D0146" w:rsidP="00FC0EEA">
      <w:r w:rsidRPr="008D0146">
        <w:t>Neviršykite 3 skyriuje nurodytos paros dozės. Didesnės nei rekomenduojamos dozės geriau nenumalšina skausmo; vietoj to j</w:t>
      </w:r>
      <w:r w:rsidR="00574E18">
        <w:t>os</w:t>
      </w:r>
      <w:r w:rsidRPr="008D0146">
        <w:t xml:space="preserve"> gali sukelti labai sunkų kepenų pažeidimą. Kepenų pažeidimo simptomai gali vėluoti keliomis dienomis. Todėl svarbu kuo greičiau kreiptis į gydytoją, jei išgėrėte daugiau </w:t>
      </w:r>
      <w:r w:rsidR="00AF6BC5">
        <w:t>Arax</w:t>
      </w:r>
      <w:r w:rsidR="00574E18" w:rsidRPr="00574E18">
        <w:t xml:space="preserve"> </w:t>
      </w:r>
      <w:r w:rsidRPr="008D0146">
        <w:t>nei reikia, net jei jaučiatės gerai.</w:t>
      </w:r>
    </w:p>
    <w:p w14:paraId="47874828" w14:textId="77777777" w:rsidR="008D0146" w:rsidRPr="008D0146" w:rsidRDefault="008D0146" w:rsidP="00FC0EEA"/>
    <w:p w14:paraId="2BE7FF2C" w14:textId="6DBE4300" w:rsidR="008D0146" w:rsidRPr="008D0146" w:rsidRDefault="008D0146" w:rsidP="00FC0EEA">
      <w:r w:rsidRPr="008D0146">
        <w:t xml:space="preserve">Nevartokite </w:t>
      </w:r>
      <w:r w:rsidR="00AF6BC5">
        <w:t>Arax</w:t>
      </w:r>
      <w:r w:rsidR="00284396" w:rsidRPr="00284396">
        <w:t xml:space="preserve"> </w:t>
      </w:r>
      <w:r w:rsidRPr="008D0146">
        <w:t xml:space="preserve">kartu su kitais vaistais, kurių sudėtyje yra paracetamolio, nes yra rizika viršyti didžiausią paracetamolio paros dozę. Kai vartojate </w:t>
      </w:r>
      <w:r w:rsidR="00AF6BC5">
        <w:t>Arax</w:t>
      </w:r>
      <w:r w:rsidRPr="008D0146">
        <w:t>, prieš vartodami patikrinkite kitų vaistų sudedamąsias dalis.</w:t>
      </w:r>
    </w:p>
    <w:p w14:paraId="7E351040" w14:textId="77777777" w:rsidR="008D0146" w:rsidRPr="008D0146" w:rsidRDefault="008D0146" w:rsidP="00FC0EEA"/>
    <w:p w14:paraId="54BD5C36" w14:textId="77777777" w:rsidR="008D0146" w:rsidRPr="008D0146" w:rsidRDefault="008D0146" w:rsidP="00FC0EEA">
      <w:r w:rsidRPr="008D0146">
        <w:t xml:space="preserve">Apskritai, </w:t>
      </w:r>
      <w:r w:rsidR="00284396">
        <w:t>nuolatinis</w:t>
      </w:r>
      <w:r w:rsidRPr="008D0146">
        <w:t xml:space="preserve"> skausmą malšinančių vaistų vartojimas, ypač kelių skausmą malšinančių vaistų derin</w:t>
      </w:r>
      <w:r w:rsidR="00284396">
        <w:t>io</w:t>
      </w:r>
      <w:r w:rsidRPr="008D0146">
        <w:t>, gali sukelti nuolatinį inkstų pažeidimą ir inkstų nepakankamumo riziką.</w:t>
      </w:r>
    </w:p>
    <w:p w14:paraId="7F877248" w14:textId="77777777" w:rsidR="008D0146" w:rsidRPr="008D0146" w:rsidRDefault="008D0146" w:rsidP="00FC0EEA"/>
    <w:p w14:paraId="0A383F3A" w14:textId="33F27281" w:rsidR="008D0146" w:rsidRPr="008D0146" w:rsidRDefault="008D0146" w:rsidP="00FC0EEA">
      <w:r w:rsidRPr="008D0146">
        <w:t xml:space="preserve">Nevartokite </w:t>
      </w:r>
      <w:r w:rsidR="00AF6BC5">
        <w:t>Arax</w:t>
      </w:r>
      <w:r w:rsidR="00D3450E" w:rsidRPr="00D3450E">
        <w:t xml:space="preserve"> </w:t>
      </w:r>
      <w:r w:rsidRPr="008D0146">
        <w:t xml:space="preserve">be gydytojo rekomendacijos, jei turite problemų su </w:t>
      </w:r>
      <w:r w:rsidR="00E857BF">
        <w:t>alkoholio vartojimu</w:t>
      </w:r>
      <w:r w:rsidR="00E857BF" w:rsidRPr="008D0146">
        <w:t xml:space="preserve"> </w:t>
      </w:r>
      <w:r w:rsidRPr="008D0146">
        <w:t xml:space="preserve">arba yra pažeistos kepenys, ir nevartokite </w:t>
      </w:r>
      <w:r w:rsidR="00AF6BC5">
        <w:t>Arax</w:t>
      </w:r>
      <w:r w:rsidRPr="008D0146">
        <w:t xml:space="preserve"> kartu su alkoholiu. </w:t>
      </w:r>
      <w:r w:rsidR="00AB252F">
        <w:t>Kartu vartojant</w:t>
      </w:r>
      <w:r w:rsidRPr="008D0146">
        <w:t xml:space="preserve"> </w:t>
      </w:r>
      <w:r w:rsidR="00AF6BC5">
        <w:t>Arax</w:t>
      </w:r>
      <w:r w:rsidR="00AB252F">
        <w:t>,</w:t>
      </w:r>
      <w:r w:rsidR="00D3450E" w:rsidRPr="00D3450E">
        <w:t xml:space="preserve"> </w:t>
      </w:r>
      <w:r w:rsidRPr="008D0146">
        <w:t xml:space="preserve">svaiginamasis alkoholio poveikis </w:t>
      </w:r>
      <w:r w:rsidR="00700928">
        <w:t>nesustiprėja</w:t>
      </w:r>
      <w:r w:rsidRPr="008D0146">
        <w:t>. Vartodami šį vaistą negerkite alkoholio.</w:t>
      </w:r>
    </w:p>
    <w:p w14:paraId="2ADE4C58" w14:textId="77777777" w:rsidR="008D0146" w:rsidRPr="008D0146" w:rsidRDefault="008D0146" w:rsidP="00FC0EEA"/>
    <w:p w14:paraId="2D238F41" w14:textId="771F9866" w:rsidR="008D0146" w:rsidRPr="008D0146" w:rsidRDefault="00AF6BC5" w:rsidP="00FC0EEA">
      <w:r>
        <w:t>Arax</w:t>
      </w:r>
      <w:r w:rsidR="008D0146" w:rsidRPr="008D0146">
        <w:t xml:space="preserve"> turi būti vartojamas atsargiai, jei </w:t>
      </w:r>
      <w:r w:rsidR="00AB252F">
        <w:t>blogai</w:t>
      </w:r>
      <w:r w:rsidR="008D0146" w:rsidRPr="008D0146">
        <w:t xml:space="preserve"> maitina</w:t>
      </w:r>
      <w:r w:rsidR="00AB252F">
        <w:t>tės</w:t>
      </w:r>
      <w:r w:rsidR="008D0146" w:rsidRPr="008D0146">
        <w:t xml:space="preserve"> arba </w:t>
      </w:r>
      <w:r w:rsidR="00AB252F">
        <w:t xml:space="preserve">Jums yra </w:t>
      </w:r>
      <w:r w:rsidR="008D0146" w:rsidRPr="008D0146">
        <w:t>dehidrat</w:t>
      </w:r>
      <w:r w:rsidR="00AB252F">
        <w:t>acija</w:t>
      </w:r>
      <w:r w:rsidR="008D0146" w:rsidRPr="008D0146">
        <w:t>.</w:t>
      </w:r>
    </w:p>
    <w:p w14:paraId="483B8ECC" w14:textId="77777777" w:rsidR="008D0146" w:rsidRPr="008D0146" w:rsidRDefault="008D0146" w:rsidP="00FC0EEA"/>
    <w:p w14:paraId="2FE20E50" w14:textId="77777777" w:rsidR="008D0146" w:rsidRPr="008D0146" w:rsidRDefault="00AB252F" w:rsidP="00FC0EEA">
      <w:r>
        <w:t>P</w:t>
      </w:r>
      <w:r w:rsidR="008D0146" w:rsidRPr="008D0146">
        <w:t>acientams, sergantiems astma</w:t>
      </w:r>
      <w:r>
        <w:t xml:space="preserve"> ir</w:t>
      </w:r>
      <w:r w:rsidR="008D0146" w:rsidRPr="008D0146">
        <w:t xml:space="preserve"> kurie yra jautrūs acetilsalicilo rūgščiai</w:t>
      </w:r>
      <w:r w:rsidRPr="00AB252F">
        <w:t xml:space="preserve"> </w:t>
      </w:r>
      <w:r>
        <w:t>vaisto reikia vartoti atsargiai</w:t>
      </w:r>
      <w:r w:rsidR="008D0146" w:rsidRPr="008D0146">
        <w:t>, nes pranešama apie lengvus bronchų spazmus, susijusius su paracetamolio vartojimu (kryžminė reakcija).</w:t>
      </w:r>
    </w:p>
    <w:p w14:paraId="0E4BE39D" w14:textId="77777777" w:rsidR="008D0146" w:rsidRPr="008D0146" w:rsidRDefault="008D0146" w:rsidP="00FC0EEA"/>
    <w:p w14:paraId="1067BBA1" w14:textId="77777777" w:rsidR="008D0146" w:rsidRDefault="008D0146" w:rsidP="00FC0EEA">
      <w:r w:rsidRPr="008D0146">
        <w:t xml:space="preserve">Ilgai gydant analgetikais, vartojant kas antrą dieną ar dažniau, gali išsivystyti arba paūmėti galvos skausmas. Galvos skausmas, kurį sukelia per </w:t>
      </w:r>
      <w:r w:rsidR="00700928">
        <w:t>dažnas</w:t>
      </w:r>
      <w:r w:rsidRPr="008D0146">
        <w:t xml:space="preserve"> analgetikų vartojimas, neturėtų būti gydomas didinant dozę. Tokiais atvejais, pasikonsultavus su gydytoju, analgetikų vartojimą reikia nutraukti.</w:t>
      </w:r>
    </w:p>
    <w:p w14:paraId="7695CECD" w14:textId="77777777" w:rsidR="000A7ECC" w:rsidRPr="00710D75" w:rsidRDefault="000A7ECC" w:rsidP="001E1730">
      <w:pPr>
        <w:pStyle w:val="BTEMEASMCA"/>
      </w:pPr>
    </w:p>
    <w:p w14:paraId="6C2B7AF7" w14:textId="12268395" w:rsidR="000A7ECC" w:rsidRPr="00710D75" w:rsidRDefault="000A7ECC" w:rsidP="00FC0EEA">
      <w:pPr>
        <w:pStyle w:val="PI-3EMEASMCA"/>
      </w:pPr>
      <w:r>
        <w:t xml:space="preserve">Kiti vaistai ir </w:t>
      </w:r>
      <w:r w:rsidR="00AF6BC5">
        <w:t>Arax</w:t>
      </w:r>
    </w:p>
    <w:p w14:paraId="5B195688" w14:textId="77777777" w:rsidR="000A7ECC" w:rsidRPr="00DA5D7B" w:rsidRDefault="000A7ECC" w:rsidP="00FC0EEA">
      <w:pPr>
        <w:numPr>
          <w:ilvl w:val="12"/>
          <w:numId w:val="0"/>
        </w:numPr>
        <w:tabs>
          <w:tab w:val="clear" w:pos="567"/>
        </w:tabs>
        <w:spacing w:line="240" w:lineRule="auto"/>
        <w:ind w:right="-2"/>
        <w:rPr>
          <w:szCs w:val="22"/>
        </w:rPr>
      </w:pPr>
      <w:r w:rsidRPr="00E06A3A">
        <w:t xml:space="preserve">Jeigu vartojate arba neseniai vartojote kitų vaistų, </w:t>
      </w:r>
      <w:r w:rsidRPr="00153901">
        <w:rPr>
          <w:szCs w:val="22"/>
        </w:rPr>
        <w:t>arba dėl to nesate tikri, apie tai</w:t>
      </w:r>
      <w:r>
        <w:rPr>
          <w:szCs w:val="24"/>
        </w:rPr>
        <w:t xml:space="preserve"> pasakykite gydytojui arba vaistininkui. </w:t>
      </w:r>
    </w:p>
    <w:p w14:paraId="76198289" w14:textId="77777777" w:rsidR="000A7ECC" w:rsidRPr="00E06A3A" w:rsidRDefault="000A7ECC" w:rsidP="00FC0EEA"/>
    <w:p w14:paraId="4BB1A786" w14:textId="6A92AEC9" w:rsidR="00700928" w:rsidRDefault="00700928" w:rsidP="00FC0EEA">
      <w:r w:rsidRPr="00700928">
        <w:t xml:space="preserve">Nevartokite </w:t>
      </w:r>
      <w:r w:rsidR="00AF6BC5">
        <w:t>Arax</w:t>
      </w:r>
      <w:r w:rsidRPr="00700928">
        <w:t xml:space="preserve"> kartu su kitais vaistais, kurių sudėtyje yra paracetamolio. Yra rizika viršyti didžiausią paracetamolio paros dozę.</w:t>
      </w:r>
    </w:p>
    <w:p w14:paraId="79748CED" w14:textId="77777777" w:rsidR="008E5110" w:rsidRDefault="008E5110" w:rsidP="00FC0EEA"/>
    <w:p w14:paraId="074F6AB8" w14:textId="77777777" w:rsidR="00700928" w:rsidRPr="008E5110" w:rsidRDefault="008E5110" w:rsidP="00FC0EEA">
      <w:pPr>
        <w:rPr>
          <w:b/>
          <w:bCs/>
        </w:rPr>
      </w:pPr>
      <w:r w:rsidRPr="008E5110">
        <w:rPr>
          <w:b/>
          <w:bCs/>
        </w:rPr>
        <w:t>Pasitarkite su gydytoju, jei</w:t>
      </w:r>
      <w:r>
        <w:rPr>
          <w:b/>
          <w:bCs/>
        </w:rPr>
        <w:t>gu</w:t>
      </w:r>
      <w:r w:rsidRPr="008E5110">
        <w:rPr>
          <w:b/>
          <w:bCs/>
        </w:rPr>
        <w:t xml:space="preserve"> vartojate:</w:t>
      </w:r>
    </w:p>
    <w:p w14:paraId="0CBDC9D2" w14:textId="2A19DBF5" w:rsidR="00700928" w:rsidRDefault="00700928" w:rsidP="00FC0EEA">
      <w:pPr>
        <w:pStyle w:val="Sraopastraipa"/>
        <w:numPr>
          <w:ilvl w:val="0"/>
          <w:numId w:val="16"/>
        </w:numPr>
        <w:ind w:left="567" w:hanging="567"/>
      </w:pPr>
      <w:r>
        <w:t xml:space="preserve">kraują skystinančių vaistų (pvz., varfarino). Retkarčiais vartojamos </w:t>
      </w:r>
      <w:r w:rsidR="00AF6BC5">
        <w:t>Arax</w:t>
      </w:r>
      <w:r w:rsidR="008E5110" w:rsidRPr="008E5110">
        <w:t xml:space="preserve"> </w:t>
      </w:r>
      <w:r>
        <w:t xml:space="preserve">dozės neturi reikšmingos įtakos </w:t>
      </w:r>
      <w:r w:rsidR="00CB4AD8">
        <w:t xml:space="preserve">polinkiui į </w:t>
      </w:r>
      <w:r w:rsidRPr="00CB4AD8">
        <w:t>kraujavim</w:t>
      </w:r>
      <w:r w:rsidR="00CB4AD8" w:rsidRPr="00CB4AD8">
        <w:t>ą</w:t>
      </w:r>
      <w:r w:rsidRPr="00CB4AD8">
        <w:t>.</w:t>
      </w:r>
      <w:r>
        <w:t xml:space="preserve"> </w:t>
      </w:r>
      <w:r w:rsidR="008E5110">
        <w:t>Vis dėlto</w:t>
      </w:r>
      <w:r>
        <w:t xml:space="preserve">, jei </w:t>
      </w:r>
      <w:r w:rsidR="00AF6BC5">
        <w:t>Arax</w:t>
      </w:r>
      <w:r>
        <w:t xml:space="preserve"> vartojate pakartotinai, kreipkitės į gydytoją</w:t>
      </w:r>
      <w:r w:rsidR="008E5110">
        <w:t>;</w:t>
      </w:r>
    </w:p>
    <w:p w14:paraId="67F440DF" w14:textId="77777777" w:rsidR="00700928" w:rsidRDefault="00700928" w:rsidP="00FC0EEA">
      <w:pPr>
        <w:pStyle w:val="Sraopastraipa"/>
        <w:numPr>
          <w:ilvl w:val="0"/>
          <w:numId w:val="16"/>
        </w:numPr>
        <w:ind w:left="567" w:hanging="567"/>
      </w:pPr>
      <w:r>
        <w:t>metoklopramid</w:t>
      </w:r>
      <w:r w:rsidR="008E5110">
        <w:t>o</w:t>
      </w:r>
      <w:r>
        <w:t xml:space="preserve"> ir domperidon</w:t>
      </w:r>
      <w:r w:rsidR="008E5110">
        <w:t>o</w:t>
      </w:r>
      <w:r>
        <w:t xml:space="preserve"> (pykinimo ir vėmimo profilaktikai)</w:t>
      </w:r>
      <w:r w:rsidR="008E5110">
        <w:t>;</w:t>
      </w:r>
    </w:p>
    <w:p w14:paraId="2069A512" w14:textId="77777777" w:rsidR="00700928" w:rsidRDefault="00700928" w:rsidP="00FC0EEA">
      <w:pPr>
        <w:pStyle w:val="Sraopastraipa"/>
        <w:numPr>
          <w:ilvl w:val="0"/>
          <w:numId w:val="16"/>
        </w:numPr>
        <w:ind w:left="567" w:hanging="567"/>
      </w:pPr>
      <w:r>
        <w:t>kolestiramin</w:t>
      </w:r>
      <w:r w:rsidR="008E5110">
        <w:t>o</w:t>
      </w:r>
      <w:r>
        <w:t xml:space="preserve"> (vaist</w:t>
      </w:r>
      <w:r w:rsidR="008E5110">
        <w:t>o</w:t>
      </w:r>
      <w:r>
        <w:t xml:space="preserve">, </w:t>
      </w:r>
      <w:r w:rsidR="008E5110">
        <w:t xml:space="preserve">vartojamo, </w:t>
      </w:r>
      <w:r>
        <w:t xml:space="preserve">pvz., padidėjusiam cholesterolio kiekiui gydyti). </w:t>
      </w:r>
      <w:r w:rsidR="008E5110">
        <w:t>Tarp v</w:t>
      </w:r>
      <w:r>
        <w:t>aist</w:t>
      </w:r>
      <w:r w:rsidR="008E5110">
        <w:t>ų vartojimo turi būti</w:t>
      </w:r>
      <w:r>
        <w:t xml:space="preserve"> mažiausiai vienos valandos pertrauka</w:t>
      </w:r>
      <w:r w:rsidR="008E5110">
        <w:t>;</w:t>
      </w:r>
    </w:p>
    <w:p w14:paraId="0FEE7943" w14:textId="77777777" w:rsidR="00700928" w:rsidRDefault="00700928" w:rsidP="00FC0EEA">
      <w:pPr>
        <w:pStyle w:val="Sraopastraipa"/>
        <w:numPr>
          <w:ilvl w:val="0"/>
          <w:numId w:val="16"/>
        </w:numPr>
        <w:ind w:left="567" w:hanging="567"/>
      </w:pPr>
      <w:r>
        <w:t>probenecid</w:t>
      </w:r>
      <w:r w:rsidR="008E5110">
        <w:t xml:space="preserve">o </w:t>
      </w:r>
      <w:r>
        <w:t>(podagrai gydyti);</w:t>
      </w:r>
    </w:p>
    <w:p w14:paraId="4AAEAB06" w14:textId="77777777" w:rsidR="00700928" w:rsidRDefault="00700928" w:rsidP="00FC0EEA">
      <w:pPr>
        <w:pStyle w:val="Sraopastraipa"/>
        <w:numPr>
          <w:ilvl w:val="0"/>
          <w:numId w:val="16"/>
        </w:numPr>
        <w:ind w:left="567" w:hanging="567"/>
      </w:pPr>
      <w:r>
        <w:t>karbamazepin</w:t>
      </w:r>
      <w:r w:rsidR="008E5110">
        <w:t>o</w:t>
      </w:r>
      <w:r>
        <w:t>, fenitoin</w:t>
      </w:r>
      <w:r w:rsidR="008E5110">
        <w:t>o</w:t>
      </w:r>
      <w:r>
        <w:t>, fenobarbitali</w:t>
      </w:r>
      <w:r w:rsidR="008E5110">
        <w:t>o</w:t>
      </w:r>
      <w:r>
        <w:t xml:space="preserve"> (epilepsijai gydyti)</w:t>
      </w:r>
      <w:r w:rsidR="008E5110">
        <w:t>;</w:t>
      </w:r>
    </w:p>
    <w:p w14:paraId="29E3DB0D" w14:textId="77777777" w:rsidR="00700928" w:rsidRDefault="00700928" w:rsidP="00FC0EEA">
      <w:pPr>
        <w:pStyle w:val="Sraopastraipa"/>
        <w:numPr>
          <w:ilvl w:val="0"/>
          <w:numId w:val="16"/>
        </w:numPr>
        <w:ind w:left="567" w:hanging="567"/>
      </w:pPr>
      <w:r>
        <w:t>rifampicin</w:t>
      </w:r>
      <w:r w:rsidR="008E5110">
        <w:t>o</w:t>
      </w:r>
      <w:r>
        <w:t xml:space="preserve"> ir izoniazid</w:t>
      </w:r>
      <w:r w:rsidR="008E5110">
        <w:t>o</w:t>
      </w:r>
      <w:r>
        <w:t xml:space="preserve"> (antibiotik</w:t>
      </w:r>
      <w:r w:rsidR="008E5110">
        <w:t>ų</w:t>
      </w:r>
      <w:r>
        <w:t xml:space="preserve"> tuberkuliozei gydyti);</w:t>
      </w:r>
    </w:p>
    <w:p w14:paraId="25573B58" w14:textId="68164D17" w:rsidR="00700928" w:rsidRDefault="00E20D51" w:rsidP="00FC0EEA">
      <w:pPr>
        <w:pStyle w:val="Sraopastraipa"/>
        <w:numPr>
          <w:ilvl w:val="0"/>
          <w:numId w:val="16"/>
        </w:numPr>
        <w:ind w:left="567" w:hanging="567"/>
      </w:pPr>
      <w:r>
        <w:t>jonažolių žolės</w:t>
      </w:r>
      <w:r w:rsidR="00700928">
        <w:t xml:space="preserve"> (augalini</w:t>
      </w:r>
      <w:r w:rsidR="008E5110">
        <w:t>o</w:t>
      </w:r>
      <w:r w:rsidR="00700928">
        <w:t xml:space="preserve"> </w:t>
      </w:r>
      <w:r w:rsidR="008E5110">
        <w:t>preparato</w:t>
      </w:r>
      <w:r w:rsidR="00700928">
        <w:t>)</w:t>
      </w:r>
      <w:r w:rsidR="008E5110">
        <w:t>;</w:t>
      </w:r>
    </w:p>
    <w:p w14:paraId="1C0F70C1" w14:textId="3A986544" w:rsidR="00E84739" w:rsidRDefault="00700928" w:rsidP="00FC0EEA">
      <w:pPr>
        <w:pStyle w:val="Sraopastraipa"/>
        <w:numPr>
          <w:ilvl w:val="0"/>
          <w:numId w:val="16"/>
        </w:numPr>
        <w:ind w:left="567" w:hanging="567"/>
      </w:pPr>
      <w:r>
        <w:t>chloramfenikoli</w:t>
      </w:r>
      <w:r w:rsidR="008E5110">
        <w:t>o</w:t>
      </w:r>
      <w:r>
        <w:t xml:space="preserve"> (antibiotik</w:t>
      </w:r>
      <w:r w:rsidR="00584D01">
        <w:t>o</w:t>
      </w:r>
      <w:r>
        <w:t xml:space="preserve">), kai </w:t>
      </w:r>
      <w:r w:rsidR="00584D01">
        <w:t>vartojamas injekcijos būdu;</w:t>
      </w:r>
    </w:p>
    <w:p w14:paraId="20CAF887" w14:textId="5EE643CD" w:rsidR="00E84739" w:rsidRDefault="00E84739" w:rsidP="00432612">
      <w:pPr>
        <w:pStyle w:val="Sraopastraipa"/>
        <w:numPr>
          <w:ilvl w:val="0"/>
          <w:numId w:val="16"/>
        </w:numPr>
        <w:ind w:left="567" w:hanging="567"/>
      </w:pPr>
      <w:proofErr w:type="spellStart"/>
      <w:r w:rsidRPr="00E84739">
        <w:t>flukloksacilin</w:t>
      </w:r>
      <w:r w:rsidR="006E341A">
        <w:t>o</w:t>
      </w:r>
      <w:proofErr w:type="spellEnd"/>
      <w:r w:rsidRPr="00E84739">
        <w:t xml:space="preserve"> (antibiotik</w:t>
      </w:r>
      <w:r w:rsidR="006E341A">
        <w:t>o</w:t>
      </w:r>
      <w:r w:rsidRPr="00E84739">
        <w:t>)</w:t>
      </w:r>
      <w:r w:rsidR="00873D09">
        <w:t xml:space="preserve"> </w:t>
      </w:r>
      <w:r w:rsidR="00873D09" w:rsidRPr="00873D09">
        <w:t>dėl didelės kraujo ir skysčių tyrimų nenormalių rodiklių (vadinamos metabolinės acidozės) rizikos (žr. 2 skyrių), kurią reikia skubiai gydyti.</w:t>
      </w:r>
    </w:p>
    <w:p w14:paraId="7DEBCE38" w14:textId="77777777" w:rsidR="00700928" w:rsidRDefault="00700928" w:rsidP="00432612"/>
    <w:p w14:paraId="5A533E97" w14:textId="3D18186D" w:rsidR="000A7ECC" w:rsidRPr="00DF4173" w:rsidRDefault="00AF6BC5" w:rsidP="00FC0EEA">
      <w:pPr>
        <w:pStyle w:val="PI-3EMEASMCA"/>
      </w:pPr>
      <w:r>
        <w:t>Arax</w:t>
      </w:r>
      <w:r w:rsidR="00525EE9">
        <w:t xml:space="preserve"> </w:t>
      </w:r>
      <w:r w:rsidR="000A7ECC" w:rsidRPr="00DF4173">
        <w:t>vartojimas su maistu</w:t>
      </w:r>
      <w:r w:rsidR="000A7ECC">
        <w:t>,</w:t>
      </w:r>
      <w:r w:rsidR="000A7ECC" w:rsidRPr="00DF4173">
        <w:t xml:space="preserve"> gėrimais</w:t>
      </w:r>
      <w:r w:rsidR="000A7ECC">
        <w:t xml:space="preserve"> ir </w:t>
      </w:r>
      <w:r w:rsidR="000A7ECC" w:rsidRPr="00E51955">
        <w:t>alkoholiu</w:t>
      </w:r>
    </w:p>
    <w:p w14:paraId="4695179F" w14:textId="77777777" w:rsidR="000A7ECC" w:rsidRDefault="00584D01" w:rsidP="00FC0EEA">
      <w:r w:rsidRPr="00584D01">
        <w:t>Vartojant šį vaistą, reikia vengti alkoholinių gėrimų. Alkoholio ir paracetamolio vartojimas kartu gali sukelti sunkų kepenų pažeidimą.</w:t>
      </w:r>
    </w:p>
    <w:p w14:paraId="60B816C3" w14:textId="77777777" w:rsidR="00584D01" w:rsidRPr="00E06A3A" w:rsidRDefault="00584D01" w:rsidP="00FC0EEA"/>
    <w:p w14:paraId="114E152E" w14:textId="77777777" w:rsidR="000A7ECC" w:rsidRPr="00505DBF" w:rsidRDefault="000A7ECC" w:rsidP="00FC0EEA">
      <w:pPr>
        <w:rPr>
          <w:b/>
        </w:rPr>
      </w:pPr>
      <w:r w:rsidRPr="00505DBF">
        <w:rPr>
          <w:b/>
        </w:rPr>
        <w:t xml:space="preserve">Nėštumas ir žindymo laikotarpis </w:t>
      </w:r>
    </w:p>
    <w:p w14:paraId="7B8F2D1F" w14:textId="77777777" w:rsidR="000A7ECC" w:rsidRDefault="000A7ECC" w:rsidP="00FC0EEA">
      <w:pPr>
        <w:rPr>
          <w:noProof/>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Pr>
          <w:noProof/>
          <w:szCs w:val="24"/>
        </w:rPr>
        <w:t xml:space="preserve"> pasitarkite su gydytoju arba vaistininku</w:t>
      </w:r>
      <w:r w:rsidR="004C741F">
        <w:rPr>
          <w:noProof/>
          <w:szCs w:val="24"/>
        </w:rPr>
        <w:t>.</w:t>
      </w:r>
    </w:p>
    <w:p w14:paraId="3EC2ECEE" w14:textId="77777777" w:rsidR="004C741F" w:rsidRPr="00E06A3A" w:rsidRDefault="004C741F" w:rsidP="00FC0EEA"/>
    <w:p w14:paraId="57084B3D" w14:textId="606DDFF1" w:rsidR="000A7ECC" w:rsidRPr="00E06A3A" w:rsidRDefault="00C0119E" w:rsidP="00FC0EEA">
      <w:r w:rsidRPr="00C0119E">
        <w:t>Jei būtina</w:t>
      </w:r>
      <w:r w:rsidR="004C741F">
        <w:t>,</w:t>
      </w:r>
      <w:r w:rsidRPr="00C0119E">
        <w:t xml:space="preserve"> </w:t>
      </w:r>
      <w:r w:rsidR="00AF6BC5">
        <w:t>Arax</w:t>
      </w:r>
      <w:r w:rsidR="00525EE9">
        <w:t xml:space="preserve"> </w:t>
      </w:r>
      <w:r w:rsidRPr="00C0119E">
        <w:t>galima vartoti nėštumo metu. Turėtumėte vartoti kuo mažesnę vaisto dozę, kurios pakanka skausmui ir (arba) karščiavimui sumažinti, ir vartoti vaistą kuo</w:t>
      </w:r>
      <w:r w:rsidR="004C741F">
        <w:t xml:space="preserve"> </w:t>
      </w:r>
      <w:r w:rsidRPr="00C0119E">
        <w:t>trumpiau. Jeigu skausmas ir (arba) karščiavimas nemažėja arba Jums reikia dažniau vartoti š</w:t>
      </w:r>
      <w:r w:rsidR="003F4182">
        <w:t>io</w:t>
      </w:r>
      <w:r w:rsidRPr="00C0119E">
        <w:t xml:space="preserve"> vaist</w:t>
      </w:r>
      <w:r w:rsidR="003F4182">
        <w:t>o</w:t>
      </w:r>
      <w:r w:rsidRPr="00C0119E">
        <w:t>, kreipkitės į gydytoją.</w:t>
      </w:r>
    </w:p>
    <w:p w14:paraId="743B48C3" w14:textId="77777777" w:rsidR="004C741F" w:rsidRDefault="004C741F" w:rsidP="00FC0EEA"/>
    <w:p w14:paraId="2163465F" w14:textId="77777777" w:rsidR="004C741F" w:rsidRDefault="004C741F" w:rsidP="00FC0EEA">
      <w:r>
        <w:t>Nedidelis paracetamolio kiekis</w:t>
      </w:r>
      <w:r w:rsidR="000A7ECC" w:rsidRPr="00E06A3A">
        <w:t xml:space="preserve"> patenka į motinos pieną</w:t>
      </w:r>
      <w:r>
        <w:t xml:space="preserve">. </w:t>
      </w:r>
      <w:r w:rsidRPr="004C741F">
        <w:t>Šį vaistą galima vartoti žindymo laikotarpi</w:t>
      </w:r>
      <w:r>
        <w:t>u</w:t>
      </w:r>
      <w:r w:rsidRPr="004C741F">
        <w:t xml:space="preserve">. Neviršykite šiame lapelyje </w:t>
      </w:r>
      <w:r>
        <w:t xml:space="preserve">nurodytos </w:t>
      </w:r>
      <w:r w:rsidRPr="004C741F">
        <w:t>rekomenduojamos paros dozės.</w:t>
      </w:r>
    </w:p>
    <w:p w14:paraId="788F62C8" w14:textId="77777777" w:rsidR="000A7ECC" w:rsidRPr="00E06A3A" w:rsidRDefault="000A7ECC" w:rsidP="001E1730">
      <w:pPr>
        <w:pStyle w:val="BTEMEASMCA"/>
      </w:pPr>
    </w:p>
    <w:p w14:paraId="2FCD7C4E" w14:textId="77777777" w:rsidR="000A7ECC" w:rsidRPr="00DF4173" w:rsidRDefault="000A7ECC" w:rsidP="00FC0EEA">
      <w:pPr>
        <w:pStyle w:val="PI-3EMEASMCA"/>
      </w:pPr>
      <w:r w:rsidRPr="00DF4173">
        <w:t>Vairavimas ir mechanizmų valdymas</w:t>
      </w:r>
    </w:p>
    <w:p w14:paraId="79269AAB" w14:textId="7235124A" w:rsidR="000A7ECC" w:rsidRPr="00E06A3A" w:rsidRDefault="00AF6BC5" w:rsidP="00FC0EEA">
      <w:r>
        <w:t>Arax</w:t>
      </w:r>
      <w:r w:rsidR="00525EE9">
        <w:t xml:space="preserve"> </w:t>
      </w:r>
      <w:r w:rsidR="000A7ECC" w:rsidRPr="00E06A3A">
        <w:t>gebėjimo vairuoti ir valdyti mechanizmus neveikia</w:t>
      </w:r>
      <w:r w:rsidR="000A7ECC">
        <w:t>.</w:t>
      </w:r>
    </w:p>
    <w:p w14:paraId="59088642" w14:textId="77777777" w:rsidR="000A7ECC" w:rsidRDefault="000A7ECC" w:rsidP="001E1730">
      <w:pPr>
        <w:pStyle w:val="BTEMEASMCA"/>
      </w:pPr>
    </w:p>
    <w:p w14:paraId="371380CC" w14:textId="790B96BE" w:rsidR="00DD5F9F" w:rsidRPr="00DD5F9F" w:rsidRDefault="00AF6BC5" w:rsidP="00FC0EEA">
      <w:pPr>
        <w:rPr>
          <w:b/>
          <w:bCs/>
        </w:rPr>
      </w:pPr>
      <w:r>
        <w:rPr>
          <w:b/>
          <w:bCs/>
        </w:rPr>
        <w:t>Arax</w:t>
      </w:r>
      <w:r w:rsidR="00DD5F9F" w:rsidRPr="00DD5F9F">
        <w:rPr>
          <w:b/>
          <w:bCs/>
        </w:rPr>
        <w:t xml:space="preserve"> sudėtyje yra</w:t>
      </w:r>
    </w:p>
    <w:p w14:paraId="0240DE64" w14:textId="77777777" w:rsidR="00DD5F9F" w:rsidRDefault="00DD5F9F" w:rsidP="00FC0EEA">
      <w:pPr>
        <w:pStyle w:val="Sraopastraipa"/>
        <w:numPr>
          <w:ilvl w:val="0"/>
          <w:numId w:val="14"/>
        </w:numPr>
        <w:tabs>
          <w:tab w:val="clear" w:pos="567"/>
          <w:tab w:val="left" w:pos="709"/>
        </w:tabs>
        <w:ind w:left="567" w:hanging="567"/>
      </w:pPr>
      <w:r w:rsidRPr="00613047">
        <w:t>manitoli</w:t>
      </w:r>
      <w:r>
        <w:t>o</w:t>
      </w:r>
      <w:r w:rsidRPr="00613047">
        <w:t>, kuris gali truputį laisvinti vidurius</w:t>
      </w:r>
      <w:r>
        <w:t>;</w:t>
      </w:r>
    </w:p>
    <w:p w14:paraId="0DA0525C" w14:textId="215B102F" w:rsidR="00DD5F9F" w:rsidRPr="005277B0" w:rsidRDefault="00DD5F9F" w:rsidP="00FC0EEA">
      <w:pPr>
        <w:pStyle w:val="Sraopastraipa"/>
        <w:numPr>
          <w:ilvl w:val="0"/>
          <w:numId w:val="14"/>
        </w:numPr>
        <w:tabs>
          <w:tab w:val="clear" w:pos="567"/>
          <w:tab w:val="left" w:pos="709"/>
        </w:tabs>
        <w:ind w:left="567" w:hanging="567"/>
        <w:rPr>
          <w:iCs/>
          <w:szCs w:val="22"/>
        </w:rPr>
      </w:pPr>
      <w:r w:rsidRPr="005277B0">
        <w:rPr>
          <w:szCs w:val="22"/>
        </w:rPr>
        <w:t>ksilitoli</w:t>
      </w:r>
      <w:r w:rsidRPr="00196ADF">
        <w:rPr>
          <w:szCs w:val="22"/>
        </w:rPr>
        <w:t>o (1</w:t>
      </w:r>
      <w:r w:rsidR="00E20D51" w:rsidRPr="00196ADF">
        <w:rPr>
          <w:szCs w:val="22"/>
        </w:rPr>
        <w:t> </w:t>
      </w:r>
      <w:r w:rsidRPr="00196ADF">
        <w:rPr>
          <w:szCs w:val="22"/>
        </w:rPr>
        <w:t>665 mg paketėlyje), kuris gali laisvinti vidurius.</w:t>
      </w:r>
      <w:r w:rsidR="005277B0" w:rsidRPr="00432612">
        <w:rPr>
          <w:lang w:val="fi-FI"/>
        </w:rPr>
        <w:t xml:space="preserve"> </w:t>
      </w:r>
      <w:r w:rsidR="005277B0" w:rsidRPr="00432612">
        <w:rPr>
          <w:szCs w:val="22"/>
          <w:lang w:val="en-GB" w:eastAsia="lt-LT"/>
        </w:rPr>
        <w:t xml:space="preserve">1 g </w:t>
      </w:r>
      <w:proofErr w:type="spellStart"/>
      <w:r w:rsidR="005277B0" w:rsidRPr="00432612">
        <w:rPr>
          <w:szCs w:val="22"/>
          <w:lang w:val="en-GB" w:eastAsia="lt-LT"/>
        </w:rPr>
        <w:t>ksilitolio</w:t>
      </w:r>
      <w:proofErr w:type="spellEnd"/>
      <w:r w:rsidR="005277B0" w:rsidRPr="00432612">
        <w:rPr>
          <w:szCs w:val="22"/>
          <w:lang w:val="en-GB" w:eastAsia="lt-LT"/>
        </w:rPr>
        <w:t xml:space="preserve"> </w:t>
      </w:r>
      <w:proofErr w:type="spellStart"/>
      <w:r w:rsidR="005277B0" w:rsidRPr="00432612">
        <w:rPr>
          <w:szCs w:val="22"/>
          <w:lang w:val="en-GB" w:eastAsia="lt-LT"/>
        </w:rPr>
        <w:t>energinė</w:t>
      </w:r>
      <w:proofErr w:type="spellEnd"/>
      <w:r w:rsidR="005277B0" w:rsidRPr="00432612">
        <w:rPr>
          <w:szCs w:val="22"/>
          <w:lang w:val="en-GB" w:eastAsia="lt-LT"/>
        </w:rPr>
        <w:t xml:space="preserve"> </w:t>
      </w:r>
      <w:proofErr w:type="spellStart"/>
      <w:r w:rsidR="005277B0" w:rsidRPr="00432612">
        <w:rPr>
          <w:szCs w:val="22"/>
          <w:lang w:val="en-GB" w:eastAsia="lt-LT"/>
        </w:rPr>
        <w:t>vertė</w:t>
      </w:r>
      <w:proofErr w:type="spellEnd"/>
      <w:r w:rsidR="005277B0" w:rsidRPr="00432612">
        <w:rPr>
          <w:szCs w:val="22"/>
          <w:lang w:val="en-GB" w:eastAsia="lt-LT"/>
        </w:rPr>
        <w:t xml:space="preserve"> – 2,4 kcal.</w:t>
      </w:r>
    </w:p>
    <w:p w14:paraId="5A845775" w14:textId="77777777" w:rsidR="00DD5F9F" w:rsidRPr="00E06A3A" w:rsidRDefault="00DD5F9F" w:rsidP="001E1730">
      <w:pPr>
        <w:pStyle w:val="BTEMEASMCA"/>
      </w:pPr>
    </w:p>
    <w:p w14:paraId="221C11A7" w14:textId="77777777" w:rsidR="000A7ECC" w:rsidRPr="00DF4173" w:rsidRDefault="000A7ECC" w:rsidP="001E1730">
      <w:pPr>
        <w:pStyle w:val="BTEMEASMCA"/>
      </w:pPr>
    </w:p>
    <w:p w14:paraId="29DDE798" w14:textId="3D889ECF" w:rsidR="000A7ECC" w:rsidRPr="00DF4173" w:rsidRDefault="000A7ECC" w:rsidP="00432612">
      <w:pPr>
        <w:pStyle w:val="PI-1EMEASMCA"/>
      </w:pPr>
      <w:bookmarkStart w:id="79" w:name="_Toc129243141"/>
      <w:bookmarkStart w:id="80" w:name="_Toc129243266"/>
      <w:r w:rsidRPr="00DF4173">
        <w:t>3.</w:t>
      </w:r>
      <w:r w:rsidRPr="00DF4173">
        <w:tab/>
        <w:t xml:space="preserve">Kaip vartoti </w:t>
      </w:r>
      <w:bookmarkEnd w:id="79"/>
      <w:bookmarkEnd w:id="80"/>
      <w:r w:rsidR="00AF6BC5">
        <w:t>Arax</w:t>
      </w:r>
    </w:p>
    <w:p w14:paraId="410A8756" w14:textId="77777777" w:rsidR="000A7ECC" w:rsidRPr="00DF4173" w:rsidRDefault="000A7ECC" w:rsidP="001E1730">
      <w:pPr>
        <w:pStyle w:val="BTEMEASMCA"/>
      </w:pPr>
    </w:p>
    <w:p w14:paraId="4BF6D545" w14:textId="77777777" w:rsidR="00DD5F9F" w:rsidRPr="00E06A3A" w:rsidRDefault="00DD5F9F" w:rsidP="00FC0EEA">
      <w:pPr>
        <w:tabs>
          <w:tab w:val="clear" w:pos="567"/>
        </w:tabs>
        <w:spacing w:line="240" w:lineRule="auto"/>
        <w:ind w:right="-2"/>
      </w:pPr>
      <w:r w:rsidRPr="00DD5F9F">
        <w:t>Visada vartokite šį vaistą tiksliai, kaip aprašyta šiame lapelyje arba kaip nurodė gydytojas</w:t>
      </w:r>
      <w:r>
        <w:t xml:space="preserve"> </w:t>
      </w:r>
      <w:r w:rsidRPr="00DD5F9F">
        <w:t xml:space="preserve">arba vaistininkas. </w:t>
      </w:r>
    </w:p>
    <w:p w14:paraId="5760888A" w14:textId="77777777" w:rsidR="000A7ECC" w:rsidRPr="00E06A3A" w:rsidRDefault="000A7ECC" w:rsidP="00FC0EEA">
      <w:r w:rsidRPr="00E06A3A">
        <w:t xml:space="preserve">Jeigu abejojate, kreipkitės į gydytoją arba vaistininką. </w:t>
      </w:r>
    </w:p>
    <w:p w14:paraId="2D62F31F" w14:textId="77777777" w:rsidR="000A7ECC" w:rsidRDefault="000A7ECC" w:rsidP="00FC0EEA"/>
    <w:p w14:paraId="4815AFB2" w14:textId="77777777" w:rsidR="00DD5F9F" w:rsidRDefault="00DD5F9F" w:rsidP="00FC0EEA">
      <w:r w:rsidRPr="00DD5F9F">
        <w:t>Jei skausmas tęsiasi ilgiau nei 5 dienas arba karščiuoja</w:t>
      </w:r>
      <w:r w:rsidR="00DA5BDF">
        <w:t>te</w:t>
      </w:r>
      <w:r w:rsidRPr="00DD5F9F">
        <w:t xml:space="preserve"> ilgiau nei 3 dienas arba jie sustiprėja, reikia kreiptis į gydytoją.</w:t>
      </w:r>
    </w:p>
    <w:p w14:paraId="03022BCA" w14:textId="77777777" w:rsidR="00DD5F9F" w:rsidRDefault="00DD5F9F" w:rsidP="00FC0EEA"/>
    <w:p w14:paraId="05569BFC" w14:textId="77777777" w:rsidR="00DA5BDF" w:rsidRDefault="00DA5BDF" w:rsidP="00FC0EEA">
      <w:r w:rsidRPr="00DA5BDF">
        <w:t xml:space="preserve">Įspėjimas! Didesnės nei rekomenduojama dozės gali sukelti labai sunkų kepenų pažeidimą. Neviršykite toliau nurodytos paros dozės. Visada </w:t>
      </w:r>
      <w:r>
        <w:t>vartokite</w:t>
      </w:r>
      <w:r w:rsidRPr="00DA5BDF">
        <w:t xml:space="preserve"> mažiausią įmanomą dozę, kuri sumažintų skausmą ir (arba) karščiavimą, ir </w:t>
      </w:r>
      <w:r>
        <w:t>vartokite</w:t>
      </w:r>
      <w:r w:rsidRPr="00DA5BDF">
        <w:t xml:space="preserve"> ją kuo trumpesnį laiką.</w:t>
      </w:r>
    </w:p>
    <w:p w14:paraId="66AABD7B" w14:textId="77777777" w:rsidR="00DA5BDF" w:rsidRDefault="00DA5BDF" w:rsidP="00FC0EEA"/>
    <w:p w14:paraId="3F340B97" w14:textId="77777777" w:rsidR="00DA5BDF" w:rsidRDefault="00DA5BDF" w:rsidP="00FC0EEA">
      <w:r>
        <w:t>Rekomenduojama dozė</w:t>
      </w:r>
    </w:p>
    <w:p w14:paraId="4AAD6A55" w14:textId="77777777" w:rsidR="00DA5BDF" w:rsidRDefault="00DA5BDF" w:rsidP="00FC0EEA"/>
    <w:p w14:paraId="79D52DD8" w14:textId="77777777" w:rsidR="00DA5BDF" w:rsidRPr="00432612" w:rsidRDefault="00DA5BDF" w:rsidP="001E1730">
      <w:pPr>
        <w:pStyle w:val="BTEMEASMCA"/>
        <w:rPr>
          <w:i/>
        </w:rPr>
      </w:pPr>
      <w:r w:rsidRPr="00432612">
        <w:rPr>
          <w:i/>
        </w:rPr>
        <w:t>Suaugusiesiems</w:t>
      </w:r>
      <w:r w:rsidRPr="001E1730">
        <w:rPr>
          <w:i/>
        </w:rPr>
        <w:t xml:space="preserve"> bei 12 metų ir vyresniems paaugliams</w:t>
      </w:r>
      <w:r w:rsidRPr="001E1730">
        <w:t xml:space="preserve"> </w:t>
      </w:r>
    </w:p>
    <w:p w14:paraId="024CB80D" w14:textId="77777777" w:rsidR="00DA5BDF" w:rsidRPr="00DA5BDF" w:rsidRDefault="00DA5BDF" w:rsidP="001E1730">
      <w:pPr>
        <w:pStyle w:val="BTEMEASMCA"/>
      </w:pPr>
      <w:r w:rsidRPr="00DA5BDF">
        <w:t>Pacientams, sveriantiems 34-60 kg: po 1 paketėlį kas 4-6 valandas pagal poreikį. Didžiausia paros dozė yra 4 paketėliai per 24 valandas (2000 mg paracetamolio per 24 valandas).</w:t>
      </w:r>
    </w:p>
    <w:p w14:paraId="543D7282" w14:textId="77777777" w:rsidR="00DA5BDF" w:rsidRPr="00DA5BDF" w:rsidRDefault="00DA5BDF" w:rsidP="001E1730">
      <w:pPr>
        <w:pStyle w:val="BTEMEASMCA"/>
      </w:pPr>
      <w:r w:rsidRPr="00DA5BDF">
        <w:t>Pacientams, sveriantiems daugiau kaip 60 kg: po 1-2 paketėlius kas 4-6 valandas pagal poreikį. Didžiausia paros dozė yra 6 paketėliai per 24 valandas (3000 mg paracetamolio per 24 valandas).</w:t>
      </w:r>
    </w:p>
    <w:p w14:paraId="545ED060" w14:textId="77777777" w:rsidR="00DA5BDF" w:rsidRPr="00DA5BDF" w:rsidRDefault="00DA5BDF" w:rsidP="001E1730">
      <w:pPr>
        <w:pStyle w:val="BTEMEASMCA"/>
      </w:pPr>
      <w:r w:rsidRPr="00DA5BDF">
        <w:t>Minimalus intervalas tarp dozių vartojimo – 4 valandos.</w:t>
      </w:r>
    </w:p>
    <w:p w14:paraId="546CD9FA" w14:textId="77777777" w:rsidR="00DA5BDF" w:rsidRPr="00DA5BDF" w:rsidRDefault="00DA5BDF">
      <w:pPr>
        <w:pStyle w:val="BTEMEASMCA"/>
      </w:pPr>
    </w:p>
    <w:p w14:paraId="6EF32342" w14:textId="77777777" w:rsidR="00DA5BDF" w:rsidRPr="00432612" w:rsidRDefault="00DA5BDF">
      <w:pPr>
        <w:pStyle w:val="BTEMEASMCA"/>
        <w:rPr>
          <w:i/>
        </w:rPr>
      </w:pPr>
      <w:r w:rsidRPr="00432612">
        <w:rPr>
          <w:i/>
        </w:rPr>
        <w:t>Vaikai iki 12 metų ir paaugliai, sveriantys mažiau nei 34 kg</w:t>
      </w:r>
    </w:p>
    <w:p w14:paraId="009C9A36" w14:textId="3D414CD5" w:rsidR="00DA5BDF" w:rsidRPr="00DA5BDF" w:rsidRDefault="00466157">
      <w:pPr>
        <w:pStyle w:val="BTEMEASMCA"/>
      </w:pPr>
      <w:r>
        <w:t>Arax</w:t>
      </w:r>
      <w:r w:rsidR="00DA5BDF" w:rsidRPr="00DA5BDF">
        <w:t xml:space="preserve"> neskirtas jaunesniems nei 12 metų vaikams ir paaugliams, sveriantiems mažiau nei 34 kg, kadangi dozės stiprumas nerekomenduojamas šiai amžiaus / kūno svorio grupei. </w:t>
      </w:r>
    </w:p>
    <w:p w14:paraId="12D4A738" w14:textId="77777777" w:rsidR="00DA5BDF" w:rsidRPr="00DA5BDF" w:rsidRDefault="00DA5BDF">
      <w:pPr>
        <w:pStyle w:val="BTEMEASMCA"/>
      </w:pPr>
    </w:p>
    <w:p w14:paraId="031FB929" w14:textId="2ED9791F" w:rsidR="00DA5BDF" w:rsidRPr="00432612" w:rsidRDefault="00DA5BDF">
      <w:pPr>
        <w:pStyle w:val="BTEMEASMCA"/>
        <w:rPr>
          <w:i/>
        </w:rPr>
      </w:pPr>
      <w:r w:rsidRPr="00432612">
        <w:rPr>
          <w:i/>
        </w:rPr>
        <w:t>Pacientams, kurių kepenų ar inkstų funkcij</w:t>
      </w:r>
      <w:r w:rsidR="001E1730">
        <w:rPr>
          <w:i/>
        </w:rPr>
        <w:t>os</w:t>
      </w:r>
      <w:r w:rsidRPr="00432612">
        <w:rPr>
          <w:i/>
        </w:rPr>
        <w:t xml:space="preserve"> sutrikusi</w:t>
      </w:r>
      <w:r w:rsidR="001E1730">
        <w:rPr>
          <w:i/>
        </w:rPr>
        <w:t>os</w:t>
      </w:r>
      <w:r w:rsidRPr="00432612">
        <w:rPr>
          <w:i/>
        </w:rPr>
        <w:t xml:space="preserve"> </w:t>
      </w:r>
    </w:p>
    <w:p w14:paraId="730F0025" w14:textId="77777777" w:rsidR="00DA5BDF" w:rsidRDefault="00DA5BDF">
      <w:pPr>
        <w:pStyle w:val="BTEMEASMCA"/>
      </w:pPr>
      <w:r w:rsidRPr="00DA5BDF">
        <w:t>Jei sutrikusi kepenų ar inkstų funkcija, dozę reikia sumažinti arba pailginti intervalą</w:t>
      </w:r>
      <w:r>
        <w:t xml:space="preserve"> tarp dozių vartojimo</w:t>
      </w:r>
      <w:r w:rsidRPr="00DA5BDF">
        <w:t>. Prieš vartodami šį vaistą, pasitarkite su gydytoju.</w:t>
      </w:r>
    </w:p>
    <w:p w14:paraId="21856E04" w14:textId="77777777" w:rsidR="008C36FB" w:rsidRPr="00DA5BDF" w:rsidRDefault="008C36FB">
      <w:pPr>
        <w:pStyle w:val="BTEMEASMCA"/>
      </w:pPr>
    </w:p>
    <w:p w14:paraId="16DA44E1" w14:textId="77777777" w:rsidR="008C36FB" w:rsidRDefault="008C36FB" w:rsidP="00432612">
      <w:pPr>
        <w:pStyle w:val="Betarp"/>
      </w:pPr>
      <w:r w:rsidRPr="008C36FB">
        <w:t>Vartojimo metodas</w:t>
      </w:r>
    </w:p>
    <w:p w14:paraId="4E9132C5" w14:textId="77777777" w:rsidR="008C36FB" w:rsidRPr="008C36FB" w:rsidRDefault="008C36FB">
      <w:pPr>
        <w:pStyle w:val="BTEMEASMCA"/>
      </w:pPr>
      <w:r w:rsidRPr="008C36FB">
        <w:t>Paketėlio turinį reikia ištirpinti puodelyje karšto, bet ne verdančio vandens ir gerai išmaišyti. Paruoštą tirpalą reikia išgerti per 30 minučių.</w:t>
      </w:r>
    </w:p>
    <w:p w14:paraId="335590E6" w14:textId="77777777" w:rsidR="00DA5BDF" w:rsidRPr="00DA5BDF" w:rsidRDefault="00DA5BDF">
      <w:pPr>
        <w:pStyle w:val="BTEMEASMCA"/>
      </w:pPr>
    </w:p>
    <w:p w14:paraId="74A49F85" w14:textId="0D2D54DC" w:rsidR="000A7ECC" w:rsidRPr="00DF4173" w:rsidRDefault="000A7ECC" w:rsidP="00FC0EEA">
      <w:pPr>
        <w:pStyle w:val="PI-3EMEASMCA"/>
      </w:pPr>
      <w:r>
        <w:t>Ką daryti p</w:t>
      </w:r>
      <w:r w:rsidR="008C36FB">
        <w:t>a</w:t>
      </w:r>
      <w:r w:rsidRPr="00DF4173">
        <w:t xml:space="preserve">vartojus per didelę </w:t>
      </w:r>
      <w:r w:rsidR="00466157">
        <w:t>Arax</w:t>
      </w:r>
      <w:r>
        <w:t xml:space="preserve"> </w:t>
      </w:r>
      <w:r w:rsidRPr="00DF4173">
        <w:t>dozę</w:t>
      </w:r>
    </w:p>
    <w:p w14:paraId="6A889498" w14:textId="77777777" w:rsidR="008C36FB" w:rsidRDefault="008C36FB" w:rsidP="00FC0EEA">
      <w:r>
        <w:lastRenderedPageBreak/>
        <w:t>Paracetamolio perdozavimas gali būti mirtinas dėl negrįžtamo kepenų pažeidimo. Perdozavus arba atsitiktinai išgėrus, nedelsiant kreipkitės medicininės pagalbos. Greita medicininė pagalba yra labai svarbi, net jei jaučiatės gerai, nes yra rimto kepenų pažeidimo rizika.</w:t>
      </w:r>
    </w:p>
    <w:p w14:paraId="14B97EFC" w14:textId="77777777" w:rsidR="008C36FB" w:rsidRDefault="008C36FB" w:rsidP="00FC0EEA">
      <w:r>
        <w:t>Kuo trumpesnis intervalas tarp vartojimo ir gydymo priešnuodžiu pradžios (kuo mažiau valandų), tuo didesnė tikimybė, kad bus išvengta kepenų pažeidimo.</w:t>
      </w:r>
    </w:p>
    <w:p w14:paraId="2B495560" w14:textId="77777777" w:rsidR="000A7ECC" w:rsidRPr="00E06A3A" w:rsidRDefault="000A7ECC" w:rsidP="00FC0EEA"/>
    <w:p w14:paraId="375D16D2" w14:textId="1F1D285B" w:rsidR="000A7ECC" w:rsidRPr="00DF4173" w:rsidRDefault="000A7ECC" w:rsidP="00FC0EEA">
      <w:pPr>
        <w:pStyle w:val="PI-3EMEASMCA"/>
      </w:pPr>
      <w:r w:rsidRPr="00DF4173">
        <w:t xml:space="preserve">Pamiršus pavartoti </w:t>
      </w:r>
      <w:r w:rsidR="00466157">
        <w:t>Arax</w:t>
      </w:r>
    </w:p>
    <w:p w14:paraId="0941530E" w14:textId="30CB7D74" w:rsidR="000A7ECC" w:rsidRPr="00DF4173" w:rsidRDefault="000A7ECC" w:rsidP="001E1730">
      <w:pPr>
        <w:pStyle w:val="BTEMEASMCA"/>
      </w:pPr>
      <w:r w:rsidRPr="00DF4173">
        <w:t>Negalima vartoti dvigubos dozės norint kompensuoti praleistą dozę.</w:t>
      </w:r>
      <w:r w:rsidR="00C67133" w:rsidRPr="00C67133">
        <w:t xml:space="preserve"> Niekada nevartokite dviejų dozių </w:t>
      </w:r>
      <w:r w:rsidR="00C67133">
        <w:t xml:space="preserve">per </w:t>
      </w:r>
      <w:r w:rsidR="001E1730">
        <w:t xml:space="preserve">trumpesnį </w:t>
      </w:r>
      <w:r w:rsidR="00C67133">
        <w:t xml:space="preserve">nei rekomenduojama laikotarpį. </w:t>
      </w:r>
      <w:r w:rsidR="00C67133" w:rsidRPr="00C67133">
        <w:t>Tarp dviejų dozių visada palikite mažiausiai 4 valandų pertrauką.</w:t>
      </w:r>
    </w:p>
    <w:p w14:paraId="2A1BEE9E" w14:textId="77777777" w:rsidR="000A7ECC" w:rsidRPr="00DF4173" w:rsidRDefault="000A7ECC" w:rsidP="001E1730">
      <w:pPr>
        <w:pStyle w:val="BTEMEASMCA"/>
      </w:pPr>
    </w:p>
    <w:p w14:paraId="0C9DF586" w14:textId="77777777" w:rsidR="000A7ECC" w:rsidRPr="00DF4173" w:rsidRDefault="000A7ECC" w:rsidP="001E1730">
      <w:pPr>
        <w:pStyle w:val="BTEMEASMCA"/>
      </w:pPr>
      <w:r w:rsidRPr="00DF4173">
        <w:t xml:space="preserve">Jeigu kiltų </w:t>
      </w:r>
      <w:r>
        <w:t xml:space="preserve">daugiau </w:t>
      </w:r>
      <w:r w:rsidRPr="00DF4173">
        <w:t>klausimų dėl šio vaisto vartojimo, kreipkitės į gydytoją arba vaistininką.</w:t>
      </w:r>
    </w:p>
    <w:p w14:paraId="22E0CC28" w14:textId="77777777" w:rsidR="000A7ECC" w:rsidRPr="00DF4173" w:rsidRDefault="000A7ECC" w:rsidP="001E1730">
      <w:pPr>
        <w:pStyle w:val="BTEMEASMCA"/>
      </w:pPr>
    </w:p>
    <w:p w14:paraId="2504D008" w14:textId="77777777" w:rsidR="000A7ECC" w:rsidRPr="00DF4173" w:rsidRDefault="000A7ECC">
      <w:pPr>
        <w:pStyle w:val="BTEMEASMCA"/>
      </w:pPr>
    </w:p>
    <w:p w14:paraId="44AD90E8" w14:textId="4C4FC6A4" w:rsidR="000A7ECC" w:rsidRPr="00DF4173" w:rsidRDefault="000A7ECC" w:rsidP="00432612">
      <w:pPr>
        <w:pStyle w:val="PI-1EMEASMCA"/>
      </w:pPr>
      <w:bookmarkStart w:id="81" w:name="_Toc129243142"/>
      <w:bookmarkStart w:id="82" w:name="_Toc129243267"/>
      <w:r w:rsidRPr="00DF4173">
        <w:t>4.</w:t>
      </w:r>
      <w:r w:rsidRPr="00DF4173">
        <w:tab/>
        <w:t>Galimas šalutinis poveikis</w:t>
      </w:r>
      <w:bookmarkEnd w:id="81"/>
      <w:bookmarkEnd w:id="82"/>
    </w:p>
    <w:p w14:paraId="519CF17E" w14:textId="77777777" w:rsidR="000A7ECC" w:rsidRPr="00DF4173" w:rsidRDefault="000A7ECC" w:rsidP="001E1730">
      <w:pPr>
        <w:pStyle w:val="BTEMEASMCA"/>
      </w:pPr>
    </w:p>
    <w:p w14:paraId="0CE9471E" w14:textId="77777777" w:rsidR="000A7ECC" w:rsidRPr="00153901" w:rsidRDefault="000A7ECC" w:rsidP="00FC0EEA">
      <w:pPr>
        <w:numPr>
          <w:ilvl w:val="12"/>
          <w:numId w:val="0"/>
        </w:numPr>
        <w:tabs>
          <w:tab w:val="clear" w:pos="567"/>
        </w:tabs>
        <w:spacing w:line="240" w:lineRule="auto"/>
        <w:ind w:right="-29"/>
      </w:pPr>
      <w:r w:rsidRPr="00153901">
        <w:rPr>
          <w:szCs w:val="24"/>
        </w:rPr>
        <w:t>Šis vaistas, kaip ir visi kiti, gali sukelti šalutinį poveikį, nors jis pasireiškia ne visiems žmonėms.</w:t>
      </w:r>
    </w:p>
    <w:p w14:paraId="6C5A034B" w14:textId="77777777" w:rsidR="003F4182" w:rsidRDefault="003F4182" w:rsidP="00FC0EEA">
      <w:pPr>
        <w:rPr>
          <w:i/>
        </w:rPr>
      </w:pPr>
    </w:p>
    <w:p w14:paraId="543D3354" w14:textId="77777777" w:rsidR="00C67133" w:rsidRPr="00C67133" w:rsidRDefault="00C67133" w:rsidP="00FC0EEA">
      <w:pPr>
        <w:rPr>
          <w:b/>
          <w:bCs/>
          <w:iCs/>
        </w:rPr>
      </w:pPr>
      <w:r w:rsidRPr="00C67133">
        <w:rPr>
          <w:b/>
          <w:bCs/>
          <w:iCs/>
        </w:rPr>
        <w:t>NUTRAUKITE šio vaisto vartojimą ir nedelsdami kreipkitės į gydytoją, jeigu Jums pasireiškė:</w:t>
      </w:r>
    </w:p>
    <w:p w14:paraId="4AE70AB0" w14:textId="3CA1F9E2" w:rsidR="00C67133" w:rsidRPr="00C67133" w:rsidRDefault="00C67133" w:rsidP="00FC0EEA">
      <w:pPr>
        <w:pStyle w:val="Sraopastraipa"/>
        <w:numPr>
          <w:ilvl w:val="0"/>
          <w:numId w:val="17"/>
        </w:numPr>
        <w:ind w:left="567" w:hanging="567"/>
        <w:rPr>
          <w:iCs/>
        </w:rPr>
      </w:pPr>
      <w:r w:rsidRPr="00C67133">
        <w:rPr>
          <w:iCs/>
        </w:rPr>
        <w:t>infekcija, pasireiškianti tokiais simptomais kaip karščiavimas ir rimtas bendros būklės pablogėjimas arba karščiavimas su vietiniais infekcijos simptomais, tokiais kaip gerklės</w:t>
      </w:r>
      <w:r>
        <w:rPr>
          <w:iCs/>
        </w:rPr>
        <w:t xml:space="preserve"> </w:t>
      </w:r>
      <w:r w:rsidRPr="00C67133">
        <w:rPr>
          <w:iCs/>
        </w:rPr>
        <w:t>/</w:t>
      </w:r>
      <w:r>
        <w:rPr>
          <w:iCs/>
        </w:rPr>
        <w:t xml:space="preserve"> </w:t>
      </w:r>
      <w:r w:rsidRPr="00C67133">
        <w:rPr>
          <w:iCs/>
        </w:rPr>
        <w:t>ryklės</w:t>
      </w:r>
      <w:r>
        <w:rPr>
          <w:iCs/>
        </w:rPr>
        <w:t xml:space="preserve"> </w:t>
      </w:r>
      <w:r w:rsidRPr="00C67133">
        <w:rPr>
          <w:iCs/>
        </w:rPr>
        <w:t>/</w:t>
      </w:r>
      <w:r>
        <w:rPr>
          <w:iCs/>
        </w:rPr>
        <w:t xml:space="preserve"> </w:t>
      </w:r>
      <w:r w:rsidRPr="00C67133">
        <w:rPr>
          <w:iCs/>
        </w:rPr>
        <w:t xml:space="preserve">burnos skausmas arba šlapinimosi sutrikimai. Bus atliktas kraujo tyrimas, siekiant patikrinti galimą baltųjų kraujo ląstelių </w:t>
      </w:r>
      <w:r w:rsidR="00DC18ED">
        <w:rPr>
          <w:iCs/>
        </w:rPr>
        <w:t>skaičiaus</w:t>
      </w:r>
      <w:r w:rsidRPr="00C67133">
        <w:rPr>
          <w:iCs/>
        </w:rPr>
        <w:t xml:space="preserve"> sumažėjimą (agranulocitoz</w:t>
      </w:r>
      <w:r>
        <w:rPr>
          <w:iCs/>
        </w:rPr>
        <w:t>ė</w:t>
      </w:r>
      <w:r w:rsidRPr="00C67133">
        <w:rPr>
          <w:iCs/>
        </w:rPr>
        <w:t xml:space="preserve">). </w:t>
      </w:r>
      <w:r w:rsidR="00466157">
        <w:rPr>
          <w:iCs/>
        </w:rPr>
        <w:t>Arax</w:t>
      </w:r>
      <w:r w:rsidRPr="00C67133">
        <w:rPr>
          <w:iCs/>
        </w:rPr>
        <w:t xml:space="preserve"> gali sumažinti baltųjų kraujo </w:t>
      </w:r>
      <w:r>
        <w:rPr>
          <w:iCs/>
        </w:rPr>
        <w:t>ląstelių</w:t>
      </w:r>
      <w:r w:rsidRPr="00C67133">
        <w:rPr>
          <w:iCs/>
        </w:rPr>
        <w:t xml:space="preserve"> skaičių ir gali sumažėti Jūsų atsparumas infekcijoms. Ši</w:t>
      </w:r>
      <w:r>
        <w:rPr>
          <w:iCs/>
        </w:rPr>
        <w:t>e</w:t>
      </w:r>
      <w:r w:rsidRPr="00C67133">
        <w:rPr>
          <w:iCs/>
        </w:rPr>
        <w:t xml:space="preserve"> šalutini</w:t>
      </w:r>
      <w:r>
        <w:rPr>
          <w:iCs/>
        </w:rPr>
        <w:t>o</w:t>
      </w:r>
      <w:r w:rsidRPr="00C67133">
        <w:rPr>
          <w:iCs/>
        </w:rPr>
        <w:t xml:space="preserve"> poveiki</w:t>
      </w:r>
      <w:r>
        <w:rPr>
          <w:iCs/>
        </w:rPr>
        <w:t>o reiškiniai</w:t>
      </w:r>
      <w:r w:rsidRPr="00C67133">
        <w:rPr>
          <w:iCs/>
        </w:rPr>
        <w:t xml:space="preserve"> yra ret</w:t>
      </w:r>
      <w:r>
        <w:rPr>
          <w:iCs/>
        </w:rPr>
        <w:t xml:space="preserve">i </w:t>
      </w:r>
      <w:r w:rsidRPr="00C67133">
        <w:rPr>
          <w:iCs/>
        </w:rPr>
        <w:t xml:space="preserve">(gali pasireikšti </w:t>
      </w:r>
      <w:r>
        <w:rPr>
          <w:iCs/>
        </w:rPr>
        <w:t>rečiau</w:t>
      </w:r>
      <w:r w:rsidRPr="00C67133">
        <w:rPr>
          <w:iCs/>
        </w:rPr>
        <w:t xml:space="preserve"> kaip 1 iš 1</w:t>
      </w:r>
      <w:r>
        <w:rPr>
          <w:iCs/>
        </w:rPr>
        <w:t> </w:t>
      </w:r>
      <w:r w:rsidRPr="00C67133">
        <w:rPr>
          <w:iCs/>
        </w:rPr>
        <w:t xml:space="preserve">000 </w:t>
      </w:r>
      <w:r>
        <w:rPr>
          <w:iCs/>
        </w:rPr>
        <w:t>asmen</w:t>
      </w:r>
      <w:r w:rsidRPr="00C67133">
        <w:rPr>
          <w:iCs/>
        </w:rPr>
        <w:t>ų).</w:t>
      </w:r>
    </w:p>
    <w:p w14:paraId="1C91CE5E" w14:textId="3D57A160" w:rsidR="00C67133" w:rsidRPr="00C67133" w:rsidRDefault="00C67133" w:rsidP="00FC0EEA">
      <w:pPr>
        <w:pStyle w:val="Sraopastraipa"/>
        <w:numPr>
          <w:ilvl w:val="0"/>
          <w:numId w:val="17"/>
        </w:numPr>
        <w:ind w:left="567" w:hanging="567"/>
        <w:rPr>
          <w:iCs/>
        </w:rPr>
      </w:pPr>
      <w:r w:rsidRPr="00C67133">
        <w:rPr>
          <w:iCs/>
        </w:rPr>
        <w:t xml:space="preserve">sunkios alerginės reakcijos (anafilaksinis šokas), įskaitant dusulį, veido, burnos, liežuvio ar </w:t>
      </w:r>
      <w:r w:rsidR="00DC18ED">
        <w:rPr>
          <w:iCs/>
        </w:rPr>
        <w:t xml:space="preserve">gerklų </w:t>
      </w:r>
      <w:r w:rsidRPr="00C67133">
        <w:rPr>
          <w:iCs/>
        </w:rPr>
        <w:t xml:space="preserve">patinimą (angioneurozinė edema). </w:t>
      </w:r>
      <w:r w:rsidR="00DC18ED" w:rsidRPr="00DC18ED">
        <w:rPr>
          <w:iCs/>
        </w:rPr>
        <w:t xml:space="preserve">Šie šalutinio poveikio reiškiniai yra </w:t>
      </w:r>
      <w:r w:rsidRPr="00C67133">
        <w:rPr>
          <w:iCs/>
        </w:rPr>
        <w:t>labai ret</w:t>
      </w:r>
      <w:r w:rsidR="001E1730">
        <w:rPr>
          <w:iCs/>
        </w:rPr>
        <w:t>i</w:t>
      </w:r>
      <w:r w:rsidRPr="00C67133">
        <w:rPr>
          <w:iCs/>
        </w:rPr>
        <w:t xml:space="preserve"> (gali pasireikšti </w:t>
      </w:r>
      <w:r w:rsidR="00DC18ED">
        <w:rPr>
          <w:iCs/>
        </w:rPr>
        <w:t>rečiau</w:t>
      </w:r>
      <w:r w:rsidRPr="00C67133">
        <w:rPr>
          <w:iCs/>
        </w:rPr>
        <w:t xml:space="preserve"> kaip 1 iš 10 000 </w:t>
      </w:r>
      <w:r w:rsidR="00DC18ED">
        <w:rPr>
          <w:iCs/>
        </w:rPr>
        <w:t>asmenų</w:t>
      </w:r>
      <w:r w:rsidRPr="00C67133">
        <w:rPr>
          <w:iCs/>
        </w:rPr>
        <w:t>).</w:t>
      </w:r>
    </w:p>
    <w:p w14:paraId="20A6AA1E" w14:textId="65D6C6C0" w:rsidR="00C67133" w:rsidRPr="00C67133" w:rsidRDefault="00C67133" w:rsidP="00FC0EEA">
      <w:pPr>
        <w:pStyle w:val="Sraopastraipa"/>
        <w:numPr>
          <w:ilvl w:val="0"/>
          <w:numId w:val="17"/>
        </w:numPr>
        <w:ind w:left="567" w:hanging="567"/>
        <w:rPr>
          <w:iCs/>
        </w:rPr>
      </w:pPr>
      <w:r w:rsidRPr="00C67133">
        <w:rPr>
          <w:iCs/>
        </w:rPr>
        <w:t>odos išbėrimas (įskaitant dilgėlinę, niež</w:t>
      </w:r>
      <w:r w:rsidR="001E1730">
        <w:rPr>
          <w:iCs/>
        </w:rPr>
        <w:t>ulį</w:t>
      </w:r>
      <w:r w:rsidRPr="00C67133">
        <w:rPr>
          <w:iCs/>
        </w:rPr>
        <w:t xml:space="preserve">), odos paraudimas, odos lupimasis, pūslės, </w:t>
      </w:r>
      <w:r w:rsidR="00DC18ED">
        <w:rPr>
          <w:iCs/>
        </w:rPr>
        <w:t>žaizdos</w:t>
      </w:r>
      <w:r w:rsidRPr="00C67133">
        <w:rPr>
          <w:iCs/>
        </w:rPr>
        <w:t xml:space="preserve"> ar burnos opos. Tai gali būti </w:t>
      </w:r>
      <w:r w:rsidR="00DC18ED">
        <w:rPr>
          <w:iCs/>
        </w:rPr>
        <w:t>sunkių</w:t>
      </w:r>
      <w:r w:rsidRPr="00C67133">
        <w:rPr>
          <w:iCs/>
        </w:rPr>
        <w:t xml:space="preserve">, gyvybei pavojingų odos sutrikimų (Stivenso-Džonsono </w:t>
      </w:r>
      <w:r w:rsidR="00DC18ED">
        <w:rPr>
          <w:iCs/>
        </w:rPr>
        <w:t>[</w:t>
      </w:r>
      <w:r w:rsidR="00DC18ED" w:rsidRPr="00DC18ED">
        <w:rPr>
          <w:i/>
        </w:rPr>
        <w:t>Stevens-Johnson</w:t>
      </w:r>
      <w:r w:rsidR="00DC18ED">
        <w:rPr>
          <w:iCs/>
        </w:rPr>
        <w:t xml:space="preserve">] </w:t>
      </w:r>
      <w:r w:rsidRPr="00C67133">
        <w:rPr>
          <w:iCs/>
        </w:rPr>
        <w:t xml:space="preserve">sindromo, toksinės epidermio nekrolizės) simptomai. </w:t>
      </w:r>
      <w:r w:rsidR="00DC18ED">
        <w:rPr>
          <w:iCs/>
        </w:rPr>
        <w:t>Apie š</w:t>
      </w:r>
      <w:r w:rsidRPr="00C67133">
        <w:rPr>
          <w:iCs/>
        </w:rPr>
        <w:t>i</w:t>
      </w:r>
      <w:r w:rsidR="00DC18ED">
        <w:rPr>
          <w:iCs/>
        </w:rPr>
        <w:t>uos</w:t>
      </w:r>
      <w:r w:rsidRPr="00C67133">
        <w:rPr>
          <w:iCs/>
        </w:rPr>
        <w:t xml:space="preserve"> šalutini</w:t>
      </w:r>
      <w:r w:rsidR="00DC18ED">
        <w:rPr>
          <w:iCs/>
        </w:rPr>
        <w:t>o</w:t>
      </w:r>
      <w:r w:rsidRPr="00C67133">
        <w:rPr>
          <w:iCs/>
        </w:rPr>
        <w:t xml:space="preserve"> poveiki</w:t>
      </w:r>
      <w:r w:rsidR="00DC18ED">
        <w:rPr>
          <w:iCs/>
        </w:rPr>
        <w:t>o reiškinius</w:t>
      </w:r>
      <w:r w:rsidRPr="00C67133">
        <w:rPr>
          <w:iCs/>
        </w:rPr>
        <w:t xml:space="preserve"> buvo pranešta atsitiktinai.</w:t>
      </w:r>
    </w:p>
    <w:p w14:paraId="34D8FCB1" w14:textId="77777777" w:rsidR="00C67133" w:rsidRPr="00C67133" w:rsidRDefault="00C67133" w:rsidP="00FC0EEA">
      <w:pPr>
        <w:rPr>
          <w:iCs/>
        </w:rPr>
      </w:pPr>
    </w:p>
    <w:p w14:paraId="0362EA32" w14:textId="77777777" w:rsidR="00C67133" w:rsidRPr="00C67133" w:rsidRDefault="00C67133" w:rsidP="00FC0EEA">
      <w:pPr>
        <w:rPr>
          <w:iCs/>
        </w:rPr>
      </w:pPr>
      <w:r w:rsidRPr="005F48E7">
        <w:rPr>
          <w:i/>
        </w:rPr>
        <w:t>Ret</w:t>
      </w:r>
      <w:r w:rsidR="00DC18ED" w:rsidRPr="005F48E7">
        <w:rPr>
          <w:i/>
        </w:rPr>
        <w:t>i šalutinio poveikio reiškiniai</w:t>
      </w:r>
      <w:r w:rsidR="00DC18ED">
        <w:rPr>
          <w:iCs/>
        </w:rPr>
        <w:t xml:space="preserve"> (</w:t>
      </w:r>
      <w:r w:rsidRPr="00C67133">
        <w:rPr>
          <w:iCs/>
        </w:rPr>
        <w:t xml:space="preserve">gali pasireikšti </w:t>
      </w:r>
      <w:r w:rsidR="00DC18ED">
        <w:rPr>
          <w:iCs/>
        </w:rPr>
        <w:t>rečiau</w:t>
      </w:r>
      <w:r w:rsidRPr="00C67133">
        <w:rPr>
          <w:iCs/>
        </w:rPr>
        <w:t xml:space="preserve"> kaip 1 iš 1</w:t>
      </w:r>
      <w:r w:rsidR="00DC18ED">
        <w:rPr>
          <w:iCs/>
        </w:rPr>
        <w:t> </w:t>
      </w:r>
      <w:r w:rsidRPr="00C67133">
        <w:rPr>
          <w:iCs/>
        </w:rPr>
        <w:t xml:space="preserve">000 </w:t>
      </w:r>
      <w:r w:rsidR="00DC18ED">
        <w:rPr>
          <w:iCs/>
        </w:rPr>
        <w:t>asmenų):</w:t>
      </w:r>
    </w:p>
    <w:p w14:paraId="04BF361E" w14:textId="77777777" w:rsidR="00C67133" w:rsidRPr="00DC18ED" w:rsidRDefault="00C67133" w:rsidP="00873D09">
      <w:pPr>
        <w:pStyle w:val="BT-EMEASMCA"/>
        <w:numPr>
          <w:ilvl w:val="0"/>
          <w:numId w:val="18"/>
        </w:numPr>
        <w:ind w:left="567" w:hanging="567"/>
      </w:pPr>
      <w:r w:rsidRPr="00DC18ED">
        <w:t xml:space="preserve">tam tikrų kraujo ląstelių </w:t>
      </w:r>
      <w:r w:rsidR="00DC18ED">
        <w:t>skaičiaus</w:t>
      </w:r>
      <w:r w:rsidRPr="00DC18ED">
        <w:t xml:space="preserve"> sumažėjimas, krešėjimo sutrikimai, kamieninių ląstelių sutrikimai (kraują formuojančių ląstelių sutrikimai kaulų čiulpuose), hemolizinė anemija (nenormalus raudonųjų kraujo </w:t>
      </w:r>
      <w:r w:rsidR="00DC18ED">
        <w:t>ląstelių</w:t>
      </w:r>
      <w:r w:rsidRPr="00DC18ED">
        <w:t xml:space="preserve"> irimas)</w:t>
      </w:r>
      <w:r w:rsidR="00DC18ED">
        <w:t>;</w:t>
      </w:r>
    </w:p>
    <w:p w14:paraId="368BC7FC" w14:textId="77777777" w:rsidR="00C67133" w:rsidRPr="00C67133" w:rsidRDefault="00C67133" w:rsidP="00873D09">
      <w:pPr>
        <w:pStyle w:val="BT-EMEASMCA"/>
        <w:numPr>
          <w:ilvl w:val="0"/>
          <w:numId w:val="18"/>
        </w:numPr>
        <w:ind w:left="567" w:hanging="567"/>
      </w:pPr>
      <w:r w:rsidRPr="00C67133">
        <w:t>alerginės reakcijos</w:t>
      </w:r>
      <w:r w:rsidR="00DC18ED">
        <w:t>;</w:t>
      </w:r>
    </w:p>
    <w:p w14:paraId="2B83D308" w14:textId="77777777" w:rsidR="00C67133" w:rsidRPr="00C67133" w:rsidRDefault="00C67133" w:rsidP="00873D09">
      <w:pPr>
        <w:pStyle w:val="BT-EMEASMCA"/>
        <w:numPr>
          <w:ilvl w:val="0"/>
          <w:numId w:val="18"/>
        </w:numPr>
        <w:ind w:left="567" w:hanging="567"/>
      </w:pPr>
      <w:r w:rsidRPr="00C67133">
        <w:t>padidėjusi kūno temperatūra (hipertermija)</w:t>
      </w:r>
      <w:r w:rsidR="005F48E7">
        <w:t>;</w:t>
      </w:r>
    </w:p>
    <w:p w14:paraId="7B43B47E" w14:textId="77777777" w:rsidR="00C67133" w:rsidRPr="00C67133" w:rsidRDefault="00C67133" w:rsidP="00873D09">
      <w:pPr>
        <w:pStyle w:val="BT-EMEASMCA"/>
        <w:numPr>
          <w:ilvl w:val="0"/>
          <w:numId w:val="18"/>
        </w:numPr>
        <w:ind w:left="567" w:hanging="567"/>
      </w:pPr>
      <w:r w:rsidRPr="00C67133">
        <w:t>niež</w:t>
      </w:r>
      <w:r w:rsidR="005F48E7">
        <w:t>ėjimas</w:t>
      </w:r>
      <w:r w:rsidRPr="00C67133">
        <w:t xml:space="preserve">, </w:t>
      </w:r>
      <w:r w:rsidR="005F48E7">
        <w:t>iš</w:t>
      </w:r>
      <w:r w:rsidRPr="00C67133">
        <w:t>bėrimas, dilgėlinė, odos patinimas (edema)</w:t>
      </w:r>
      <w:r w:rsidR="005F48E7">
        <w:t>;</w:t>
      </w:r>
    </w:p>
    <w:p w14:paraId="6F7036C3" w14:textId="77777777" w:rsidR="00C67133" w:rsidRPr="00C67133" w:rsidRDefault="00C67133" w:rsidP="00873D09">
      <w:pPr>
        <w:pStyle w:val="BT-EMEASMCA"/>
        <w:numPr>
          <w:ilvl w:val="0"/>
          <w:numId w:val="18"/>
        </w:numPr>
        <w:ind w:left="567" w:hanging="567"/>
      </w:pPr>
      <w:r w:rsidRPr="00C67133">
        <w:t>depresija, sumišimas, haliucinacijos, nenormalus regėjimas</w:t>
      </w:r>
      <w:r w:rsidR="005F48E7">
        <w:t>;</w:t>
      </w:r>
    </w:p>
    <w:p w14:paraId="3EF1D3BF" w14:textId="77777777" w:rsidR="00C67133" w:rsidRPr="00C67133" w:rsidRDefault="00C67133" w:rsidP="00873D09">
      <w:pPr>
        <w:pStyle w:val="BT-EMEASMCA"/>
        <w:numPr>
          <w:ilvl w:val="0"/>
          <w:numId w:val="18"/>
        </w:numPr>
        <w:ind w:left="567" w:hanging="567"/>
      </w:pPr>
      <w:r w:rsidRPr="00C67133">
        <w:t>drebulys, galvos skausmas</w:t>
      </w:r>
      <w:r w:rsidR="005F48E7">
        <w:t>;</w:t>
      </w:r>
    </w:p>
    <w:p w14:paraId="5E55186F" w14:textId="77777777" w:rsidR="00C67133" w:rsidRPr="00C67133" w:rsidRDefault="00C67133" w:rsidP="00873D09">
      <w:pPr>
        <w:pStyle w:val="BT-EMEASMCA"/>
        <w:numPr>
          <w:ilvl w:val="0"/>
          <w:numId w:val="18"/>
        </w:numPr>
        <w:ind w:left="567" w:hanging="567"/>
      </w:pPr>
      <w:r w:rsidRPr="00C67133">
        <w:t>pilvo skausmas, viduriavimas, kraujavimas iš skrandžio ar žarnyno, pykinimas, vėmimas</w:t>
      </w:r>
      <w:r w:rsidR="005F48E7">
        <w:t>;</w:t>
      </w:r>
    </w:p>
    <w:p w14:paraId="01973032" w14:textId="77777777" w:rsidR="00C67133" w:rsidRPr="00C67133" w:rsidRDefault="00C67133" w:rsidP="00873D09">
      <w:pPr>
        <w:pStyle w:val="BT-EMEASMCA"/>
        <w:numPr>
          <w:ilvl w:val="0"/>
          <w:numId w:val="18"/>
        </w:numPr>
        <w:ind w:left="567" w:hanging="567"/>
      </w:pPr>
      <w:r w:rsidRPr="00C67133">
        <w:t>sutrikusi kepenų funkcija, kepenų nepakankamumas, gelta</w:t>
      </w:r>
      <w:r w:rsidR="005F48E7">
        <w:t>.</w:t>
      </w:r>
    </w:p>
    <w:p w14:paraId="2020A7C9" w14:textId="77777777" w:rsidR="00C67133" w:rsidRPr="00C67133" w:rsidRDefault="00C67133" w:rsidP="00FC0EEA">
      <w:pPr>
        <w:rPr>
          <w:iCs/>
        </w:rPr>
      </w:pPr>
    </w:p>
    <w:p w14:paraId="1FD197A6" w14:textId="77777777" w:rsidR="005F48E7" w:rsidRDefault="00C67133" w:rsidP="00FC0EEA">
      <w:pPr>
        <w:rPr>
          <w:iCs/>
        </w:rPr>
      </w:pPr>
      <w:r w:rsidRPr="005F48E7">
        <w:rPr>
          <w:i/>
        </w:rPr>
        <w:t>Labai ret</w:t>
      </w:r>
      <w:r w:rsidR="005F48E7" w:rsidRPr="005F48E7">
        <w:rPr>
          <w:i/>
        </w:rPr>
        <w:t>i šalutinio poveikio reiškiniai</w:t>
      </w:r>
      <w:r w:rsidR="005F48E7" w:rsidRPr="005F48E7">
        <w:rPr>
          <w:iCs/>
        </w:rPr>
        <w:t xml:space="preserve"> (gali pasireikšti rečiau kaip 1 iš 1</w:t>
      </w:r>
      <w:r w:rsidR="005F48E7">
        <w:rPr>
          <w:iCs/>
        </w:rPr>
        <w:t>0 </w:t>
      </w:r>
      <w:r w:rsidR="005F48E7" w:rsidRPr="005F48E7">
        <w:rPr>
          <w:iCs/>
        </w:rPr>
        <w:t>000 asmenų):</w:t>
      </w:r>
    </w:p>
    <w:p w14:paraId="46B3812D" w14:textId="77777777" w:rsidR="00C67133" w:rsidRPr="005F48E7" w:rsidRDefault="00C67133" w:rsidP="00FC0EEA">
      <w:pPr>
        <w:pStyle w:val="Sraopastraipa"/>
        <w:numPr>
          <w:ilvl w:val="0"/>
          <w:numId w:val="20"/>
        </w:numPr>
        <w:ind w:left="567" w:hanging="567"/>
        <w:rPr>
          <w:iCs/>
        </w:rPr>
      </w:pPr>
      <w:r w:rsidRPr="005F48E7">
        <w:rPr>
          <w:iCs/>
        </w:rPr>
        <w:t>bronchų spazmas (staigus bronchiolių sienelių raumenų susitraukimas)</w:t>
      </w:r>
      <w:r w:rsidR="005F48E7">
        <w:rPr>
          <w:iCs/>
        </w:rPr>
        <w:t>;</w:t>
      </w:r>
    </w:p>
    <w:p w14:paraId="6F6F7093" w14:textId="77777777" w:rsidR="00C67133" w:rsidRPr="005F48E7" w:rsidRDefault="00C67133" w:rsidP="00FC0EEA">
      <w:pPr>
        <w:pStyle w:val="Sraopastraipa"/>
        <w:numPr>
          <w:ilvl w:val="0"/>
          <w:numId w:val="20"/>
        </w:numPr>
        <w:ind w:left="567" w:hanging="567"/>
        <w:rPr>
          <w:iCs/>
        </w:rPr>
      </w:pPr>
      <w:r w:rsidRPr="005F48E7">
        <w:rPr>
          <w:iCs/>
        </w:rPr>
        <w:t xml:space="preserve">kraujo sutrikimai, įskaitant neįprastą kraujavimą ir </w:t>
      </w:r>
      <w:r w:rsidR="001F547E">
        <w:rPr>
          <w:iCs/>
        </w:rPr>
        <w:t>kraujosrūvas (</w:t>
      </w:r>
      <w:r w:rsidRPr="005F48E7">
        <w:rPr>
          <w:iCs/>
        </w:rPr>
        <w:t>mėlynes</w:t>
      </w:r>
      <w:r w:rsidR="001F547E">
        <w:rPr>
          <w:iCs/>
        </w:rPr>
        <w:t>)</w:t>
      </w:r>
      <w:r w:rsidR="005F48E7">
        <w:rPr>
          <w:iCs/>
        </w:rPr>
        <w:t>;</w:t>
      </w:r>
    </w:p>
    <w:p w14:paraId="213EBC07" w14:textId="77777777" w:rsidR="00C67133" w:rsidRPr="005F48E7" w:rsidRDefault="00C67133" w:rsidP="00FC0EEA">
      <w:pPr>
        <w:pStyle w:val="Sraopastraipa"/>
        <w:numPr>
          <w:ilvl w:val="0"/>
          <w:numId w:val="20"/>
        </w:numPr>
        <w:ind w:left="567" w:hanging="567"/>
        <w:rPr>
          <w:iCs/>
        </w:rPr>
      </w:pPr>
      <w:r w:rsidRPr="005F48E7">
        <w:rPr>
          <w:iCs/>
        </w:rPr>
        <w:t>mažas gliukozės kiekis kraujyje</w:t>
      </w:r>
      <w:r w:rsidR="005F48E7">
        <w:rPr>
          <w:iCs/>
        </w:rPr>
        <w:t>;</w:t>
      </w:r>
    </w:p>
    <w:p w14:paraId="7EC01F7F" w14:textId="7B939CA5" w:rsidR="00C67133" w:rsidRPr="005F48E7" w:rsidRDefault="00C67133" w:rsidP="00FC0EEA">
      <w:pPr>
        <w:pStyle w:val="Sraopastraipa"/>
        <w:numPr>
          <w:ilvl w:val="0"/>
          <w:numId w:val="20"/>
        </w:numPr>
        <w:ind w:left="567" w:hanging="567"/>
        <w:rPr>
          <w:iCs/>
        </w:rPr>
      </w:pPr>
      <w:r w:rsidRPr="005F48E7">
        <w:rPr>
          <w:iCs/>
        </w:rPr>
        <w:t>svaig</w:t>
      </w:r>
      <w:r w:rsidR="005F48E7">
        <w:rPr>
          <w:iCs/>
        </w:rPr>
        <w:t>ulys</w:t>
      </w:r>
      <w:r w:rsidRPr="005F48E7">
        <w:rPr>
          <w:iCs/>
        </w:rPr>
        <w:t xml:space="preserve"> (išskyrus galvos svaigimą), bendras </w:t>
      </w:r>
      <w:r w:rsidR="00902061">
        <w:rPr>
          <w:iCs/>
        </w:rPr>
        <w:t>sirgimo</w:t>
      </w:r>
      <w:r w:rsidR="00902061" w:rsidRPr="005F48E7">
        <w:rPr>
          <w:iCs/>
        </w:rPr>
        <w:t xml:space="preserve"> </w:t>
      </w:r>
      <w:r w:rsidR="001F547E">
        <w:rPr>
          <w:iCs/>
        </w:rPr>
        <w:t>(negalavimo)</w:t>
      </w:r>
      <w:r w:rsidR="005016B7">
        <w:rPr>
          <w:iCs/>
        </w:rPr>
        <w:t xml:space="preserve"> </w:t>
      </w:r>
      <w:r w:rsidRPr="005F48E7">
        <w:rPr>
          <w:iCs/>
        </w:rPr>
        <w:t>jausmas, sedacija</w:t>
      </w:r>
      <w:r w:rsidR="001F547E">
        <w:rPr>
          <w:iCs/>
        </w:rPr>
        <w:t xml:space="preserve"> (slopinimas)</w:t>
      </w:r>
      <w:r w:rsidRPr="005F48E7">
        <w:rPr>
          <w:iCs/>
        </w:rPr>
        <w:t>, vaistų sąveika</w:t>
      </w:r>
      <w:r w:rsidR="005F48E7">
        <w:rPr>
          <w:iCs/>
        </w:rPr>
        <w:t xml:space="preserve"> (</w:t>
      </w:r>
      <w:r w:rsidR="005F48E7" w:rsidRPr="005F48E7">
        <w:rPr>
          <w:iCs/>
        </w:rPr>
        <w:t xml:space="preserve">kitaip </w:t>
      </w:r>
      <w:r w:rsidR="005F48E7">
        <w:rPr>
          <w:iCs/>
        </w:rPr>
        <w:t>nespecifikuota);</w:t>
      </w:r>
    </w:p>
    <w:p w14:paraId="2B854BDD" w14:textId="77777777" w:rsidR="00C67133" w:rsidRPr="005F48E7" w:rsidRDefault="00C67133" w:rsidP="00FC0EEA">
      <w:pPr>
        <w:pStyle w:val="Sraopastraipa"/>
        <w:numPr>
          <w:ilvl w:val="0"/>
          <w:numId w:val="20"/>
        </w:numPr>
        <w:ind w:left="567" w:hanging="567"/>
        <w:rPr>
          <w:iCs/>
        </w:rPr>
      </w:pPr>
      <w:r w:rsidRPr="005F48E7">
        <w:rPr>
          <w:iCs/>
        </w:rPr>
        <w:t>kepenų pažeidimas (simptomai gali būti silpnumas, svorio kritimas, pykinimas ir gelta)</w:t>
      </w:r>
      <w:r w:rsidR="005F48E7">
        <w:rPr>
          <w:iCs/>
        </w:rPr>
        <w:t>;</w:t>
      </w:r>
    </w:p>
    <w:p w14:paraId="33BC3986" w14:textId="77777777" w:rsidR="00C67133" w:rsidRPr="005F48E7" w:rsidRDefault="00C67133" w:rsidP="00FC0EEA">
      <w:pPr>
        <w:pStyle w:val="Sraopastraipa"/>
        <w:numPr>
          <w:ilvl w:val="0"/>
          <w:numId w:val="20"/>
        </w:numPr>
        <w:ind w:left="567" w:hanging="567"/>
        <w:rPr>
          <w:iCs/>
        </w:rPr>
      </w:pPr>
      <w:r w:rsidRPr="005F48E7">
        <w:rPr>
          <w:iCs/>
        </w:rPr>
        <w:t>inkstų sutrikimai ir drumstas šlapimas</w:t>
      </w:r>
      <w:r w:rsidR="005F48E7">
        <w:rPr>
          <w:iCs/>
        </w:rPr>
        <w:t>;</w:t>
      </w:r>
    </w:p>
    <w:p w14:paraId="56F79428" w14:textId="77777777" w:rsidR="00C67133" w:rsidRPr="005F48E7" w:rsidRDefault="00C67133" w:rsidP="00FC0EEA">
      <w:pPr>
        <w:pStyle w:val="Sraopastraipa"/>
        <w:numPr>
          <w:ilvl w:val="0"/>
          <w:numId w:val="20"/>
        </w:numPr>
        <w:ind w:left="567" w:hanging="567"/>
        <w:rPr>
          <w:iCs/>
        </w:rPr>
      </w:pPr>
      <w:r w:rsidRPr="005F48E7">
        <w:rPr>
          <w:iCs/>
        </w:rPr>
        <w:t>odos arba akių pageltimas. Tai yra kepenų sutrikimų požymiai</w:t>
      </w:r>
      <w:r w:rsidR="005F48E7">
        <w:rPr>
          <w:iCs/>
        </w:rPr>
        <w:t>;</w:t>
      </w:r>
    </w:p>
    <w:p w14:paraId="72FBB17F" w14:textId="77777777" w:rsidR="00C67133" w:rsidRPr="005F48E7" w:rsidRDefault="00C67133" w:rsidP="00FC0EEA">
      <w:pPr>
        <w:pStyle w:val="Sraopastraipa"/>
        <w:numPr>
          <w:ilvl w:val="0"/>
          <w:numId w:val="20"/>
        </w:numPr>
        <w:ind w:left="567" w:hanging="567"/>
        <w:rPr>
          <w:iCs/>
        </w:rPr>
      </w:pPr>
      <w:r w:rsidRPr="005F48E7">
        <w:rPr>
          <w:iCs/>
        </w:rPr>
        <w:t>buvo pranešta apie labai retus sunkių odos reakcijų atvejus</w:t>
      </w:r>
      <w:r w:rsidR="005F48E7">
        <w:rPr>
          <w:iCs/>
        </w:rPr>
        <w:t>;</w:t>
      </w:r>
    </w:p>
    <w:p w14:paraId="3CD555B7" w14:textId="68ED7188" w:rsidR="00C67133" w:rsidRPr="005F48E7" w:rsidRDefault="00C67133" w:rsidP="00FC0EEA">
      <w:pPr>
        <w:pStyle w:val="Sraopastraipa"/>
        <w:numPr>
          <w:ilvl w:val="0"/>
          <w:numId w:val="20"/>
        </w:numPr>
        <w:ind w:left="567" w:hanging="567"/>
        <w:rPr>
          <w:iCs/>
        </w:rPr>
      </w:pPr>
      <w:r w:rsidRPr="005F48E7">
        <w:rPr>
          <w:iCs/>
        </w:rPr>
        <w:t xml:space="preserve">ūminė </w:t>
      </w:r>
      <w:r w:rsidR="00145FA2">
        <w:rPr>
          <w:iCs/>
        </w:rPr>
        <w:t>išplitusi</w:t>
      </w:r>
      <w:r w:rsidR="00145FA2" w:rsidRPr="005F48E7">
        <w:rPr>
          <w:iCs/>
        </w:rPr>
        <w:t xml:space="preserve"> </w:t>
      </w:r>
      <w:r w:rsidRPr="005F48E7">
        <w:rPr>
          <w:iCs/>
        </w:rPr>
        <w:t>pustulinė egzantema</w:t>
      </w:r>
      <w:r w:rsidR="005F48E7">
        <w:rPr>
          <w:iCs/>
        </w:rPr>
        <w:t>;</w:t>
      </w:r>
    </w:p>
    <w:p w14:paraId="5F461BA1" w14:textId="77777777" w:rsidR="000A7ECC" w:rsidRPr="005F48E7" w:rsidRDefault="00C67133" w:rsidP="00FC0EEA">
      <w:pPr>
        <w:pStyle w:val="Sraopastraipa"/>
        <w:numPr>
          <w:ilvl w:val="0"/>
          <w:numId w:val="20"/>
        </w:numPr>
        <w:ind w:left="567" w:hanging="567"/>
        <w:rPr>
          <w:iCs/>
        </w:rPr>
      </w:pPr>
      <w:r w:rsidRPr="005F48E7">
        <w:rPr>
          <w:iCs/>
        </w:rPr>
        <w:lastRenderedPageBreak/>
        <w:t xml:space="preserve">labai reti kraujo ir skysčių </w:t>
      </w:r>
      <w:r w:rsidR="005F48E7">
        <w:rPr>
          <w:iCs/>
        </w:rPr>
        <w:t>sutrikimo</w:t>
      </w:r>
      <w:r w:rsidRPr="005F48E7">
        <w:rPr>
          <w:iCs/>
        </w:rPr>
        <w:t xml:space="preserve"> (didelio anijonų tarpo metabolinė</w:t>
      </w:r>
      <w:r w:rsidR="005F48E7">
        <w:rPr>
          <w:iCs/>
        </w:rPr>
        <w:t>s</w:t>
      </w:r>
      <w:r w:rsidRPr="005F48E7">
        <w:rPr>
          <w:iCs/>
        </w:rPr>
        <w:t xml:space="preserve"> acidozė</w:t>
      </w:r>
      <w:r w:rsidR="005F48E7">
        <w:rPr>
          <w:iCs/>
        </w:rPr>
        <w:t>s</w:t>
      </w:r>
      <w:r w:rsidRPr="005F48E7">
        <w:rPr>
          <w:iCs/>
        </w:rPr>
        <w:t>), kuri atsiranda padidėjus plazmos rūgštingumui, kai flukloksacilinas vartojamas kartu su paracetamoliu, dažniausiai esant rizikos veiksniams (žr. 2 skyrių)</w:t>
      </w:r>
      <w:r w:rsidR="005F48E7">
        <w:rPr>
          <w:iCs/>
        </w:rPr>
        <w:t xml:space="preserve">, </w:t>
      </w:r>
      <w:r w:rsidR="005F48E7" w:rsidRPr="005F48E7">
        <w:rPr>
          <w:iCs/>
        </w:rPr>
        <w:t>atvejai</w:t>
      </w:r>
      <w:r w:rsidRPr="005F48E7">
        <w:rPr>
          <w:iCs/>
        </w:rPr>
        <w:t>.</w:t>
      </w:r>
    </w:p>
    <w:p w14:paraId="1F9EDAA3" w14:textId="77777777" w:rsidR="00C67133" w:rsidRDefault="00C67133" w:rsidP="00FC0EEA"/>
    <w:p w14:paraId="5D51F983" w14:textId="585C51D0" w:rsidR="00304001" w:rsidRDefault="00304001" w:rsidP="00304001">
      <w:pPr>
        <w:pStyle w:val="Betarp"/>
      </w:pPr>
      <w:r w:rsidRPr="00253DE6">
        <w:rPr>
          <w:i/>
          <w:iCs/>
        </w:rPr>
        <w:t>Dažnis nežinomas</w:t>
      </w:r>
      <w:r w:rsidRPr="00B832DF">
        <w:t xml:space="preserve"> (negali būti apskaičiuotas pagal turimus duomenis):</w:t>
      </w:r>
    </w:p>
    <w:p w14:paraId="2CDDED6F" w14:textId="42C404BC" w:rsidR="00304001" w:rsidRPr="00B832DF" w:rsidRDefault="00304001" w:rsidP="00253DE6">
      <w:pPr>
        <w:pStyle w:val="Betarp"/>
        <w:numPr>
          <w:ilvl w:val="0"/>
          <w:numId w:val="21"/>
        </w:numPr>
        <w:spacing w:line="260" w:lineRule="exact"/>
        <w:ind w:left="567" w:hanging="567"/>
      </w:pPr>
      <w:r w:rsidRPr="00B832DF">
        <w:t>Sunkus sutrikimas, dėl kurio gali padidėti kraujo rūgštingumas (vadinamas metaboline acidoze) sunkia liga sergantiems pacientams,</w:t>
      </w:r>
      <w:r>
        <w:t xml:space="preserve"> </w:t>
      </w:r>
      <w:r w:rsidRPr="00B832DF">
        <w:t xml:space="preserve">vartojantiems </w:t>
      </w:r>
      <w:proofErr w:type="spellStart"/>
      <w:r w:rsidRPr="00B832DF">
        <w:t>paracetamol</w:t>
      </w:r>
      <w:r w:rsidR="005C5208">
        <w:t>io</w:t>
      </w:r>
      <w:proofErr w:type="spellEnd"/>
      <w:r w:rsidRPr="00B832DF">
        <w:t xml:space="preserve"> (žr. 2 skyrių).</w:t>
      </w:r>
    </w:p>
    <w:p w14:paraId="05CAF3D7" w14:textId="77777777" w:rsidR="00304001" w:rsidRPr="00E06A3A" w:rsidRDefault="00304001" w:rsidP="00FC0EEA"/>
    <w:p w14:paraId="2C366F51" w14:textId="77777777" w:rsidR="000A7ECC" w:rsidRPr="004F5824" w:rsidRDefault="000A7ECC" w:rsidP="00FC0EEA">
      <w:pPr>
        <w:spacing w:line="240" w:lineRule="auto"/>
        <w:rPr>
          <w:b/>
          <w:szCs w:val="24"/>
        </w:rPr>
      </w:pPr>
      <w:r w:rsidRPr="004F5824">
        <w:rPr>
          <w:b/>
          <w:noProof/>
          <w:szCs w:val="24"/>
        </w:rPr>
        <w:t>Pranešimas apie šalutinį poveikį</w:t>
      </w:r>
    </w:p>
    <w:p w14:paraId="7049CE1E" w14:textId="1A944D25" w:rsidR="00401931" w:rsidRDefault="00401931" w:rsidP="00401931">
      <w:pPr>
        <w:ind w:right="-29"/>
        <w:rPr>
          <w:noProof/>
          <w:snapToGrid w:val="0"/>
        </w:rPr>
      </w:pPr>
      <w:r>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14:paraId="5BA92914" w14:textId="77777777" w:rsidR="000A7ECC" w:rsidRPr="00DF4173" w:rsidRDefault="000A7ECC" w:rsidP="001E1730">
      <w:pPr>
        <w:pStyle w:val="BTEMEASMCA"/>
      </w:pPr>
    </w:p>
    <w:p w14:paraId="0399CE85" w14:textId="77777777" w:rsidR="000A7ECC" w:rsidRPr="007C2D9E" w:rsidRDefault="000A7ECC" w:rsidP="001E1730">
      <w:pPr>
        <w:pStyle w:val="BTEMEASMCA"/>
        <w:rPr>
          <w:sz w:val="16"/>
          <w:szCs w:val="16"/>
        </w:rPr>
      </w:pPr>
    </w:p>
    <w:p w14:paraId="3E946729" w14:textId="2CFC303D" w:rsidR="000A7ECC" w:rsidRPr="00DF4173" w:rsidRDefault="000A7ECC" w:rsidP="00432612">
      <w:pPr>
        <w:pStyle w:val="PI-1EMEASMCA"/>
      </w:pPr>
      <w:bookmarkStart w:id="83" w:name="_Toc129243143"/>
      <w:bookmarkStart w:id="84" w:name="_Toc129243268"/>
      <w:r w:rsidRPr="00DF4173">
        <w:t>5.</w:t>
      </w:r>
      <w:r w:rsidRPr="00DF4173">
        <w:tab/>
        <w:t xml:space="preserve">Kaip laikyti </w:t>
      </w:r>
      <w:bookmarkEnd w:id="83"/>
      <w:bookmarkEnd w:id="84"/>
      <w:r w:rsidR="00466157">
        <w:t>Arax</w:t>
      </w:r>
      <w:r w:rsidR="00525EE9">
        <w:t xml:space="preserve"> </w:t>
      </w:r>
    </w:p>
    <w:p w14:paraId="5E465520" w14:textId="77777777" w:rsidR="000A7ECC" w:rsidRPr="00DF4173" w:rsidRDefault="000A7ECC" w:rsidP="001E1730">
      <w:pPr>
        <w:pStyle w:val="BTEMEASMCA"/>
      </w:pPr>
    </w:p>
    <w:p w14:paraId="4B3CA688" w14:textId="77777777" w:rsidR="000A7ECC" w:rsidRPr="00DF4173" w:rsidRDefault="000A7ECC" w:rsidP="001E1730">
      <w:pPr>
        <w:pStyle w:val="BTEMEASMCA"/>
      </w:pPr>
      <w:r w:rsidRPr="00153901">
        <w:t xml:space="preserve">Šį vaistą </w:t>
      </w:r>
      <w:r w:rsidRPr="005C52FE">
        <w:t xml:space="preserve">laikykite vaikams </w:t>
      </w:r>
      <w:r w:rsidRPr="00710D75">
        <w:t>nepastebimoje ir nepasiekiamoje</w:t>
      </w:r>
      <w:r w:rsidRPr="005C52FE">
        <w:t xml:space="preserve"> </w:t>
      </w:r>
      <w:r w:rsidRPr="00DF4173">
        <w:t>vietoje.</w:t>
      </w:r>
    </w:p>
    <w:p w14:paraId="70CD9D8C" w14:textId="77777777" w:rsidR="005F06C9" w:rsidRDefault="005F06C9" w:rsidP="001E1730">
      <w:pPr>
        <w:pStyle w:val="BTEMEASMCA"/>
      </w:pPr>
      <w:r>
        <w:t>Laikyti žemesnėje kaip 30 °C temperatūroje.</w:t>
      </w:r>
    </w:p>
    <w:p w14:paraId="1B220484" w14:textId="77777777" w:rsidR="000A7ECC" w:rsidRDefault="005F06C9" w:rsidP="001E1730">
      <w:pPr>
        <w:pStyle w:val="BTEMEASMCA"/>
      </w:pPr>
      <w:r>
        <w:t>Laikyti gamintojo pakuotėje (paketėlyje), kad vaistas būtų apsaugotas nuo šviesos.</w:t>
      </w:r>
    </w:p>
    <w:p w14:paraId="0313EACA" w14:textId="77777777" w:rsidR="008D0146" w:rsidRPr="007C2D9E" w:rsidRDefault="008D0146" w:rsidP="00902061">
      <w:pPr>
        <w:pStyle w:val="BTEMEASMCA"/>
        <w:rPr>
          <w:sz w:val="16"/>
          <w:szCs w:val="16"/>
        </w:rPr>
      </w:pPr>
    </w:p>
    <w:p w14:paraId="2E22E8A7" w14:textId="77777777" w:rsidR="000A7ECC" w:rsidRPr="00DF4173" w:rsidRDefault="000A7ECC">
      <w:pPr>
        <w:pStyle w:val="BTEMEASMCA"/>
      </w:pPr>
      <w:r w:rsidRPr="00DF4173">
        <w:t>Ant dėžutės</w:t>
      </w:r>
      <w:r>
        <w:t xml:space="preserve"> ir </w:t>
      </w:r>
      <w:r w:rsidR="005F06C9">
        <w:t xml:space="preserve">paketėlio </w:t>
      </w:r>
      <w:r w:rsidRPr="00726798">
        <w:t>po „EXP“ nurodytam</w:t>
      </w:r>
      <w:r w:rsidRPr="00DF4173">
        <w:t xml:space="preserve"> tinkamumo laikui pasibaigus, </w:t>
      </w:r>
      <w:r>
        <w:t>šio vaisto</w:t>
      </w:r>
      <w:r w:rsidRPr="00DF4173">
        <w:t xml:space="preserve"> vartoti negalima. </w:t>
      </w:r>
      <w:r w:rsidRPr="00153901">
        <w:t>Vaistas tinkamas vartoti iki paskutinės nurodyto mėnesio dienos.</w:t>
      </w:r>
    </w:p>
    <w:p w14:paraId="0C441B07" w14:textId="77777777" w:rsidR="000A7ECC" w:rsidRPr="00DF4173" w:rsidRDefault="000A7ECC">
      <w:pPr>
        <w:pStyle w:val="BTEMEASMCA"/>
      </w:pPr>
    </w:p>
    <w:p w14:paraId="2BCD832E" w14:textId="77777777" w:rsidR="000A7ECC" w:rsidRPr="00DF4173" w:rsidRDefault="000A7ECC">
      <w:pPr>
        <w:pStyle w:val="BTEMEASMCA"/>
      </w:pPr>
      <w:r w:rsidRPr="00DF4173">
        <w:t>Vaistų negalima išmesti į kanalizaciją arba su buitinėmis atliekomis. Kaip išmesti</w:t>
      </w:r>
      <w:r w:rsidRPr="00DF4173" w:rsidDel="00D7622A">
        <w:t xml:space="preserve"> </w:t>
      </w:r>
      <w:r w:rsidRPr="00DF4173">
        <w:t>nereikalingus vaistus, klauskite vaistininko. Šios priemonės padės apsaugoti aplinką.</w:t>
      </w:r>
    </w:p>
    <w:p w14:paraId="062E58ED" w14:textId="77777777" w:rsidR="000A7ECC" w:rsidRPr="007C2D9E" w:rsidRDefault="000A7ECC">
      <w:pPr>
        <w:pStyle w:val="BTEMEASMCA"/>
        <w:rPr>
          <w:sz w:val="16"/>
          <w:szCs w:val="16"/>
        </w:rPr>
      </w:pPr>
    </w:p>
    <w:p w14:paraId="3B162E13" w14:textId="77777777" w:rsidR="000A7ECC" w:rsidRPr="00DF4173" w:rsidRDefault="000A7ECC">
      <w:pPr>
        <w:pStyle w:val="BTEMEASMCA"/>
      </w:pPr>
    </w:p>
    <w:p w14:paraId="5CF26EA9" w14:textId="7610BB26" w:rsidR="000A7ECC" w:rsidRPr="00DF4173" w:rsidRDefault="000A7ECC" w:rsidP="00432612">
      <w:pPr>
        <w:pStyle w:val="PI-1EMEASMCA"/>
      </w:pPr>
      <w:bookmarkStart w:id="85" w:name="_Toc129243144"/>
      <w:bookmarkStart w:id="86" w:name="_Toc129243269"/>
      <w:r w:rsidRPr="00DF4173">
        <w:t>6.</w:t>
      </w:r>
      <w:r w:rsidRPr="00DF4173">
        <w:tab/>
      </w:r>
      <w:r>
        <w:t xml:space="preserve">Pakuotės turinys ir </w:t>
      </w:r>
      <w:r w:rsidRPr="00DF4173">
        <w:t>kita informacija</w:t>
      </w:r>
      <w:bookmarkEnd w:id="85"/>
      <w:bookmarkEnd w:id="86"/>
    </w:p>
    <w:p w14:paraId="5B8C287A" w14:textId="77777777" w:rsidR="000A7ECC" w:rsidRPr="00DF4173" w:rsidRDefault="000A7ECC" w:rsidP="001E1730">
      <w:pPr>
        <w:pStyle w:val="BTEMEASMCA"/>
      </w:pPr>
    </w:p>
    <w:p w14:paraId="2AF9BD6B" w14:textId="61D36588" w:rsidR="000A7ECC" w:rsidRPr="00DF4173" w:rsidRDefault="00466157" w:rsidP="00FC0EEA">
      <w:pPr>
        <w:pStyle w:val="PI-3EMEASMCA"/>
      </w:pPr>
      <w:r>
        <w:t>Arax</w:t>
      </w:r>
      <w:r w:rsidR="00525EE9">
        <w:t xml:space="preserve"> </w:t>
      </w:r>
      <w:r w:rsidR="000A7ECC" w:rsidRPr="00DF4173">
        <w:t>sudėtis</w:t>
      </w:r>
    </w:p>
    <w:p w14:paraId="5CC2B9F7" w14:textId="77777777" w:rsidR="000A7ECC" w:rsidRPr="00466683" w:rsidRDefault="000A7ECC" w:rsidP="00873D09">
      <w:pPr>
        <w:pStyle w:val="BT-EMEASMCA"/>
      </w:pPr>
      <w:r w:rsidRPr="00DF4173">
        <w:t>Veiklioji medžiaga yra</w:t>
      </w:r>
      <w:r>
        <w:t xml:space="preserve"> paracetamolis.</w:t>
      </w:r>
      <w:r w:rsidRPr="00D7622A">
        <w:t xml:space="preserve"> </w:t>
      </w:r>
      <w:r w:rsidR="004A65F5">
        <w:t xml:space="preserve">Viename paketėlyje yra </w:t>
      </w:r>
      <w:r w:rsidRPr="00220833">
        <w:t>500</w:t>
      </w:r>
      <w:r>
        <w:t xml:space="preserve"> mg </w:t>
      </w:r>
      <w:r w:rsidRPr="00C71CCB">
        <w:t>paracetamolio</w:t>
      </w:r>
      <w:r>
        <w:t>.</w:t>
      </w:r>
    </w:p>
    <w:p w14:paraId="35651A83" w14:textId="77777777" w:rsidR="000A7ECC" w:rsidRDefault="000A7ECC" w:rsidP="00873D09">
      <w:pPr>
        <w:pStyle w:val="BT-EMEASMCA"/>
      </w:pPr>
      <w:r w:rsidRPr="00DF4173">
        <w:t>Pagalbinės medžiagos yra</w:t>
      </w:r>
      <w:r>
        <w:t xml:space="preserve"> </w:t>
      </w:r>
      <w:r w:rsidR="004A65F5">
        <w:t>manitolis (E 421), ksilitolis (E 967), juodųjų serbentų aromatinė medžiaga (maltodekstrinas, dekstrozė, triacetinas [E 1518], gumiarabikas [E 414], natrio diacetatas [E 262]), steviolio glikozidas, raudonųjų burokėlių milteliai (raudonųjų burokėlių sulčių koncentratas, maltodekstrinas, citrinų rūgštis [E 330]) ir mentolio aromatinė medžiaga (maltodekstrinas, dekstrozė, silicio dioksidas [E 551], gumiarabikas [E 414], pulegonas)</w:t>
      </w:r>
      <w:r w:rsidRPr="00E06A3A">
        <w:t>.</w:t>
      </w:r>
    </w:p>
    <w:p w14:paraId="02B6EF02" w14:textId="77777777" w:rsidR="000A7ECC" w:rsidRPr="00E06A3A" w:rsidRDefault="000A7ECC" w:rsidP="001E1730">
      <w:pPr>
        <w:pStyle w:val="BTEMEASMCA"/>
      </w:pPr>
    </w:p>
    <w:p w14:paraId="3EFBC3EB" w14:textId="05EAF64A" w:rsidR="000A7ECC" w:rsidRPr="00DF4173" w:rsidRDefault="00466157" w:rsidP="00FC0EEA">
      <w:pPr>
        <w:pStyle w:val="PI-3EMEASMCA"/>
      </w:pPr>
      <w:r>
        <w:t>Arax</w:t>
      </w:r>
      <w:r w:rsidR="00525EE9">
        <w:t xml:space="preserve"> </w:t>
      </w:r>
      <w:r w:rsidR="000A7ECC" w:rsidRPr="00DF4173">
        <w:t>išvaizda ir kiekis pakuotėje</w:t>
      </w:r>
    </w:p>
    <w:p w14:paraId="5B97DDF2" w14:textId="77777777" w:rsidR="000A7ECC" w:rsidRPr="00253DE6" w:rsidRDefault="000A7ECC" w:rsidP="00FC0EEA">
      <w:pPr>
        <w:rPr>
          <w:sz w:val="16"/>
          <w:szCs w:val="16"/>
        </w:rPr>
      </w:pPr>
    </w:p>
    <w:p w14:paraId="6C2A7A02" w14:textId="21F72D3B" w:rsidR="004A65F5" w:rsidRPr="00253DE6" w:rsidRDefault="00466157" w:rsidP="00FC0EEA">
      <w:proofErr w:type="spellStart"/>
      <w:r w:rsidRPr="00253DE6">
        <w:t>Arax</w:t>
      </w:r>
      <w:proofErr w:type="spellEnd"/>
      <w:r w:rsidR="004A65F5" w:rsidRPr="00253DE6">
        <w:t xml:space="preserve"> yra juodųjų serbentų kvapo rausvos spalvos milteliai, supakuoti į atskirą paketėlį.</w:t>
      </w:r>
    </w:p>
    <w:p w14:paraId="34978A8D" w14:textId="77777777" w:rsidR="004A65F5" w:rsidRPr="004A65F5" w:rsidRDefault="004A65F5" w:rsidP="00FC0EEA">
      <w:pPr>
        <w:rPr>
          <w:lang w:val="pt-BR"/>
        </w:rPr>
      </w:pPr>
      <w:r w:rsidRPr="004A65F5">
        <w:rPr>
          <w:lang w:val="pt-BR"/>
        </w:rPr>
        <w:t>Ištirpinus karštame vandenyje, tirpalas yra raudonas ir skaidrus.</w:t>
      </w:r>
    </w:p>
    <w:p w14:paraId="34AB0563" w14:textId="77777777" w:rsidR="004A65F5" w:rsidRPr="004A65F5" w:rsidRDefault="004A65F5" w:rsidP="00FC0EEA">
      <w:pPr>
        <w:rPr>
          <w:lang w:val="pt-BR"/>
        </w:rPr>
      </w:pPr>
    </w:p>
    <w:p w14:paraId="1FFA695B" w14:textId="77777777" w:rsidR="004A65F5" w:rsidRPr="004A65F5" w:rsidRDefault="004A65F5" w:rsidP="00FC0EEA">
      <w:pPr>
        <w:rPr>
          <w:lang w:val="pt-BR"/>
        </w:rPr>
      </w:pPr>
      <w:r w:rsidRPr="004A65F5">
        <w:rPr>
          <w:lang w:val="pt-BR"/>
        </w:rPr>
        <w:t>5, 6, 10, 12, 20, 24 ir 30 paketėlių kartoninėje dėžutėje.</w:t>
      </w:r>
    </w:p>
    <w:p w14:paraId="64A878FC" w14:textId="77777777" w:rsidR="004A65F5" w:rsidRPr="00F72F79" w:rsidRDefault="004A65F5" w:rsidP="00FC0EEA">
      <w:pPr>
        <w:rPr>
          <w:lang w:val="pt-BR"/>
        </w:rPr>
      </w:pPr>
      <w:r w:rsidRPr="004A65F5">
        <w:rPr>
          <w:lang w:val="pt-BR"/>
        </w:rPr>
        <w:t>Gali būti tiekiamos ne visų dydžių pakuotės.</w:t>
      </w:r>
    </w:p>
    <w:p w14:paraId="2E364CD7" w14:textId="77777777" w:rsidR="004A65F5" w:rsidRDefault="004A65F5" w:rsidP="00FC0EEA">
      <w:pPr>
        <w:pStyle w:val="PI-3EMEASMCA"/>
      </w:pPr>
    </w:p>
    <w:p w14:paraId="742EA028" w14:textId="77777777" w:rsidR="000A7ECC" w:rsidRPr="00DF4173" w:rsidRDefault="000A7ECC" w:rsidP="00FC0EEA">
      <w:pPr>
        <w:pStyle w:val="PI-3EMEASMCA"/>
      </w:pPr>
      <w:r w:rsidRPr="00E51955">
        <w:t>Registruotojas</w:t>
      </w:r>
      <w:r w:rsidRPr="00DF4173">
        <w:t xml:space="preserve"> ir gamintojas</w:t>
      </w:r>
    </w:p>
    <w:p w14:paraId="3BC30662" w14:textId="77777777" w:rsidR="000A7ECC" w:rsidRPr="00E06A3A" w:rsidRDefault="000A7ECC" w:rsidP="00FC0EEA">
      <w:r w:rsidRPr="00E06A3A">
        <w:t>Vitabalans Oy</w:t>
      </w:r>
    </w:p>
    <w:p w14:paraId="43D8AE26" w14:textId="77777777" w:rsidR="000A7ECC" w:rsidRPr="00E06A3A" w:rsidRDefault="000A7ECC" w:rsidP="00FC0EEA">
      <w:r w:rsidRPr="00E06A3A">
        <w:t xml:space="preserve">Varastokatu 8 </w:t>
      </w:r>
    </w:p>
    <w:p w14:paraId="6A9DCBC2" w14:textId="77777777" w:rsidR="000A7ECC" w:rsidRPr="00E06A3A" w:rsidRDefault="000A7ECC" w:rsidP="00FC0EEA">
      <w:r w:rsidRPr="00E06A3A">
        <w:t>13500 H</w:t>
      </w:r>
      <w:r>
        <w:t>ä</w:t>
      </w:r>
      <w:r w:rsidRPr="00E06A3A">
        <w:t>meenlinna</w:t>
      </w:r>
    </w:p>
    <w:p w14:paraId="429EB728" w14:textId="77777777" w:rsidR="000A7ECC" w:rsidRPr="00E06A3A" w:rsidRDefault="000A7ECC" w:rsidP="00FC0EEA">
      <w:r w:rsidRPr="00E06A3A">
        <w:t>Suomija</w:t>
      </w:r>
    </w:p>
    <w:p w14:paraId="5DE53FAA" w14:textId="77777777" w:rsidR="000A7ECC" w:rsidRPr="00E06A3A" w:rsidRDefault="000A7ECC" w:rsidP="00FC0EEA"/>
    <w:p w14:paraId="3EC83732" w14:textId="77777777" w:rsidR="004A65F5" w:rsidRPr="004A65F5" w:rsidRDefault="004A65F5" w:rsidP="00FC0EEA">
      <w:pPr>
        <w:numPr>
          <w:ilvl w:val="12"/>
          <w:numId w:val="0"/>
        </w:numPr>
        <w:ind w:right="-2"/>
      </w:pPr>
      <w:r w:rsidRPr="004A65F5">
        <w:rPr>
          <w:b/>
        </w:rPr>
        <w:t>Šis vaistas Europos ekonominės erdvės valstybėse narėse registruotas tokiais pavadinimais:</w:t>
      </w:r>
    </w:p>
    <w:p w14:paraId="21FA5C39" w14:textId="04365E6C" w:rsidR="004A65F5" w:rsidRPr="003D6DA9" w:rsidRDefault="004A65F5" w:rsidP="00FC0EEA">
      <w:r w:rsidRPr="000873FF">
        <w:t>Latvi</w:t>
      </w:r>
      <w:r>
        <w:t>j</w:t>
      </w:r>
      <w:r w:rsidRPr="000873FF">
        <w:t>a</w:t>
      </w:r>
      <w:r w:rsidR="00A52658">
        <w:t xml:space="preserve">, </w:t>
      </w:r>
      <w:r w:rsidR="00A52658" w:rsidRPr="000873FF">
        <w:t>L</w:t>
      </w:r>
      <w:r w:rsidR="00A52658">
        <w:t>ietuva</w:t>
      </w:r>
      <w:r>
        <w:t>: Arax</w:t>
      </w:r>
    </w:p>
    <w:p w14:paraId="1CB0AF21" w14:textId="77777777" w:rsidR="004A65F5" w:rsidRPr="003D6DA9" w:rsidRDefault="004A65F5" w:rsidP="00FC0EEA">
      <w:r>
        <w:t>Danija:</w:t>
      </w:r>
      <w:r w:rsidRPr="003D6DA9">
        <w:t xml:space="preserve"> Arax Hot</w:t>
      </w:r>
    </w:p>
    <w:p w14:paraId="413B5636" w14:textId="77777777" w:rsidR="004A65F5" w:rsidRDefault="005F06C9" w:rsidP="00FC0EEA">
      <w:r>
        <w:t xml:space="preserve">Švedija: </w:t>
      </w:r>
      <w:r w:rsidR="004A65F5" w:rsidRPr="003D6DA9">
        <w:t>Paracut</w:t>
      </w:r>
    </w:p>
    <w:p w14:paraId="1C672B90" w14:textId="054779D3" w:rsidR="004A65F5" w:rsidRPr="003D6DA9" w:rsidRDefault="005F06C9" w:rsidP="00FC0EEA">
      <w:r w:rsidRPr="000873FF">
        <w:t>Est</w:t>
      </w:r>
      <w:r>
        <w:t xml:space="preserve">ija, </w:t>
      </w:r>
      <w:r w:rsidRPr="000873FF">
        <w:t>Slov</w:t>
      </w:r>
      <w:r>
        <w:t>ė</w:t>
      </w:r>
      <w:r w:rsidRPr="000873FF">
        <w:t>ni</w:t>
      </w:r>
      <w:r>
        <w:t>j</w:t>
      </w:r>
      <w:r w:rsidRPr="000873FF">
        <w:t>a</w:t>
      </w:r>
      <w:r w:rsidR="00A52658">
        <w:t>, Suomija</w:t>
      </w:r>
      <w:r>
        <w:t>:</w:t>
      </w:r>
      <w:r w:rsidRPr="003D6DA9">
        <w:t xml:space="preserve"> </w:t>
      </w:r>
      <w:r w:rsidR="004A65F5" w:rsidRPr="003D6DA9">
        <w:t>Paramax</w:t>
      </w:r>
    </w:p>
    <w:p w14:paraId="3CFEF3E7" w14:textId="77777777" w:rsidR="004A65F5" w:rsidRPr="003D6DA9" w:rsidRDefault="005F06C9" w:rsidP="00FC0EEA">
      <w:r>
        <w:lastRenderedPageBreak/>
        <w:t xml:space="preserve">Vokietija: </w:t>
      </w:r>
      <w:r w:rsidR="004A65F5" w:rsidRPr="003D6DA9">
        <w:t>Paramax Heißgetränk</w:t>
      </w:r>
    </w:p>
    <w:p w14:paraId="1BDFAE6D" w14:textId="77777777" w:rsidR="004A65F5" w:rsidRDefault="005F06C9" w:rsidP="00FC0EEA">
      <w:r>
        <w:t xml:space="preserve">Čekija: </w:t>
      </w:r>
      <w:r w:rsidR="004A65F5" w:rsidRPr="003D6DA9">
        <w:t>Paramax Horký nápoj</w:t>
      </w:r>
    </w:p>
    <w:p w14:paraId="6F334657" w14:textId="77777777" w:rsidR="004A65F5" w:rsidRPr="003D6DA9" w:rsidRDefault="005F06C9" w:rsidP="00FC0EEA">
      <w:r w:rsidRPr="000873FF">
        <w:t>Slovaki</w:t>
      </w:r>
      <w:r>
        <w:t>j</w:t>
      </w:r>
      <w:r w:rsidRPr="000873FF">
        <w:t>a</w:t>
      </w:r>
      <w:r>
        <w:t>:</w:t>
      </w:r>
      <w:r>
        <w:rPr>
          <w:lang w:val="sk-SK"/>
        </w:rPr>
        <w:t xml:space="preserve"> </w:t>
      </w:r>
      <w:r w:rsidR="004A65F5">
        <w:rPr>
          <w:lang w:val="sk-SK"/>
        </w:rPr>
        <w:t>Paramax horúci nápoj</w:t>
      </w:r>
    </w:p>
    <w:p w14:paraId="1D1E6108" w14:textId="228EFAB1" w:rsidR="004A65F5" w:rsidRPr="003D6DA9" w:rsidRDefault="005F06C9" w:rsidP="00FC0EEA">
      <w:r>
        <w:t>Vengrija:</w:t>
      </w:r>
      <w:r w:rsidRPr="003D6DA9">
        <w:t xml:space="preserve"> </w:t>
      </w:r>
      <w:r w:rsidR="004A65F5" w:rsidRPr="003D6DA9">
        <w:t>Paramax Hot</w:t>
      </w:r>
    </w:p>
    <w:p w14:paraId="2C0A9283" w14:textId="77777777" w:rsidR="004A65F5" w:rsidRDefault="005F06C9" w:rsidP="00FC0EEA">
      <w:r>
        <w:t>Lenkija:</w:t>
      </w:r>
      <w:r w:rsidRPr="003D6DA9">
        <w:t xml:space="preserve"> </w:t>
      </w:r>
      <w:r w:rsidR="004A65F5" w:rsidRPr="003D6DA9">
        <w:t>Paramax Quick</w:t>
      </w:r>
    </w:p>
    <w:p w14:paraId="2CA376E5" w14:textId="77777777" w:rsidR="004A65F5" w:rsidRPr="007032A3" w:rsidRDefault="004A65F5" w:rsidP="00FC0EEA">
      <w:pPr>
        <w:numPr>
          <w:ilvl w:val="12"/>
          <w:numId w:val="0"/>
        </w:numPr>
        <w:tabs>
          <w:tab w:val="clear" w:pos="567"/>
        </w:tabs>
        <w:spacing w:line="240" w:lineRule="auto"/>
        <w:ind w:right="-2"/>
        <w:rPr>
          <w:noProof/>
        </w:rPr>
      </w:pPr>
    </w:p>
    <w:p w14:paraId="1614F7BA" w14:textId="543A5FA2" w:rsidR="000A7ECC" w:rsidRPr="00432612" w:rsidRDefault="000A7ECC" w:rsidP="001E1730">
      <w:pPr>
        <w:pStyle w:val="BTbEMEASMCA"/>
      </w:pPr>
      <w:r>
        <w:rPr>
          <w:bCs/>
        </w:rPr>
        <w:t xml:space="preserve">Šis </w:t>
      </w:r>
      <w:r w:rsidRPr="00DF4173">
        <w:rPr>
          <w:bCs/>
        </w:rPr>
        <w:t>pakuotės lapelis</w:t>
      </w:r>
      <w:r w:rsidRPr="00DF4173">
        <w:t xml:space="preserve"> paskutinį kartą p</w:t>
      </w:r>
      <w:r>
        <w:t>eržiūrėtas</w:t>
      </w:r>
      <w:r w:rsidR="00457964">
        <w:t xml:space="preserve"> </w:t>
      </w:r>
      <w:r w:rsidR="00AC13CB">
        <w:t>2025-01-16</w:t>
      </w:r>
      <w:r w:rsidR="007C2D9E" w:rsidRPr="00E35FD0">
        <w:t>.</w:t>
      </w:r>
    </w:p>
    <w:p w14:paraId="3D704774" w14:textId="77777777" w:rsidR="000A7ECC" w:rsidRPr="00C11489" w:rsidRDefault="000A7ECC" w:rsidP="00FC0EEA"/>
    <w:p w14:paraId="1771FF6A" w14:textId="5E73A423" w:rsidR="000A7ECC" w:rsidRDefault="000A7ECC" w:rsidP="00FC0EEA">
      <w:pPr>
        <w:rPr>
          <w:rStyle w:val="Hipersaitas"/>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Del="007211CB">
        <w:t xml:space="preserve"> </w:t>
      </w:r>
      <w:hyperlink r:id="rId5" w:history="1">
        <w:r w:rsidR="006D5768" w:rsidRPr="004E2076">
          <w:rPr>
            <w:rStyle w:val="Hipersaitas"/>
            <w:szCs w:val="22"/>
            <w:lang w:eastAsia="lt-LT"/>
          </w:rPr>
          <w:t>https://vvkt.lrv.lt/lt/</w:t>
        </w:r>
      </w:hyperlink>
      <w:r w:rsidR="006D5768">
        <w:rPr>
          <w:color w:val="0000EE"/>
          <w:szCs w:val="22"/>
          <w:u w:val="single"/>
          <w:lang w:eastAsia="lt-LT"/>
        </w:rPr>
        <w:t xml:space="preserve">. </w:t>
      </w:r>
    </w:p>
    <w:p w14:paraId="0B6049EC" w14:textId="77777777" w:rsidR="000A7ECC" w:rsidRDefault="000A7ECC" w:rsidP="00FC0EEA"/>
    <w:p w14:paraId="08008FFF" w14:textId="77777777" w:rsidR="005F251C" w:rsidRDefault="005F251C" w:rsidP="00FC0EEA"/>
    <w:sectPr w:rsidR="005F251C" w:rsidSect="007C2D9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Grande CE">
    <w:altName w:val="Arial"/>
    <w:charset w:val="58"/>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381B"/>
    <w:multiLevelType w:val="hybridMultilevel"/>
    <w:tmpl w:val="06BA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55047"/>
    <w:multiLevelType w:val="hybridMultilevel"/>
    <w:tmpl w:val="F0929718"/>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2348317E"/>
    <w:multiLevelType w:val="hybridMultilevel"/>
    <w:tmpl w:val="F31C23A4"/>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05F75C5"/>
    <w:multiLevelType w:val="multilevel"/>
    <w:tmpl w:val="D834EE2E"/>
    <w:lvl w:ilvl="0">
      <w:start w:val="1"/>
      <w:numFmt w:val="upperRoman"/>
      <w:pStyle w:val="Antrat1"/>
      <w:lvlText w:val="Artikel %1."/>
      <w:lvlJc w:val="left"/>
      <w:pPr>
        <w:tabs>
          <w:tab w:val="num" w:pos="1440"/>
        </w:tabs>
      </w:pPr>
      <w:rPr>
        <w:rFonts w:cs="Times New Roman"/>
      </w:rPr>
    </w:lvl>
    <w:lvl w:ilvl="1">
      <w:start w:val="1"/>
      <w:numFmt w:val="decimalZero"/>
      <w:pStyle w:val="Antrat2"/>
      <w:isLgl/>
      <w:lvlText w:val="Abschnitt %1.%2"/>
      <w:lvlJc w:val="left"/>
      <w:pPr>
        <w:tabs>
          <w:tab w:val="num" w:pos="144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144"/>
        </w:tabs>
        <w:ind w:left="14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4" w15:restartNumberingAfterBreak="0">
    <w:nsid w:val="30F02CEA"/>
    <w:multiLevelType w:val="hybridMultilevel"/>
    <w:tmpl w:val="2C063334"/>
    <w:lvl w:ilvl="0" w:tplc="DDF8F7B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627423"/>
    <w:multiLevelType w:val="hybridMultilevel"/>
    <w:tmpl w:val="6D96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1583A"/>
    <w:multiLevelType w:val="hybridMultilevel"/>
    <w:tmpl w:val="C48EFD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0A4426"/>
    <w:multiLevelType w:val="hybridMultilevel"/>
    <w:tmpl w:val="6D4088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D5429"/>
    <w:multiLevelType w:val="hybridMultilevel"/>
    <w:tmpl w:val="066E09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100D28"/>
    <w:multiLevelType w:val="hybridMultilevel"/>
    <w:tmpl w:val="0BB8DED2"/>
    <w:lvl w:ilvl="0" w:tplc="FD788292">
      <w:start w:val="1"/>
      <w:numFmt w:val="upperLetter"/>
      <w:lvlText w:val="%1."/>
      <w:lvlJc w:val="left"/>
      <w:pPr>
        <w:ind w:left="5670" w:hanging="5670"/>
      </w:pPr>
      <w:rPr>
        <w:rFonts w:hint="default"/>
        <w:b/>
      </w:rPr>
    </w:lvl>
    <w:lvl w:ilvl="1" w:tplc="8B98B04C">
      <w:start w:val="17"/>
      <w:numFmt w:val="decimal"/>
      <w:lvlText w:val="%2."/>
      <w:lvlJc w:val="left"/>
      <w:pPr>
        <w:ind w:left="1989" w:hanging="570"/>
      </w:pPr>
      <w:rPr>
        <w:rFonts w:hint="default"/>
        <w:b/>
        <w:i w:val="0"/>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7"/>
  </w:num>
  <w:num w:numId="12">
    <w:abstractNumId w:val="1"/>
  </w:num>
  <w:num w:numId="13">
    <w:abstractNumId w:val="10"/>
  </w:num>
  <w:num w:numId="14">
    <w:abstractNumId w:val="5"/>
  </w:num>
  <w:num w:numId="15">
    <w:abstractNumId w:val="4"/>
  </w:num>
  <w:num w:numId="16">
    <w:abstractNumId w:val="0"/>
  </w:num>
  <w:num w:numId="17">
    <w:abstractNumId w:val="6"/>
  </w:num>
  <w:num w:numId="18">
    <w:abstractNumId w:val="8"/>
  </w:num>
  <w:num w:numId="19">
    <w:abstractNumId w:val="4"/>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1"/>
  <w:activeWritingStyle w:appName="MSWord" w:lang="en-US" w:vendorID="64" w:dllVersion="6" w:nlCheck="1" w:checkStyle="1"/>
  <w:activeWritingStyle w:appName="MSWord" w:lang="de-DE" w:vendorID="64" w:dllVersion="6" w:nlCheck="1" w:checkStyle="0"/>
  <w:activeWritingStyle w:appName="MSWord" w:lang="fi-FI"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CC"/>
    <w:rsid w:val="0003102B"/>
    <w:rsid w:val="0003754D"/>
    <w:rsid w:val="00047B35"/>
    <w:rsid w:val="00067674"/>
    <w:rsid w:val="000A7ECC"/>
    <w:rsid w:val="000C2F57"/>
    <w:rsid w:val="000C7BC1"/>
    <w:rsid w:val="001038AC"/>
    <w:rsid w:val="001143E9"/>
    <w:rsid w:val="001279BD"/>
    <w:rsid w:val="00134EB9"/>
    <w:rsid w:val="00145FA2"/>
    <w:rsid w:val="001527D3"/>
    <w:rsid w:val="001574E0"/>
    <w:rsid w:val="00157E90"/>
    <w:rsid w:val="00157EF6"/>
    <w:rsid w:val="00174675"/>
    <w:rsid w:val="00187EFC"/>
    <w:rsid w:val="00196ADF"/>
    <w:rsid w:val="001A326C"/>
    <w:rsid w:val="001B6202"/>
    <w:rsid w:val="001E1730"/>
    <w:rsid w:val="001E19CC"/>
    <w:rsid w:val="001F426D"/>
    <w:rsid w:val="001F547E"/>
    <w:rsid w:val="00233F9C"/>
    <w:rsid w:val="00250D3A"/>
    <w:rsid w:val="00253DE6"/>
    <w:rsid w:val="00274056"/>
    <w:rsid w:val="00275066"/>
    <w:rsid w:val="00284396"/>
    <w:rsid w:val="00294D17"/>
    <w:rsid w:val="002A45C0"/>
    <w:rsid w:val="002A7B07"/>
    <w:rsid w:val="002B23B6"/>
    <w:rsid w:val="002B57C3"/>
    <w:rsid w:val="002D324B"/>
    <w:rsid w:val="002D62AA"/>
    <w:rsid w:val="002E081E"/>
    <w:rsid w:val="002E22ED"/>
    <w:rsid w:val="002E7F87"/>
    <w:rsid w:val="002F2CDA"/>
    <w:rsid w:val="00304001"/>
    <w:rsid w:val="00307A1C"/>
    <w:rsid w:val="003216DE"/>
    <w:rsid w:val="0035075A"/>
    <w:rsid w:val="003564BD"/>
    <w:rsid w:val="00380437"/>
    <w:rsid w:val="003A146E"/>
    <w:rsid w:val="003A3DEE"/>
    <w:rsid w:val="003E5C1A"/>
    <w:rsid w:val="003E649F"/>
    <w:rsid w:val="003F4182"/>
    <w:rsid w:val="00401931"/>
    <w:rsid w:val="00411FAF"/>
    <w:rsid w:val="00432612"/>
    <w:rsid w:val="00444F9F"/>
    <w:rsid w:val="004504B8"/>
    <w:rsid w:val="00457964"/>
    <w:rsid w:val="00457BE8"/>
    <w:rsid w:val="004604E9"/>
    <w:rsid w:val="00466157"/>
    <w:rsid w:val="004A65F5"/>
    <w:rsid w:val="004C741F"/>
    <w:rsid w:val="004D0241"/>
    <w:rsid w:val="005016B7"/>
    <w:rsid w:val="00525EE9"/>
    <w:rsid w:val="005277B0"/>
    <w:rsid w:val="005448F2"/>
    <w:rsid w:val="00574E18"/>
    <w:rsid w:val="00584D01"/>
    <w:rsid w:val="005A1947"/>
    <w:rsid w:val="005B6249"/>
    <w:rsid w:val="005C5208"/>
    <w:rsid w:val="005D06A8"/>
    <w:rsid w:val="005D6772"/>
    <w:rsid w:val="005F06C9"/>
    <w:rsid w:val="005F251C"/>
    <w:rsid w:val="005F48E7"/>
    <w:rsid w:val="005F59E4"/>
    <w:rsid w:val="0061167E"/>
    <w:rsid w:val="00613047"/>
    <w:rsid w:val="00630009"/>
    <w:rsid w:val="006368C7"/>
    <w:rsid w:val="00651313"/>
    <w:rsid w:val="00655305"/>
    <w:rsid w:val="006558CA"/>
    <w:rsid w:val="00666E3E"/>
    <w:rsid w:val="006975B4"/>
    <w:rsid w:val="006A50F2"/>
    <w:rsid w:val="006C6A59"/>
    <w:rsid w:val="006D5768"/>
    <w:rsid w:val="006E341A"/>
    <w:rsid w:val="00700928"/>
    <w:rsid w:val="0071017D"/>
    <w:rsid w:val="00726040"/>
    <w:rsid w:val="00726798"/>
    <w:rsid w:val="00755CEE"/>
    <w:rsid w:val="00767B10"/>
    <w:rsid w:val="00785639"/>
    <w:rsid w:val="00790CB0"/>
    <w:rsid w:val="00795469"/>
    <w:rsid w:val="007A5D90"/>
    <w:rsid w:val="007A6E90"/>
    <w:rsid w:val="007B5B80"/>
    <w:rsid w:val="007C2D9E"/>
    <w:rsid w:val="008246CC"/>
    <w:rsid w:val="00840DA0"/>
    <w:rsid w:val="00857869"/>
    <w:rsid w:val="008617C0"/>
    <w:rsid w:val="00873D09"/>
    <w:rsid w:val="00883358"/>
    <w:rsid w:val="0088460D"/>
    <w:rsid w:val="00885965"/>
    <w:rsid w:val="008A7C4A"/>
    <w:rsid w:val="008B6599"/>
    <w:rsid w:val="008C17AD"/>
    <w:rsid w:val="008C36FB"/>
    <w:rsid w:val="008C6CEB"/>
    <w:rsid w:val="008D0146"/>
    <w:rsid w:val="008D2255"/>
    <w:rsid w:val="008E5110"/>
    <w:rsid w:val="008E60E8"/>
    <w:rsid w:val="008F2E4E"/>
    <w:rsid w:val="008F3D2A"/>
    <w:rsid w:val="00902061"/>
    <w:rsid w:val="00907C0B"/>
    <w:rsid w:val="00916D97"/>
    <w:rsid w:val="00930F5B"/>
    <w:rsid w:val="009520EB"/>
    <w:rsid w:val="00991DE6"/>
    <w:rsid w:val="009E3C7A"/>
    <w:rsid w:val="00A52658"/>
    <w:rsid w:val="00A80C7B"/>
    <w:rsid w:val="00A911F0"/>
    <w:rsid w:val="00AA7B6C"/>
    <w:rsid w:val="00AB252F"/>
    <w:rsid w:val="00AC13CB"/>
    <w:rsid w:val="00AC43B9"/>
    <w:rsid w:val="00AF6BC5"/>
    <w:rsid w:val="00B05399"/>
    <w:rsid w:val="00B10B5C"/>
    <w:rsid w:val="00B37AEC"/>
    <w:rsid w:val="00B5474A"/>
    <w:rsid w:val="00B7608E"/>
    <w:rsid w:val="00B834A2"/>
    <w:rsid w:val="00BF27E8"/>
    <w:rsid w:val="00C0119E"/>
    <w:rsid w:val="00C13A00"/>
    <w:rsid w:val="00C30A09"/>
    <w:rsid w:val="00C62FB4"/>
    <w:rsid w:val="00C6622D"/>
    <w:rsid w:val="00C67059"/>
    <w:rsid w:val="00C67133"/>
    <w:rsid w:val="00CA6023"/>
    <w:rsid w:val="00CB4AD8"/>
    <w:rsid w:val="00CE12B0"/>
    <w:rsid w:val="00CF1F62"/>
    <w:rsid w:val="00CF7046"/>
    <w:rsid w:val="00D303EF"/>
    <w:rsid w:val="00D3450E"/>
    <w:rsid w:val="00D56502"/>
    <w:rsid w:val="00D811F4"/>
    <w:rsid w:val="00D933D3"/>
    <w:rsid w:val="00DA5BDF"/>
    <w:rsid w:val="00DB303B"/>
    <w:rsid w:val="00DC18ED"/>
    <w:rsid w:val="00DC7C40"/>
    <w:rsid w:val="00DD5F9F"/>
    <w:rsid w:val="00DE1A31"/>
    <w:rsid w:val="00DF673D"/>
    <w:rsid w:val="00DF7EE8"/>
    <w:rsid w:val="00E20D51"/>
    <w:rsid w:val="00E35FD0"/>
    <w:rsid w:val="00E5520C"/>
    <w:rsid w:val="00E561A8"/>
    <w:rsid w:val="00E84739"/>
    <w:rsid w:val="00E857BF"/>
    <w:rsid w:val="00E9443B"/>
    <w:rsid w:val="00EB7A30"/>
    <w:rsid w:val="00ED3852"/>
    <w:rsid w:val="00EE5D9F"/>
    <w:rsid w:val="00F11377"/>
    <w:rsid w:val="00F132DE"/>
    <w:rsid w:val="00F14855"/>
    <w:rsid w:val="00F60977"/>
    <w:rsid w:val="00F81D8C"/>
    <w:rsid w:val="00F94771"/>
    <w:rsid w:val="00FB13B6"/>
    <w:rsid w:val="00FC0EEA"/>
    <w:rsid w:val="00FD4A08"/>
    <w:rsid w:val="00FD758A"/>
    <w:rsid w:val="00FD7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789F"/>
  <w15:docId w15:val="{C6DE4183-114B-458C-B3F2-20ABFC9E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6FB"/>
    <w:pPr>
      <w:tabs>
        <w:tab w:val="left" w:pos="567"/>
      </w:tabs>
      <w:spacing w:line="260" w:lineRule="exact"/>
    </w:pPr>
    <w:rPr>
      <w:sz w:val="22"/>
      <w:lang w:eastAsia="en-US"/>
    </w:rPr>
  </w:style>
  <w:style w:type="paragraph" w:styleId="Antrat1">
    <w:name w:val="heading 1"/>
    <w:basedOn w:val="prastasis"/>
    <w:next w:val="prastasis"/>
    <w:link w:val="Antrat1Diagrama"/>
    <w:uiPriority w:val="9"/>
    <w:qFormat/>
    <w:rsid w:val="002B23B6"/>
    <w:pPr>
      <w:keepNext/>
      <w:numPr>
        <w:numId w:val="9"/>
      </w:numPr>
      <w:autoSpaceDE w:val="0"/>
      <w:autoSpaceDN w:val="0"/>
      <w:outlineLvl w:val="0"/>
    </w:pPr>
    <w:rPr>
      <w:rFonts w:ascii="Cambria" w:hAnsi="Cambria" w:cs="Cambria"/>
      <w:b/>
      <w:bCs/>
      <w:kern w:val="32"/>
      <w:sz w:val="32"/>
      <w:szCs w:val="32"/>
    </w:rPr>
  </w:style>
  <w:style w:type="paragraph" w:styleId="Antrat2">
    <w:name w:val="heading 2"/>
    <w:basedOn w:val="prastasis"/>
    <w:next w:val="prastasis"/>
    <w:link w:val="Antrat2Diagrama"/>
    <w:uiPriority w:val="9"/>
    <w:qFormat/>
    <w:rsid w:val="002B23B6"/>
    <w:pPr>
      <w:keepNext/>
      <w:numPr>
        <w:ilvl w:val="1"/>
        <w:numId w:val="9"/>
      </w:numPr>
      <w:autoSpaceDE w:val="0"/>
      <w:autoSpaceDN w:val="0"/>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
    <w:qFormat/>
    <w:rsid w:val="002B23B6"/>
    <w:pPr>
      <w:keepNext/>
      <w:numPr>
        <w:ilvl w:val="2"/>
        <w:numId w:val="9"/>
      </w:numPr>
      <w:autoSpaceDE w:val="0"/>
      <w:autoSpaceDN w:val="0"/>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
    <w:qFormat/>
    <w:rsid w:val="002B23B6"/>
    <w:pPr>
      <w:keepNext/>
      <w:numPr>
        <w:ilvl w:val="3"/>
        <w:numId w:val="9"/>
      </w:numPr>
      <w:suppressAutoHyphens/>
      <w:spacing w:before="240" w:after="240"/>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2B23B6"/>
    <w:pPr>
      <w:numPr>
        <w:ilvl w:val="4"/>
        <w:numId w:val="9"/>
      </w:numPr>
      <w:suppressAutoHyphens/>
      <w:spacing w:before="240" w:after="240"/>
      <w:outlineLvl w:val="4"/>
    </w:pPr>
    <w:rPr>
      <w:rFonts w:ascii="Calibri" w:hAnsi="Calibri" w:cs="Calibri"/>
      <w:b/>
      <w:bCs/>
      <w:i/>
      <w:iCs/>
      <w:sz w:val="26"/>
      <w:szCs w:val="26"/>
    </w:rPr>
  </w:style>
  <w:style w:type="paragraph" w:styleId="Antrat6">
    <w:name w:val="heading 6"/>
    <w:basedOn w:val="prastasis"/>
    <w:next w:val="prastasis"/>
    <w:link w:val="Antrat6Diagrama"/>
    <w:uiPriority w:val="99"/>
    <w:qFormat/>
    <w:rsid w:val="002B23B6"/>
    <w:pPr>
      <w:numPr>
        <w:ilvl w:val="5"/>
        <w:numId w:val="9"/>
      </w:numPr>
      <w:autoSpaceDE w:val="0"/>
      <w:autoSpaceDN w:val="0"/>
      <w:spacing w:before="240" w:after="60"/>
      <w:outlineLvl w:val="5"/>
    </w:pPr>
    <w:rPr>
      <w:rFonts w:ascii="Calibri" w:hAnsi="Calibri" w:cs="Calibri"/>
      <w:b/>
      <w:bCs/>
    </w:rPr>
  </w:style>
  <w:style w:type="paragraph" w:styleId="Antrat7">
    <w:name w:val="heading 7"/>
    <w:basedOn w:val="prastasis"/>
    <w:next w:val="prastasis"/>
    <w:link w:val="Antrat7Diagrama"/>
    <w:uiPriority w:val="99"/>
    <w:qFormat/>
    <w:rsid w:val="002B23B6"/>
    <w:pPr>
      <w:numPr>
        <w:ilvl w:val="6"/>
        <w:numId w:val="9"/>
      </w:numPr>
      <w:autoSpaceDE w:val="0"/>
      <w:autoSpaceDN w:val="0"/>
      <w:spacing w:before="240" w:after="60"/>
      <w:outlineLvl w:val="6"/>
    </w:pPr>
    <w:rPr>
      <w:rFonts w:ascii="Calibri" w:hAnsi="Calibri" w:cs="Calibri"/>
      <w:sz w:val="24"/>
      <w:szCs w:val="24"/>
    </w:rPr>
  </w:style>
  <w:style w:type="paragraph" w:styleId="Antrat8">
    <w:name w:val="heading 8"/>
    <w:basedOn w:val="prastasis"/>
    <w:next w:val="prastasis"/>
    <w:link w:val="Antrat8Diagrama"/>
    <w:uiPriority w:val="99"/>
    <w:qFormat/>
    <w:rsid w:val="002B23B6"/>
    <w:pPr>
      <w:numPr>
        <w:ilvl w:val="7"/>
        <w:numId w:val="9"/>
      </w:numPr>
      <w:autoSpaceDE w:val="0"/>
      <w:autoSpaceDN w:val="0"/>
      <w:spacing w:before="240" w:after="60"/>
      <w:outlineLvl w:val="7"/>
    </w:pPr>
    <w:rPr>
      <w:rFonts w:ascii="Calibri" w:hAnsi="Calibri" w:cs="Calibri"/>
      <w:i/>
      <w:iCs/>
      <w:sz w:val="24"/>
      <w:szCs w:val="24"/>
    </w:rPr>
  </w:style>
  <w:style w:type="paragraph" w:styleId="Antrat9">
    <w:name w:val="heading 9"/>
    <w:basedOn w:val="prastasis"/>
    <w:next w:val="prastasis"/>
    <w:link w:val="Antrat9Diagrama"/>
    <w:uiPriority w:val="99"/>
    <w:qFormat/>
    <w:rsid w:val="002B23B6"/>
    <w:pPr>
      <w:numPr>
        <w:ilvl w:val="8"/>
        <w:numId w:val="5"/>
      </w:numPr>
      <w:autoSpaceDE w:val="0"/>
      <w:autoSpaceDN w:val="0"/>
      <w:spacing w:before="240" w:after="60"/>
      <w:outlineLvl w:val="8"/>
    </w:pPr>
    <w:rPr>
      <w:rFonts w:ascii="Cambria" w:hAnsi="Cambria" w:cs="Cambr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B23B6"/>
    <w:rPr>
      <w:rFonts w:ascii="Cambria" w:hAnsi="Cambria" w:cs="Cambria"/>
      <w:b/>
      <w:bCs/>
      <w:kern w:val="32"/>
      <w:sz w:val="32"/>
      <w:szCs w:val="32"/>
      <w:lang w:val="de-DE" w:eastAsia="de-DE"/>
    </w:rPr>
  </w:style>
  <w:style w:type="character" w:customStyle="1" w:styleId="Antrat2Diagrama">
    <w:name w:val="Antraštė 2 Diagrama"/>
    <w:link w:val="Antrat2"/>
    <w:uiPriority w:val="9"/>
    <w:rsid w:val="002B23B6"/>
    <w:rPr>
      <w:rFonts w:ascii="Cambria" w:hAnsi="Cambria" w:cs="Cambria"/>
      <w:b/>
      <w:bCs/>
      <w:i/>
      <w:iCs/>
      <w:sz w:val="28"/>
      <w:szCs w:val="28"/>
      <w:lang w:val="de-DE" w:eastAsia="de-DE"/>
    </w:rPr>
  </w:style>
  <w:style w:type="character" w:customStyle="1" w:styleId="Antrat3Diagrama">
    <w:name w:val="Antraštė 3 Diagrama"/>
    <w:link w:val="Antrat3"/>
    <w:uiPriority w:val="9"/>
    <w:rsid w:val="002B23B6"/>
    <w:rPr>
      <w:rFonts w:ascii="Cambria" w:hAnsi="Cambria" w:cs="Cambria"/>
      <w:b/>
      <w:bCs/>
      <w:sz w:val="26"/>
      <w:szCs w:val="26"/>
      <w:lang w:val="de-DE" w:eastAsia="de-DE"/>
    </w:rPr>
  </w:style>
  <w:style w:type="character" w:customStyle="1" w:styleId="Antrat4Diagrama">
    <w:name w:val="Antraštė 4 Diagrama"/>
    <w:link w:val="Antrat4"/>
    <w:uiPriority w:val="9"/>
    <w:rsid w:val="002B23B6"/>
    <w:rPr>
      <w:rFonts w:ascii="Calibri" w:hAnsi="Calibri" w:cs="Calibri"/>
      <w:b/>
      <w:bCs/>
      <w:sz w:val="28"/>
      <w:szCs w:val="28"/>
      <w:lang w:val="de-DE" w:eastAsia="de-DE"/>
    </w:rPr>
  </w:style>
  <w:style w:type="character" w:customStyle="1" w:styleId="Antrat5Diagrama">
    <w:name w:val="Antraštė 5 Diagrama"/>
    <w:link w:val="Antrat5"/>
    <w:uiPriority w:val="99"/>
    <w:rsid w:val="002B23B6"/>
    <w:rPr>
      <w:rFonts w:ascii="Calibri" w:hAnsi="Calibri" w:cs="Calibri"/>
      <w:b/>
      <w:bCs/>
      <w:i/>
      <w:iCs/>
      <w:sz w:val="26"/>
      <w:szCs w:val="26"/>
      <w:lang w:val="de-DE" w:eastAsia="de-DE"/>
    </w:rPr>
  </w:style>
  <w:style w:type="character" w:customStyle="1" w:styleId="Antrat6Diagrama">
    <w:name w:val="Antraštė 6 Diagrama"/>
    <w:link w:val="Antrat6"/>
    <w:uiPriority w:val="99"/>
    <w:rsid w:val="002B23B6"/>
    <w:rPr>
      <w:rFonts w:ascii="Calibri" w:hAnsi="Calibri" w:cs="Calibri"/>
      <w:b/>
      <w:bCs/>
      <w:lang w:val="de-DE" w:eastAsia="de-DE"/>
    </w:rPr>
  </w:style>
  <w:style w:type="character" w:customStyle="1" w:styleId="Antrat7Diagrama">
    <w:name w:val="Antraštė 7 Diagrama"/>
    <w:link w:val="Antrat7"/>
    <w:uiPriority w:val="99"/>
    <w:rsid w:val="002B23B6"/>
    <w:rPr>
      <w:rFonts w:ascii="Calibri" w:hAnsi="Calibri" w:cs="Calibri"/>
      <w:sz w:val="24"/>
      <w:szCs w:val="24"/>
      <w:lang w:val="de-DE" w:eastAsia="de-DE"/>
    </w:rPr>
  </w:style>
  <w:style w:type="character" w:customStyle="1" w:styleId="Antrat8Diagrama">
    <w:name w:val="Antraštė 8 Diagrama"/>
    <w:link w:val="Antrat8"/>
    <w:uiPriority w:val="99"/>
    <w:rsid w:val="002B23B6"/>
    <w:rPr>
      <w:rFonts w:ascii="Calibri" w:hAnsi="Calibri" w:cs="Calibri"/>
      <w:i/>
      <w:iCs/>
      <w:sz w:val="24"/>
      <w:szCs w:val="24"/>
      <w:lang w:val="de-DE" w:eastAsia="de-DE"/>
    </w:rPr>
  </w:style>
  <w:style w:type="character" w:customStyle="1" w:styleId="Antrat9Diagrama">
    <w:name w:val="Antraštė 9 Diagrama"/>
    <w:link w:val="Antrat9"/>
    <w:uiPriority w:val="99"/>
    <w:rsid w:val="002B23B6"/>
    <w:rPr>
      <w:rFonts w:ascii="Cambria" w:hAnsi="Cambria" w:cs="Cambria"/>
      <w:lang w:val="de-DE" w:eastAsia="de-DE"/>
    </w:rPr>
  </w:style>
  <w:style w:type="character" w:styleId="Emfaz">
    <w:name w:val="Emphasis"/>
    <w:uiPriority w:val="20"/>
    <w:qFormat/>
    <w:rsid w:val="002B23B6"/>
    <w:rPr>
      <w:b/>
      <w:bCs/>
      <w:i w:val="0"/>
      <w:iCs w:val="0"/>
    </w:rPr>
  </w:style>
  <w:style w:type="paragraph" w:styleId="Porat">
    <w:name w:val="footer"/>
    <w:basedOn w:val="prastasis"/>
    <w:link w:val="PoratDiagrama"/>
    <w:uiPriority w:val="99"/>
    <w:rsid w:val="000A7ECC"/>
    <w:pPr>
      <w:tabs>
        <w:tab w:val="center" w:pos="4536"/>
        <w:tab w:val="center" w:pos="8930"/>
      </w:tabs>
      <w:spacing w:line="240" w:lineRule="auto"/>
    </w:pPr>
    <w:rPr>
      <w:rFonts w:ascii="Helvetica" w:hAnsi="Helvetica"/>
      <w:sz w:val="16"/>
    </w:rPr>
  </w:style>
  <w:style w:type="character" w:customStyle="1" w:styleId="PoratDiagrama">
    <w:name w:val="Poraštė Diagrama"/>
    <w:link w:val="Porat"/>
    <w:uiPriority w:val="99"/>
    <w:rsid w:val="000A7ECC"/>
    <w:rPr>
      <w:rFonts w:ascii="Helvetica" w:hAnsi="Helvetica"/>
      <w:sz w:val="16"/>
      <w:lang w:val="lt-LT"/>
    </w:rPr>
  </w:style>
  <w:style w:type="character" w:styleId="Puslapionumeris">
    <w:name w:val="page number"/>
    <w:basedOn w:val="Numatytasispastraiposriftas"/>
    <w:rsid w:val="000A7ECC"/>
  </w:style>
  <w:style w:type="character" w:styleId="Hipersaitas">
    <w:name w:val="Hyperlink"/>
    <w:uiPriority w:val="99"/>
    <w:rsid w:val="000A7ECC"/>
    <w:rPr>
      <w:color w:val="0000FF"/>
      <w:u w:val="single"/>
    </w:rPr>
  </w:style>
  <w:style w:type="paragraph" w:customStyle="1" w:styleId="PI-1EMEASMCA">
    <w:name w:val="PI-1 EMEA_SMCA"/>
    <w:basedOn w:val="Antrat2"/>
    <w:autoRedefine/>
    <w:rsid w:val="00432612"/>
    <w:pPr>
      <w:numPr>
        <w:ilvl w:val="0"/>
        <w:numId w:val="0"/>
      </w:numPr>
      <w:autoSpaceDE/>
      <w:autoSpaceDN/>
      <w:spacing w:before="0" w:after="0"/>
      <w:ind w:left="567" w:hanging="567"/>
      <w:outlineLvl w:val="9"/>
    </w:pPr>
    <w:rPr>
      <w:rFonts w:ascii="Times New Roman" w:hAnsi="Times New Roman" w:cs="Times New Roman"/>
      <w:bCs w:val="0"/>
      <w:i w:val="0"/>
      <w:iCs w:val="0"/>
      <w:sz w:val="22"/>
      <w:szCs w:val="22"/>
    </w:rPr>
  </w:style>
  <w:style w:type="paragraph" w:customStyle="1" w:styleId="BTEMEASMCA">
    <w:name w:val="BT EMEA_SMCA"/>
    <w:basedOn w:val="prastasis"/>
    <w:link w:val="BTEMEASMCADiagrama"/>
    <w:autoRedefine/>
    <w:rsid w:val="001E1730"/>
    <w:pPr>
      <w:tabs>
        <w:tab w:val="clear" w:pos="567"/>
      </w:tabs>
      <w:spacing w:line="240" w:lineRule="auto"/>
    </w:pPr>
    <w:rPr>
      <w:noProof/>
      <w:szCs w:val="22"/>
    </w:rPr>
  </w:style>
  <w:style w:type="character" w:customStyle="1" w:styleId="BTEMEASMCADiagrama">
    <w:name w:val="BT EMEA_SMCA Diagrama"/>
    <w:link w:val="BTEMEASMCA"/>
    <w:rsid w:val="001E1730"/>
    <w:rPr>
      <w:noProof/>
      <w:sz w:val="22"/>
      <w:szCs w:val="22"/>
      <w:lang w:eastAsia="en-US"/>
    </w:rPr>
  </w:style>
  <w:style w:type="paragraph" w:customStyle="1" w:styleId="PI-2EMEASMCA">
    <w:name w:val="PI-2 EMEA_SMCA"/>
    <w:basedOn w:val="Antrat3"/>
    <w:autoRedefine/>
    <w:rsid w:val="000A7ECC"/>
    <w:pPr>
      <w:keepLines/>
      <w:numPr>
        <w:ilvl w:val="0"/>
        <w:numId w:val="0"/>
      </w:numPr>
      <w:autoSpaceDE/>
      <w:autoSpaceDN/>
      <w:spacing w:before="0" w:after="0"/>
      <w:ind w:left="567" w:hanging="567"/>
    </w:pPr>
    <w:rPr>
      <w:rFonts w:ascii="Times New Roman" w:hAnsi="Times New Roman" w:cs="Times New Roman"/>
      <w:bCs w:val="0"/>
      <w:kern w:val="28"/>
      <w:sz w:val="22"/>
      <w:szCs w:val="22"/>
    </w:rPr>
  </w:style>
  <w:style w:type="paragraph" w:customStyle="1" w:styleId="TTEMEASMCA">
    <w:name w:val="TT EMEA_SMCA"/>
    <w:basedOn w:val="Antrat1"/>
    <w:link w:val="TTEMEASMCADiagrama"/>
    <w:autoRedefine/>
    <w:rsid w:val="000A7ECC"/>
    <w:pPr>
      <w:keepNext w:val="0"/>
      <w:numPr>
        <w:numId w:val="0"/>
      </w:numPr>
      <w:autoSpaceDE/>
      <w:autoSpaceDN/>
      <w:ind w:left="567" w:hanging="567"/>
      <w:jc w:val="center"/>
    </w:pPr>
    <w:rPr>
      <w:rFonts w:ascii="Times New Roman" w:hAnsi="Times New Roman" w:cs="Times New Roman"/>
      <w:bCs w:val="0"/>
      <w:caps/>
      <w:kern w:val="0"/>
      <w:sz w:val="22"/>
      <w:szCs w:val="22"/>
    </w:rPr>
  </w:style>
  <w:style w:type="character" w:customStyle="1" w:styleId="TTEMEASMCADiagrama">
    <w:name w:val="TT EMEA_SMCA Diagrama"/>
    <w:link w:val="TTEMEASMCA"/>
    <w:rsid w:val="000A7ECC"/>
    <w:rPr>
      <w:b/>
      <w:caps/>
      <w:sz w:val="22"/>
      <w:szCs w:val="22"/>
      <w:lang w:val="lt-LT"/>
    </w:rPr>
  </w:style>
  <w:style w:type="paragraph" w:customStyle="1" w:styleId="BTAnIIEMEASMCA">
    <w:name w:val="BT(AnII) EMEA_SMCA"/>
    <w:basedOn w:val="Debesliotekstas"/>
    <w:autoRedefine/>
    <w:rsid w:val="000A7ECC"/>
    <w:pPr>
      <w:tabs>
        <w:tab w:val="clear" w:pos="567"/>
        <w:tab w:val="left" w:pos="1701"/>
      </w:tabs>
      <w:ind w:left="1701" w:hanging="567"/>
    </w:pPr>
    <w:rPr>
      <w:rFonts w:ascii="Times New Roman" w:hAnsi="Times New Roman" w:cs="Tahoma"/>
      <w:b/>
      <w:sz w:val="22"/>
      <w:szCs w:val="22"/>
    </w:rPr>
  </w:style>
  <w:style w:type="paragraph" w:customStyle="1" w:styleId="BTuEMEASMCA">
    <w:name w:val="BT(u) EMEA_SMCA"/>
    <w:basedOn w:val="BTEMEASMCA"/>
    <w:autoRedefine/>
    <w:rsid w:val="000A7ECC"/>
    <w:rPr>
      <w:u w:val="single"/>
    </w:rPr>
  </w:style>
  <w:style w:type="paragraph" w:customStyle="1" w:styleId="PI-1labEMEASMCA">
    <w:name w:val="PI-1_lab EMEA_SMCA"/>
    <w:basedOn w:val="prastasis"/>
    <w:link w:val="PI-1labEMEASMCAChar"/>
    <w:autoRedefine/>
    <w:rsid w:val="000A7ECC"/>
    <w:pPr>
      <w:pBdr>
        <w:top w:val="single" w:sz="4" w:space="1" w:color="auto"/>
        <w:left w:val="single" w:sz="4" w:space="4" w:color="auto"/>
        <w:bottom w:val="single" w:sz="4" w:space="1" w:color="auto"/>
        <w:right w:val="single" w:sz="4" w:space="4" w:color="auto"/>
      </w:pBdr>
      <w:spacing w:line="240" w:lineRule="auto"/>
      <w:ind w:left="567" w:hanging="567"/>
    </w:pPr>
    <w:rPr>
      <w:b/>
      <w:noProof/>
      <w:szCs w:val="22"/>
    </w:rPr>
  </w:style>
  <w:style w:type="character" w:customStyle="1" w:styleId="PI-1labEMEASMCAChar">
    <w:name w:val="PI-1_lab EMEA_SMCA Char"/>
    <w:link w:val="PI-1labEMEASMCA"/>
    <w:rsid w:val="000A7ECC"/>
    <w:rPr>
      <w:b/>
      <w:noProof/>
      <w:sz w:val="22"/>
      <w:szCs w:val="22"/>
      <w:lang w:val="lt-LT"/>
    </w:rPr>
  </w:style>
  <w:style w:type="paragraph" w:customStyle="1" w:styleId="BT-EMEASMCA">
    <w:name w:val="BT- EMEA_SMCA"/>
    <w:basedOn w:val="BTEMEASMCA"/>
    <w:autoRedefine/>
    <w:rsid w:val="00873D09"/>
    <w:pPr>
      <w:numPr>
        <w:numId w:val="10"/>
      </w:numPr>
      <w:ind w:left="0" w:firstLine="0"/>
    </w:pPr>
  </w:style>
  <w:style w:type="paragraph" w:customStyle="1" w:styleId="PI-3EMEASMCA">
    <w:name w:val="PI-3 EMEA_SMCA"/>
    <w:basedOn w:val="prastasis"/>
    <w:autoRedefine/>
    <w:rsid w:val="000A7ECC"/>
    <w:pPr>
      <w:tabs>
        <w:tab w:val="clear" w:pos="567"/>
      </w:tabs>
      <w:spacing w:line="220" w:lineRule="exact"/>
    </w:pPr>
    <w:rPr>
      <w:b/>
      <w:bCs/>
      <w:szCs w:val="22"/>
    </w:rPr>
  </w:style>
  <w:style w:type="paragraph" w:customStyle="1" w:styleId="BTbEMEASMCA">
    <w:name w:val="BT(b) EMEA_SMCA"/>
    <w:basedOn w:val="BTEMEASMCA"/>
    <w:autoRedefine/>
    <w:rsid w:val="000A7ECC"/>
    <w:rPr>
      <w:b/>
    </w:rPr>
  </w:style>
  <w:style w:type="paragraph" w:styleId="Debesliotekstas">
    <w:name w:val="Balloon Text"/>
    <w:basedOn w:val="prastasis"/>
    <w:link w:val="DebesliotekstasDiagrama"/>
    <w:uiPriority w:val="99"/>
    <w:unhideWhenUsed/>
    <w:rsid w:val="000A7ECC"/>
    <w:pPr>
      <w:spacing w:line="240" w:lineRule="auto"/>
    </w:pPr>
    <w:rPr>
      <w:rFonts w:ascii="Lucida Grande CE" w:hAnsi="Lucida Grande CE"/>
      <w:sz w:val="18"/>
      <w:szCs w:val="18"/>
    </w:rPr>
  </w:style>
  <w:style w:type="character" w:customStyle="1" w:styleId="DebesliotekstasDiagrama">
    <w:name w:val="Debesėlio tekstas Diagrama"/>
    <w:link w:val="Debesliotekstas"/>
    <w:uiPriority w:val="99"/>
    <w:rsid w:val="000A7ECC"/>
    <w:rPr>
      <w:rFonts w:ascii="Lucida Grande CE" w:hAnsi="Lucida Grande CE"/>
      <w:sz w:val="18"/>
      <w:szCs w:val="18"/>
      <w:lang w:val="lt-LT"/>
    </w:rPr>
  </w:style>
  <w:style w:type="character" w:styleId="Komentaronuoroda">
    <w:name w:val="annotation reference"/>
    <w:uiPriority w:val="99"/>
    <w:semiHidden/>
    <w:unhideWhenUsed/>
    <w:rsid w:val="000A7ECC"/>
    <w:rPr>
      <w:sz w:val="18"/>
      <w:szCs w:val="18"/>
    </w:rPr>
  </w:style>
  <w:style w:type="paragraph" w:styleId="Komentarotekstas">
    <w:name w:val="annotation text"/>
    <w:basedOn w:val="prastasis"/>
    <w:link w:val="KomentarotekstasDiagrama"/>
    <w:uiPriority w:val="99"/>
    <w:unhideWhenUsed/>
    <w:rsid w:val="000A7ECC"/>
    <w:pPr>
      <w:spacing w:line="240" w:lineRule="auto"/>
    </w:pPr>
    <w:rPr>
      <w:sz w:val="24"/>
      <w:szCs w:val="24"/>
    </w:rPr>
  </w:style>
  <w:style w:type="character" w:customStyle="1" w:styleId="KomentarotekstasDiagrama">
    <w:name w:val="Komentaro tekstas Diagrama"/>
    <w:link w:val="Komentarotekstas"/>
    <w:uiPriority w:val="99"/>
    <w:rsid w:val="000A7ECC"/>
    <w:rPr>
      <w:sz w:val="24"/>
      <w:szCs w:val="24"/>
      <w:lang w:val="lt-LT"/>
    </w:rPr>
  </w:style>
  <w:style w:type="paragraph" w:styleId="Komentarotema">
    <w:name w:val="annotation subject"/>
    <w:basedOn w:val="Komentarotekstas"/>
    <w:next w:val="Komentarotekstas"/>
    <w:link w:val="KomentarotemaDiagrama"/>
    <w:unhideWhenUsed/>
    <w:rsid w:val="000A7ECC"/>
    <w:rPr>
      <w:b/>
      <w:bCs/>
    </w:rPr>
  </w:style>
  <w:style w:type="character" w:customStyle="1" w:styleId="KomentarotemaDiagrama">
    <w:name w:val="Komentaro tema Diagrama"/>
    <w:link w:val="Komentarotema"/>
    <w:rsid w:val="000A7ECC"/>
    <w:rPr>
      <w:b/>
      <w:bCs/>
      <w:sz w:val="24"/>
      <w:szCs w:val="24"/>
      <w:lang w:val="lt-LT"/>
    </w:rPr>
  </w:style>
  <w:style w:type="paragraph" w:styleId="Paprastasistekstas">
    <w:name w:val="Plain Text"/>
    <w:basedOn w:val="prastasis"/>
    <w:link w:val="PaprastasistekstasDiagrama"/>
    <w:uiPriority w:val="99"/>
    <w:rsid w:val="000A7ECC"/>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0A7ECC"/>
    <w:rPr>
      <w:rFonts w:ascii="Courier New" w:eastAsia="SimSun" w:hAnsi="Courier New"/>
      <w:lang w:val="en-US"/>
    </w:rPr>
  </w:style>
  <w:style w:type="paragraph" w:styleId="Pagrindinistekstas">
    <w:name w:val="Body Text"/>
    <w:basedOn w:val="prastasis"/>
    <w:link w:val="PagrindinistekstasDiagrama"/>
    <w:uiPriority w:val="99"/>
    <w:rsid w:val="000A7ECC"/>
    <w:pPr>
      <w:tabs>
        <w:tab w:val="clear" w:pos="567"/>
      </w:tabs>
      <w:spacing w:after="120" w:line="240" w:lineRule="auto"/>
    </w:pPr>
    <w:rPr>
      <w:lang w:eastAsia="lt-LT"/>
    </w:rPr>
  </w:style>
  <w:style w:type="character" w:customStyle="1" w:styleId="PagrindinistekstasDiagrama">
    <w:name w:val="Pagrindinis tekstas Diagrama"/>
    <w:link w:val="Pagrindinistekstas"/>
    <w:uiPriority w:val="99"/>
    <w:rsid w:val="000A7ECC"/>
    <w:rPr>
      <w:sz w:val="22"/>
      <w:lang w:val="lt-LT" w:eastAsia="lt-LT"/>
    </w:rPr>
  </w:style>
  <w:style w:type="paragraph" w:styleId="Pavadinimas">
    <w:name w:val="Title"/>
    <w:basedOn w:val="prastasis"/>
    <w:link w:val="PavadinimasDiagrama"/>
    <w:autoRedefine/>
    <w:uiPriority w:val="99"/>
    <w:qFormat/>
    <w:locked/>
    <w:rsid w:val="00174675"/>
    <w:pPr>
      <w:keepNext/>
      <w:tabs>
        <w:tab w:val="clear" w:pos="567"/>
        <w:tab w:val="left" w:pos="0"/>
      </w:tabs>
      <w:spacing w:line="240" w:lineRule="auto"/>
      <w:outlineLvl w:val="0"/>
    </w:pPr>
    <w:rPr>
      <w:b/>
      <w:kern w:val="28"/>
      <w:lang w:eastAsia="lt-LT"/>
    </w:rPr>
  </w:style>
  <w:style w:type="character" w:customStyle="1" w:styleId="PavadinimasDiagrama">
    <w:name w:val="Pavadinimas Diagrama"/>
    <w:link w:val="Pavadinimas"/>
    <w:uiPriority w:val="99"/>
    <w:rsid w:val="00174675"/>
    <w:rPr>
      <w:b/>
      <w:kern w:val="28"/>
      <w:sz w:val="22"/>
    </w:rPr>
  </w:style>
  <w:style w:type="character" w:customStyle="1" w:styleId="BodyTextChar1">
    <w:name w:val="Body Text Char1"/>
    <w:uiPriority w:val="99"/>
    <w:semiHidden/>
    <w:locked/>
    <w:rsid w:val="000A7ECC"/>
    <w:rPr>
      <w:rFonts w:cs="Times New Roman"/>
      <w:sz w:val="20"/>
      <w:szCs w:val="20"/>
    </w:rPr>
  </w:style>
  <w:style w:type="character" w:customStyle="1" w:styleId="BTEMEASMCAChar">
    <w:name w:val="BT EMEA_SMCA Char"/>
    <w:uiPriority w:val="99"/>
    <w:rsid w:val="000A7ECC"/>
    <w:rPr>
      <w:noProof/>
      <w:sz w:val="22"/>
      <w:szCs w:val="22"/>
      <w:lang w:val="lt-LT" w:eastAsia="en-US" w:bidi="ar-SA"/>
    </w:rPr>
  </w:style>
  <w:style w:type="paragraph" w:customStyle="1" w:styleId="TabletextrowsAgency">
    <w:name w:val="Table text rows (Agency)"/>
    <w:basedOn w:val="prastasis"/>
    <w:uiPriority w:val="99"/>
    <w:rsid w:val="000A7ECC"/>
    <w:pPr>
      <w:tabs>
        <w:tab w:val="clear" w:pos="567"/>
      </w:tabs>
      <w:spacing w:line="280" w:lineRule="exact"/>
    </w:pPr>
    <w:rPr>
      <w:rFonts w:ascii="Verdana" w:eastAsia="SimSun" w:hAnsi="Verdana" w:cs="Verdana"/>
      <w:sz w:val="18"/>
      <w:szCs w:val="18"/>
      <w:lang w:val="en-GB" w:eastAsia="zh-CN"/>
    </w:rPr>
  </w:style>
  <w:style w:type="paragraph" w:styleId="Pataisymai">
    <w:name w:val="Revision"/>
    <w:hidden/>
    <w:uiPriority w:val="99"/>
    <w:semiHidden/>
    <w:rsid w:val="000A7ECC"/>
    <w:rPr>
      <w:sz w:val="22"/>
      <w:lang w:eastAsia="en-US"/>
    </w:rPr>
  </w:style>
  <w:style w:type="paragraph" w:styleId="Antrats">
    <w:name w:val="header"/>
    <w:basedOn w:val="prastasis"/>
    <w:link w:val="AntratsDiagrama"/>
    <w:uiPriority w:val="99"/>
    <w:unhideWhenUsed/>
    <w:rsid w:val="000A7ECC"/>
    <w:pPr>
      <w:tabs>
        <w:tab w:val="clear" w:pos="567"/>
        <w:tab w:val="center" w:pos="4819"/>
        <w:tab w:val="right" w:pos="9638"/>
      </w:tabs>
      <w:spacing w:line="240" w:lineRule="auto"/>
    </w:pPr>
  </w:style>
  <w:style w:type="character" w:customStyle="1" w:styleId="AntratsDiagrama">
    <w:name w:val="Antraštės Diagrama"/>
    <w:link w:val="Antrats"/>
    <w:uiPriority w:val="99"/>
    <w:rsid w:val="000A7ECC"/>
    <w:rPr>
      <w:sz w:val="22"/>
      <w:lang w:val="lt-LT"/>
    </w:rPr>
  </w:style>
  <w:style w:type="paragraph" w:styleId="Sraopastraipa">
    <w:name w:val="List Paragraph"/>
    <w:basedOn w:val="prastasis"/>
    <w:uiPriority w:val="34"/>
    <w:qFormat/>
    <w:rsid w:val="00613047"/>
    <w:pPr>
      <w:ind w:left="720"/>
      <w:contextualSpacing/>
    </w:pPr>
  </w:style>
  <w:style w:type="character" w:customStyle="1" w:styleId="Ratkaisematonmaininta1">
    <w:name w:val="Ratkaisematon maininta1"/>
    <w:basedOn w:val="Numatytasispastraiposriftas"/>
    <w:uiPriority w:val="99"/>
    <w:semiHidden/>
    <w:unhideWhenUsed/>
    <w:rsid w:val="005F59E4"/>
    <w:rPr>
      <w:color w:val="605E5C"/>
      <w:shd w:val="clear" w:color="auto" w:fill="E1DFDD"/>
    </w:rPr>
  </w:style>
  <w:style w:type="paragraph" w:customStyle="1" w:styleId="Default">
    <w:name w:val="Default"/>
    <w:rsid w:val="00B37AEC"/>
    <w:pPr>
      <w:autoSpaceDE w:val="0"/>
      <w:autoSpaceDN w:val="0"/>
      <w:adjustRightInd w:val="0"/>
    </w:pPr>
    <w:rPr>
      <w:color w:val="000000"/>
      <w:sz w:val="24"/>
      <w:szCs w:val="24"/>
      <w:lang w:val="en-GB"/>
    </w:rPr>
  </w:style>
  <w:style w:type="paragraph" w:styleId="Betarp">
    <w:name w:val="No Spacing"/>
    <w:uiPriority w:val="1"/>
    <w:qFormat/>
    <w:rsid w:val="00196ADF"/>
    <w:pPr>
      <w:tabs>
        <w:tab w:val="left" w:pos="567"/>
      </w:tabs>
    </w:pPr>
    <w:rPr>
      <w:sz w:val="22"/>
      <w:lang w:eastAsia="en-US"/>
    </w:rPr>
  </w:style>
  <w:style w:type="paragraph" w:styleId="prastasiniatinklio">
    <w:name w:val="Normal (Web)"/>
    <w:basedOn w:val="prastasis"/>
    <w:uiPriority w:val="99"/>
    <w:semiHidden/>
    <w:unhideWhenUsed/>
    <w:rsid w:val="000C2F57"/>
    <w:pPr>
      <w:tabs>
        <w:tab w:val="clear" w:pos="567"/>
      </w:tabs>
      <w:spacing w:before="100" w:beforeAutospacing="1" w:after="100" w:afterAutospacing="1" w:line="240" w:lineRule="auto"/>
    </w:pPr>
    <w:rPr>
      <w:sz w:val="24"/>
      <w:szCs w:val="24"/>
      <w:lang w:val="fi-FI" w:eastAsia="fi-FI"/>
    </w:rPr>
  </w:style>
  <w:style w:type="character" w:customStyle="1" w:styleId="q4iawc">
    <w:name w:val="q4iawc"/>
    <w:basedOn w:val="Numatytasispastraiposriftas"/>
    <w:rsid w:val="000C2F57"/>
  </w:style>
  <w:style w:type="character" w:customStyle="1" w:styleId="Ratkaisematonmaininta2">
    <w:name w:val="Ratkaisematon maininta2"/>
    <w:basedOn w:val="Numatytasispastraiposriftas"/>
    <w:uiPriority w:val="99"/>
    <w:semiHidden/>
    <w:unhideWhenUsed/>
    <w:rsid w:val="00432612"/>
    <w:rPr>
      <w:color w:val="605E5C"/>
      <w:shd w:val="clear" w:color="auto" w:fill="E1DFDD"/>
    </w:rPr>
  </w:style>
  <w:style w:type="character" w:customStyle="1" w:styleId="UnresolvedMention">
    <w:name w:val="Unresolved Mention"/>
    <w:basedOn w:val="Numatytasispastraiposriftas"/>
    <w:uiPriority w:val="99"/>
    <w:semiHidden/>
    <w:unhideWhenUsed/>
    <w:rsid w:val="006D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949810">
      <w:bodyDiv w:val="1"/>
      <w:marLeft w:val="0"/>
      <w:marRight w:val="0"/>
      <w:marTop w:val="0"/>
      <w:marBottom w:val="0"/>
      <w:divBdr>
        <w:top w:val="none" w:sz="0" w:space="0" w:color="auto"/>
        <w:left w:val="none" w:sz="0" w:space="0" w:color="auto"/>
        <w:bottom w:val="none" w:sz="0" w:space="0" w:color="auto"/>
        <w:right w:val="none" w:sz="0" w:space="0" w:color="auto"/>
      </w:divBdr>
    </w:div>
    <w:div w:id="1819297545">
      <w:bodyDiv w:val="1"/>
      <w:marLeft w:val="0"/>
      <w:marRight w:val="0"/>
      <w:marTop w:val="0"/>
      <w:marBottom w:val="0"/>
      <w:divBdr>
        <w:top w:val="none" w:sz="0" w:space="0" w:color="auto"/>
        <w:left w:val="none" w:sz="0" w:space="0" w:color="auto"/>
        <w:bottom w:val="none" w:sz="0" w:space="0" w:color="auto"/>
        <w:right w:val="none" w:sz="0" w:space="0" w:color="auto"/>
      </w:divBdr>
    </w:div>
    <w:div w:id="2059159879">
      <w:bodyDiv w:val="1"/>
      <w:marLeft w:val="0"/>
      <w:marRight w:val="0"/>
      <w:marTop w:val="0"/>
      <w:marBottom w:val="0"/>
      <w:divBdr>
        <w:top w:val="none" w:sz="0" w:space="0" w:color="auto"/>
        <w:left w:val="none" w:sz="0" w:space="0" w:color="auto"/>
        <w:bottom w:val="none" w:sz="0" w:space="0" w:color="auto"/>
        <w:right w:val="none" w:sz="0" w:space="0" w:color="auto"/>
      </w:divBdr>
    </w:div>
    <w:div w:id="2078358447">
      <w:bodyDiv w:val="1"/>
      <w:marLeft w:val="0"/>
      <w:marRight w:val="0"/>
      <w:marTop w:val="0"/>
      <w:marBottom w:val="0"/>
      <w:divBdr>
        <w:top w:val="none" w:sz="0" w:space="0" w:color="auto"/>
        <w:left w:val="none" w:sz="0" w:space="0" w:color="auto"/>
        <w:bottom w:val="none" w:sz="0" w:space="0" w:color="auto"/>
        <w:right w:val="none" w:sz="0" w:space="0" w:color="auto"/>
      </w:divBdr>
    </w:div>
    <w:div w:id="207874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25852</Words>
  <Characters>14737</Characters>
  <Application>Microsoft Office Word</Application>
  <DocSecurity>4</DocSecurity>
  <Lines>122</Lines>
  <Paragraphs>81</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40508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 Salokangas</dc:creator>
  <cp:lastModifiedBy>Albina Burkauskaitė</cp:lastModifiedBy>
  <cp:revision>2</cp:revision>
  <dcterms:created xsi:type="dcterms:W3CDTF">2025-02-11T11:57:00Z</dcterms:created>
  <dcterms:modified xsi:type="dcterms:W3CDTF">2025-02-11T11:57:00Z</dcterms:modified>
</cp:coreProperties>
</file>