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Pr="00E11FB2" w:rsidRDefault="00E7144F" w:rsidP="00E7144F">
      <w:pPr>
        <w:jc w:val="center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Pakuotės lapelis: informacija vartotojui</w:t>
      </w:r>
    </w:p>
    <w:p w:rsidR="00E7144F" w:rsidRPr="00E11FB2" w:rsidRDefault="00E7144F" w:rsidP="00E7144F">
      <w:pPr>
        <w:jc w:val="center"/>
        <w:rPr>
          <w:b/>
          <w:sz w:val="22"/>
          <w:szCs w:val="22"/>
        </w:rPr>
      </w:pPr>
    </w:p>
    <w:p w:rsidR="00E7144F" w:rsidRPr="00E11FB2" w:rsidRDefault="00E7144F" w:rsidP="00E7144F">
      <w:pPr>
        <w:jc w:val="center"/>
        <w:rPr>
          <w:b/>
          <w:sz w:val="22"/>
          <w:szCs w:val="22"/>
        </w:rPr>
      </w:pP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20 mg tabletės</w:t>
      </w:r>
    </w:p>
    <w:p w:rsidR="00E7144F" w:rsidRPr="00E11FB2" w:rsidRDefault="00E7144F" w:rsidP="00E7144F">
      <w:pPr>
        <w:spacing w:line="184" w:lineRule="atLeast"/>
        <w:jc w:val="center"/>
        <w:rPr>
          <w:spacing w:val="-4"/>
          <w:sz w:val="22"/>
          <w:szCs w:val="22"/>
        </w:rPr>
      </w:pP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hidrochloridas</w:t>
      </w:r>
    </w:p>
    <w:p w:rsidR="00E7144F" w:rsidRPr="00E11FB2" w:rsidRDefault="00E7144F" w:rsidP="00E7144F">
      <w:pPr>
        <w:spacing w:line="184" w:lineRule="atLeast"/>
        <w:jc w:val="center"/>
        <w:rPr>
          <w:b/>
          <w:caps/>
          <w:sz w:val="22"/>
          <w:szCs w:val="22"/>
        </w:rPr>
      </w:pPr>
    </w:p>
    <w:p w:rsidR="00E7144F" w:rsidRPr="00E11FB2" w:rsidRDefault="00E7144F" w:rsidP="00E7144F">
      <w:pPr>
        <w:tabs>
          <w:tab w:val="left" w:pos="567"/>
        </w:tabs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E7144F" w:rsidRPr="00E11FB2" w:rsidRDefault="00E7144F" w:rsidP="00E7144F">
      <w:pPr>
        <w:tabs>
          <w:tab w:val="left" w:pos="567"/>
        </w:tabs>
        <w:jc w:val="both"/>
        <w:rPr>
          <w:bCs/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Neišmeskite šio lapelio, nes vėl gali prireikti jį perskaityti.</w:t>
      </w:r>
    </w:p>
    <w:p w:rsidR="00E7144F" w:rsidRPr="00E11FB2" w:rsidRDefault="00E7144F" w:rsidP="00E7144F">
      <w:pPr>
        <w:tabs>
          <w:tab w:val="left" w:pos="567"/>
        </w:tabs>
        <w:jc w:val="both"/>
        <w:rPr>
          <w:bCs/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kiltų daugiau klausimų, kreipkitės į gydytoją arba vaistininką.</w:t>
      </w:r>
    </w:p>
    <w:p w:rsidR="00E7144F" w:rsidRPr="00E11FB2" w:rsidRDefault="00E7144F" w:rsidP="00E7144F">
      <w:pPr>
        <w:tabs>
          <w:tab w:val="left" w:pos="540"/>
        </w:tabs>
        <w:ind w:left="540" w:hanging="540"/>
        <w:jc w:val="both"/>
        <w:rPr>
          <w:bCs/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E7144F" w:rsidRPr="00E11FB2" w:rsidRDefault="00E7144F" w:rsidP="00E7144F">
      <w:pPr>
        <w:numPr>
          <w:ilvl w:val="0"/>
          <w:numId w:val="8"/>
        </w:num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E7144F" w:rsidRPr="00E11FB2" w:rsidRDefault="00E7144F" w:rsidP="00E7144F">
      <w:pPr>
        <w:spacing w:line="184" w:lineRule="atLeast"/>
        <w:jc w:val="both"/>
        <w:rPr>
          <w:caps/>
          <w:sz w:val="22"/>
          <w:szCs w:val="22"/>
        </w:rPr>
      </w:pPr>
    </w:p>
    <w:p w:rsidR="00E7144F" w:rsidRPr="00E11FB2" w:rsidRDefault="00E7144F" w:rsidP="00E7144F">
      <w:pPr>
        <w:spacing w:line="184" w:lineRule="atLeast"/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Apie ką rašoma šiame lapelyje?</w:t>
      </w:r>
    </w:p>
    <w:p w:rsidR="00E7144F" w:rsidRPr="00E11FB2" w:rsidRDefault="00E7144F" w:rsidP="00E7144F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1.</w:t>
      </w:r>
      <w:r w:rsidRPr="00E11FB2">
        <w:rPr>
          <w:sz w:val="22"/>
          <w:szCs w:val="22"/>
        </w:rPr>
        <w:tab/>
        <w:t xml:space="preserve">Kas yra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ir kam jis vartojamas</w:t>
      </w:r>
    </w:p>
    <w:p w:rsidR="00E7144F" w:rsidRPr="00E11FB2" w:rsidRDefault="00E7144F" w:rsidP="00E7144F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2.</w:t>
      </w:r>
      <w:r w:rsidRPr="00E11FB2">
        <w:rPr>
          <w:sz w:val="22"/>
          <w:szCs w:val="22"/>
        </w:rPr>
        <w:tab/>
        <w:t xml:space="preserve">Kas žinotina prieš vartojant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</w:p>
    <w:p w:rsidR="00E7144F" w:rsidRPr="00E11FB2" w:rsidRDefault="00E7144F" w:rsidP="00E7144F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3.</w:t>
      </w:r>
      <w:r w:rsidRPr="00E11FB2">
        <w:rPr>
          <w:sz w:val="22"/>
          <w:szCs w:val="22"/>
        </w:rPr>
        <w:tab/>
        <w:t xml:space="preserve">Kaip vartoti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</w:p>
    <w:p w:rsidR="00E7144F" w:rsidRPr="00E11FB2" w:rsidRDefault="00E7144F" w:rsidP="00E7144F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4.</w:t>
      </w:r>
      <w:r w:rsidRPr="00E11FB2">
        <w:rPr>
          <w:sz w:val="22"/>
          <w:szCs w:val="22"/>
        </w:rPr>
        <w:tab/>
        <w:t>Galimas šalutinis poveikis</w:t>
      </w:r>
    </w:p>
    <w:p w:rsidR="00E7144F" w:rsidRPr="00E11FB2" w:rsidRDefault="00E7144F" w:rsidP="00E7144F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5.</w:t>
      </w:r>
      <w:r w:rsidRPr="00E11FB2">
        <w:rPr>
          <w:sz w:val="22"/>
          <w:szCs w:val="22"/>
        </w:rPr>
        <w:tab/>
        <w:t xml:space="preserve">Kaip laikyti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</w:p>
    <w:p w:rsidR="00E7144F" w:rsidRPr="00E11FB2" w:rsidRDefault="00E7144F" w:rsidP="00E7144F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6.</w:t>
      </w:r>
      <w:r w:rsidRPr="00E11FB2">
        <w:rPr>
          <w:sz w:val="22"/>
          <w:szCs w:val="22"/>
        </w:rPr>
        <w:tab/>
        <w:t>Pakuotės turinys ir kita informacija</w:t>
      </w:r>
    </w:p>
    <w:p w:rsidR="00E7144F" w:rsidRPr="00E11FB2" w:rsidRDefault="00E7144F" w:rsidP="00E7144F">
      <w:pPr>
        <w:tabs>
          <w:tab w:val="left" w:pos="540"/>
        </w:tabs>
        <w:jc w:val="both"/>
        <w:rPr>
          <w:caps/>
          <w:sz w:val="22"/>
          <w:szCs w:val="22"/>
        </w:rPr>
      </w:pPr>
    </w:p>
    <w:p w:rsidR="00E7144F" w:rsidRPr="00E11FB2" w:rsidRDefault="00E7144F" w:rsidP="00E7144F">
      <w:pPr>
        <w:tabs>
          <w:tab w:val="left" w:pos="540"/>
        </w:tabs>
        <w:jc w:val="both"/>
        <w:rPr>
          <w:caps/>
          <w:sz w:val="22"/>
          <w:szCs w:val="22"/>
        </w:rPr>
      </w:pPr>
    </w:p>
    <w:p w:rsidR="00E7144F" w:rsidRPr="00E11FB2" w:rsidRDefault="00E7144F" w:rsidP="00E7144F">
      <w:pPr>
        <w:tabs>
          <w:tab w:val="left" w:pos="540"/>
        </w:tabs>
        <w:jc w:val="both"/>
        <w:rPr>
          <w:b/>
          <w:spacing w:val="-4"/>
          <w:sz w:val="22"/>
          <w:szCs w:val="22"/>
        </w:rPr>
      </w:pPr>
      <w:r w:rsidRPr="00E11FB2">
        <w:rPr>
          <w:b/>
          <w:sz w:val="22"/>
          <w:szCs w:val="22"/>
        </w:rPr>
        <w:t>1.</w:t>
      </w:r>
      <w:r w:rsidRPr="00E11FB2">
        <w:rPr>
          <w:b/>
          <w:sz w:val="22"/>
          <w:szCs w:val="22"/>
        </w:rPr>
        <w:tab/>
        <w:t xml:space="preserve">Kas yra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ir kam jis vartojamas</w:t>
      </w:r>
    </w:p>
    <w:p w:rsidR="00E7144F" w:rsidRPr="00E11FB2" w:rsidRDefault="00E7144F" w:rsidP="00E7144F">
      <w:pPr>
        <w:spacing w:line="184" w:lineRule="atLeast"/>
        <w:jc w:val="both"/>
        <w:rPr>
          <w:caps/>
          <w:sz w:val="22"/>
          <w:szCs w:val="22"/>
        </w:rPr>
      </w:pP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veiklioji medžiaga yra </w:t>
      </w: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dihidrochloridas</w:t>
      </w:r>
      <w:proofErr w:type="spellEnd"/>
      <w:r w:rsidRPr="00E11FB2">
        <w:rPr>
          <w:sz w:val="22"/>
          <w:szCs w:val="22"/>
        </w:rPr>
        <w:t xml:space="preserve"> (toliau – </w:t>
      </w:r>
      <w:proofErr w:type="spellStart"/>
      <w:r w:rsidRPr="00E11FB2">
        <w:rPr>
          <w:sz w:val="22"/>
          <w:szCs w:val="22"/>
        </w:rPr>
        <w:t>ipidakrinas</w:t>
      </w:r>
      <w:proofErr w:type="spellEnd"/>
      <w:r w:rsidRPr="00E11FB2">
        <w:rPr>
          <w:sz w:val="22"/>
          <w:szCs w:val="22"/>
        </w:rPr>
        <w:t xml:space="preserve">), grįžtamojo poveikio </w:t>
      </w:r>
      <w:proofErr w:type="spellStart"/>
      <w:r w:rsidRPr="00E11FB2">
        <w:rPr>
          <w:sz w:val="22"/>
          <w:szCs w:val="22"/>
        </w:rPr>
        <w:t>cholinesterazės</w:t>
      </w:r>
      <w:proofErr w:type="spellEnd"/>
      <w:r w:rsidRPr="00E11FB2">
        <w:rPr>
          <w:sz w:val="22"/>
          <w:szCs w:val="22"/>
        </w:rPr>
        <w:t xml:space="preserve"> inhibitorius. Jis </w:t>
      </w:r>
      <w:r>
        <w:rPr>
          <w:sz w:val="22"/>
          <w:szCs w:val="22"/>
        </w:rPr>
        <w:t>skirtas</w:t>
      </w:r>
      <w:r w:rsidRPr="00E11FB2">
        <w:rPr>
          <w:sz w:val="22"/>
          <w:szCs w:val="22"/>
        </w:rPr>
        <w:t xml:space="preserve"> gydyti suaugusiesiems, kuriems </w:t>
      </w:r>
      <w:r>
        <w:rPr>
          <w:sz w:val="22"/>
          <w:szCs w:val="22"/>
        </w:rPr>
        <w:t>yra diagnozuota</w:t>
      </w:r>
      <w:r w:rsidRPr="00E11FB2">
        <w:rPr>
          <w:sz w:val="22"/>
          <w:szCs w:val="22"/>
        </w:rPr>
        <w:t>:</w:t>
      </w:r>
    </w:p>
    <w:p w:rsidR="00E7144F" w:rsidRPr="00E11FB2" w:rsidRDefault="00E7144F" w:rsidP="00E7144F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periferinės nervų sistemos liga (neuritas, </w:t>
      </w:r>
      <w:proofErr w:type="spellStart"/>
      <w:r w:rsidRPr="00E11FB2">
        <w:rPr>
          <w:sz w:val="22"/>
          <w:szCs w:val="22"/>
        </w:rPr>
        <w:t>polineuritas</w:t>
      </w:r>
      <w:proofErr w:type="spellEnd"/>
      <w:r w:rsidRPr="00E11FB2">
        <w:rPr>
          <w:sz w:val="22"/>
          <w:szCs w:val="22"/>
        </w:rPr>
        <w:t xml:space="preserve">, polineuropatija, </w:t>
      </w:r>
      <w:proofErr w:type="spellStart"/>
      <w:r w:rsidRPr="00E11FB2">
        <w:rPr>
          <w:sz w:val="22"/>
          <w:szCs w:val="22"/>
        </w:rPr>
        <w:t>poliradikulopatija</w:t>
      </w:r>
      <w:proofErr w:type="spellEnd"/>
      <w:r w:rsidRPr="00E11FB2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generalizuota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miastenija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CB6755">
        <w:rPr>
          <w:i/>
          <w:sz w:val="22"/>
          <w:szCs w:val="22"/>
        </w:rPr>
        <w:t>myasthenia</w:t>
      </w:r>
      <w:proofErr w:type="spellEnd"/>
      <w:r w:rsidRPr="00E11FB2">
        <w:rPr>
          <w:i/>
          <w:iCs/>
          <w:sz w:val="22"/>
          <w:szCs w:val="22"/>
        </w:rPr>
        <w:t xml:space="preserve"> gravis</w:t>
      </w:r>
      <w:r w:rsidRPr="00E11FB2">
        <w:rPr>
          <w:sz w:val="22"/>
          <w:szCs w:val="22"/>
        </w:rPr>
        <w:t xml:space="preserve">) ir įvairios kilmės </w:t>
      </w:r>
      <w:proofErr w:type="spellStart"/>
      <w:r w:rsidRPr="00E11FB2">
        <w:rPr>
          <w:sz w:val="22"/>
          <w:szCs w:val="22"/>
        </w:rPr>
        <w:t>miasteniniai</w:t>
      </w:r>
      <w:proofErr w:type="spellEnd"/>
      <w:r w:rsidRPr="00E11FB2">
        <w:rPr>
          <w:sz w:val="22"/>
          <w:szCs w:val="22"/>
        </w:rPr>
        <w:t xml:space="preserve"> sindromai),</w:t>
      </w:r>
    </w:p>
    <w:p w:rsidR="00E7144F" w:rsidRPr="00E11FB2" w:rsidRDefault="00E7144F" w:rsidP="00E7144F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tam tikrų tipų paralyžius ir parezė,</w:t>
      </w:r>
    </w:p>
    <w:p w:rsidR="00E7144F" w:rsidRPr="00E11FB2" w:rsidRDefault="00E7144F" w:rsidP="00E7144F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organiniai centrinės nervų sistemos (CNS) pažeidimai, lydimi judėjimo sutrikimų, sveikimo laikotarpiu,</w:t>
      </w:r>
    </w:p>
    <w:p w:rsidR="00E7144F" w:rsidRPr="00E11FB2" w:rsidRDefault="00E7144F" w:rsidP="00E7144F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demielinizuojančiosios</w:t>
      </w:r>
      <w:proofErr w:type="spellEnd"/>
      <w:r w:rsidRPr="00E11FB2">
        <w:rPr>
          <w:sz w:val="22"/>
          <w:szCs w:val="22"/>
        </w:rPr>
        <w:t xml:space="preserve"> ligos (skiriamas kaip kompleksinio gydymo dalis),</w:t>
      </w:r>
    </w:p>
    <w:p w:rsidR="00E7144F" w:rsidRPr="00E11FB2" w:rsidRDefault="00E7144F" w:rsidP="00E7144F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įvairios kilmės atminties sutrikimai (Alzheimerio liga ir kitų tipų senatvinė demencija),</w:t>
      </w:r>
    </w:p>
    <w:p w:rsidR="00E7144F" w:rsidRPr="00E11FB2" w:rsidRDefault="00E7144F" w:rsidP="00E7144F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žarnyno </w:t>
      </w:r>
      <w:proofErr w:type="spellStart"/>
      <w:r w:rsidRPr="00E11FB2">
        <w:rPr>
          <w:sz w:val="22"/>
          <w:szCs w:val="22"/>
        </w:rPr>
        <w:t>atonija</w:t>
      </w:r>
      <w:proofErr w:type="spellEnd"/>
      <w:r w:rsidRPr="00E11FB2">
        <w:rPr>
          <w:sz w:val="22"/>
          <w:szCs w:val="22"/>
        </w:rPr>
        <w:t>.</w:t>
      </w: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</w:p>
    <w:p w:rsidR="00E7144F" w:rsidRPr="00E11FB2" w:rsidRDefault="00E7144F" w:rsidP="00E7144F">
      <w:pPr>
        <w:tabs>
          <w:tab w:val="left" w:pos="-3600"/>
        </w:tabs>
        <w:jc w:val="both"/>
        <w:rPr>
          <w:b/>
          <w:caps/>
          <w:sz w:val="22"/>
          <w:szCs w:val="22"/>
        </w:rPr>
      </w:pPr>
      <w:r w:rsidRPr="00E11FB2">
        <w:rPr>
          <w:b/>
          <w:sz w:val="22"/>
          <w:szCs w:val="22"/>
        </w:rPr>
        <w:t>2.</w:t>
      </w:r>
      <w:r w:rsidRPr="00E11FB2">
        <w:rPr>
          <w:b/>
          <w:sz w:val="22"/>
          <w:szCs w:val="22"/>
        </w:rPr>
        <w:tab/>
        <w:t xml:space="preserve">Kas žinotina prieš vartojant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E7144F" w:rsidRPr="00E11FB2" w:rsidRDefault="00E7144F" w:rsidP="00E7144F">
      <w:pPr>
        <w:spacing w:line="184" w:lineRule="atLeast"/>
        <w:jc w:val="both"/>
        <w:rPr>
          <w:caps/>
          <w:sz w:val="22"/>
          <w:szCs w:val="22"/>
        </w:rPr>
      </w:pPr>
    </w:p>
    <w:p w:rsidR="00E7144F" w:rsidRPr="00E11FB2" w:rsidRDefault="00E7144F" w:rsidP="00E7144F">
      <w:pPr>
        <w:ind w:left="540" w:hanging="540"/>
        <w:jc w:val="both"/>
        <w:rPr>
          <w:b/>
          <w:sz w:val="22"/>
          <w:szCs w:val="22"/>
        </w:rPr>
      </w:pP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E11FB2">
        <w:rPr>
          <w:b/>
          <w:sz w:val="22"/>
          <w:szCs w:val="22"/>
        </w:rPr>
        <w:t>:</w:t>
      </w:r>
    </w:p>
    <w:p w:rsidR="00E7144F" w:rsidRPr="00E11FB2" w:rsidRDefault="00E7144F" w:rsidP="00E7144F">
      <w:pPr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 xml:space="preserve">jeigu yra alergija </w:t>
      </w:r>
      <w:proofErr w:type="spellStart"/>
      <w:r w:rsidRPr="00E11FB2">
        <w:rPr>
          <w:sz w:val="22"/>
          <w:szCs w:val="22"/>
        </w:rPr>
        <w:t>ipidakrinui</w:t>
      </w:r>
      <w:proofErr w:type="spellEnd"/>
      <w:r w:rsidRPr="00E11FB2">
        <w:rPr>
          <w:sz w:val="22"/>
          <w:szCs w:val="22"/>
        </w:rPr>
        <w:t xml:space="preserve"> arba bet kuriai pagalbinei šio vaisto medžiagai (jos išvardytos 6 skyriuje),</w:t>
      </w:r>
    </w:p>
    <w:p w:rsidR="00E7144F" w:rsidRPr="00E11FB2" w:rsidRDefault="00E7144F" w:rsidP="00E7144F">
      <w:pPr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sergate epilepsija,</w:t>
      </w:r>
    </w:p>
    <w:p w:rsidR="00E7144F" w:rsidRPr="00E11FB2" w:rsidRDefault="00E7144F" w:rsidP="00E7144F">
      <w:pPr>
        <w:autoSpaceDE w:val="0"/>
        <w:autoSpaceDN w:val="0"/>
        <w:adjustRightInd w:val="0"/>
        <w:ind w:left="426" w:hanging="360"/>
        <w:jc w:val="both"/>
        <w:rPr>
          <w:spacing w:val="-4"/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 xml:space="preserve">jeigu pasireiškė </w:t>
      </w:r>
      <w:proofErr w:type="spellStart"/>
      <w:r w:rsidRPr="00E11FB2">
        <w:rPr>
          <w:sz w:val="22"/>
          <w:szCs w:val="22"/>
        </w:rPr>
        <w:t>ekstrapiramidinių</w:t>
      </w:r>
      <w:proofErr w:type="spellEnd"/>
      <w:r w:rsidRPr="00E11FB2">
        <w:rPr>
          <w:sz w:val="22"/>
          <w:szCs w:val="22"/>
        </w:rPr>
        <w:t xml:space="preserve"> sutrikimų, lydimų </w:t>
      </w:r>
      <w:proofErr w:type="spellStart"/>
      <w:r w:rsidRPr="00E11FB2">
        <w:rPr>
          <w:sz w:val="22"/>
          <w:szCs w:val="22"/>
        </w:rPr>
        <w:t>hiperkinezijos</w:t>
      </w:r>
      <w:proofErr w:type="spellEnd"/>
      <w:r w:rsidRPr="00E11FB2">
        <w:rPr>
          <w:sz w:val="22"/>
          <w:szCs w:val="22"/>
        </w:rPr>
        <w:t xml:space="preserve"> (liežuvio, veido, kaklo ir nugaros raumenų spazmai),</w:t>
      </w:r>
    </w:p>
    <w:p w:rsidR="00E7144F" w:rsidRPr="00E11FB2" w:rsidRDefault="00E7144F" w:rsidP="00E7144F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 xml:space="preserve">jeigu vargina krūtinės angina (staigaus skausmo širdies srityje ir (arba) už </w:t>
      </w:r>
      <w:proofErr w:type="spellStart"/>
      <w:r w:rsidRPr="00E11FB2">
        <w:rPr>
          <w:sz w:val="22"/>
          <w:szCs w:val="22"/>
        </w:rPr>
        <w:t>krūtinkaulio</w:t>
      </w:r>
      <w:proofErr w:type="spellEnd"/>
      <w:r w:rsidRPr="00E11FB2">
        <w:rPr>
          <w:sz w:val="22"/>
          <w:szCs w:val="22"/>
        </w:rPr>
        <w:t xml:space="preserve"> priepuoliai),</w:t>
      </w:r>
    </w:p>
    <w:p w:rsidR="00E7144F" w:rsidRPr="00E11FB2" w:rsidRDefault="00E7144F" w:rsidP="00E7144F">
      <w:pPr>
        <w:tabs>
          <w:tab w:val="left" w:pos="426"/>
        </w:tabs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Jūsų širdis plaka retai (prieš pradedant gydymą esant ramybės būsenai širdies susitraukimų dažnis yra retesnis nei 50 dūžių per minutę),</w:t>
      </w:r>
    </w:p>
    <w:p w:rsidR="00E7144F" w:rsidRPr="00E11FB2" w:rsidRDefault="00E7144F" w:rsidP="00E7144F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sergate astma,</w:t>
      </w:r>
    </w:p>
    <w:p w:rsidR="00E7144F" w:rsidRPr="00E11FB2" w:rsidRDefault="00E7144F" w:rsidP="00E7144F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diagnozuotas žarnyno ar šlapimo takų užsikimšimas</w:t>
      </w:r>
      <w:r>
        <w:rPr>
          <w:sz w:val="22"/>
          <w:szCs w:val="22"/>
        </w:rPr>
        <w:t xml:space="preserve"> (obstrukcija)</w:t>
      </w:r>
      <w:r w:rsidRPr="00E11FB2">
        <w:rPr>
          <w:sz w:val="22"/>
          <w:szCs w:val="22"/>
        </w:rPr>
        <w:t>,</w:t>
      </w:r>
    </w:p>
    <w:p w:rsidR="00E7144F" w:rsidRPr="00E11FB2" w:rsidRDefault="00E7144F" w:rsidP="00E7144F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paūmėjo skrandžio ar dvylikapirštės žarnos opa,</w:t>
      </w:r>
    </w:p>
    <w:p w:rsidR="00E7144F" w:rsidRPr="00E11FB2" w:rsidRDefault="00E7144F" w:rsidP="00E7144F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 xml:space="preserve">jeigu pasireiškia </w:t>
      </w:r>
      <w:proofErr w:type="spellStart"/>
      <w:r w:rsidRPr="00E11FB2">
        <w:rPr>
          <w:sz w:val="22"/>
          <w:szCs w:val="22"/>
        </w:rPr>
        <w:t>vestibulinės</w:t>
      </w:r>
      <w:proofErr w:type="spellEnd"/>
      <w:r w:rsidRPr="00E11FB2">
        <w:rPr>
          <w:sz w:val="22"/>
          <w:szCs w:val="22"/>
        </w:rPr>
        <w:t xml:space="preserve"> funkcijos (pusiausvyros pojūčio ir suvokimo) sutrikimų,</w:t>
      </w:r>
    </w:p>
    <w:p w:rsidR="00E7144F" w:rsidRPr="00E11FB2" w:rsidRDefault="00E7144F" w:rsidP="00E7144F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esate nėščia,</w:t>
      </w:r>
    </w:p>
    <w:p w:rsidR="00E7144F" w:rsidRPr="00E11FB2" w:rsidRDefault="00E7144F" w:rsidP="00E7144F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lastRenderedPageBreak/>
        <w:t>–</w:t>
      </w:r>
      <w:r w:rsidRPr="00E11FB2">
        <w:rPr>
          <w:sz w:val="22"/>
          <w:szCs w:val="22"/>
        </w:rPr>
        <w:tab/>
        <w:t>jeigu žindote kūdikį.</w:t>
      </w:r>
    </w:p>
    <w:p w:rsidR="00E7144F" w:rsidRPr="00E11FB2" w:rsidRDefault="00E7144F" w:rsidP="00E7144F">
      <w:pPr>
        <w:ind w:left="426"/>
        <w:jc w:val="both"/>
        <w:rPr>
          <w:sz w:val="22"/>
          <w:szCs w:val="22"/>
        </w:rPr>
      </w:pPr>
    </w:p>
    <w:p w:rsidR="00E7144F" w:rsidRPr="00E11FB2" w:rsidRDefault="00E7144F" w:rsidP="00E7144F">
      <w:pPr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Įspėjimai ir atsargumo priemonės</w:t>
      </w:r>
    </w:p>
    <w:p w:rsidR="00E7144F" w:rsidRPr="00E11FB2" w:rsidRDefault="00E7144F" w:rsidP="00E7144F">
      <w:pPr>
        <w:numPr>
          <w:ilvl w:val="12"/>
          <w:numId w:val="0"/>
        </w:numPr>
        <w:ind w:left="567" w:hanging="567"/>
        <w:rPr>
          <w:bCs/>
          <w:spacing w:val="-2"/>
          <w:sz w:val="22"/>
          <w:szCs w:val="22"/>
        </w:rPr>
      </w:pPr>
      <w:r w:rsidRPr="00E11FB2">
        <w:rPr>
          <w:sz w:val="22"/>
          <w:szCs w:val="22"/>
        </w:rPr>
        <w:t xml:space="preserve">Pasitarkite su gydytoju prieš pradėdami vartoti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>, jeigu sergate:</w:t>
      </w:r>
    </w:p>
    <w:p w:rsidR="00E7144F" w:rsidRPr="00E11FB2" w:rsidRDefault="00E7144F" w:rsidP="00E7144F">
      <w:pPr>
        <w:numPr>
          <w:ilvl w:val="0"/>
          <w:numId w:val="6"/>
        </w:numPr>
        <w:ind w:left="567" w:hanging="567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skrandžio opa,</w:t>
      </w:r>
    </w:p>
    <w:p w:rsidR="00E7144F" w:rsidRPr="00E11FB2" w:rsidRDefault="00E7144F" w:rsidP="00E7144F">
      <w:pPr>
        <w:numPr>
          <w:ilvl w:val="0"/>
          <w:numId w:val="6"/>
        </w:numPr>
        <w:ind w:left="567" w:hanging="567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dvylikapirštės žarnos opa,</w:t>
      </w:r>
    </w:p>
    <w:p w:rsidR="00E7144F" w:rsidRPr="00E11FB2" w:rsidRDefault="00E7144F" w:rsidP="00E7144F">
      <w:pPr>
        <w:numPr>
          <w:ilvl w:val="0"/>
          <w:numId w:val="7"/>
        </w:numPr>
        <w:ind w:left="567" w:hanging="567"/>
        <w:rPr>
          <w:spacing w:val="-2"/>
          <w:sz w:val="22"/>
          <w:szCs w:val="22"/>
        </w:rPr>
      </w:pPr>
      <w:proofErr w:type="spellStart"/>
      <w:r w:rsidRPr="00E11FB2">
        <w:rPr>
          <w:sz w:val="22"/>
          <w:szCs w:val="22"/>
        </w:rPr>
        <w:t>tirotoksikoze</w:t>
      </w:r>
      <w:proofErr w:type="spellEnd"/>
      <w:r w:rsidRPr="00E11FB2">
        <w:rPr>
          <w:sz w:val="22"/>
          <w:szCs w:val="22"/>
        </w:rPr>
        <w:t>,</w:t>
      </w:r>
    </w:p>
    <w:p w:rsidR="00E7144F" w:rsidRPr="00E11FB2" w:rsidRDefault="00E7144F" w:rsidP="00E7144F">
      <w:pPr>
        <w:numPr>
          <w:ilvl w:val="0"/>
          <w:numId w:val="7"/>
        </w:numPr>
        <w:ind w:left="567" w:hanging="567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širdies ir kraujagyslių liga,</w:t>
      </w:r>
    </w:p>
    <w:p w:rsidR="00E7144F" w:rsidRPr="00E11FB2" w:rsidRDefault="00E7144F" w:rsidP="00E7144F">
      <w:pPr>
        <w:numPr>
          <w:ilvl w:val="0"/>
          <w:numId w:val="7"/>
        </w:numPr>
        <w:ind w:left="567" w:hanging="567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kvėpavimo takų liga.</w:t>
      </w:r>
    </w:p>
    <w:p w:rsidR="00E7144F" w:rsidRPr="00E11FB2" w:rsidRDefault="00E7144F" w:rsidP="00E7144F">
      <w:pPr>
        <w:spacing w:line="184" w:lineRule="atLeast"/>
        <w:jc w:val="both"/>
        <w:rPr>
          <w:spacing w:val="-2"/>
          <w:sz w:val="22"/>
          <w:szCs w:val="22"/>
        </w:rPr>
      </w:pPr>
    </w:p>
    <w:p w:rsidR="00E7144F" w:rsidRPr="00E11FB2" w:rsidRDefault="00E7144F" w:rsidP="00E7144F">
      <w:pPr>
        <w:spacing w:line="184" w:lineRule="atLeast"/>
        <w:jc w:val="both"/>
        <w:rPr>
          <w:b/>
          <w:bCs/>
          <w:sz w:val="22"/>
          <w:szCs w:val="22"/>
        </w:rPr>
      </w:pPr>
      <w:r w:rsidRPr="00E11FB2">
        <w:rPr>
          <w:b/>
          <w:sz w:val="22"/>
          <w:szCs w:val="22"/>
        </w:rPr>
        <w:t>Vaikams ir paaugliams</w:t>
      </w:r>
    </w:p>
    <w:p w:rsidR="00E7144F" w:rsidRPr="00E11FB2" w:rsidRDefault="00E7144F" w:rsidP="00E7144F">
      <w:pPr>
        <w:jc w:val="both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Šio vaisto saugumas vaikams ir jaunesniems kaip 18 metų paaugliams netirtas.</w:t>
      </w:r>
    </w:p>
    <w:p w:rsidR="00E7144F" w:rsidRPr="00E11FB2" w:rsidRDefault="00E7144F" w:rsidP="00E7144F">
      <w:pPr>
        <w:jc w:val="both"/>
        <w:rPr>
          <w:spacing w:val="-2"/>
          <w:sz w:val="22"/>
          <w:szCs w:val="22"/>
        </w:rPr>
      </w:pPr>
    </w:p>
    <w:p w:rsidR="00E7144F" w:rsidRPr="00E11FB2" w:rsidRDefault="00E7144F" w:rsidP="00E7144F">
      <w:pPr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 xml:space="preserve">Kiti vaistai ir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Jeigu vartojate ar neseniai vartojote kitų vaistų arba dėl to nesate tikri, apie tai pasakykite gydytojui.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vartojant kartu su CNS slopinančiais vaistais gali sustiprėti slopinamasis (raminamasis) poveikis. 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Vartojant kartu su kitais </w:t>
      </w:r>
      <w:proofErr w:type="spellStart"/>
      <w:r w:rsidRPr="00E11FB2">
        <w:rPr>
          <w:sz w:val="22"/>
          <w:szCs w:val="22"/>
        </w:rPr>
        <w:t>cholinesterazės</w:t>
      </w:r>
      <w:proofErr w:type="spellEnd"/>
      <w:r w:rsidRPr="00E11FB2">
        <w:rPr>
          <w:sz w:val="22"/>
          <w:szCs w:val="22"/>
        </w:rPr>
        <w:t xml:space="preserve"> inhibitoriais ir M</w:t>
      </w:r>
      <w:r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cholinomimetikais</w:t>
      </w:r>
      <w:proofErr w:type="spellEnd"/>
      <w:r w:rsidRPr="00E11FB2">
        <w:rPr>
          <w:sz w:val="22"/>
          <w:szCs w:val="22"/>
        </w:rPr>
        <w:t xml:space="preserve"> sustiprėja tiesioginis ir nepageidaujamas </w:t>
      </w: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poveikis.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vartojant kartu su kitomis </w:t>
      </w:r>
      <w:proofErr w:type="spellStart"/>
      <w:r w:rsidRPr="00E11FB2">
        <w:rPr>
          <w:sz w:val="22"/>
          <w:szCs w:val="22"/>
        </w:rPr>
        <w:t>cholinerginėmis</w:t>
      </w:r>
      <w:proofErr w:type="spellEnd"/>
      <w:r w:rsidRPr="00E11FB2">
        <w:rPr>
          <w:sz w:val="22"/>
          <w:szCs w:val="22"/>
        </w:rPr>
        <w:t xml:space="preserve"> medžiagomis </w:t>
      </w:r>
      <w:proofErr w:type="spellStart"/>
      <w:r>
        <w:rPr>
          <w:sz w:val="22"/>
          <w:szCs w:val="22"/>
        </w:rPr>
        <w:t>generalizuota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miastenija</w:t>
      </w:r>
      <w:proofErr w:type="spellEnd"/>
      <w:r w:rsidRPr="00E11FB2">
        <w:rPr>
          <w:sz w:val="22"/>
          <w:szCs w:val="22"/>
        </w:rPr>
        <w:t xml:space="preserve"> sergantiems pacientams (ligai būdingas didelis bendras raumenų silpnumas) gali padidėti </w:t>
      </w:r>
      <w:proofErr w:type="spellStart"/>
      <w:r w:rsidRPr="00E11FB2">
        <w:rPr>
          <w:sz w:val="22"/>
          <w:szCs w:val="22"/>
        </w:rPr>
        <w:t>cholinerginės</w:t>
      </w:r>
      <w:proofErr w:type="spellEnd"/>
      <w:r w:rsidRPr="00E11FB2">
        <w:rPr>
          <w:sz w:val="22"/>
          <w:szCs w:val="22"/>
        </w:rPr>
        <w:t xml:space="preserve"> krizės rizika.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Jeigu prieš gydymą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pacientas vartojo beta </w:t>
      </w:r>
      <w:proofErr w:type="spellStart"/>
      <w:r>
        <w:rPr>
          <w:sz w:val="22"/>
          <w:szCs w:val="22"/>
        </w:rPr>
        <w:t>adrena</w:t>
      </w:r>
      <w:r w:rsidRPr="00E11FB2">
        <w:rPr>
          <w:sz w:val="22"/>
          <w:szCs w:val="22"/>
        </w:rPr>
        <w:t>blokatorių</w:t>
      </w:r>
      <w:proofErr w:type="spellEnd"/>
      <w:r w:rsidRPr="00E11FB2">
        <w:rPr>
          <w:sz w:val="22"/>
          <w:szCs w:val="22"/>
        </w:rPr>
        <w:t>, gali padidėti mažo širdies susitraukimų dažnio rizika.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Šį vaistą galima vartoti su </w:t>
      </w:r>
      <w:proofErr w:type="spellStart"/>
      <w:r>
        <w:rPr>
          <w:sz w:val="22"/>
          <w:szCs w:val="22"/>
        </w:rPr>
        <w:t>cerebrolysin</w:t>
      </w:r>
      <w:proofErr w:type="spellEnd"/>
      <w:r>
        <w:rPr>
          <w:sz w:val="22"/>
          <w:szCs w:val="22"/>
        </w:rPr>
        <w:t xml:space="preserve"> koncentratu (</w:t>
      </w:r>
      <w:r>
        <w:rPr>
          <w:color w:val="333333"/>
          <w:sz w:val="22"/>
          <w:szCs w:val="22"/>
          <w:shd w:val="clear" w:color="auto" w:fill="FFFFFF"/>
        </w:rPr>
        <w:t>k</w:t>
      </w:r>
      <w:r w:rsidRPr="007C4469">
        <w:rPr>
          <w:color w:val="333333"/>
          <w:sz w:val="22"/>
          <w:szCs w:val="22"/>
          <w:shd w:val="clear" w:color="auto" w:fill="FFFFFF"/>
        </w:rPr>
        <w:t xml:space="preserve">iaulių smegenų peptidų </w:t>
      </w:r>
      <w:r>
        <w:rPr>
          <w:color w:val="333333"/>
          <w:sz w:val="22"/>
          <w:szCs w:val="22"/>
          <w:shd w:val="clear" w:color="auto" w:fill="FFFFFF"/>
        </w:rPr>
        <w:t>vaistu)</w:t>
      </w:r>
      <w:r w:rsidRPr="00E11FB2">
        <w:rPr>
          <w:sz w:val="22"/>
          <w:szCs w:val="22"/>
        </w:rPr>
        <w:t>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numPr>
          <w:ilvl w:val="12"/>
          <w:numId w:val="0"/>
        </w:numPr>
        <w:ind w:left="567" w:hanging="567"/>
        <w:rPr>
          <w:sz w:val="22"/>
          <w:szCs w:val="22"/>
        </w:rPr>
      </w:pP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vartojimas su alkoholiu</w:t>
      </w:r>
    </w:p>
    <w:p w:rsidR="00E7144F" w:rsidRPr="00E11FB2" w:rsidRDefault="00E7144F" w:rsidP="00E7144F">
      <w:pPr>
        <w:numPr>
          <w:ilvl w:val="12"/>
          <w:numId w:val="0"/>
        </w:numPr>
        <w:ind w:left="567" w:hanging="567"/>
        <w:rPr>
          <w:spacing w:val="2"/>
          <w:sz w:val="22"/>
          <w:szCs w:val="22"/>
        </w:rPr>
      </w:pPr>
      <w:r w:rsidRPr="00E11FB2">
        <w:rPr>
          <w:sz w:val="22"/>
          <w:szCs w:val="22"/>
        </w:rPr>
        <w:t>Alkoholis gali sustiprinti šio vaisto nepageidaujamą poveikį.</w:t>
      </w:r>
    </w:p>
    <w:p w:rsidR="00E7144F" w:rsidRPr="00E11FB2" w:rsidRDefault="00E7144F" w:rsidP="00E7144F">
      <w:pPr>
        <w:jc w:val="both"/>
        <w:rPr>
          <w:spacing w:val="2"/>
          <w:sz w:val="22"/>
          <w:szCs w:val="22"/>
        </w:rPr>
      </w:pPr>
    </w:p>
    <w:p w:rsidR="00E7144F" w:rsidRPr="00E11FB2" w:rsidRDefault="00E7144F" w:rsidP="00E7144F">
      <w:pPr>
        <w:spacing w:line="184" w:lineRule="atLeast"/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Nėštumas, žindymo laikotarpis ir vaisingumas</w:t>
      </w:r>
    </w:p>
    <w:p w:rsidR="00E7144F" w:rsidRPr="00E11FB2" w:rsidRDefault="00E7144F" w:rsidP="00E7144F">
      <w:pPr>
        <w:spacing w:line="184" w:lineRule="atLeast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Jeigu esate nėščia, žindote kūdikį, manote, kad galbūt esate nėščia arba planuojate pastoti, prieš vartodama šį vaistą pasitarkite su gydytoju arba vaistininku. </w:t>
      </w:r>
    </w:p>
    <w:p w:rsidR="00E7144F" w:rsidRPr="00E11FB2" w:rsidRDefault="00E7144F" w:rsidP="00E7144F">
      <w:pPr>
        <w:spacing w:line="184" w:lineRule="atLeast"/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>Nėštumas</w:t>
      </w:r>
    </w:p>
    <w:p w:rsidR="00E7144F" w:rsidRPr="00E11FB2" w:rsidRDefault="00E7144F" w:rsidP="00E7144F">
      <w:pPr>
        <w:spacing w:line="184" w:lineRule="atLeast"/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didina gimdos tonusą ir susitraukimų skaičių ir gali sukelti pirmalaikį gimdymą, todėl nėščioms moterims jo vartoti negalima (žr. </w:t>
      </w:r>
      <w:proofErr w:type="spellStart"/>
      <w:r w:rsidRPr="00E11FB2">
        <w:rPr>
          <w:i/>
          <w:iCs/>
          <w:sz w:val="22"/>
          <w:szCs w:val="22"/>
        </w:rPr>
        <w:t>Ipidacrine</w:t>
      </w:r>
      <w:proofErr w:type="spellEnd"/>
      <w:r w:rsidRPr="00E11FB2">
        <w:rPr>
          <w:i/>
          <w:iCs/>
          <w:sz w:val="22"/>
          <w:szCs w:val="22"/>
        </w:rPr>
        <w:t xml:space="preserve"> </w:t>
      </w:r>
      <w:proofErr w:type="spellStart"/>
      <w:r w:rsidRPr="00E11FB2">
        <w:rPr>
          <w:i/>
          <w:iCs/>
          <w:sz w:val="22"/>
          <w:szCs w:val="22"/>
        </w:rPr>
        <w:t>hydrochloride</w:t>
      </w:r>
      <w:proofErr w:type="spellEnd"/>
      <w:r w:rsidRPr="00E11FB2">
        <w:rPr>
          <w:i/>
          <w:iCs/>
          <w:sz w:val="22"/>
          <w:szCs w:val="22"/>
        </w:rPr>
        <w:t xml:space="preserve"> </w:t>
      </w:r>
      <w:proofErr w:type="spellStart"/>
      <w:r w:rsidRPr="00E11FB2">
        <w:rPr>
          <w:i/>
          <w:iCs/>
          <w:sz w:val="22"/>
          <w:szCs w:val="22"/>
        </w:rPr>
        <w:t>Grindeks</w:t>
      </w:r>
      <w:proofErr w:type="spellEnd"/>
      <w:r w:rsidRPr="00E11FB2">
        <w:rPr>
          <w:i/>
          <w:iCs/>
          <w:sz w:val="22"/>
          <w:szCs w:val="22"/>
        </w:rPr>
        <w:t xml:space="preserve"> vartoti </w:t>
      </w:r>
      <w:r>
        <w:rPr>
          <w:i/>
          <w:iCs/>
          <w:sz w:val="22"/>
          <w:szCs w:val="22"/>
        </w:rPr>
        <w:t>draudžiama</w:t>
      </w:r>
      <w:r w:rsidRPr="00E11FB2">
        <w:rPr>
          <w:sz w:val="22"/>
          <w:szCs w:val="22"/>
        </w:rPr>
        <w:t>).</w:t>
      </w:r>
    </w:p>
    <w:p w:rsidR="00E7144F" w:rsidRPr="00E11FB2" w:rsidRDefault="00E7144F" w:rsidP="00E7144F">
      <w:pPr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>Žindymas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Jei žindote, šio vaisto vartoti negalite (žr. </w:t>
      </w:r>
      <w:proofErr w:type="spellStart"/>
      <w:r w:rsidRPr="00E11FB2">
        <w:rPr>
          <w:i/>
          <w:iCs/>
          <w:sz w:val="22"/>
          <w:szCs w:val="22"/>
        </w:rPr>
        <w:t>Ipidacrine</w:t>
      </w:r>
      <w:proofErr w:type="spellEnd"/>
      <w:r w:rsidRPr="00E11FB2">
        <w:rPr>
          <w:i/>
          <w:iCs/>
          <w:sz w:val="22"/>
          <w:szCs w:val="22"/>
        </w:rPr>
        <w:t xml:space="preserve"> </w:t>
      </w:r>
      <w:proofErr w:type="spellStart"/>
      <w:r w:rsidRPr="00E11FB2">
        <w:rPr>
          <w:i/>
          <w:iCs/>
          <w:sz w:val="22"/>
          <w:szCs w:val="22"/>
        </w:rPr>
        <w:t>hydrochloride</w:t>
      </w:r>
      <w:proofErr w:type="spellEnd"/>
      <w:r w:rsidRPr="00E11FB2">
        <w:rPr>
          <w:i/>
          <w:iCs/>
          <w:sz w:val="22"/>
          <w:szCs w:val="22"/>
        </w:rPr>
        <w:t xml:space="preserve"> </w:t>
      </w:r>
      <w:proofErr w:type="spellStart"/>
      <w:r w:rsidRPr="00E11FB2">
        <w:rPr>
          <w:i/>
          <w:iCs/>
          <w:sz w:val="22"/>
          <w:szCs w:val="22"/>
        </w:rPr>
        <w:t>Grindeks</w:t>
      </w:r>
      <w:proofErr w:type="spellEnd"/>
      <w:r w:rsidRPr="00E11FB2">
        <w:rPr>
          <w:i/>
          <w:iCs/>
          <w:sz w:val="22"/>
          <w:szCs w:val="22"/>
        </w:rPr>
        <w:t xml:space="preserve"> vartoti </w:t>
      </w:r>
      <w:r>
        <w:rPr>
          <w:i/>
          <w:iCs/>
          <w:sz w:val="22"/>
          <w:szCs w:val="22"/>
        </w:rPr>
        <w:t>draudžiama</w:t>
      </w:r>
      <w:r w:rsidRPr="00E11FB2">
        <w:rPr>
          <w:sz w:val="22"/>
          <w:szCs w:val="22"/>
        </w:rPr>
        <w:t>).</w:t>
      </w:r>
    </w:p>
    <w:p w:rsidR="00E7144F" w:rsidRPr="00E11FB2" w:rsidRDefault="00E7144F" w:rsidP="00E7144F">
      <w:pPr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>Vaisingumas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Duomenų apie </w:t>
      </w: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poveikį žmonių vaisingumui nėra.</w:t>
      </w:r>
    </w:p>
    <w:p w:rsidR="00E7144F" w:rsidRPr="00E11FB2" w:rsidRDefault="00E7144F" w:rsidP="00E7144F">
      <w:pPr>
        <w:spacing w:line="184" w:lineRule="atLeast"/>
        <w:jc w:val="both"/>
        <w:rPr>
          <w:b/>
          <w:sz w:val="22"/>
          <w:szCs w:val="22"/>
        </w:rPr>
      </w:pPr>
    </w:p>
    <w:p w:rsidR="00E7144F" w:rsidRPr="00E11FB2" w:rsidRDefault="00E7144F" w:rsidP="00E7144F">
      <w:pPr>
        <w:spacing w:line="184" w:lineRule="atLeast"/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Vairavimas ir mechanizmų valdymas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Ipidakrinas</w:t>
      </w:r>
      <w:proofErr w:type="spellEnd"/>
      <w:r>
        <w:rPr>
          <w:sz w:val="22"/>
          <w:szCs w:val="22"/>
        </w:rPr>
        <w:t xml:space="preserve"> </w:t>
      </w:r>
      <w:r w:rsidRPr="00E11FB2">
        <w:rPr>
          <w:sz w:val="22"/>
          <w:szCs w:val="22"/>
        </w:rPr>
        <w:t xml:space="preserve">sukelia nedidelį arba vidutinį poveikį gebėjimui vairuoti ir valdyti mechanizmus.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gali sukelti slopinamąjį poveikį. Todėl šį simptomą patiriantiems pacientams reikia būti atsargiems.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tablečių sudėtyje</w:t>
      </w:r>
      <w:r w:rsidRPr="00E11FB2">
        <w:rPr>
          <w:b/>
          <w:sz w:val="22"/>
          <w:szCs w:val="22"/>
        </w:rPr>
        <w:t xml:space="preserve"> yra laktozės</w:t>
      </w:r>
    </w:p>
    <w:p w:rsidR="00E7144F" w:rsidRPr="00E11FB2" w:rsidRDefault="00E7144F" w:rsidP="00E7144F">
      <w:pPr>
        <w:jc w:val="both"/>
        <w:rPr>
          <w:b/>
          <w:sz w:val="22"/>
          <w:szCs w:val="22"/>
        </w:rPr>
      </w:pPr>
      <w:r w:rsidRPr="00E11FB2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E7144F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ind w:left="540" w:hanging="540"/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3.</w:t>
      </w:r>
      <w:r w:rsidRPr="00E11FB2">
        <w:rPr>
          <w:b/>
          <w:sz w:val="22"/>
          <w:szCs w:val="22"/>
        </w:rPr>
        <w:tab/>
        <w:t xml:space="preserve">Kaip vartoti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Visada vartokite šį vaistą tiksliai kaip nurodė gydytojas. Jeigu abejojate, kreipkitės į gydytoją. 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Dozes ir gydymo trukmę, atsižvelgdamas į ligos sunkumą, nustato gydytojas.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 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Vartoti per burną. Tabletę reikia nuryti, pageidautina, užgeriant vandeniu. Šį vaistą galima vartoti kartu su maistu arba be maisto. 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taip pat tiekiamas injekcinio tirpalo į raumenis ar po oda farmacine forma. Gydytojas nuspręs, kuri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farmacinė forma Jums yra tinkamiausia.</w:t>
      </w:r>
    </w:p>
    <w:p w:rsidR="00E7144F" w:rsidRPr="00E11FB2" w:rsidRDefault="00E7144F" w:rsidP="00E7144F">
      <w:pPr>
        <w:rPr>
          <w:sz w:val="22"/>
          <w:szCs w:val="22"/>
        </w:rPr>
      </w:pPr>
    </w:p>
    <w:p w:rsidR="00E7144F" w:rsidRPr="00E11FB2" w:rsidRDefault="00E7144F" w:rsidP="00E7144F">
      <w:pPr>
        <w:pStyle w:val="Sraopastraipa"/>
        <w:numPr>
          <w:ilvl w:val="0"/>
          <w:numId w:val="9"/>
        </w:numPr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 xml:space="preserve">Periferinės nervų sistemos liga, </w:t>
      </w:r>
      <w:proofErr w:type="spellStart"/>
      <w:r>
        <w:rPr>
          <w:i/>
          <w:sz w:val="22"/>
          <w:szCs w:val="22"/>
        </w:rPr>
        <w:t>generalizuota</w:t>
      </w:r>
      <w:proofErr w:type="spellEnd"/>
      <w:r w:rsidRPr="00E11FB2">
        <w:rPr>
          <w:i/>
          <w:sz w:val="22"/>
          <w:szCs w:val="22"/>
        </w:rPr>
        <w:t xml:space="preserve"> </w:t>
      </w:r>
      <w:proofErr w:type="spellStart"/>
      <w:r w:rsidRPr="00E11FB2">
        <w:rPr>
          <w:i/>
          <w:sz w:val="22"/>
          <w:szCs w:val="22"/>
        </w:rPr>
        <w:t>miastenija</w:t>
      </w:r>
      <w:proofErr w:type="spellEnd"/>
      <w:r w:rsidRPr="00E11FB2">
        <w:rPr>
          <w:i/>
          <w:sz w:val="22"/>
          <w:szCs w:val="22"/>
        </w:rPr>
        <w:t xml:space="preserve"> ir </w:t>
      </w:r>
      <w:proofErr w:type="spellStart"/>
      <w:r w:rsidRPr="00E11FB2">
        <w:rPr>
          <w:i/>
          <w:sz w:val="22"/>
          <w:szCs w:val="22"/>
        </w:rPr>
        <w:t>miasteninis</w:t>
      </w:r>
      <w:proofErr w:type="spellEnd"/>
      <w:r w:rsidRPr="00E11FB2">
        <w:rPr>
          <w:i/>
          <w:sz w:val="22"/>
          <w:szCs w:val="22"/>
        </w:rPr>
        <w:t xml:space="preserve"> sindromas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Rekomenduojama dozė yra 20 mg </w:t>
      </w: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(1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tabletė) 1–3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 xml:space="preserve">kartus per parą. 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Gydymas trunka nuo vieno iki dviejų mėnesių. Jei reikia, gydymo kursą galima kartoti kelis kartus 1–2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 xml:space="preserve">mėnesių intervalais tarp kursų. </w:t>
      </w:r>
    </w:p>
    <w:p w:rsidR="00E7144F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Miasteninės</w:t>
      </w:r>
      <w:proofErr w:type="spellEnd"/>
      <w:r w:rsidRPr="00E11FB2">
        <w:rPr>
          <w:sz w:val="22"/>
          <w:szCs w:val="22"/>
        </w:rPr>
        <w:t xml:space="preserve"> krizės, lydimos sunkių nervo ir raumens jungties sutrikimų, profilaktikai trumpą laikotarpį </w:t>
      </w:r>
      <w:r>
        <w:rPr>
          <w:sz w:val="22"/>
          <w:szCs w:val="22"/>
        </w:rPr>
        <w:t xml:space="preserve">gydytojas ar slaugytojas </w:t>
      </w:r>
      <w:r w:rsidRPr="00E11FB2">
        <w:rPr>
          <w:sz w:val="22"/>
          <w:szCs w:val="22"/>
        </w:rPr>
        <w:t>gali leisti į raumenis arba po oda 15–30 mg</w:t>
      </w:r>
      <w:r>
        <w:rPr>
          <w:sz w:val="22"/>
          <w:szCs w:val="22"/>
        </w:rPr>
        <w:t xml:space="preserve"> </w:t>
      </w:r>
      <w:r w:rsidRPr="00E11FB2">
        <w:rPr>
          <w:sz w:val="22"/>
          <w:szCs w:val="22"/>
        </w:rPr>
        <w:t xml:space="preserve">(1–2 ml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15 mg/ml injekcinio tirpalo</w:t>
      </w:r>
      <w:r>
        <w:rPr>
          <w:sz w:val="22"/>
          <w:szCs w:val="22"/>
        </w:rPr>
        <w:t>)</w:t>
      </w:r>
      <w:r w:rsidRPr="00E11FB2">
        <w:rPr>
          <w:sz w:val="22"/>
          <w:szCs w:val="22"/>
        </w:rPr>
        <w:t xml:space="preserve">. Gydymą reikia tęsti tablečių formos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>, o dozę galima didinti iki 20–40 mg (1–2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tablečių) 5–6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 xml:space="preserve">kartus per parą. 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>Tam tikrų tipų paralyžius ir parezė, organiniai C</w:t>
      </w:r>
      <w:r>
        <w:rPr>
          <w:i/>
          <w:sz w:val="22"/>
          <w:szCs w:val="22"/>
        </w:rPr>
        <w:t>N</w:t>
      </w:r>
      <w:r w:rsidRPr="00E11FB2">
        <w:rPr>
          <w:i/>
          <w:sz w:val="22"/>
          <w:szCs w:val="22"/>
        </w:rPr>
        <w:t xml:space="preserve">S pažeidimai, lydimi judėjimo sutrikimų, sveikimo laikotarpiu 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Gydytojas, atsižvelgęs į ligos sunkumą ir Jūsų reakciją į gydymą, dozes ir gydymo trukmę Jums pritaikys individualiai. Individualiai parenkama dozė dažniausiai yra 20 mg 2–3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kartus per parą. Didžiausia paros dozė gali būti 200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mg.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Gydymą galima pradėti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5 mg/ml injekci</w:t>
      </w:r>
      <w:r>
        <w:rPr>
          <w:sz w:val="22"/>
          <w:szCs w:val="22"/>
        </w:rPr>
        <w:t>nį tirpalą leidžiant</w:t>
      </w:r>
      <w:r w:rsidRPr="00E11FB2">
        <w:rPr>
          <w:sz w:val="22"/>
          <w:szCs w:val="22"/>
        </w:rPr>
        <w:t xml:space="preserve"> į raumenis. Dozavimo rekomendacijas žr.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injekci</w:t>
      </w:r>
      <w:r>
        <w:rPr>
          <w:sz w:val="22"/>
          <w:szCs w:val="22"/>
        </w:rPr>
        <w:t>nio</w:t>
      </w:r>
      <w:r w:rsidRPr="00E11FB2">
        <w:rPr>
          <w:sz w:val="22"/>
          <w:szCs w:val="22"/>
        </w:rPr>
        <w:t xml:space="preserve"> tirpalo pakuotės lapelyje.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numPr>
          <w:ilvl w:val="0"/>
          <w:numId w:val="1"/>
        </w:numPr>
        <w:jc w:val="both"/>
        <w:rPr>
          <w:i/>
          <w:sz w:val="22"/>
          <w:szCs w:val="22"/>
        </w:rPr>
      </w:pPr>
      <w:proofErr w:type="spellStart"/>
      <w:r w:rsidRPr="00E11FB2">
        <w:rPr>
          <w:i/>
          <w:sz w:val="22"/>
          <w:szCs w:val="22"/>
        </w:rPr>
        <w:t>Demielinizuojančiosios</w:t>
      </w:r>
      <w:proofErr w:type="spellEnd"/>
      <w:r w:rsidRPr="00E11FB2">
        <w:rPr>
          <w:i/>
          <w:sz w:val="22"/>
          <w:szCs w:val="22"/>
        </w:rPr>
        <w:t xml:space="preserve"> ligos (skiriamas kaip kompleksinio gydymo dalis)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Gydytojas, atsižvelgęs į ligos sunkumą ir Jūsų reakciją į gydymą, dozes ir gydymo trukmę Jums pritaikys individualiai. Individualiai parenkama dozė dažniausiai yra 20–40 mg 2–3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kartus per parą. Didžiausia paros dozė gali būti 200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mg.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Gydymą galima pradėti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15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mg/ml injekci</w:t>
      </w:r>
      <w:r>
        <w:rPr>
          <w:sz w:val="22"/>
          <w:szCs w:val="22"/>
        </w:rPr>
        <w:t>nį tirpalą leidžiant</w:t>
      </w:r>
      <w:r w:rsidRPr="00E11FB2">
        <w:rPr>
          <w:sz w:val="22"/>
          <w:szCs w:val="22"/>
        </w:rPr>
        <w:t xml:space="preserve"> į raumenis. Dozavimo rekomendacijas žr.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injekci</w:t>
      </w:r>
      <w:r>
        <w:rPr>
          <w:sz w:val="22"/>
          <w:szCs w:val="22"/>
        </w:rPr>
        <w:t>nio</w:t>
      </w:r>
      <w:r w:rsidRPr="00E11FB2">
        <w:rPr>
          <w:sz w:val="22"/>
          <w:szCs w:val="22"/>
        </w:rPr>
        <w:t xml:space="preserve"> tirpalo pakuotės lapelyje.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pStyle w:val="Sraopastraipa"/>
        <w:numPr>
          <w:ilvl w:val="0"/>
          <w:numId w:val="9"/>
        </w:numPr>
        <w:jc w:val="both"/>
        <w:rPr>
          <w:i/>
          <w:sz w:val="22"/>
          <w:szCs w:val="22"/>
        </w:rPr>
      </w:pPr>
      <w:r w:rsidRPr="00E11FB2">
        <w:rPr>
          <w:i/>
          <w:iCs/>
          <w:sz w:val="22"/>
          <w:szCs w:val="22"/>
        </w:rPr>
        <w:t>Įvairios kilmės atminties sutrikimai (Alzheimerio liga ir kitų tipų senatvinė demencija)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Dozes ir gydymo trukmę reikia nustatyti individualiai. Individualiai parenkama dozė dažniausiai yra 20 mg 2–3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kartus per parą. Didžiausia paros dozė gali būti 200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mg. Gydymo trukmė yra nuo 1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mėnesio iki 1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metų.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pStyle w:val="Sraopastraipa"/>
        <w:numPr>
          <w:ilvl w:val="0"/>
          <w:numId w:val="9"/>
        </w:numPr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 xml:space="preserve">Žarnyno </w:t>
      </w:r>
      <w:proofErr w:type="spellStart"/>
      <w:r w:rsidRPr="00E11FB2">
        <w:rPr>
          <w:i/>
          <w:sz w:val="22"/>
          <w:szCs w:val="22"/>
        </w:rPr>
        <w:t>atonija</w:t>
      </w:r>
      <w:proofErr w:type="spellEnd"/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Rekomenduojama dozė yra 20 mg (1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tabletė) 2–3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kartus per parą 1–2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savaites.</w:t>
      </w:r>
    </w:p>
    <w:p w:rsidR="00E7144F" w:rsidRPr="00E11FB2" w:rsidRDefault="00E7144F" w:rsidP="00E7144F">
      <w:pPr>
        <w:jc w:val="both"/>
        <w:rPr>
          <w:sz w:val="22"/>
          <w:szCs w:val="22"/>
          <w:lang w:eastAsia="lv-LV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Jeigu manote, kad šis vaistas veikia per stipriai arba per silpnai, pasitarkite su gydytoju.</w:t>
      </w:r>
    </w:p>
    <w:p w:rsidR="00E7144F" w:rsidRPr="00E11FB2" w:rsidRDefault="00E7144F" w:rsidP="00E7144F">
      <w:pPr>
        <w:jc w:val="both"/>
        <w:rPr>
          <w:sz w:val="22"/>
          <w:szCs w:val="22"/>
          <w:lang w:eastAsia="lv-LV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Jei esate vyresnio amžiaus ir sergate kepenų ar inkstų liga, šį vaistą vartokite tiksliai kaip nurodė gydytojas. Jeigu abejojate, kreipkitės į gydytoją arba vaistininką.</w:t>
      </w:r>
    </w:p>
    <w:p w:rsidR="00E7144F" w:rsidRPr="00E11FB2" w:rsidRDefault="00E7144F" w:rsidP="00E7144F">
      <w:pPr>
        <w:jc w:val="both"/>
        <w:rPr>
          <w:b/>
          <w:sz w:val="22"/>
          <w:szCs w:val="22"/>
        </w:rPr>
      </w:pPr>
    </w:p>
    <w:p w:rsidR="00E7144F" w:rsidRPr="00E11FB2" w:rsidRDefault="00E7144F" w:rsidP="00E7144F">
      <w:pPr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 xml:space="preserve">Ką daryti pavartojus per didelę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dozę</w:t>
      </w: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Jei suvartojote per didelę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dozę, nedelsdami kreipkitės į gydytoją.</w:t>
      </w: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Sunkus perdozavimas gali sukelti </w:t>
      </w:r>
      <w:proofErr w:type="spellStart"/>
      <w:r w:rsidRPr="00E11FB2">
        <w:rPr>
          <w:sz w:val="22"/>
          <w:szCs w:val="22"/>
        </w:rPr>
        <w:t>cholinerginės</w:t>
      </w:r>
      <w:proofErr w:type="spellEnd"/>
      <w:r w:rsidRPr="00E11FB2">
        <w:rPr>
          <w:sz w:val="22"/>
          <w:szCs w:val="22"/>
        </w:rPr>
        <w:t xml:space="preserve"> krizės simptomus, įskaitant bronchų spazmą, akių ašarojimą, </w:t>
      </w:r>
      <w:r>
        <w:rPr>
          <w:sz w:val="22"/>
          <w:szCs w:val="22"/>
        </w:rPr>
        <w:t xml:space="preserve">padidėjusį prakaitavimą, </w:t>
      </w:r>
      <w:r w:rsidRPr="00E11FB2">
        <w:rPr>
          <w:sz w:val="22"/>
          <w:szCs w:val="22"/>
        </w:rPr>
        <w:t xml:space="preserve">vyzdžių susitraukimą, </w:t>
      </w:r>
      <w:proofErr w:type="spellStart"/>
      <w:r w:rsidRPr="00E11FB2">
        <w:rPr>
          <w:sz w:val="22"/>
          <w:szCs w:val="22"/>
        </w:rPr>
        <w:t>nistagmą</w:t>
      </w:r>
      <w:proofErr w:type="spellEnd"/>
      <w:r w:rsidRPr="00E11FB2">
        <w:rPr>
          <w:sz w:val="22"/>
          <w:szCs w:val="22"/>
        </w:rPr>
        <w:t xml:space="preserve"> (nevalingus</w:t>
      </w:r>
      <w:r>
        <w:rPr>
          <w:sz w:val="22"/>
          <w:szCs w:val="22"/>
        </w:rPr>
        <w:t>, greitus</w:t>
      </w:r>
      <w:r w:rsidRPr="00E11FB2">
        <w:rPr>
          <w:sz w:val="22"/>
          <w:szCs w:val="22"/>
        </w:rPr>
        <w:t xml:space="preserve"> ir pasikartojančius akių judesius), nevalingą tuštinimąsi ir </w:t>
      </w:r>
      <w:proofErr w:type="spellStart"/>
      <w:r w:rsidRPr="00E11FB2">
        <w:rPr>
          <w:sz w:val="22"/>
          <w:szCs w:val="22"/>
        </w:rPr>
        <w:t>šlapinimąsi</w:t>
      </w:r>
      <w:proofErr w:type="spellEnd"/>
      <w:r w:rsidRPr="00E11FB2">
        <w:rPr>
          <w:sz w:val="22"/>
          <w:szCs w:val="22"/>
        </w:rPr>
        <w:t>, vėmimą, lėtą širdies plakimą, širdies blokadą, nenormalų širdies ritmą, žemą kraujospūdį, neramumą, nerimą, susijaudinimą, baimės pojūtį, judesių koordinavimo ir pusiausvyros sutrikimus, nerišlią kalbą, mieguistumą, silpnumą, traukulius ir komą.</w:t>
      </w:r>
      <w:r w:rsidRPr="00E11FB2">
        <w:rPr>
          <w:color w:val="777777"/>
          <w:sz w:val="22"/>
          <w:szCs w:val="22"/>
        </w:rPr>
        <w:t xml:space="preserve"> </w:t>
      </w:r>
      <w:r w:rsidRPr="00E11FB2">
        <w:rPr>
          <w:sz w:val="22"/>
          <w:szCs w:val="22"/>
        </w:rPr>
        <w:t>Simptomai gali būti nesunkūs.</w:t>
      </w: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</w:p>
    <w:p w:rsidR="00E7144F" w:rsidRPr="00E11FB2" w:rsidRDefault="00E7144F" w:rsidP="00E7144F">
      <w:pPr>
        <w:autoSpaceDE w:val="0"/>
        <w:autoSpaceDN w:val="0"/>
        <w:adjustRightInd w:val="0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 xml:space="preserve">Pamiršus pavartoti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E7144F" w:rsidRPr="00E11FB2" w:rsidRDefault="00E7144F" w:rsidP="00E7144F">
      <w:pPr>
        <w:jc w:val="both"/>
        <w:rPr>
          <w:bCs/>
          <w:sz w:val="22"/>
          <w:szCs w:val="22"/>
        </w:rPr>
      </w:pPr>
      <w:r w:rsidRPr="00E11FB2">
        <w:rPr>
          <w:sz w:val="22"/>
          <w:szCs w:val="22"/>
        </w:rPr>
        <w:t>Kitą dozę vartokite įprastu laiku. Negalima vartoti dvigubos dozės norint kompensuoti praleistą dozę.</w:t>
      </w:r>
    </w:p>
    <w:p w:rsidR="00E7144F" w:rsidRPr="00E11FB2" w:rsidRDefault="00E7144F" w:rsidP="00E7144F">
      <w:pPr>
        <w:jc w:val="both"/>
        <w:rPr>
          <w:sz w:val="22"/>
          <w:szCs w:val="22"/>
          <w:lang w:eastAsia="lv-LV"/>
        </w:rPr>
      </w:pPr>
    </w:p>
    <w:p w:rsidR="00E7144F" w:rsidRPr="00E11FB2" w:rsidRDefault="00E7144F" w:rsidP="00E7144F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E11FB2">
        <w:rPr>
          <w:b/>
          <w:sz w:val="22"/>
          <w:szCs w:val="22"/>
        </w:rPr>
        <w:t xml:space="preserve">Nustojus vartoti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Jeigu vaisto vartojimą nutrauksite nepabaigę gydymo kurso, yra rizika, kad pageidaujamo terapinio efekto nepasieksite. Jeigu kiltų daugiau klausimų dėl šio vaisto vartojimo, kreipkitės į gydytoją.</w:t>
      </w:r>
    </w:p>
    <w:p w:rsidR="00E7144F" w:rsidRPr="00E11FB2" w:rsidRDefault="00E7144F" w:rsidP="00E7144F">
      <w:pPr>
        <w:jc w:val="both"/>
        <w:rPr>
          <w:b/>
          <w:bCs/>
          <w:sz w:val="22"/>
          <w:szCs w:val="22"/>
        </w:rPr>
      </w:pPr>
    </w:p>
    <w:p w:rsidR="00E7144F" w:rsidRPr="00E11FB2" w:rsidRDefault="00E7144F" w:rsidP="00E7144F">
      <w:pPr>
        <w:jc w:val="both"/>
        <w:rPr>
          <w:b/>
          <w:bCs/>
          <w:sz w:val="22"/>
          <w:szCs w:val="22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b/>
          <w:sz w:val="22"/>
          <w:szCs w:val="22"/>
        </w:rPr>
        <w:t>4.</w:t>
      </w:r>
      <w:r w:rsidRPr="00E11FB2">
        <w:rPr>
          <w:b/>
          <w:sz w:val="22"/>
          <w:szCs w:val="22"/>
        </w:rPr>
        <w:tab/>
        <w:t>Galimas šalutinis poveikis</w:t>
      </w: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Šis vaistas, kaip ir visi kiti, gali sukelti šalutinį poveikį, nors jis pasireiškia ne visiems žmonėms.</w:t>
      </w: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7144F" w:rsidRPr="00CB6755" w:rsidRDefault="00E7144F" w:rsidP="00E714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B6755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asmenų):</w:t>
      </w:r>
    </w:p>
    <w:p w:rsidR="00E7144F" w:rsidRPr="00E11FB2" w:rsidRDefault="00E7144F" w:rsidP="00E7144F">
      <w:pPr>
        <w:numPr>
          <w:ilvl w:val="0"/>
          <w:numId w:val="2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širdies permušimai</w:t>
      </w:r>
      <w:r>
        <w:rPr>
          <w:sz w:val="22"/>
          <w:szCs w:val="22"/>
        </w:rPr>
        <w:t xml:space="preserve"> (stipraus bei greito širdies plakimo pojūtis)</w:t>
      </w:r>
      <w:r w:rsidRPr="00E11FB2">
        <w:rPr>
          <w:sz w:val="22"/>
          <w:szCs w:val="22"/>
        </w:rPr>
        <w:t>, retas širdies plakimas,</w:t>
      </w:r>
    </w:p>
    <w:p w:rsidR="00E7144F" w:rsidRPr="00E11FB2" w:rsidRDefault="00E7144F" w:rsidP="00E7144F">
      <w:pPr>
        <w:numPr>
          <w:ilvl w:val="0"/>
          <w:numId w:val="2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seilėtekis, pykinimas,</w:t>
      </w:r>
    </w:p>
    <w:p w:rsidR="00E7144F" w:rsidRPr="00E11FB2" w:rsidRDefault="00E7144F" w:rsidP="00E7144F">
      <w:pPr>
        <w:numPr>
          <w:ilvl w:val="0"/>
          <w:numId w:val="2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padidėjęs prakaitavimas.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CB6755" w:rsidRDefault="00E7144F" w:rsidP="00E7144F">
      <w:pPr>
        <w:jc w:val="both"/>
        <w:rPr>
          <w:b/>
          <w:sz w:val="22"/>
          <w:szCs w:val="22"/>
        </w:rPr>
      </w:pPr>
      <w:r w:rsidRPr="00CB6755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:rsidR="00E7144F" w:rsidRPr="00E11FB2" w:rsidRDefault="00E7144F" w:rsidP="00E7144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11FB2">
        <w:rPr>
          <w:sz w:val="22"/>
          <w:szCs w:val="22"/>
        </w:rPr>
        <w:t>svaigulys, galvos skausmas, mieguistumas (vartojant dideles dozes),</w:t>
      </w:r>
    </w:p>
    <w:p w:rsidR="00E7144F" w:rsidRPr="00E11FB2" w:rsidRDefault="00E7144F" w:rsidP="00E7144F">
      <w:pPr>
        <w:numPr>
          <w:ilvl w:val="0"/>
          <w:numId w:val="3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padidėjusi sekrecija bronchuose,</w:t>
      </w:r>
    </w:p>
    <w:p w:rsidR="00E7144F" w:rsidRPr="00E11FB2" w:rsidRDefault="00E7144F" w:rsidP="00E7144F">
      <w:pPr>
        <w:numPr>
          <w:ilvl w:val="0"/>
          <w:numId w:val="3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vėmimas (vartojant dideles dozes),</w:t>
      </w:r>
    </w:p>
    <w:p w:rsidR="00E7144F" w:rsidRPr="00E11FB2" w:rsidRDefault="00E7144F" w:rsidP="00E7144F">
      <w:pPr>
        <w:numPr>
          <w:ilvl w:val="0"/>
          <w:numId w:val="3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alerginės odos reakcijos (niež</w:t>
      </w:r>
      <w:r>
        <w:rPr>
          <w:sz w:val="22"/>
          <w:szCs w:val="22"/>
        </w:rPr>
        <w:t>ulys</w:t>
      </w:r>
      <w:r w:rsidRPr="00E11FB2">
        <w:rPr>
          <w:sz w:val="22"/>
          <w:szCs w:val="22"/>
        </w:rPr>
        <w:t xml:space="preserve">, </w:t>
      </w:r>
      <w:r>
        <w:rPr>
          <w:sz w:val="22"/>
          <w:szCs w:val="22"/>
        </w:rPr>
        <w:t>iš</w:t>
      </w:r>
      <w:r w:rsidRPr="00E11FB2">
        <w:rPr>
          <w:sz w:val="22"/>
          <w:szCs w:val="22"/>
        </w:rPr>
        <w:t>bėrimas) (vartojant dideles dozes),</w:t>
      </w:r>
    </w:p>
    <w:p w:rsidR="00E7144F" w:rsidRPr="00E11FB2" w:rsidRDefault="00E7144F" w:rsidP="00E7144F">
      <w:pPr>
        <w:numPr>
          <w:ilvl w:val="0"/>
          <w:numId w:val="3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raumenų traukuliai (vartojant didele dozes),</w:t>
      </w:r>
    </w:p>
    <w:p w:rsidR="00E7144F" w:rsidRPr="00E11FB2" w:rsidRDefault="00E7144F" w:rsidP="00E7144F">
      <w:pPr>
        <w:numPr>
          <w:ilvl w:val="0"/>
          <w:numId w:val="3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silpnumas (vartojant dideles dozes).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CB6755" w:rsidRDefault="00E7144F" w:rsidP="00E714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B6755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:rsidR="00E7144F" w:rsidRPr="008C05A7" w:rsidRDefault="00E7144F" w:rsidP="00E7144F">
      <w:pPr>
        <w:numPr>
          <w:ilvl w:val="0"/>
          <w:numId w:val="4"/>
        </w:numPr>
        <w:tabs>
          <w:tab w:val="clear" w:pos="1080"/>
        </w:tabs>
        <w:ind w:left="720"/>
        <w:jc w:val="both"/>
        <w:rPr>
          <w:sz w:val="22"/>
          <w:szCs w:val="22"/>
        </w:rPr>
      </w:pPr>
      <w:r w:rsidRPr="008C05A7">
        <w:rPr>
          <w:sz w:val="22"/>
          <w:szCs w:val="22"/>
        </w:rPr>
        <w:t xml:space="preserve">viduriavimas, skausmas </w:t>
      </w:r>
      <w:r w:rsidRPr="008C05A7">
        <w:rPr>
          <w:color w:val="4D5156"/>
          <w:sz w:val="22"/>
          <w:szCs w:val="22"/>
          <w:shd w:val="clear" w:color="auto" w:fill="FFFFFF"/>
        </w:rPr>
        <w:t>viršutinėje pilvo dal</w:t>
      </w:r>
      <w:r>
        <w:rPr>
          <w:color w:val="4D5156"/>
          <w:sz w:val="22"/>
          <w:szCs w:val="22"/>
          <w:shd w:val="clear" w:color="auto" w:fill="FFFFFF"/>
        </w:rPr>
        <w:t>yje (skrandžio srityje).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CB6755" w:rsidRDefault="00E7144F" w:rsidP="00E7144F">
      <w:pPr>
        <w:rPr>
          <w:b/>
          <w:sz w:val="22"/>
          <w:szCs w:val="22"/>
        </w:rPr>
      </w:pPr>
      <w:r w:rsidRPr="00CB6755">
        <w:rPr>
          <w:b/>
          <w:bCs/>
          <w:noProof/>
          <w:snapToGrid w:val="0"/>
          <w:sz w:val="22"/>
          <w:szCs w:val="22"/>
        </w:rPr>
        <w:t>Šalutinio poveikio reiškiniai, kurių dažnis nežinomas (negali būti apskaičiuotas pagal turimus duomenis):</w:t>
      </w:r>
    </w:p>
    <w:p w:rsidR="00E7144F" w:rsidRPr="00E11FB2" w:rsidRDefault="00E7144F" w:rsidP="00E7144F">
      <w:pPr>
        <w:pStyle w:val="Pagrindinistekstas2"/>
        <w:numPr>
          <w:ilvl w:val="0"/>
          <w:numId w:val="4"/>
        </w:numPr>
        <w:tabs>
          <w:tab w:val="clear" w:pos="1080"/>
          <w:tab w:val="num" w:pos="709"/>
        </w:tabs>
        <w:ind w:left="709" w:right="26" w:hanging="283"/>
        <w:rPr>
          <w:bCs/>
          <w:iCs/>
          <w:sz w:val="22"/>
          <w:szCs w:val="22"/>
        </w:rPr>
      </w:pPr>
      <w:r w:rsidRPr="00E11FB2">
        <w:rPr>
          <w:sz w:val="22"/>
          <w:szCs w:val="22"/>
        </w:rPr>
        <w:t xml:space="preserve">padidėjusio jautrumo reakcija (įskaitant alerginį dermatitą, anafilaksinį šoką, astmą, toksinę epidermio </w:t>
      </w:r>
      <w:proofErr w:type="spellStart"/>
      <w:r w:rsidRPr="00E11FB2">
        <w:rPr>
          <w:sz w:val="22"/>
          <w:szCs w:val="22"/>
        </w:rPr>
        <w:t>nekrolizę</w:t>
      </w:r>
      <w:proofErr w:type="spellEnd"/>
      <w:r w:rsidRPr="00E11FB2">
        <w:rPr>
          <w:sz w:val="22"/>
          <w:szCs w:val="22"/>
        </w:rPr>
        <w:t xml:space="preserve">, </w:t>
      </w:r>
      <w:proofErr w:type="spellStart"/>
      <w:r w:rsidRPr="00E11FB2">
        <w:rPr>
          <w:sz w:val="22"/>
          <w:szCs w:val="22"/>
        </w:rPr>
        <w:t>eritemą</w:t>
      </w:r>
      <w:proofErr w:type="spellEnd"/>
      <w:r>
        <w:rPr>
          <w:sz w:val="22"/>
          <w:szCs w:val="22"/>
        </w:rPr>
        <w:t xml:space="preserve"> (paraudimą)</w:t>
      </w:r>
      <w:r w:rsidRPr="00E11FB2">
        <w:rPr>
          <w:sz w:val="22"/>
          <w:szCs w:val="22"/>
        </w:rPr>
        <w:t>, dilgėlinę, švokštimą, gerklų edemą).</w:t>
      </w:r>
    </w:p>
    <w:p w:rsidR="00E7144F" w:rsidRPr="00E11FB2" w:rsidRDefault="00E7144F" w:rsidP="00E7144F">
      <w:pPr>
        <w:pStyle w:val="Sraopastraipa"/>
        <w:ind w:left="1080"/>
        <w:jc w:val="both"/>
        <w:rPr>
          <w:spacing w:val="-2"/>
          <w:sz w:val="22"/>
          <w:szCs w:val="22"/>
          <w:lang w:eastAsia="lv-LV"/>
        </w:rPr>
      </w:pPr>
    </w:p>
    <w:p w:rsidR="00E7144F" w:rsidRPr="00E11FB2" w:rsidRDefault="00E7144F" w:rsidP="00E7144F">
      <w:pPr>
        <w:jc w:val="both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Jei pasireikštų nepageidaujamas poveikis, gydytojas gali sumažinti skiriamą dozę arba rekomenduoti trumpam laikui (1–2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paroms) nutraukti vaisto vartojimą. Gydytojas gali paskirti vaistų tam tikro nepageidaujamo poveikio (pvz., seilėtekio, mažo širdies susitraukimų dažnio) profilaktikai.</w:t>
      </w: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Pranešimas apie šalutinį poveikį</w:t>
      </w:r>
    </w:p>
    <w:p w:rsidR="00E7144F" w:rsidRPr="00E11FB2" w:rsidRDefault="00E7144F" w:rsidP="00E7144F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E11FB2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E11FB2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E11FB2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6" w:history="1">
        <w:r w:rsidRPr="00E11FB2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E11FB2">
        <w:rPr>
          <w:snapToGrid w:val="0"/>
          <w:sz w:val="22"/>
          <w:szCs w:val="22"/>
        </w:rPr>
        <w:t xml:space="preserve">, ir atsiunčiant elektroniniu paštu (adresu </w:t>
      </w:r>
      <w:hyperlink r:id="rId7" w:history="1">
        <w:r w:rsidRPr="00E11FB2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E11FB2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b/>
          <w:sz w:val="22"/>
          <w:szCs w:val="22"/>
        </w:rPr>
        <w:t>5.</w:t>
      </w:r>
      <w:r w:rsidRPr="00E11FB2">
        <w:rPr>
          <w:b/>
          <w:sz w:val="22"/>
          <w:szCs w:val="22"/>
        </w:rPr>
        <w:tab/>
        <w:t xml:space="preserve">Kaip laikyti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Laikyti ne aukštesnėje kaip 25 </w:t>
      </w:r>
      <w:r w:rsidRPr="00E11FB2">
        <w:rPr>
          <w:sz w:val="22"/>
          <w:szCs w:val="22"/>
        </w:rPr>
        <w:sym w:font="Symbol" w:char="F0B0"/>
      </w:r>
      <w:r w:rsidRPr="00E11FB2">
        <w:rPr>
          <w:sz w:val="22"/>
          <w:szCs w:val="22"/>
        </w:rPr>
        <w:t>C temperatūroje.</w:t>
      </w: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Šį vaistą laikykite vaikams nepastebimoje ir nepasiekiamoje vietoje. </w:t>
      </w:r>
    </w:p>
    <w:p w:rsidR="00E7144F" w:rsidRPr="00E11FB2" w:rsidRDefault="00E7144F" w:rsidP="00E7144F">
      <w:pPr>
        <w:pStyle w:val="BodyText1"/>
        <w:ind w:firstLine="0"/>
        <w:rPr>
          <w:rFonts w:ascii="Times New Roman" w:hAnsi="Times New Roman"/>
          <w:color w:val="auto"/>
          <w:sz w:val="22"/>
          <w:szCs w:val="22"/>
        </w:rPr>
      </w:pP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Ant </w:t>
      </w:r>
      <w:r>
        <w:rPr>
          <w:sz w:val="22"/>
          <w:szCs w:val="22"/>
        </w:rPr>
        <w:t xml:space="preserve">kartono </w:t>
      </w:r>
      <w:r w:rsidRPr="00E11FB2">
        <w:rPr>
          <w:sz w:val="22"/>
          <w:szCs w:val="22"/>
        </w:rPr>
        <w:t xml:space="preserve">dėžutės ir lizdinės </w:t>
      </w:r>
      <w:r>
        <w:rPr>
          <w:sz w:val="22"/>
          <w:szCs w:val="22"/>
        </w:rPr>
        <w:t>plokštelės</w:t>
      </w:r>
      <w:r w:rsidRPr="00E11FB2">
        <w:rPr>
          <w:sz w:val="22"/>
          <w:szCs w:val="22"/>
        </w:rPr>
        <w:t xml:space="preserve"> po „EXP“ nurodytam tinkamumo laikui pasibaigus, šio vaisto vartoti negalima. Vaistas tinkamas vartoti iki paskutinės nurodyto mėnesio dienos.</w:t>
      </w: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144F" w:rsidRPr="00E11FB2" w:rsidRDefault="00E7144F" w:rsidP="00E7144F">
      <w:pPr>
        <w:rPr>
          <w:b/>
          <w:bCs/>
          <w:sz w:val="22"/>
          <w:szCs w:val="22"/>
        </w:rPr>
      </w:pPr>
      <w:r w:rsidRPr="00E11FB2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E7144F" w:rsidRPr="00E11FB2" w:rsidRDefault="00E7144F" w:rsidP="00E7144F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</w:p>
    <w:p w:rsidR="00E7144F" w:rsidRPr="00E11FB2" w:rsidRDefault="00E7144F" w:rsidP="00E7144F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</w:p>
    <w:p w:rsidR="00E7144F" w:rsidRPr="00E11FB2" w:rsidRDefault="00E7144F" w:rsidP="00E7144F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6.</w:t>
      </w:r>
      <w:r w:rsidRPr="00E11FB2">
        <w:rPr>
          <w:b/>
          <w:sz w:val="22"/>
          <w:szCs w:val="22"/>
        </w:rPr>
        <w:tab/>
        <w:t>Pakuotės turinys ir kita informacija</w:t>
      </w:r>
    </w:p>
    <w:p w:rsidR="00E7144F" w:rsidRPr="00E11FB2" w:rsidRDefault="00E7144F" w:rsidP="00E7144F">
      <w:pPr>
        <w:numPr>
          <w:ilvl w:val="12"/>
          <w:numId w:val="0"/>
        </w:numPr>
        <w:ind w:left="567" w:hanging="567"/>
        <w:rPr>
          <w:spacing w:val="-2"/>
          <w:sz w:val="22"/>
          <w:szCs w:val="22"/>
        </w:rPr>
      </w:pPr>
    </w:p>
    <w:p w:rsidR="00E7144F" w:rsidRPr="00E11FB2" w:rsidRDefault="00E7144F" w:rsidP="00E7144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sudėtis</w:t>
      </w:r>
    </w:p>
    <w:p w:rsidR="00E7144F" w:rsidRPr="00E11FB2" w:rsidRDefault="00E7144F" w:rsidP="00E7144F">
      <w:pPr>
        <w:autoSpaceDE w:val="0"/>
        <w:autoSpaceDN w:val="0"/>
        <w:adjustRightInd w:val="0"/>
        <w:ind w:left="720" w:hanging="720"/>
        <w:jc w:val="both"/>
        <w:rPr>
          <w:spacing w:val="-4"/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 xml:space="preserve">Veiklioji medžiaga yra </w:t>
      </w: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hidrochloridas. Kiekvienoje tabletėje yra 20 mg </w:t>
      </w: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hidrochlorido (</w:t>
      </w:r>
      <w:proofErr w:type="spellStart"/>
      <w:r w:rsidRPr="00E11FB2">
        <w:rPr>
          <w:sz w:val="22"/>
          <w:szCs w:val="22"/>
        </w:rPr>
        <w:t>monohidrato</w:t>
      </w:r>
      <w:proofErr w:type="spellEnd"/>
      <w:r w:rsidRPr="00E11FB2">
        <w:rPr>
          <w:sz w:val="22"/>
          <w:szCs w:val="22"/>
        </w:rPr>
        <w:t xml:space="preserve"> pavidalu).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 xml:space="preserve">Pagalbinės medžiagos yra laktozės </w:t>
      </w:r>
      <w:proofErr w:type="spellStart"/>
      <w:r w:rsidRPr="00E11FB2">
        <w:rPr>
          <w:sz w:val="22"/>
          <w:szCs w:val="22"/>
        </w:rPr>
        <w:t>monohidratas</w:t>
      </w:r>
      <w:proofErr w:type="spellEnd"/>
      <w:r w:rsidRPr="00E11FB2">
        <w:rPr>
          <w:sz w:val="22"/>
          <w:szCs w:val="22"/>
        </w:rPr>
        <w:t xml:space="preserve">, bulvių krakmolas, kalcio </w:t>
      </w:r>
      <w:proofErr w:type="spellStart"/>
      <w:r w:rsidRPr="00E11FB2">
        <w:rPr>
          <w:sz w:val="22"/>
          <w:szCs w:val="22"/>
        </w:rPr>
        <w:t>stearatas</w:t>
      </w:r>
      <w:proofErr w:type="spellEnd"/>
      <w:r w:rsidRPr="00E11FB2">
        <w:rPr>
          <w:sz w:val="22"/>
          <w:szCs w:val="22"/>
        </w:rPr>
        <w:t>.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išvaizda ir kiekis pakuotėje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Baltos arba beveik baltos apvalios tabletės plokščiu paviršiumi ir nuožulniais kraštais. Tabletė yra apytiksliai 6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 xml:space="preserve">mm skersmens. </w:t>
      </w:r>
    </w:p>
    <w:p w:rsidR="00E7144F" w:rsidRPr="00E11FB2" w:rsidRDefault="00E7144F" w:rsidP="00E7144F">
      <w:pPr>
        <w:jc w:val="both"/>
        <w:rPr>
          <w:spacing w:val="-2"/>
          <w:sz w:val="22"/>
          <w:szCs w:val="22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tiekiamas lizdinėse p</w:t>
      </w:r>
      <w:r>
        <w:rPr>
          <w:sz w:val="22"/>
          <w:szCs w:val="22"/>
        </w:rPr>
        <w:t>lokštelėse</w:t>
      </w:r>
      <w:r w:rsidRPr="00E11FB2">
        <w:rPr>
          <w:sz w:val="22"/>
          <w:szCs w:val="22"/>
        </w:rPr>
        <w:t xml:space="preserve"> po 50 arba 100 tablečių. </w:t>
      </w:r>
    </w:p>
    <w:p w:rsidR="00E7144F" w:rsidRPr="00E11FB2" w:rsidRDefault="00E7144F" w:rsidP="00E7144F">
      <w:pPr>
        <w:jc w:val="both"/>
        <w:rPr>
          <w:b/>
          <w:bCs/>
          <w:sz w:val="22"/>
          <w:szCs w:val="22"/>
        </w:rPr>
      </w:pPr>
    </w:p>
    <w:p w:rsidR="00E7144F" w:rsidRPr="00E11FB2" w:rsidRDefault="00E7144F" w:rsidP="00E7144F">
      <w:pPr>
        <w:jc w:val="both"/>
        <w:rPr>
          <w:b/>
          <w:bCs/>
          <w:sz w:val="22"/>
          <w:szCs w:val="22"/>
        </w:rPr>
      </w:pPr>
      <w:r w:rsidRPr="00E11FB2">
        <w:rPr>
          <w:b/>
          <w:sz w:val="22"/>
          <w:szCs w:val="22"/>
        </w:rPr>
        <w:t>Registruotojas ir gamintojas</w:t>
      </w:r>
    </w:p>
    <w:p w:rsidR="00E7144F" w:rsidRPr="00E11FB2" w:rsidRDefault="00E7144F" w:rsidP="00E7144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1FB2">
        <w:rPr>
          <w:noProof/>
          <w:sz w:val="22"/>
          <w:szCs w:val="22"/>
        </w:rPr>
        <w:t>AS GRINDEKS</w:t>
      </w:r>
    </w:p>
    <w:p w:rsidR="00E7144F" w:rsidRPr="00E11FB2" w:rsidRDefault="00E7144F" w:rsidP="00E7144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1FB2">
        <w:rPr>
          <w:noProof/>
          <w:sz w:val="22"/>
          <w:szCs w:val="22"/>
        </w:rPr>
        <w:t>Krustpils iela 53, Rīga, LV-1057, Latvija</w:t>
      </w:r>
    </w:p>
    <w:p w:rsidR="00E7144F" w:rsidRPr="00E11FB2" w:rsidRDefault="00E7144F" w:rsidP="00E7144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1FB2">
        <w:rPr>
          <w:noProof/>
          <w:sz w:val="22"/>
          <w:szCs w:val="22"/>
        </w:rPr>
        <w:t>Tel. + 371 67083205</w:t>
      </w:r>
    </w:p>
    <w:p w:rsidR="00E7144F" w:rsidRPr="00E11FB2" w:rsidRDefault="00E7144F" w:rsidP="00E7144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1FB2">
        <w:rPr>
          <w:noProof/>
          <w:sz w:val="22"/>
          <w:szCs w:val="22"/>
        </w:rPr>
        <w:t>Faksas +371 67083505</w:t>
      </w:r>
    </w:p>
    <w:p w:rsidR="00E7144F" w:rsidRPr="00E11FB2" w:rsidRDefault="00E7144F" w:rsidP="00E7144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1FB2">
        <w:rPr>
          <w:noProof/>
          <w:sz w:val="22"/>
          <w:szCs w:val="22"/>
        </w:rPr>
        <w:t xml:space="preserve">El. paštas </w:t>
      </w:r>
      <w:hyperlink r:id="rId8" w:history="1">
        <w:r w:rsidRPr="00A7056E">
          <w:rPr>
            <w:rStyle w:val="Hipersaitas"/>
            <w:noProof/>
            <w:sz w:val="22"/>
            <w:szCs w:val="22"/>
          </w:rPr>
          <w:t>grindeks@grindeks.lv</w:t>
        </w:r>
      </w:hyperlink>
    </w:p>
    <w:p w:rsidR="00E7144F" w:rsidRPr="00E11FB2" w:rsidRDefault="00E7144F" w:rsidP="00E7144F">
      <w:pPr>
        <w:jc w:val="both"/>
        <w:rPr>
          <w:bCs/>
          <w:sz w:val="22"/>
          <w:szCs w:val="22"/>
        </w:rPr>
      </w:pPr>
    </w:p>
    <w:p w:rsidR="00E7144F" w:rsidRPr="00E11FB2" w:rsidRDefault="00E7144F" w:rsidP="00E7144F">
      <w:pPr>
        <w:numPr>
          <w:ilvl w:val="12"/>
          <w:numId w:val="0"/>
        </w:numPr>
        <w:ind w:right="-2"/>
        <w:rPr>
          <w:noProof/>
          <w:sz w:val="22"/>
          <w:szCs w:val="22"/>
          <w:lang w:bidi="lt-LT"/>
        </w:rPr>
      </w:pPr>
      <w:r w:rsidRPr="00E11FB2">
        <w:rPr>
          <w:sz w:val="22"/>
          <w:szCs w:val="22"/>
          <w:lang w:bidi="lt-LT"/>
        </w:rPr>
        <w:t>Jeigu apie šį vaistą norite sužinoti daugiau, kreipkitės į vietinį registruotojo atstovą.</w:t>
      </w:r>
    </w:p>
    <w:p w:rsidR="00E7144F" w:rsidRPr="00E11FB2" w:rsidRDefault="00E7144F" w:rsidP="00E7144F">
      <w:pPr>
        <w:rPr>
          <w:sz w:val="22"/>
          <w:szCs w:val="22"/>
          <w:highlight w:val="yellow"/>
        </w:rPr>
      </w:pPr>
    </w:p>
    <w:p w:rsidR="00E7144F" w:rsidRPr="00A37357" w:rsidRDefault="00E7144F" w:rsidP="00E7144F">
      <w:pPr>
        <w:rPr>
          <w:sz w:val="22"/>
          <w:szCs w:val="22"/>
        </w:rPr>
      </w:pPr>
      <w:r w:rsidRPr="00A37357">
        <w:rPr>
          <w:sz w:val="22"/>
          <w:szCs w:val="22"/>
        </w:rPr>
        <w:t>„</w:t>
      </w:r>
      <w:proofErr w:type="spellStart"/>
      <w:r w:rsidRPr="00A37357">
        <w:rPr>
          <w:sz w:val="22"/>
          <w:szCs w:val="22"/>
        </w:rPr>
        <w:t>Grindeks</w:t>
      </w:r>
      <w:proofErr w:type="spellEnd"/>
      <w:r w:rsidRPr="00A37357">
        <w:rPr>
          <w:sz w:val="22"/>
          <w:szCs w:val="22"/>
        </w:rPr>
        <w:t xml:space="preserve"> </w:t>
      </w:r>
      <w:proofErr w:type="spellStart"/>
      <w:r w:rsidRPr="00A37357">
        <w:rPr>
          <w:sz w:val="22"/>
          <w:szCs w:val="22"/>
        </w:rPr>
        <w:t>Kalceks</w:t>
      </w:r>
      <w:proofErr w:type="spellEnd"/>
      <w:r w:rsidRPr="00A37357">
        <w:rPr>
          <w:sz w:val="22"/>
          <w:szCs w:val="22"/>
        </w:rPr>
        <w:t xml:space="preserve"> Lietuva“ UAB</w:t>
      </w:r>
    </w:p>
    <w:p w:rsidR="00E7144F" w:rsidRPr="00A37357" w:rsidRDefault="00E7144F" w:rsidP="00E7144F">
      <w:pPr>
        <w:rPr>
          <w:sz w:val="22"/>
          <w:szCs w:val="22"/>
        </w:rPr>
      </w:pPr>
      <w:r w:rsidRPr="00A37357">
        <w:rPr>
          <w:sz w:val="22"/>
          <w:szCs w:val="22"/>
        </w:rPr>
        <w:t>Kalvarijų g. 300</w:t>
      </w:r>
    </w:p>
    <w:p w:rsidR="00E7144F" w:rsidRPr="00A37357" w:rsidRDefault="00E7144F" w:rsidP="00E7144F">
      <w:pPr>
        <w:rPr>
          <w:sz w:val="22"/>
          <w:szCs w:val="22"/>
        </w:rPr>
      </w:pPr>
      <w:r w:rsidRPr="00A37357">
        <w:rPr>
          <w:sz w:val="22"/>
          <w:szCs w:val="22"/>
        </w:rPr>
        <w:t xml:space="preserve">Vilnius, LT-08318 </w:t>
      </w:r>
    </w:p>
    <w:p w:rsidR="00E7144F" w:rsidRPr="00A37357" w:rsidRDefault="00E7144F" w:rsidP="00E7144F">
      <w:pPr>
        <w:rPr>
          <w:sz w:val="22"/>
          <w:szCs w:val="22"/>
        </w:rPr>
      </w:pPr>
      <w:r w:rsidRPr="00A37357">
        <w:rPr>
          <w:sz w:val="22"/>
          <w:szCs w:val="22"/>
        </w:rPr>
        <w:t>Tel. +370 5 2101401</w:t>
      </w:r>
    </w:p>
    <w:p w:rsidR="00E7144F" w:rsidRPr="00E11FB2" w:rsidRDefault="00E7144F" w:rsidP="00E7144F">
      <w:pPr>
        <w:rPr>
          <w:b/>
          <w:noProof/>
          <w:sz w:val="22"/>
          <w:szCs w:val="22"/>
        </w:rPr>
      </w:pPr>
    </w:p>
    <w:p w:rsidR="00E7144F" w:rsidRPr="00E11FB2" w:rsidRDefault="00E7144F" w:rsidP="00E7144F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11FB2">
        <w:rPr>
          <w:b/>
          <w:snapToGrid w:val="0"/>
          <w:sz w:val="22"/>
          <w:szCs w:val="22"/>
        </w:rPr>
        <w:t>Šis vaistas Europos ekonominės erdvės valstybėse narėse registruotas tokiais pavadinimais:</w:t>
      </w:r>
    </w:p>
    <w:p w:rsidR="00E7144F" w:rsidRPr="00E11FB2" w:rsidRDefault="00E7144F" w:rsidP="00E7144F">
      <w:pPr>
        <w:jc w:val="both"/>
        <w:rPr>
          <w:b/>
          <w:sz w:val="22"/>
          <w:szCs w:val="22"/>
        </w:rPr>
      </w:pPr>
    </w:p>
    <w:p w:rsidR="00E7144F" w:rsidRPr="00E11FB2" w:rsidRDefault="00E7144F" w:rsidP="00E7144F">
      <w:pPr>
        <w:jc w:val="both"/>
        <w:rPr>
          <w:sz w:val="22"/>
          <w:szCs w:val="22"/>
        </w:rPr>
      </w:pPr>
      <w:r>
        <w:rPr>
          <w:sz w:val="22"/>
          <w:szCs w:val="22"/>
        </w:rPr>
        <w:t>Latvija</w:t>
      </w:r>
      <w:r>
        <w:rPr>
          <w:sz w:val="22"/>
          <w:szCs w:val="22"/>
        </w:rPr>
        <w:tab/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20 mg tabletes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Bulgarija</w:t>
      </w:r>
      <w:r w:rsidRPr="00E11FB2">
        <w:rPr>
          <w:sz w:val="22"/>
          <w:szCs w:val="22"/>
        </w:rPr>
        <w:tab/>
      </w:r>
      <w:proofErr w:type="spellStart"/>
      <w:r w:rsidRPr="00E11FB2">
        <w:rPr>
          <w:sz w:val="22"/>
          <w:szCs w:val="22"/>
        </w:rPr>
        <w:t>Ipigrix</w:t>
      </w:r>
      <w:proofErr w:type="spellEnd"/>
      <w:r w:rsidRPr="00E11FB2">
        <w:rPr>
          <w:sz w:val="22"/>
          <w:szCs w:val="22"/>
          <w:vertAlign w:val="superscript"/>
        </w:rPr>
        <w:t>®</w:t>
      </w:r>
      <w:r w:rsidRPr="00E11FB2">
        <w:rPr>
          <w:sz w:val="22"/>
          <w:szCs w:val="22"/>
        </w:rPr>
        <w:t xml:space="preserve"> 20 mg </w:t>
      </w:r>
      <w:proofErr w:type="spellStart"/>
      <w:r w:rsidRPr="00E11FB2">
        <w:rPr>
          <w:sz w:val="22"/>
          <w:szCs w:val="22"/>
        </w:rPr>
        <w:t>таблетки</w:t>
      </w:r>
      <w:proofErr w:type="spellEnd"/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Kroatija</w:t>
      </w:r>
      <w:r w:rsidRPr="00E11FB2">
        <w:rPr>
          <w:sz w:val="22"/>
          <w:szCs w:val="22"/>
        </w:rPr>
        <w:tab/>
      </w:r>
      <w:proofErr w:type="spellStart"/>
      <w:r w:rsidRPr="00E11FB2">
        <w:rPr>
          <w:sz w:val="22"/>
          <w:szCs w:val="22"/>
        </w:rPr>
        <w:t>Ipigriks</w:t>
      </w:r>
      <w:proofErr w:type="spellEnd"/>
      <w:r w:rsidRPr="00E11FB2">
        <w:rPr>
          <w:sz w:val="22"/>
          <w:szCs w:val="22"/>
        </w:rPr>
        <w:t xml:space="preserve"> 20 mg tablete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Vengrija</w:t>
      </w:r>
      <w:r w:rsidRPr="00E11FB2">
        <w:rPr>
          <w:sz w:val="22"/>
          <w:szCs w:val="22"/>
        </w:rPr>
        <w:tab/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20 mg </w:t>
      </w:r>
      <w:proofErr w:type="spellStart"/>
      <w:r w:rsidRPr="00E11FB2">
        <w:rPr>
          <w:sz w:val="22"/>
          <w:szCs w:val="22"/>
        </w:rPr>
        <w:t>tabletta</w:t>
      </w:r>
      <w:proofErr w:type="spellEnd"/>
    </w:p>
    <w:p w:rsidR="00E7144F" w:rsidRPr="00E11FB2" w:rsidRDefault="00E7144F" w:rsidP="00E7144F">
      <w:pPr>
        <w:jc w:val="both"/>
        <w:rPr>
          <w:sz w:val="22"/>
          <w:szCs w:val="22"/>
        </w:rPr>
      </w:pPr>
      <w:r>
        <w:rPr>
          <w:sz w:val="22"/>
          <w:szCs w:val="22"/>
        </w:rPr>
        <w:t>Lietuva</w:t>
      </w:r>
      <w:r>
        <w:rPr>
          <w:sz w:val="22"/>
          <w:szCs w:val="22"/>
        </w:rPr>
        <w:tab/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20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mg tabletės</w:t>
      </w:r>
    </w:p>
    <w:p w:rsidR="00E7144F" w:rsidRPr="00E11FB2" w:rsidRDefault="00E7144F" w:rsidP="00E7144F">
      <w:pPr>
        <w:jc w:val="both"/>
        <w:rPr>
          <w:sz w:val="22"/>
          <w:szCs w:val="22"/>
        </w:rPr>
      </w:pPr>
      <w:r>
        <w:rPr>
          <w:sz w:val="22"/>
          <w:szCs w:val="22"/>
        </w:rPr>
        <w:t>Lenkija</w:t>
      </w:r>
      <w:r>
        <w:rPr>
          <w:sz w:val="22"/>
          <w:szCs w:val="22"/>
        </w:rPr>
        <w:tab/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Rumunija</w:t>
      </w:r>
      <w:r w:rsidRPr="00E11FB2">
        <w:rPr>
          <w:sz w:val="22"/>
          <w:szCs w:val="22"/>
        </w:rPr>
        <w:tab/>
      </w:r>
      <w:proofErr w:type="spellStart"/>
      <w:r w:rsidRPr="00E11FB2">
        <w:rPr>
          <w:sz w:val="22"/>
          <w:szCs w:val="22"/>
        </w:rPr>
        <w:t>Ipigrix</w:t>
      </w:r>
      <w:proofErr w:type="spellEnd"/>
      <w:r w:rsidRPr="00E11FB2">
        <w:rPr>
          <w:sz w:val="22"/>
          <w:szCs w:val="22"/>
          <w:vertAlign w:val="superscript"/>
        </w:rPr>
        <w:t>®</w:t>
      </w:r>
      <w:r w:rsidRPr="00E11FB2">
        <w:rPr>
          <w:sz w:val="22"/>
          <w:szCs w:val="22"/>
        </w:rPr>
        <w:t xml:space="preserve"> 20 mg </w:t>
      </w:r>
      <w:proofErr w:type="spellStart"/>
      <w:r w:rsidRPr="00E11FB2">
        <w:rPr>
          <w:sz w:val="22"/>
          <w:szCs w:val="22"/>
        </w:rPr>
        <w:t>comprimate</w:t>
      </w:r>
      <w:proofErr w:type="spellEnd"/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Slovakija</w:t>
      </w:r>
      <w:r w:rsidRPr="00E11FB2">
        <w:rPr>
          <w:sz w:val="22"/>
          <w:szCs w:val="22"/>
        </w:rPr>
        <w:tab/>
      </w:r>
      <w:proofErr w:type="spellStart"/>
      <w:r w:rsidRPr="00E11FB2">
        <w:rPr>
          <w:sz w:val="22"/>
          <w:szCs w:val="22"/>
        </w:rPr>
        <w:t>Ipigrix</w:t>
      </w:r>
      <w:proofErr w:type="spellEnd"/>
      <w:r w:rsidRPr="00E11FB2">
        <w:rPr>
          <w:sz w:val="22"/>
          <w:szCs w:val="22"/>
          <w:vertAlign w:val="superscript"/>
        </w:rPr>
        <w:t>®</w:t>
      </w:r>
      <w:r w:rsidRPr="00E11FB2">
        <w:rPr>
          <w:sz w:val="22"/>
          <w:szCs w:val="22"/>
        </w:rPr>
        <w:t xml:space="preserve"> 20 mg </w:t>
      </w:r>
      <w:proofErr w:type="spellStart"/>
      <w:r w:rsidRPr="00E11FB2">
        <w:rPr>
          <w:sz w:val="22"/>
          <w:szCs w:val="22"/>
        </w:rPr>
        <w:t>tablety</w:t>
      </w:r>
      <w:proofErr w:type="spellEnd"/>
    </w:p>
    <w:p w:rsidR="00E7144F" w:rsidRPr="00E11FB2" w:rsidRDefault="00E7144F" w:rsidP="00E7144F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Slovėnija</w:t>
      </w:r>
      <w:r w:rsidRPr="00E11FB2">
        <w:rPr>
          <w:sz w:val="22"/>
          <w:szCs w:val="22"/>
        </w:rPr>
        <w:tab/>
      </w:r>
      <w:proofErr w:type="spellStart"/>
      <w:r w:rsidRPr="00E11FB2">
        <w:rPr>
          <w:sz w:val="22"/>
          <w:szCs w:val="22"/>
        </w:rPr>
        <w:t>Ipigrix</w:t>
      </w:r>
      <w:proofErr w:type="spellEnd"/>
      <w:r w:rsidRPr="00E11FB2">
        <w:rPr>
          <w:sz w:val="22"/>
          <w:szCs w:val="22"/>
        </w:rPr>
        <w:t xml:space="preserve"> 20 mg tablete</w:t>
      </w:r>
    </w:p>
    <w:p w:rsidR="00E7144F" w:rsidRPr="00E11FB2" w:rsidRDefault="00E7144F" w:rsidP="00E7144F">
      <w:pPr>
        <w:jc w:val="both"/>
        <w:rPr>
          <w:bCs/>
          <w:sz w:val="22"/>
          <w:szCs w:val="22"/>
        </w:rPr>
      </w:pPr>
    </w:p>
    <w:p w:rsidR="00E7144F" w:rsidRPr="00E11FB2" w:rsidRDefault="00E7144F" w:rsidP="00E7144F">
      <w:pPr>
        <w:jc w:val="both"/>
        <w:rPr>
          <w:bCs/>
          <w:sz w:val="22"/>
          <w:szCs w:val="22"/>
        </w:rPr>
      </w:pPr>
    </w:p>
    <w:p w:rsidR="00E7144F" w:rsidRPr="00E11FB2" w:rsidRDefault="00E7144F" w:rsidP="00E7144F">
      <w:pPr>
        <w:pStyle w:val="BodyText1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E11FB2">
        <w:rPr>
          <w:rFonts w:ascii="Times New Roman" w:hAnsi="Times New Roman"/>
          <w:b/>
          <w:color w:val="auto"/>
          <w:sz w:val="22"/>
          <w:szCs w:val="22"/>
        </w:rPr>
        <w:t xml:space="preserve">Šis pakuotės lapelis paskutinį kartą peržiūrėtas </w:t>
      </w:r>
      <w:r>
        <w:rPr>
          <w:rFonts w:ascii="Times New Roman" w:hAnsi="Times New Roman"/>
          <w:b/>
          <w:color w:val="auto"/>
          <w:sz w:val="22"/>
          <w:szCs w:val="22"/>
        </w:rPr>
        <w:t>2024-11-04.</w:t>
      </w:r>
    </w:p>
    <w:p w:rsidR="00E7144F" w:rsidRPr="00E11FB2" w:rsidRDefault="00E7144F" w:rsidP="00E7144F">
      <w:pPr>
        <w:pStyle w:val="BodyText1"/>
        <w:ind w:firstLine="0"/>
        <w:rPr>
          <w:rFonts w:ascii="Times New Roman" w:hAnsi="Times New Roman"/>
          <w:b/>
          <w:color w:val="auto"/>
          <w:sz w:val="22"/>
          <w:szCs w:val="22"/>
        </w:rPr>
      </w:pPr>
    </w:p>
    <w:p w:rsidR="00E7144F" w:rsidRPr="00E11FB2" w:rsidRDefault="00E7144F" w:rsidP="00E7144F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</w:p>
    <w:p w:rsidR="00E7144F" w:rsidRPr="00E11FB2" w:rsidRDefault="00E7144F" w:rsidP="00E7144F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  <w:r w:rsidRPr="00E11FB2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E11FB2">
        <w:rPr>
          <w:i/>
          <w:snapToGrid w:val="0"/>
          <w:sz w:val="22"/>
          <w:szCs w:val="22"/>
        </w:rPr>
        <w:t xml:space="preserve"> </w:t>
      </w:r>
      <w:hyperlink r:id="rId9" w:history="1">
        <w:r w:rsidRPr="00E11FB2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 w:rsidRPr="00E11FB2">
        <w:rPr>
          <w:snapToGrid w:val="0"/>
          <w:sz w:val="22"/>
          <w:szCs w:val="22"/>
        </w:rPr>
        <w:t>.</w:t>
      </w:r>
    </w:p>
    <w:p w:rsidR="00E7144F" w:rsidRPr="00E11FB2" w:rsidRDefault="00E7144F" w:rsidP="00E7144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:rsidR="00E7144F" w:rsidRPr="00E11FB2" w:rsidRDefault="00E7144F" w:rsidP="00E7144F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bookmarkStart w:id="0" w:name="_GoBack"/>
      <w:bookmarkEnd w:id="0"/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031"/>
    <w:multiLevelType w:val="hybridMultilevel"/>
    <w:tmpl w:val="01100EE0"/>
    <w:lvl w:ilvl="0" w:tplc="8A8698C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085"/>
    <w:multiLevelType w:val="hybridMultilevel"/>
    <w:tmpl w:val="F7B46EB8"/>
    <w:lvl w:ilvl="0" w:tplc="8A8698C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038AF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E203E"/>
    <w:multiLevelType w:val="hybridMultilevel"/>
    <w:tmpl w:val="4956C9D4"/>
    <w:lvl w:ilvl="0" w:tplc="4492F3C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C5A24"/>
    <w:multiLevelType w:val="hybridMultilevel"/>
    <w:tmpl w:val="9E383272"/>
    <w:lvl w:ilvl="0" w:tplc="4492F3C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872E5"/>
    <w:multiLevelType w:val="hybridMultilevel"/>
    <w:tmpl w:val="04F8E6AC"/>
    <w:lvl w:ilvl="0" w:tplc="8A8698C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91943"/>
    <w:multiLevelType w:val="hybridMultilevel"/>
    <w:tmpl w:val="26CCE25A"/>
    <w:lvl w:ilvl="0" w:tplc="A1FE14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10E8"/>
    <w:multiLevelType w:val="hybridMultilevel"/>
    <w:tmpl w:val="B18499F0"/>
    <w:lvl w:ilvl="0" w:tplc="4492F3C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F5D9D"/>
    <w:multiLevelType w:val="hybridMultilevel"/>
    <w:tmpl w:val="F25EBF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86B23"/>
    <w:multiLevelType w:val="hybridMultilevel"/>
    <w:tmpl w:val="E5AA3A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4F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144F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93A4"/>
  <w15:chartTrackingRefBased/>
  <w15:docId w15:val="{801CEF65-E595-4857-BAAB-875C1575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1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E7144F"/>
    <w:pPr>
      <w:jc w:val="both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7144F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rsid w:val="00E7144F"/>
    <w:rPr>
      <w:color w:val="0000FF"/>
      <w:u w:val="single"/>
    </w:rPr>
  </w:style>
  <w:style w:type="paragraph" w:customStyle="1" w:styleId="BodyText1">
    <w:name w:val="Body Text1"/>
    <w:rsid w:val="00E7144F"/>
    <w:pPr>
      <w:spacing w:after="0" w:line="240" w:lineRule="auto"/>
      <w:ind w:firstLine="198"/>
      <w:jc w:val="both"/>
    </w:pPr>
    <w:rPr>
      <w:rFonts w:ascii="RimTimes" w:eastAsia="Times New Roman" w:hAnsi="RimTimes" w:cs="Times New Roman"/>
      <w:color w:val="000000"/>
      <w:sz w:val="13"/>
      <w:szCs w:val="20"/>
      <w:lang w:eastAsia="lv-LV"/>
    </w:rPr>
  </w:style>
  <w:style w:type="paragraph" w:styleId="Sraopastraipa">
    <w:name w:val="List Paragraph"/>
    <w:basedOn w:val="prastasis"/>
    <w:uiPriority w:val="34"/>
    <w:qFormat/>
    <w:rsid w:val="00E71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ndeks@grindek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8837</Words>
  <Characters>5038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2024-11-05T07:55:00Z</dcterms:created>
  <dcterms:modified xsi:type="dcterms:W3CDTF">2024-11-05T07:56:00Z</dcterms:modified>
</cp:coreProperties>
</file>