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56" w:rsidRDefault="00F21156" w:rsidP="00F21156">
      <w:pPr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Pakuotės lapelis: informacija vartotojui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Pr="00E048D6">
        <w:rPr>
          <w:b/>
          <w:bCs/>
          <w:sz w:val="22"/>
          <w:szCs w:val="22"/>
        </w:rPr>
        <w:t>Set</w:t>
      </w:r>
      <w:proofErr w:type="spellEnd"/>
      <w:r w:rsidRPr="00E048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900 TV</w:t>
      </w:r>
      <w:r>
        <w:rPr>
          <w:b/>
          <w:bCs/>
          <w:color w:val="80808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milteliai ir tirpiklis injekciniam tirpalui </w:t>
      </w:r>
    </w:p>
    <w:p w:rsidR="00F21156" w:rsidRDefault="00F21156" w:rsidP="00F21156">
      <w:pPr>
        <w:spacing w:before="0" w:after="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menotropinas</w:t>
      </w:r>
      <w:proofErr w:type="spellEnd"/>
    </w:p>
    <w:p w:rsidR="00F21156" w:rsidRPr="0057690A" w:rsidRDefault="00F21156" w:rsidP="00F21156">
      <w:pPr>
        <w:spacing w:before="0" w:after="0"/>
        <w:rPr>
          <w:sz w:val="22"/>
          <w:szCs w:val="22"/>
        </w:rPr>
      </w:pPr>
    </w:p>
    <w:p w:rsidR="00F21156" w:rsidRPr="0057690A" w:rsidRDefault="00F21156" w:rsidP="00F21156">
      <w:pPr>
        <w:suppressAutoHyphens/>
        <w:spacing w:before="0" w:after="0"/>
        <w:rPr>
          <w:sz w:val="22"/>
          <w:szCs w:val="22"/>
        </w:rPr>
      </w:pPr>
    </w:p>
    <w:p w:rsidR="00F21156" w:rsidRDefault="00F21156" w:rsidP="00F21156">
      <w:pPr>
        <w:suppressAutoHyphens/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F21156" w:rsidRDefault="00F21156" w:rsidP="00F21156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Neišmeskite šio lapelio, nes vėl gali prireikti jį perskaityti.</w:t>
      </w:r>
    </w:p>
    <w:p w:rsidR="00F21156" w:rsidRDefault="00F21156" w:rsidP="00F21156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kiltų daugiau klausimų, kreipkitės į gydytoją, vaistininką arba slaugytoją.</w:t>
      </w:r>
    </w:p>
    <w:p w:rsidR="00F21156" w:rsidRDefault="00F21156" w:rsidP="00F21156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F21156" w:rsidRDefault="00F21156" w:rsidP="00F21156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pasireiškė šalutinis poveikis (net jeigu jis šiame lapelyje nenurodytas), kreipkitės į gydytoją, vaistininką arba slaugytoją. Žr. 4 skyrių.</w:t>
      </w:r>
    </w:p>
    <w:p w:rsidR="00F21156" w:rsidRDefault="00F21156" w:rsidP="00F21156">
      <w:pPr>
        <w:numPr>
          <w:ilvl w:val="0"/>
          <w:numId w:val="6"/>
        </w:numPr>
        <w:tabs>
          <w:tab w:val="left" w:pos="567"/>
        </w:tabs>
        <w:spacing w:before="0" w:after="0"/>
        <w:ind w:left="567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Šiame lapelyje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900 TV milteliai ir tirpiklis injekciniam tirpalui vadinamas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>
        <w:rPr>
          <w:sz w:val="22"/>
          <w:szCs w:val="22"/>
        </w:rPr>
        <w:t>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Apie ką rašoma šiame lapelyje? 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ir kam jis vartojamas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:rsidR="00F21156" w:rsidRDefault="00F21156" w:rsidP="00F21156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Pakuotės turinys ir kita informacija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F21156" w:rsidRDefault="00F21156" w:rsidP="00F21156">
      <w:pPr>
        <w:keepNext/>
        <w:numPr>
          <w:ilvl w:val="0"/>
          <w:numId w:val="5"/>
        </w:numPr>
        <w:tabs>
          <w:tab w:val="clear" w:pos="720"/>
          <w:tab w:val="left" w:pos="567"/>
        </w:tabs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Kas yra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  <w:r w:rsidRPr="00E048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ir kam jis vartojamas</w:t>
      </w:r>
    </w:p>
    <w:p w:rsidR="00F21156" w:rsidRPr="00183715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rFonts w:ascii="Times New (W1)" w:hAnsi="Times New (W1)"/>
          <w:sz w:val="22"/>
          <w:szCs w:val="22"/>
        </w:rPr>
        <w:t>yra vartojamas ovuliacijai skatinti moterims, kurioms ji nevyksta, kai kitas gydymas (</w:t>
      </w:r>
      <w:proofErr w:type="spellStart"/>
      <w:r>
        <w:rPr>
          <w:rFonts w:ascii="Times New (W1)" w:hAnsi="Times New (W1)"/>
          <w:sz w:val="22"/>
          <w:szCs w:val="22"/>
        </w:rPr>
        <w:t>klomifeno</w:t>
      </w:r>
      <w:proofErr w:type="spellEnd"/>
      <w:r>
        <w:rPr>
          <w:rFonts w:ascii="Times New (W1)" w:hAnsi="Times New (W1)"/>
          <w:sz w:val="22"/>
          <w:szCs w:val="22"/>
        </w:rPr>
        <w:t xml:space="preserve"> citratu) buvo neveiksmingas.</w:t>
      </w:r>
    </w:p>
    <w:p w:rsidR="00F21156" w:rsidRDefault="00F21156" w:rsidP="00F21156">
      <w:pPr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rFonts w:ascii="Times New (W1)" w:hAnsi="Times New (W1)"/>
          <w:sz w:val="22"/>
          <w:szCs w:val="22"/>
        </w:rPr>
        <w:t>yra vartojamas kelių folikulų (ir todėl kelių kiaušinėlių) vystymuisi sukelti moterims, kurioms taikomas nevaisingumo gydymas.</w:t>
      </w:r>
    </w:p>
    <w:p w:rsidR="00F21156" w:rsidRDefault="00F21156" w:rsidP="00F21156">
      <w:pPr>
        <w:spacing w:before="0" w:after="0"/>
        <w:rPr>
          <w:rFonts w:ascii="Times New (W1)" w:hAnsi="Times New (W1)" w:cs="Times New (W1)"/>
          <w:sz w:val="22"/>
          <w:szCs w:val="22"/>
        </w:rPr>
      </w:pP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rFonts w:ascii="Times New (W1)" w:hAnsi="Times New (W1)"/>
          <w:sz w:val="22"/>
          <w:szCs w:val="22"/>
        </w:rPr>
        <w:t xml:space="preserve">yra labai išgrynintas žmogaus </w:t>
      </w:r>
      <w:proofErr w:type="spellStart"/>
      <w:r>
        <w:rPr>
          <w:rFonts w:ascii="Times New (W1)" w:hAnsi="Times New (W1)"/>
          <w:sz w:val="22"/>
          <w:szCs w:val="22"/>
        </w:rPr>
        <w:t>menopauzinis</w:t>
      </w:r>
      <w:proofErr w:type="spellEnd"/>
      <w:r>
        <w:rPr>
          <w:rFonts w:ascii="Times New (W1)" w:hAnsi="Times New (W1)"/>
          <w:sz w:val="22"/>
          <w:szCs w:val="22"/>
        </w:rPr>
        <w:t xml:space="preserve"> </w:t>
      </w:r>
      <w:proofErr w:type="spellStart"/>
      <w:r>
        <w:rPr>
          <w:rFonts w:ascii="Times New (W1)" w:hAnsi="Times New (W1)"/>
          <w:sz w:val="22"/>
          <w:szCs w:val="22"/>
        </w:rPr>
        <w:t>gonadotropinas</w:t>
      </w:r>
      <w:proofErr w:type="spellEnd"/>
      <w:r>
        <w:rPr>
          <w:rFonts w:ascii="Times New (W1)" w:hAnsi="Times New (W1)"/>
          <w:sz w:val="22"/>
          <w:szCs w:val="22"/>
        </w:rPr>
        <w:t xml:space="preserve">, priklausantis vaistų grupei, vadinamai </w:t>
      </w:r>
      <w:proofErr w:type="spellStart"/>
      <w:r>
        <w:rPr>
          <w:rFonts w:ascii="Times New (W1)" w:hAnsi="Times New (W1)"/>
          <w:sz w:val="22"/>
          <w:szCs w:val="22"/>
        </w:rPr>
        <w:t>gonadotropinais</w:t>
      </w:r>
      <w:proofErr w:type="spellEnd"/>
      <w:r>
        <w:rPr>
          <w:rFonts w:ascii="Times New (W1)" w:hAnsi="Times New (W1)"/>
          <w:sz w:val="22"/>
          <w:szCs w:val="22"/>
        </w:rPr>
        <w:t>.</w:t>
      </w: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(W1)" w:hAnsi="Times New (W1)"/>
          <w:sz w:val="22"/>
          <w:szCs w:val="22"/>
        </w:rPr>
      </w:pPr>
    </w:p>
    <w:p w:rsidR="00F21156" w:rsidRDefault="00F21156" w:rsidP="00F21156">
      <w:pPr>
        <w:shd w:val="clear" w:color="auto" w:fill="FFFFFF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Kiekviename flakone yra </w:t>
      </w:r>
      <w:proofErr w:type="spellStart"/>
      <w:r>
        <w:rPr>
          <w:sz w:val="22"/>
          <w:szCs w:val="22"/>
        </w:rPr>
        <w:t>liofilizuotų</w:t>
      </w:r>
      <w:proofErr w:type="spellEnd"/>
      <w:r>
        <w:rPr>
          <w:sz w:val="22"/>
          <w:szCs w:val="22"/>
        </w:rPr>
        <w:t xml:space="preserve"> miltelių, kurių aktyvumas atitinka 900 TV žmogaus folikulus stimuliuojančio hormono (FSH) aktyvumo ir 900 TV žmogaus </w:t>
      </w:r>
      <w:proofErr w:type="spellStart"/>
      <w:r>
        <w:rPr>
          <w:sz w:val="22"/>
          <w:szCs w:val="22"/>
        </w:rPr>
        <w:t>liuteinizuojančio</w:t>
      </w:r>
      <w:proofErr w:type="spellEnd"/>
      <w:r>
        <w:rPr>
          <w:sz w:val="22"/>
          <w:szCs w:val="22"/>
        </w:rPr>
        <w:t xml:space="preserve"> hormono (LH) aktyvumo. </w:t>
      </w: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  <w:r>
        <w:rPr>
          <w:sz w:val="22"/>
          <w:szCs w:val="22"/>
        </w:rPr>
        <w:t xml:space="preserve">Žmogaus </w:t>
      </w:r>
      <w:proofErr w:type="spellStart"/>
      <w:r>
        <w:rPr>
          <w:sz w:val="22"/>
          <w:szCs w:val="22"/>
        </w:rPr>
        <w:t>menopauzinis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gonadotropinas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žMG</w:t>
      </w:r>
      <w:proofErr w:type="spellEnd"/>
      <w:r>
        <w:rPr>
          <w:sz w:val="22"/>
          <w:szCs w:val="22"/>
        </w:rPr>
        <w:t xml:space="preserve">) yra išskiriamas iš moterų po menopauzės šlapimo. Žmogaus </w:t>
      </w:r>
      <w:proofErr w:type="spellStart"/>
      <w:r>
        <w:rPr>
          <w:sz w:val="22"/>
          <w:szCs w:val="22"/>
        </w:rPr>
        <w:t>chorioninis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gonadotropinas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žCG</w:t>
      </w:r>
      <w:proofErr w:type="spellEnd"/>
      <w:r>
        <w:rPr>
          <w:sz w:val="22"/>
          <w:szCs w:val="22"/>
        </w:rPr>
        <w:t>), išskiriamas iš nėščių moterų šlapimo, pridedamas siekiant padidinti bendrąjį LH aktyvumą.</w:t>
      </w: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</w:p>
    <w:p w:rsidR="00F21156" w:rsidRDefault="00F21156" w:rsidP="00F21156">
      <w:pPr>
        <w:spacing w:before="0" w:after="0"/>
        <w:rPr>
          <w:rFonts w:ascii="Times New (W1)" w:hAnsi="Times New (W1)" w:cs="Times New (W1)"/>
          <w:sz w:val="22"/>
          <w:szCs w:val="22"/>
        </w:rPr>
      </w:pPr>
      <w:r>
        <w:rPr>
          <w:rFonts w:ascii="Times New (W1)" w:hAnsi="Times New (W1)"/>
          <w:sz w:val="22"/>
          <w:szCs w:val="22"/>
        </w:rPr>
        <w:t>Šį vaistą galima vartoti tik prižiūrint gydytojui.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F21156" w:rsidRDefault="00F21156" w:rsidP="00F21156">
      <w:pPr>
        <w:keepNext/>
        <w:numPr>
          <w:ilvl w:val="0"/>
          <w:numId w:val="5"/>
        </w:numPr>
        <w:tabs>
          <w:tab w:val="clear" w:pos="720"/>
          <w:tab w:val="num" w:pos="567"/>
        </w:tabs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Kas žinotina prieš vartojant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>
        <w:rPr>
          <w:sz w:val="22"/>
          <w:szCs w:val="22"/>
        </w:rPr>
        <w:t>Prieš pradedant gydymą, bus įvertintas Jūsų ir Jūsų partnerio vaisingumas.</w:t>
      </w:r>
    </w:p>
    <w:p w:rsidR="00F21156" w:rsidRPr="00183715" w:rsidRDefault="00F21156" w:rsidP="00F21156">
      <w:pPr>
        <w:spacing w:before="0" w:after="0"/>
        <w:rPr>
          <w:bCs/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  <w:r w:rsidRPr="00E048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vartoti draudžiama, jeigu Jums yra bent viena iš toliau išvardytų būklių:</w:t>
      </w:r>
    </w:p>
    <w:p w:rsidR="00F21156" w:rsidRDefault="00F21156" w:rsidP="00F21156">
      <w:pPr>
        <w:numPr>
          <w:ilvl w:val="1"/>
          <w:numId w:val="1"/>
        </w:numPr>
        <w:tabs>
          <w:tab w:val="clear" w:pos="1440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ne dėl hormonų sutrikimų (kiaušidžių </w:t>
      </w:r>
      <w:proofErr w:type="spellStart"/>
      <w:r>
        <w:rPr>
          <w:sz w:val="22"/>
          <w:szCs w:val="22"/>
        </w:rPr>
        <w:t>policistozės</w:t>
      </w:r>
      <w:proofErr w:type="spellEnd"/>
      <w:r>
        <w:rPr>
          <w:sz w:val="22"/>
          <w:szCs w:val="22"/>
        </w:rPr>
        <w:t>) padidėjusios kiaušidės ar cistos;</w:t>
      </w:r>
    </w:p>
    <w:p w:rsidR="00F21156" w:rsidRDefault="00F21156" w:rsidP="00F21156">
      <w:pPr>
        <w:numPr>
          <w:ilvl w:val="1"/>
          <w:numId w:val="1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neaiškios kilmės kraujavimas;</w:t>
      </w:r>
    </w:p>
    <w:p w:rsidR="00F21156" w:rsidRDefault="00F21156" w:rsidP="00F21156">
      <w:pPr>
        <w:numPr>
          <w:ilvl w:val="1"/>
          <w:numId w:val="1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kiaušidžių, gimdos ar krūties vėžys;</w:t>
      </w:r>
    </w:p>
    <w:p w:rsidR="00F21156" w:rsidRDefault="00F21156" w:rsidP="00F21156">
      <w:pPr>
        <w:numPr>
          <w:ilvl w:val="1"/>
          <w:numId w:val="1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hipofizės</w:t>
      </w:r>
      <w:proofErr w:type="spellEnd"/>
      <w:r>
        <w:rPr>
          <w:sz w:val="22"/>
          <w:szCs w:val="22"/>
        </w:rPr>
        <w:t xml:space="preserve"> arba pogumburio (smegenų) nenormalus patinimas (auglys);</w:t>
      </w:r>
    </w:p>
    <w:p w:rsidR="00F21156" w:rsidRDefault="00F21156" w:rsidP="00F21156">
      <w:pPr>
        <w:numPr>
          <w:ilvl w:val="1"/>
          <w:numId w:val="1"/>
        </w:numPr>
        <w:tabs>
          <w:tab w:val="clear" w:pos="1440"/>
          <w:tab w:val="left" w:pos="567"/>
          <w:tab w:val="num" w:pos="851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jeigu yra alergija </w:t>
      </w:r>
      <w:proofErr w:type="spellStart"/>
      <w:r>
        <w:rPr>
          <w:sz w:val="22"/>
          <w:szCs w:val="22"/>
        </w:rPr>
        <w:t>menotropinui</w:t>
      </w:r>
      <w:proofErr w:type="spellEnd"/>
      <w:r>
        <w:rPr>
          <w:sz w:val="22"/>
          <w:szCs w:val="22"/>
        </w:rPr>
        <w:t xml:space="preserve"> arba bet kuriai pagalbinei šio vaisto medžiagai (jos išvardytos 6 skyriuje).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Šio vaisto draudžiama vartoti, jei Jums prasidėjusi ankstyvoji menopauzė, nustatytas lytinių organų formavimosi ydos arba yra tam tikrų gimdos navikų, dėl kurių neįmanomas normalus nėštumas.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Įspėjimai ir atsargumo priemonės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Nors dar nebuvo pranešta apie jokias alergines reakcijas į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>
        <w:rPr>
          <w:sz w:val="22"/>
          <w:szCs w:val="22"/>
        </w:rPr>
        <w:t>, turite pasakyti savo gydytojui, jei Jums pasireiškė alerginių reakcijų vartojant panašius vaistus.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Šis gydymas padidina riziką išsivystyti būklei, vadinamai </w:t>
      </w:r>
      <w:r>
        <w:rPr>
          <w:b/>
          <w:sz w:val="22"/>
          <w:szCs w:val="22"/>
        </w:rPr>
        <w:t xml:space="preserve">kiaušidžių </w:t>
      </w:r>
      <w:proofErr w:type="spellStart"/>
      <w:r>
        <w:rPr>
          <w:b/>
          <w:sz w:val="22"/>
          <w:szCs w:val="22"/>
        </w:rPr>
        <w:t>hiperstimuliacijos</w:t>
      </w:r>
      <w:proofErr w:type="spellEnd"/>
      <w:r>
        <w:rPr>
          <w:b/>
          <w:sz w:val="22"/>
          <w:szCs w:val="22"/>
        </w:rPr>
        <w:t xml:space="preserve"> sindromu (KHSS)</w:t>
      </w:r>
      <w:r>
        <w:rPr>
          <w:sz w:val="22"/>
          <w:szCs w:val="22"/>
        </w:rPr>
        <w:t xml:space="preserve"> (žr. skyrių „Galimas šalutinis poveikis“). Jei pasireiškia kiaušidžių </w:t>
      </w:r>
      <w:proofErr w:type="spellStart"/>
      <w:r>
        <w:rPr>
          <w:sz w:val="22"/>
          <w:szCs w:val="22"/>
        </w:rPr>
        <w:t>hiperstimuliacija</w:t>
      </w:r>
      <w:proofErr w:type="spellEnd"/>
      <w:r>
        <w:rPr>
          <w:sz w:val="22"/>
          <w:szCs w:val="22"/>
        </w:rPr>
        <w:t xml:space="preserve">, gydymas bus nutrauktas ir išvengta nėštumo. Pirmieji kiaušidžių </w:t>
      </w:r>
      <w:proofErr w:type="spellStart"/>
      <w:r>
        <w:rPr>
          <w:sz w:val="22"/>
          <w:szCs w:val="22"/>
        </w:rPr>
        <w:t>hiperstimuliacijos</w:t>
      </w:r>
      <w:proofErr w:type="spellEnd"/>
      <w:r>
        <w:rPr>
          <w:sz w:val="22"/>
          <w:szCs w:val="22"/>
        </w:rPr>
        <w:t xml:space="preserve"> požymiai yra skausmas pilvo apačioje, taip pat pykinimas, vėmimas ir svorio didėjimas. Jei pasireiškė šie simptomai, Jus turi kuo skubiau apžiūrėti gydytojas. Rimtais, tačiau retais atvejais gali padidėti kiaušidės, o pilve arba krūtinėje imti kauptis skysčiai.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Vaistas, vartojamas galutiniam subrendusių kiaušinėlių išskyrimui (sudėtyje yra </w:t>
      </w:r>
      <w:proofErr w:type="spellStart"/>
      <w:r>
        <w:rPr>
          <w:sz w:val="22"/>
          <w:szCs w:val="22"/>
        </w:rPr>
        <w:t>žCG</w:t>
      </w:r>
      <w:proofErr w:type="spellEnd"/>
      <w:r>
        <w:rPr>
          <w:sz w:val="22"/>
          <w:szCs w:val="22"/>
        </w:rPr>
        <w:t xml:space="preserve">), gali padidinti KHSS tikimybę. Dėl to, išsivysčius KHSS, nepatartina vartoti </w:t>
      </w:r>
      <w:proofErr w:type="spellStart"/>
      <w:r>
        <w:rPr>
          <w:sz w:val="22"/>
          <w:szCs w:val="22"/>
        </w:rPr>
        <w:t>žCG</w:t>
      </w:r>
      <w:proofErr w:type="spellEnd"/>
      <w:r>
        <w:rPr>
          <w:sz w:val="22"/>
          <w:szCs w:val="22"/>
        </w:rPr>
        <w:t xml:space="preserve"> ir turėti lytinių santykių, net jei naudojate barjerinės kontracepcijos priemones, mažiausiai 4 dienas.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Reikia pažymėti, kad vaisingumo problemų turinčių moterų persileidimų skaičius yra didesnis nei normalioje populiacijoje.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Pacientėms, kurioms taikomas gydymas, stimuliuojantis ovuliaciją, daugiavaisių nėštumų ir gimdymų tikimybė yra didesnė, nei natūraliai pastojus. Tačiau laikantis rekomenduojamo dozavimo šią riziką galima sumažinti. 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Moterims, kurių kiaušintakiai yra pažeisti, nėštumo ne gimdoje (negimdinio nėštumo) rizika yra šiek tiek didesnė.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Tiek daugiavaisis nėštumas, tiek nuo nevaisingumo gydytų pacientų ypatybės (pvz., moters amžius, spermos charakteristikos) gali būti susiję su didesne apsigimimų rizika. 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Gydymas</w:t>
      </w:r>
      <w:r>
        <w:rPr>
          <w:bCs/>
          <w:iCs/>
          <w:color w:val="0000FF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>
        <w:rPr>
          <w:sz w:val="22"/>
          <w:szCs w:val="22"/>
        </w:rPr>
        <w:t>, kaip ir pats nėštumas, gali padidinti trombozės tikimybę. Trombozė yra kraujo krešulio susidarymas kraujagyslėje, dažniausiai kojų ar plaučių venose.</w:t>
      </w: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Prieš pradėdamos gydymą, pasitarkite su gydytoju, ypač jeigu:</w:t>
      </w:r>
    </w:p>
    <w:p w:rsidR="00F21156" w:rsidRDefault="00F21156" w:rsidP="00F21156">
      <w:pPr>
        <w:numPr>
          <w:ilvl w:val="0"/>
          <w:numId w:val="8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jau žinote, kad Jums yra padidėjusi trombozės rizika;</w:t>
      </w:r>
    </w:p>
    <w:p w:rsidR="00F21156" w:rsidRDefault="00F21156" w:rsidP="00F21156">
      <w:pPr>
        <w:numPr>
          <w:ilvl w:val="0"/>
          <w:numId w:val="8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Jums ar artimiausiems šeimos nariams yra buvę trombozės atvejų;</w:t>
      </w:r>
    </w:p>
    <w:p w:rsidR="00F21156" w:rsidRDefault="00F21156" w:rsidP="00F21156">
      <w:pPr>
        <w:numPr>
          <w:ilvl w:val="0"/>
          <w:numId w:val="8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Jūs esate labai nutukusi.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Vaikams 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Vaistas nėra skirtas vaikams.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Kiti vaistai ir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>
        <w:rPr>
          <w:sz w:val="22"/>
          <w:szCs w:val="22"/>
        </w:rPr>
        <w:t>Jeigu vartojate ar neseniai vartojote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kitų vaistų arba dėl to nesate tikri, apie tai pasakykite gydytojui arba vaistininkui.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Nėštumas, žindymo laikotarpis ir vaisingumas</w:t>
      </w:r>
    </w:p>
    <w:p w:rsidR="00F21156" w:rsidRDefault="00F21156" w:rsidP="00F21156">
      <w:pPr>
        <w:numPr>
          <w:ilvl w:val="12"/>
          <w:numId w:val="0"/>
        </w:num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vartoti negalima, jeigu esate nėščia ar žindote kūdikį.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Vairavimas ir mechanizmų valdymas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gebėjimo vairuoti ir valdyti mechanizmus neveikia arba veikia nereikšmingai. Tačiau poveikio gebėjimui vairuoti ir valdyti mechanizmus tyrimų neatlikta.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  <w:r w:rsidRPr="00E048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sudėtyje yra natrio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>
        <w:rPr>
          <w:sz w:val="22"/>
          <w:szCs w:val="22"/>
        </w:rPr>
        <w:t>Šio vaisto paruoštame tirpale yra mažiau kaip 1 </w:t>
      </w:r>
      <w:proofErr w:type="spellStart"/>
      <w:r>
        <w:rPr>
          <w:sz w:val="22"/>
          <w:szCs w:val="22"/>
        </w:rPr>
        <w:t>mmol</w:t>
      </w:r>
      <w:proofErr w:type="spellEnd"/>
      <w:r>
        <w:rPr>
          <w:sz w:val="22"/>
          <w:szCs w:val="22"/>
        </w:rPr>
        <w:t xml:space="preserve"> (23 mg) natrio, t. y. jis beveik neturi reikšmės.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keepNext/>
        <w:numPr>
          <w:ilvl w:val="0"/>
          <w:numId w:val="5"/>
        </w:numPr>
        <w:tabs>
          <w:tab w:val="clear" w:pos="720"/>
          <w:tab w:val="num" w:pos="567"/>
        </w:tabs>
        <w:spacing w:before="0" w:after="0"/>
        <w:ind w:left="567" w:hanging="567"/>
        <w:outlineLvl w:val="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Kaip vartoti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</w:p>
    <w:p w:rsidR="00F21156" w:rsidRPr="00183715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Dozavimas ir gydymo trukmė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>
        <w:rPr>
          <w:sz w:val="22"/>
          <w:szCs w:val="22"/>
        </w:rPr>
        <w:t>Visada vartokite šį vaistą tiksliai kaip nurodė gydytojas. Jeigu abejojate, kreipkitės į gydytoją.</w:t>
      </w:r>
    </w:p>
    <w:p w:rsidR="00F21156" w:rsidRPr="00183715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Moterims, kurioms nevyksta ovuliacija ir yra nereguliarios mėnesinės arba visai jų nėra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Paprastai pirmoji 75 TV </w:t>
      </w:r>
      <w:proofErr w:type="spellStart"/>
      <w:r>
        <w:rPr>
          <w:sz w:val="22"/>
          <w:szCs w:val="22"/>
        </w:rPr>
        <w:t>menotropino</w:t>
      </w:r>
      <w:proofErr w:type="spellEnd"/>
      <w:r>
        <w:rPr>
          <w:sz w:val="22"/>
          <w:szCs w:val="22"/>
        </w:rPr>
        <w:t xml:space="preserve"> injekcija skiriama pirmąją ciklo savaitę po savaiminių ar sukeltų mėnesinių.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Vėliau kasdien leidžiama gydytojo paskirta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dozė ir gydymas tęsiamas tol, kol kiaušidėje subręs vienas ar daugiau folikulų. Jūsų gydytojas pareguliuos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dozę, priklausomai nuo kiaušidžių atsako, kuris nustatomas klinikinės apžiūros metu.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Kai vienas folikulas pasiekia reikiamą vystymosi stadiją, gydymas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bus nutrauktas ir ovuliacija bus skatinama kitu hormonu (</w:t>
      </w:r>
      <w:proofErr w:type="spellStart"/>
      <w:r>
        <w:rPr>
          <w:sz w:val="22"/>
          <w:szCs w:val="22"/>
        </w:rPr>
        <w:t>chorioniniu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gonadotropinu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žCG</w:t>
      </w:r>
      <w:proofErr w:type="spellEnd"/>
      <w:r>
        <w:rPr>
          <w:sz w:val="22"/>
          <w:szCs w:val="22"/>
        </w:rPr>
        <w:t>).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Ovuliacija paprastai įvyksta po 32–48 valandų.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Šiame gydymo etape galimas apvaisinimas. Jums bus patariama turėti lytinių santykių kiekvieną dieną, pradedant nuo tos dienos, kai pradėsite vartoti </w:t>
      </w:r>
      <w:proofErr w:type="spellStart"/>
      <w:r>
        <w:rPr>
          <w:sz w:val="22"/>
          <w:szCs w:val="22"/>
        </w:rPr>
        <w:t>žCG</w:t>
      </w:r>
      <w:proofErr w:type="spellEnd"/>
      <w:r>
        <w:rPr>
          <w:sz w:val="22"/>
          <w:szCs w:val="22"/>
        </w:rPr>
        <w:t>. Jei nepastojama ovuliacijos metu, gydymą galima pakartoti.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Moterims, kurioms stimuliuojamos kiaušidės, siekiant sukelti keleto folikulų vystymąsi prieš apvaisinimą </w:t>
      </w:r>
      <w:proofErr w:type="spellStart"/>
      <w:r>
        <w:rPr>
          <w:b/>
          <w:i/>
          <w:iCs/>
          <w:sz w:val="22"/>
          <w:szCs w:val="22"/>
        </w:rPr>
        <w:t>in</w:t>
      </w:r>
      <w:proofErr w:type="spellEnd"/>
      <w:r>
        <w:rPr>
          <w:b/>
          <w:i/>
          <w:iCs/>
          <w:sz w:val="22"/>
          <w:szCs w:val="22"/>
        </w:rPr>
        <w:t xml:space="preserve"> </w:t>
      </w:r>
      <w:proofErr w:type="spellStart"/>
      <w:r>
        <w:rPr>
          <w:b/>
          <w:i/>
          <w:iCs/>
          <w:sz w:val="22"/>
          <w:szCs w:val="22"/>
        </w:rPr>
        <w:t>vitro</w:t>
      </w:r>
      <w:proofErr w:type="spellEnd"/>
      <w:r>
        <w:rPr>
          <w:b/>
          <w:sz w:val="22"/>
          <w:szCs w:val="22"/>
        </w:rPr>
        <w:t xml:space="preserve"> ar kitokį dirbtinį apvaisinimą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Šio metodo tikslas yra sukelti keleto folikulų vystymąsi. Gydymas prasidės 2-ą arba 3-ią ciklo dieną suleidžiant 150–300 TV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>
        <w:rPr>
          <w:sz w:val="22"/>
          <w:szCs w:val="22"/>
        </w:rPr>
        <w:t xml:space="preserve">. Jei reikia, gydytojas gali nuspręsti skirti didesnes dozes. Leidžiama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dozė yra didesnė nei natūralaus apvaisinimo metu. Gydymo trukmę gydytojas nustato individualiai.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Kai tik išsivysto pakankamas folikulų skaičius, gydymas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laikinai sustabdomas ir ovuliacija skatinama suleidžiant kitą hormoną (</w:t>
      </w:r>
      <w:proofErr w:type="spellStart"/>
      <w:r>
        <w:rPr>
          <w:sz w:val="22"/>
          <w:szCs w:val="22"/>
        </w:rPr>
        <w:t>chorioninį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gonadotropiną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žCG</w:t>
      </w:r>
      <w:proofErr w:type="spellEnd"/>
      <w:r>
        <w:rPr>
          <w:sz w:val="22"/>
          <w:szCs w:val="22"/>
        </w:rPr>
        <w:t>).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Kaip vartoti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leidžiamas po oda (injekcija po oda).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Kiekvienas flakonas turi būti paruošiamas tik vieną kartą, o kiekviena injekcija turi būti atliekama iš karto, kai tik pritraukiama reikiama dozė.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Tinkamai pakonsultavęs ir išmokęs, gydytojas gali pasiūlyti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  <w:r w:rsidRPr="00E048D6">
        <w:rPr>
          <w:b/>
          <w:sz w:val="22"/>
          <w:szCs w:val="22"/>
        </w:rPr>
        <w:t xml:space="preserve"> 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injekcijas atlikti savarankiškai.</w:t>
      </w:r>
    </w:p>
    <w:p w:rsidR="00F21156" w:rsidRPr="00183715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Prieš pirmąją Jūsų injekciją gydytojas turi:</w:t>
      </w:r>
    </w:p>
    <w:p w:rsidR="00F21156" w:rsidRPr="00183715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leisti pasipraktikuoti atlikti injekciją po oda;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parodyti galimas vietas, kur galite atlikti injekcijas;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parodyti, kaip paruošti injekcinį tirpalą;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paaiškinti, kaip paruošti reikiamą injekcijos dozę.</w:t>
      </w:r>
    </w:p>
    <w:p w:rsidR="00F21156" w:rsidRPr="00183715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Prieš leidžiantis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  <w:r w:rsidRPr="00E048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sau, būtina atidžiai perskaityti šią instrukciją.</w:t>
      </w:r>
    </w:p>
    <w:p w:rsidR="00F21156" w:rsidRPr="00183715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Kadangi šiame flakone yra kelioms gydymo dienoms skirtas vaisto kiekis, turite įsitikinti, kad ištraukėte tik tokį kiekį, kokį Jums paskyrė gydytojas. Gydytojas Jums paskyrė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dozę TV (tarptautiniais vienetais). Norėdami gauti teisingą dozę, turite naudoti vieną iš pridėtų 12 švirkštų, sugraduotų FSH / LH TV vienetais.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Pr="00786B4E" w:rsidRDefault="00F21156" w:rsidP="00F21156">
      <w:pPr>
        <w:spacing w:before="0" w:after="0"/>
        <w:rPr>
          <w:sz w:val="22"/>
          <w:szCs w:val="22"/>
        </w:rPr>
      </w:pPr>
      <w:r>
        <w:rPr>
          <w:noProof/>
          <w:lang w:eastAsia="lt-LT"/>
        </w:rPr>
        <w:drawing>
          <wp:inline distT="0" distB="0" distL="0" distR="0" wp14:anchorId="3402E04E" wp14:editId="6D63DD6F">
            <wp:extent cx="3096895" cy="10306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156" w:rsidRPr="00183715" w:rsidRDefault="00F21156" w:rsidP="00F21156">
      <w:pPr>
        <w:spacing w:before="0" w:after="0"/>
        <w:rPr>
          <w:bCs/>
          <w:sz w:val="22"/>
          <w:szCs w:val="22"/>
        </w:rPr>
      </w:pPr>
    </w:p>
    <w:p w:rsidR="00F21156" w:rsidRDefault="00F21156" w:rsidP="00F21156">
      <w:pPr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Šie vienkartiniai švirkštai yra skirti tik vienkartiniam naudojimui ir po suleidimo juos reikia išmesti laikantis vietinių reikalavimų ir atitinkamoje </w:t>
      </w:r>
      <w:proofErr w:type="spellStart"/>
      <w:r>
        <w:rPr>
          <w:bCs/>
          <w:sz w:val="22"/>
          <w:szCs w:val="22"/>
        </w:rPr>
        <w:t>talpyklėje</w:t>
      </w:r>
      <w:proofErr w:type="spellEnd"/>
      <w:r>
        <w:rPr>
          <w:bCs/>
          <w:sz w:val="22"/>
          <w:szCs w:val="22"/>
        </w:rPr>
        <w:t>.</w:t>
      </w:r>
    </w:p>
    <w:p w:rsidR="00F21156" w:rsidRPr="00183715" w:rsidRDefault="00F21156" w:rsidP="00F21156">
      <w:pPr>
        <w:spacing w:before="0" w:after="0"/>
        <w:rPr>
          <w:bCs/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Kaip paruošti ir suleisti 1 flakoną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</w:p>
    <w:p w:rsidR="00F21156" w:rsidRDefault="00F21156" w:rsidP="00F21156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F21156" w:rsidRDefault="00F21156" w:rsidP="00F21156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Injekcinį tirpalą, kuriame yra 900 TV </w:t>
      </w:r>
      <w:proofErr w:type="spellStart"/>
      <w:r>
        <w:rPr>
          <w:sz w:val="22"/>
          <w:szCs w:val="22"/>
        </w:rPr>
        <w:t>menotropino</w:t>
      </w:r>
      <w:proofErr w:type="spellEnd"/>
      <w:r>
        <w:rPr>
          <w:sz w:val="22"/>
          <w:szCs w:val="22"/>
        </w:rPr>
        <w:t xml:space="preserve">, reikia paruošti prieš pat pirmosios dozės suleidimą, į flakoną su milteliais pridedant paruošimui skirto tirpiklio, esančio užpildytame švirkšte (yra kiekvienoje pakuotėje) </w:t>
      </w:r>
    </w:p>
    <w:p w:rsidR="00F21156" w:rsidRDefault="00F21156" w:rsidP="00F21156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Paruoškite švarų paviršių ir nusiplaukite rankas su muilu ir šiltu vandeniu. Svarbu, kad Jūsų rankos ir naudojami daiktai būtų kuo švaresni.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Pasiruoškite šiuos daiktus: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flakoną, kuriame yra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milteliai;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užpildytą švirkštą su tirpikliu paruošimui;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vieną paruošimo adatą;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vieną vienkartinį švirkštą su integruota adata injekcijai po oda, sugraduotą FSH / LH vienetais;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vieną alkoholiu suvilgytą tamponėlį</w:t>
      </w:r>
    </w:p>
    <w:p w:rsidR="00F21156" w:rsidRDefault="00F21156" w:rsidP="00F21156">
      <w:pPr>
        <w:numPr>
          <w:ilvl w:val="0"/>
          <w:numId w:val="2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vatos ir dezinfekuojamojo tirpalo (pakuotėje nepateikta).</w:t>
      </w:r>
    </w:p>
    <w:p w:rsidR="00F21156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F21156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ĮSIDĖMĖKITE. </w:t>
      </w:r>
    </w:p>
    <w:p w:rsidR="00F21156" w:rsidRPr="00786B4E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Prieš ruošdami ir kiekvieną kartą naudodami, dezinfekuokite dezinfekcine priemone (t. y. alkoholio tirpalu) suvilgytu vatos gumulėliu flakono, kuriame yra paruoštas tirpalas, guminę viršutinę dalį ir leiskite išdžiūti. </w:t>
      </w:r>
    </w:p>
    <w:p w:rsidR="00F21156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EC1A12">
        <w:rPr>
          <w:b/>
          <w:bCs/>
          <w:sz w:val="22"/>
          <w:szCs w:val="22"/>
          <w:lang w:eastAsia="fr-FR"/>
        </w:rPr>
        <w:t xml:space="preserve">Nenuimkite atgalinio </w:t>
      </w:r>
      <w:r>
        <w:rPr>
          <w:b/>
          <w:bCs/>
          <w:sz w:val="22"/>
          <w:szCs w:val="22"/>
          <w:lang w:eastAsia="fr-FR"/>
        </w:rPr>
        <w:t>stabdžio</w:t>
      </w:r>
      <w:r w:rsidRPr="00EC1A12">
        <w:rPr>
          <w:b/>
          <w:bCs/>
          <w:sz w:val="22"/>
          <w:szCs w:val="22"/>
          <w:lang w:eastAsia="fr-FR"/>
        </w:rPr>
        <w:t xml:space="preserve"> (baltos apykaklės) nuo užpildyto švirkšto, nes jis apsaugo nuo netyčinio kamščio ištraukimo ir pagerina švirkšto valdymą injekcijos metu.</w:t>
      </w:r>
    </w:p>
    <w:p w:rsidR="00F21156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Injekcinio tirpalo paruošimas</w:t>
      </w:r>
    </w:p>
    <w:p w:rsidR="00F21156" w:rsidRPr="00183715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Užpildyto švirkšto paruošimas</w:t>
      </w:r>
    </w:p>
    <w:p w:rsidR="00F21156" w:rsidRDefault="00F21156" w:rsidP="00F21156">
      <w:pPr>
        <w:numPr>
          <w:ilvl w:val="5"/>
          <w:numId w:val="5"/>
        </w:numPr>
        <w:tabs>
          <w:tab w:val="left" w:pos="1843"/>
        </w:tabs>
        <w:spacing w:before="0" w:after="0"/>
        <w:ind w:left="2835" w:hanging="283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0288" behindDoc="0" locked="0" layoutInCell="1" allowOverlap="1" wp14:anchorId="2B32E802" wp14:editId="5AFB51CB">
            <wp:simplePos x="0" y="0"/>
            <wp:positionH relativeFrom="margin">
              <wp:align>left</wp:align>
            </wp:positionH>
            <wp:positionV relativeFrom="paragraph">
              <wp:posOffset>57912</wp:posOffset>
            </wp:positionV>
            <wp:extent cx="1483360" cy="734695"/>
            <wp:effectExtent l="0" t="0" r="254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Nuimkite dangtelį nuo užpildyto švirkšto su tirpikliu; uždėkite paruošimo adatą nenuimant jos apsauginio dangtelio ant švirkšto.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Atsargiai padėkite švirkštą ant švaraus paviršiaus.</w:t>
      </w:r>
    </w:p>
    <w:p w:rsidR="00F21156" w:rsidRPr="00183715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Cs/>
          <w:sz w:val="22"/>
          <w:szCs w:val="22"/>
        </w:rPr>
      </w:pPr>
    </w:p>
    <w:p w:rsidR="00F21156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Flakono paruošimas</w:t>
      </w:r>
    </w:p>
    <w:p w:rsidR="00F21156" w:rsidRDefault="00F21156" w:rsidP="00F21156">
      <w:pPr>
        <w:numPr>
          <w:ilvl w:val="5"/>
          <w:numId w:val="5"/>
        </w:numPr>
        <w:tabs>
          <w:tab w:val="left" w:pos="1843"/>
        </w:tabs>
        <w:spacing w:before="0" w:after="0"/>
        <w:ind w:left="2835" w:hanging="283"/>
        <w:rPr>
          <w:sz w:val="22"/>
          <w:szCs w:val="22"/>
        </w:rPr>
      </w:pPr>
      <w:r>
        <w:rPr>
          <w:bCs/>
          <w:noProof/>
          <w:u w:val="single"/>
          <w:lang w:eastAsia="lt-LT"/>
        </w:rPr>
        <w:drawing>
          <wp:anchor distT="0" distB="0" distL="114300" distR="114300" simplePos="0" relativeHeight="251662336" behindDoc="1" locked="0" layoutInCell="1" allowOverlap="1" wp14:anchorId="767DB401" wp14:editId="4F6F93B5">
            <wp:simplePos x="0" y="0"/>
            <wp:positionH relativeFrom="margin">
              <wp:align>left</wp:align>
            </wp:positionH>
            <wp:positionV relativeFrom="paragraph">
              <wp:posOffset>27711</wp:posOffset>
            </wp:positionV>
            <wp:extent cx="7239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032" y="21304"/>
                <wp:lineTo x="21032" y="20712"/>
                <wp:lineTo x="18758" y="18937"/>
                <wp:lineTo x="20463" y="9468"/>
                <wp:lineTo x="21032" y="3551"/>
                <wp:lineTo x="13642" y="0"/>
                <wp:lineTo x="170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 wp14:anchorId="06825EA6" wp14:editId="5275BC41">
            <wp:simplePos x="0" y="0"/>
            <wp:positionH relativeFrom="column">
              <wp:posOffset>1022350</wp:posOffset>
            </wp:positionH>
            <wp:positionV relativeFrom="paragraph">
              <wp:posOffset>3970655</wp:posOffset>
            </wp:positionV>
            <wp:extent cx="713740" cy="685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 xml:space="preserve">Nuimkite spalvotą plastikinį nuplėšiamą dangtelį nuo flakono švelniai stumdami jį nykščiu aukštyn. 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Guminę viršutinę dalį nuvalykite vata ir dezinfekuojamuoju tirpalu ir leiskite išdžiūti.</w:t>
      </w:r>
    </w:p>
    <w:p w:rsidR="00F21156" w:rsidRDefault="00F21156" w:rsidP="00F21156">
      <w:pPr>
        <w:numPr>
          <w:ilvl w:val="5"/>
          <w:numId w:val="5"/>
        </w:numPr>
        <w:tabs>
          <w:tab w:val="left" w:pos="1843"/>
        </w:tabs>
        <w:spacing w:before="0" w:after="0"/>
        <w:ind w:left="2835" w:hanging="283"/>
        <w:rPr>
          <w:sz w:val="22"/>
          <w:szCs w:val="22"/>
        </w:rPr>
      </w:pPr>
      <w:r>
        <w:rPr>
          <w:noProof/>
          <w:lang w:eastAsia="lt-LT"/>
        </w:rPr>
        <w:drawing>
          <wp:anchor distT="0" distB="0" distL="114300" distR="114300" simplePos="0" relativeHeight="251663360" behindDoc="1" locked="0" layoutInCell="1" allowOverlap="1" wp14:anchorId="09C3DB10" wp14:editId="39B7B94C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485900" cy="1542415"/>
            <wp:effectExtent l="0" t="0" r="0" b="635"/>
            <wp:wrapSquare wrapText="bothSides"/>
            <wp:docPr id="19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 xml:space="preserve">Paimkite švirkštą, nuimkite apsauginį dangtelį nuo adatos ir durkite adatą per guminės flakono dalies vidurį. 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Tvirtai nuspauskite stūmoklį, kad visas tirpalas išsisklaidytų ant miltelių.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Pridedant tirpiklio, flakone susidaro šiek tiek per didelis slėgis. Todėl atleiskite švirkšto stūmoklį maždaug 10 sekundžių, kad jis pats pakiltų. Tai pašalins perteklinį slėgį flakone.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NEPURTYKITE paruošto tirpalo, o švelniai sukiokite tol, kol tirpalas taps skaidrus.</w:t>
      </w:r>
    </w:p>
    <w:p w:rsidR="00F21156" w:rsidRDefault="00F21156" w:rsidP="00F21156">
      <w:pPr>
        <w:pStyle w:val="Sraopastraipa"/>
        <w:tabs>
          <w:tab w:val="left" w:pos="1843"/>
        </w:tabs>
        <w:spacing w:before="0" w:after="0"/>
        <w:ind w:left="3402"/>
        <w:rPr>
          <w:sz w:val="22"/>
          <w:szCs w:val="22"/>
        </w:rPr>
      </w:pPr>
      <w:r>
        <w:rPr>
          <w:sz w:val="22"/>
          <w:szCs w:val="22"/>
        </w:rPr>
        <w:t xml:space="preserve">Paprastai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ištirpsta iškart. </w:t>
      </w:r>
    </w:p>
    <w:p w:rsidR="00F21156" w:rsidRDefault="00F21156" w:rsidP="00F21156">
      <w:pPr>
        <w:pStyle w:val="Sraopastraipa"/>
        <w:tabs>
          <w:tab w:val="left" w:pos="1843"/>
        </w:tabs>
        <w:spacing w:before="0" w:after="0"/>
        <w:ind w:left="3402"/>
        <w:rPr>
          <w:sz w:val="22"/>
          <w:szCs w:val="22"/>
        </w:rPr>
      </w:pPr>
      <w:r>
        <w:rPr>
          <w:sz w:val="22"/>
          <w:szCs w:val="22"/>
        </w:rPr>
        <w:t>Patikrinkite, ar paruoštas tirpalas yra skaidrus</w:t>
      </w:r>
    </w:p>
    <w:p w:rsidR="00F21156" w:rsidRDefault="00F21156" w:rsidP="00F21156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Prieš injekciją</w:t>
      </w:r>
    </w:p>
    <w:p w:rsidR="00F21156" w:rsidRDefault="00F21156" w:rsidP="00F21156">
      <w:pPr>
        <w:pStyle w:val="Sraopastraipa"/>
        <w:numPr>
          <w:ilvl w:val="5"/>
          <w:numId w:val="5"/>
        </w:numPr>
        <w:tabs>
          <w:tab w:val="clear" w:pos="1597"/>
          <w:tab w:val="left" w:pos="993"/>
          <w:tab w:val="left" w:pos="1134"/>
          <w:tab w:val="num" w:pos="2835"/>
        </w:tabs>
        <w:overflowPunct w:val="0"/>
        <w:autoSpaceDE w:val="0"/>
        <w:autoSpaceDN w:val="0"/>
        <w:adjustRightInd w:val="0"/>
        <w:spacing w:before="0" w:after="0"/>
        <w:ind w:left="2977" w:hanging="283"/>
        <w:jc w:val="both"/>
        <w:textAlignment w:val="baseline"/>
        <w:rPr>
          <w:sz w:val="22"/>
          <w:szCs w:val="22"/>
          <w:u w:val="single"/>
        </w:rPr>
      </w:pP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Patikrinkite, ar paruoštas tirpalas yra skaidrus, bespalvis ir jame nėra dalelių. NEVARTOKITE, jei tirpale yra dalelių, jis drumstas arba nėra bespalvis.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Flakono guminį kamštį nuvalykite vata ir dezinfekuojamuoju tirpalu.</w:t>
      </w:r>
    </w:p>
    <w:p w:rsidR="00F21156" w:rsidRDefault="00F21156" w:rsidP="00F21156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</w:p>
    <w:p w:rsidR="00F21156" w:rsidRDefault="00F21156" w:rsidP="00F21156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Pasiruošimas injekcijai</w:t>
      </w:r>
    </w:p>
    <w:p w:rsidR="00F21156" w:rsidRDefault="00F21156" w:rsidP="00F21156">
      <w:pPr>
        <w:numPr>
          <w:ilvl w:val="5"/>
          <w:numId w:val="5"/>
        </w:numPr>
        <w:tabs>
          <w:tab w:val="left" w:pos="1843"/>
        </w:tabs>
        <w:spacing w:before="0" w:after="0"/>
        <w:ind w:left="2835" w:hanging="283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4384" behindDoc="1" locked="0" layoutInCell="1" allowOverlap="1" wp14:anchorId="584C7332" wp14:editId="07EC3629">
            <wp:simplePos x="0" y="0"/>
            <wp:positionH relativeFrom="column">
              <wp:posOffset>13970</wp:posOffset>
            </wp:positionH>
            <wp:positionV relativeFrom="paragraph">
              <wp:posOffset>60325</wp:posOffset>
            </wp:positionV>
            <wp:extent cx="1466850" cy="1600835"/>
            <wp:effectExtent l="0" t="0" r="0" b="0"/>
            <wp:wrapSquare wrapText="bothSides"/>
            <wp:docPr id="19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Paimkite vieną iš pateiktų vienkartinių švirkštų su integruota adata, nuimkite apsauginį adatos dangtelį ir įstatykite adatą vertikaliai į flakono viršutinės dalies centrą.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Spauskite stūmoklį iki galo.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 xml:space="preserve">Apverskite flakoną. Įsitikinkite, kad adata yra po vaisto paviršiumi, ir į švirkštą įtraukite nurodytą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dozę.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 xml:space="preserve">Ištraukite adatą iš flakono. Laikykite švirkštą adata į viršų ir lengvai pastuksenkite švirkšto šoną, kad visi oro burbuliukai iškiltų į viršų. </w:t>
      </w:r>
    </w:p>
    <w:p w:rsidR="00F21156" w:rsidRDefault="00F21156" w:rsidP="00F21156">
      <w:pPr>
        <w:pStyle w:val="Sraopastraipa"/>
        <w:numPr>
          <w:ilvl w:val="5"/>
          <w:numId w:val="14"/>
        </w:numPr>
        <w:tabs>
          <w:tab w:val="left" w:pos="1843"/>
        </w:tabs>
        <w:spacing w:before="0" w:after="0"/>
        <w:ind w:left="3402" w:hanging="567"/>
        <w:rPr>
          <w:sz w:val="22"/>
          <w:szCs w:val="22"/>
        </w:rPr>
      </w:pPr>
      <w:r>
        <w:rPr>
          <w:sz w:val="22"/>
          <w:szCs w:val="22"/>
        </w:rPr>
        <w:t>Stumkite stūmoklį lėtai į viršų, kol ant adatos galiuko pasirodys skysčio lašelis.</w:t>
      </w:r>
    </w:p>
    <w:p w:rsidR="00F21156" w:rsidRPr="00183715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</w:p>
    <w:p w:rsidR="00F21156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ĮSIDĖMĖKITE: kadangi šiame flakone yra kelioms gydymo dienoms skirtas vaisto kiekis, turite įsitikinti, kad ištraukėte tik tokį kiekį, kokį Jums paskyrė gydytojas.</w:t>
      </w:r>
    </w:p>
    <w:p w:rsidR="00F21156" w:rsidRDefault="00F21156" w:rsidP="00F21156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  <w:u w:val="single"/>
          <w:lang w:eastAsia="fr-FR"/>
        </w:rPr>
      </w:pPr>
      <w:r>
        <w:rPr>
          <w:b/>
          <w:bCs/>
          <w:sz w:val="22"/>
          <w:szCs w:val="22"/>
          <w:u w:val="single"/>
          <w:lang w:eastAsia="fr-FR"/>
        </w:rPr>
        <w:t>Injekcijos atlikimas</w:t>
      </w:r>
    </w:p>
    <w:p w:rsidR="00F21156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Injekcijos vieta</w:t>
      </w:r>
    </w:p>
    <w:p w:rsidR="00F21156" w:rsidRDefault="00F21156" w:rsidP="00F2115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eastAsia="lt-LT"/>
        </w:rPr>
        <w:drawing>
          <wp:anchor distT="0" distB="0" distL="114300" distR="114300" simplePos="0" relativeHeight="251659264" behindDoc="0" locked="0" layoutInCell="1" allowOverlap="1" wp14:anchorId="0BE67314" wp14:editId="22D971E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48030" cy="7143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Jūsų gydytojas arba slaugytojas turi patarti, į kurią kūno vietą geriau suleisti vaistą. Įprastos vietos yra šlaunis arba apatinė pilvo dalis žemiau bambos. </w:t>
      </w:r>
    </w:p>
    <w:p w:rsidR="00F21156" w:rsidRDefault="00F21156" w:rsidP="00F2115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0" w:after="0"/>
        <w:ind w:left="2127" w:hanging="284"/>
        <w:textAlignment w:val="baseline"/>
        <w:rPr>
          <w:iCs/>
          <w:sz w:val="22"/>
          <w:szCs w:val="22"/>
          <w:u w:val="single"/>
        </w:rPr>
      </w:pPr>
      <w:r>
        <w:rPr>
          <w:sz w:val="22"/>
          <w:szCs w:val="22"/>
        </w:rPr>
        <w:t>Nuvalykite injekcijos vietą alkoholiu suvilgytu tamponėliu.</w:t>
      </w:r>
    </w:p>
    <w:p w:rsidR="00F21156" w:rsidRDefault="00F21156" w:rsidP="00F21156">
      <w:pPr>
        <w:numPr>
          <w:ilvl w:val="0"/>
          <w:numId w:val="3"/>
        </w:num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2127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Tvirtai suimkite odą. Kita ranka staigiu judesiu įdurkite adatą 45° arba 90° kampu.</w:t>
      </w:r>
    </w:p>
    <w:p w:rsidR="00F21156" w:rsidRPr="00786B4E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</w:p>
    <w:p w:rsidR="00F21156" w:rsidRDefault="00F21156" w:rsidP="00F2115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>Tirpalo leidimas</w:t>
      </w:r>
    </w:p>
    <w:p w:rsidR="00F21156" w:rsidRDefault="00F21156" w:rsidP="00F21156">
      <w:pPr>
        <w:numPr>
          <w:ilvl w:val="0"/>
          <w:numId w:val="3"/>
        </w:numPr>
        <w:tabs>
          <w:tab w:val="clear" w:pos="785"/>
          <w:tab w:val="num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Suleiskite po oda, kaip Jums buvo parodyta. Neleiskite vaisto tiesiai į veną. Stumkite stūmoklį lėtai ir stabiliai, kad tinkamai suleistumėte tirpalą ir nepažeistumėte odos audinių.</w:t>
      </w:r>
    </w:p>
    <w:p w:rsidR="00F21156" w:rsidRDefault="00F21156" w:rsidP="00F21156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0" w:after="0"/>
        <w:ind w:left="709" w:hanging="709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Skirkite tiek laiko, kiek Jums reikia, kad suleistumėte paskirtą tirpalo kiekį. </w:t>
      </w:r>
    </w:p>
    <w:p w:rsidR="00F21156" w:rsidRDefault="00F21156" w:rsidP="00F21156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  <w:r>
        <w:rPr>
          <w:sz w:val="22"/>
          <w:szCs w:val="22"/>
        </w:rPr>
        <w:t>Ištraukite adatą tiesiai ir užspauskite injekcijos vietą dezinfekuojamuoju tirpalu suvilgytu vatos tamponu. Švelniai pamasažuokite (tuo pačiu metu spaudžiant) injekcijos vietą – tai padės vaistui geriau pasiskirstyti ir sumažins diskomfortą.</w:t>
      </w:r>
    </w:p>
    <w:p w:rsidR="00F21156" w:rsidRDefault="00F21156" w:rsidP="00F21156">
      <w:pPr>
        <w:spacing w:before="0" w:after="0"/>
        <w:rPr>
          <w:sz w:val="22"/>
          <w:szCs w:val="22"/>
          <w:lang w:eastAsia="it-IT"/>
        </w:rPr>
      </w:pPr>
    </w:p>
    <w:p w:rsidR="00F21156" w:rsidRDefault="00F21156" w:rsidP="00F21156">
      <w:pPr>
        <w:spacing w:before="0" w:after="0"/>
        <w:rPr>
          <w:sz w:val="22"/>
          <w:szCs w:val="22"/>
          <w:u w:val="single"/>
          <w:lang w:eastAsia="it-IT"/>
        </w:rPr>
      </w:pPr>
      <w:r>
        <w:rPr>
          <w:sz w:val="22"/>
          <w:szCs w:val="22"/>
          <w:u w:val="single"/>
          <w:lang w:eastAsia="it-IT"/>
        </w:rPr>
        <w:t>Tolesnės injekcijos</w:t>
      </w:r>
    </w:p>
    <w:p w:rsidR="00F21156" w:rsidRDefault="00F21156" w:rsidP="00F21156">
      <w:pPr>
        <w:spacing w:before="0" w:after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Kitoms injekcijoms su paruoštu </w:t>
      </w:r>
      <w:proofErr w:type="spellStart"/>
      <w:r>
        <w:rPr>
          <w:sz w:val="22"/>
          <w:szCs w:val="22"/>
          <w:lang w:eastAsia="it-IT"/>
        </w:rPr>
        <w:t>Meriofert</w:t>
      </w:r>
      <w:proofErr w:type="spellEnd"/>
      <w:r>
        <w:rPr>
          <w:sz w:val="22"/>
          <w:szCs w:val="22"/>
          <w:lang w:eastAsia="it-IT"/>
        </w:rPr>
        <w:t xml:space="preserve"> </w:t>
      </w:r>
      <w:proofErr w:type="spellStart"/>
      <w:r w:rsidRPr="00E048D6">
        <w:rPr>
          <w:sz w:val="22"/>
          <w:szCs w:val="22"/>
          <w:lang w:eastAsia="it-IT"/>
        </w:rPr>
        <w:t>Set</w:t>
      </w:r>
      <w:proofErr w:type="spellEnd"/>
      <w:r w:rsidRPr="00E048D6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tirpalu kartokite veiksmus nuo 4 veiksmo ir toliau.</w:t>
      </w:r>
    </w:p>
    <w:p w:rsidR="00F21156" w:rsidRDefault="00F21156" w:rsidP="00F21156">
      <w:pPr>
        <w:spacing w:before="0" w:after="0"/>
        <w:rPr>
          <w:sz w:val="22"/>
          <w:szCs w:val="22"/>
          <w:lang w:eastAsia="it-IT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Ką daryti pavartojus per didelę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  <w:r w:rsidRPr="00E048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dozę</w:t>
      </w:r>
    </w:p>
    <w:p w:rsidR="00F21156" w:rsidRPr="00BF69E0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Nėra pranešimų apie poveikį dėl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perdozavimo, tačiau gali išsivystyti kiaušidžių </w:t>
      </w:r>
      <w:proofErr w:type="spellStart"/>
      <w:r>
        <w:rPr>
          <w:sz w:val="22"/>
          <w:szCs w:val="22"/>
        </w:rPr>
        <w:t>hiperstimuliacijos</w:t>
      </w:r>
      <w:proofErr w:type="spellEnd"/>
      <w:r>
        <w:rPr>
          <w:sz w:val="22"/>
          <w:szCs w:val="22"/>
        </w:rPr>
        <w:t xml:space="preserve"> sindromas (žr. skyrių „Galimas šalutinis poveikis“). Pavartojus per didelę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dozę, pasitarkite su savo gydytoju ar slaugytoja.</w:t>
      </w:r>
    </w:p>
    <w:p w:rsidR="00F21156" w:rsidRPr="00BF69E0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Pamiršus pavartoti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  <w:r>
        <w:rPr>
          <w:b/>
          <w:sz w:val="22"/>
          <w:szCs w:val="22"/>
        </w:rPr>
        <w:t xml:space="preserve"> </w:t>
      </w:r>
    </w:p>
    <w:p w:rsidR="00F21156" w:rsidRDefault="00F21156" w:rsidP="00F21156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</w:rPr>
      </w:pPr>
      <w:r>
        <w:rPr>
          <w:sz w:val="22"/>
          <w:szCs w:val="22"/>
        </w:rPr>
        <w:t>Vartokite kitu įprastu injekcijos laiku. Negalima vartoti dvigubos dozės norint kompensuoti praleistą dozę.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Nustojus vartoti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</w:p>
    <w:p w:rsidR="00F21156" w:rsidRPr="00BF69E0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Vaisto vartojimo savavališkai nutraukti negalima. Visada pasitarkite su gydytoju, prieš nutraukdami šio vaisto vartojimą. </w:t>
      </w:r>
    </w:p>
    <w:p w:rsidR="00F21156" w:rsidRDefault="00F21156" w:rsidP="00F21156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  <w:lang w:eastAsia="fr-FR"/>
        </w:rPr>
      </w:pPr>
    </w:p>
    <w:p w:rsidR="00F21156" w:rsidRDefault="00F21156" w:rsidP="00F21156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Jeigu kiltų daugiau klausimų dėl šio vaisto vartojimo, kreipkitės į gydytoją arba vaistininką.</w:t>
      </w:r>
    </w:p>
    <w:p w:rsidR="00F21156" w:rsidRDefault="00F21156" w:rsidP="00F21156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</w:p>
    <w:p w:rsidR="00F21156" w:rsidRDefault="00F21156" w:rsidP="00F21156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</w:p>
    <w:p w:rsidR="00F21156" w:rsidRDefault="00F21156" w:rsidP="00F21156">
      <w:pPr>
        <w:keepNext/>
        <w:tabs>
          <w:tab w:val="left" w:pos="567"/>
        </w:tabs>
        <w:spacing w:before="0" w:after="0"/>
        <w:outlineLvl w:val="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Galimas šalutinis poveikis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>
        <w:rPr>
          <w:sz w:val="22"/>
          <w:szCs w:val="22"/>
        </w:rPr>
        <w:t>, kaip ir visi kiti vaistai, gali sukelti šalutinį poveikį, nors jis pasireiškia ne visiems žmonėms.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Toliau nurodytas šalutinis poveikis yra svarbus ir jam atsiradus nedelsiant reikia imtis veiksmų. Turite nustoti vartoti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ir nedelsiant kreiptis į gydytoją, jei pasireiškia toliau išvardytas šalutinis poveikis.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Dažni šalutinio poveikio reiškiniai (gali pasireikšti rečiau kaip 1 iš 10 asmenų):</w:t>
      </w:r>
    </w:p>
    <w:p w:rsidR="00F21156" w:rsidRDefault="00F21156" w:rsidP="00F21156">
      <w:pPr>
        <w:numPr>
          <w:ilvl w:val="0"/>
          <w:numId w:val="9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kiaušidžių </w:t>
      </w:r>
      <w:proofErr w:type="spellStart"/>
      <w:r>
        <w:rPr>
          <w:sz w:val="22"/>
          <w:szCs w:val="22"/>
        </w:rPr>
        <w:t>hiperstimuliacijos</w:t>
      </w:r>
      <w:proofErr w:type="spellEnd"/>
      <w:r>
        <w:rPr>
          <w:sz w:val="22"/>
          <w:szCs w:val="22"/>
        </w:rPr>
        <w:t xml:space="preserve"> sindromas (simptomai apima kiaušidžių cistų formavimąsi ar esamų cistų padidėjimą, pilvo apatinės dalies skausmą, troškulį ir pykinimą, o kartais ir vėmimą, sumažėjusį koncentruoto šlapimo kiekį ir padidėjusį svorį) (papildomos informacijos žr. 2 skyriuje).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Taip pat buvo pranešta apie toliau nurodytą šalutinį poveikį.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Labai dažni šalutinio poveikio reiškiniai (gali pasireikšti ne rečiau kaip 1 iš 10 asmenų):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galvos skausmas;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patinęs ar išpūstas pilvas.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Dažni šalutinio poveikio reiškiniai (gali pasireikšti rečiau kaip 1 iš 10 asmenų):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pilvo skausmas arba diskomfortas;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dubens skausmas;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nugaros skausmas;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sunkumo pojūtis;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krūtų diskomfortas;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svaigulys;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karščio pylimas;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troškulys;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pykinimas;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nuovargis;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bloga bendra savijauta;</w:t>
      </w:r>
    </w:p>
    <w:p w:rsidR="00F21156" w:rsidRDefault="00F21156" w:rsidP="00F21156">
      <w:pPr>
        <w:numPr>
          <w:ilvl w:val="0"/>
          <w:numId w:val="1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reakcija injekcijos vietoje, pvz., skausmas ir uždegimas.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keepNext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 šalutinio poveikio reiškiniai (gali pasireikšti rečiau kaip 1 iš 1 000 asmenų):</w:t>
      </w:r>
    </w:p>
    <w:p w:rsidR="00F21156" w:rsidRDefault="00F21156" w:rsidP="00F21156">
      <w:pPr>
        <w:keepNext/>
        <w:numPr>
          <w:ilvl w:val="0"/>
          <w:numId w:val="1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kiaušidės persisukimas (kiaušidės užsisukimas, sukeliantis stiprų skausmą </w:t>
      </w:r>
      <w:hyperlink r:id="rId12" w:tgtFrame="_self" w:history="1">
        <w:r>
          <w:rPr>
            <w:sz w:val="22"/>
            <w:szCs w:val="22"/>
          </w:rPr>
          <w:t>pilvo apačioje)</w:t>
        </w:r>
      </w:hyperlink>
      <w:r>
        <w:rPr>
          <w:sz w:val="22"/>
          <w:szCs w:val="22"/>
        </w:rPr>
        <w:t>.</w:t>
      </w:r>
    </w:p>
    <w:p w:rsidR="00F21156" w:rsidRDefault="00F21156" w:rsidP="00F21156">
      <w:pPr>
        <w:numPr>
          <w:ilvl w:val="0"/>
          <w:numId w:val="11"/>
        </w:num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tromboembolija</w:t>
      </w:r>
      <w:proofErr w:type="spellEnd"/>
      <w:r>
        <w:rPr>
          <w:sz w:val="22"/>
          <w:szCs w:val="22"/>
        </w:rPr>
        <w:t xml:space="preserve"> (kraujagyslėje susidarantis krešulys, kuris keliauja kraujotakos sistema ir užkemša kitą kraujagyslę).</w:t>
      </w:r>
    </w:p>
    <w:p w:rsidR="00F21156" w:rsidRDefault="00F21156" w:rsidP="00F2115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highlight w:val="yellow"/>
          <w:lang w:eastAsia="fr-FR"/>
        </w:rPr>
      </w:pPr>
    </w:p>
    <w:p w:rsidR="00F21156" w:rsidRDefault="00F21156" w:rsidP="00F21156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Pranešimas apie šalutinį poveikį</w:t>
      </w: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Pr="001505DE">
          <w:rPr>
            <w:rStyle w:val="Hipersaitas"/>
            <w:sz w:val="22"/>
            <w:szCs w:val="22"/>
          </w:rPr>
          <w:t>https://vapris.vvkt.lt/vvkt-web/public/nrv</w:t>
        </w:r>
      </w:hyperlink>
      <w:r>
        <w:rPr>
          <w:sz w:val="22"/>
          <w:szCs w:val="22"/>
        </w:rPr>
        <w:t xml:space="preserve"> arba užpildant Paciento pranešimo apie įtariamą nepageidaujamą reakciją (ĮNR) formą, kuri skelbiama </w:t>
      </w:r>
      <w:hyperlink r:id="rId14" w:history="1">
        <w:r w:rsidRPr="001505DE">
          <w:rPr>
            <w:rStyle w:val="Hipersaitas"/>
            <w:sz w:val="22"/>
            <w:szCs w:val="22"/>
          </w:rPr>
          <w:t>https://www.vvkt.lt/index.php?4004286486</w:t>
        </w:r>
      </w:hyperlink>
      <w:r>
        <w:rPr>
          <w:sz w:val="22"/>
          <w:szCs w:val="22"/>
        </w:rPr>
        <w:t xml:space="preserve">, ir atsiunčiant elektroniniu paštu (adresu </w:t>
      </w:r>
      <w:proofErr w:type="spellStart"/>
      <w:r>
        <w:rPr>
          <w:sz w:val="22"/>
          <w:szCs w:val="22"/>
          <w:u w:val="single"/>
        </w:rPr>
        <w:t>NepageidaujamaR@vvkt.lt</w:t>
      </w:r>
      <w:proofErr w:type="spellEnd"/>
      <w:r>
        <w:rPr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keepNext/>
        <w:tabs>
          <w:tab w:val="left" w:pos="567"/>
        </w:tabs>
        <w:spacing w:before="0" w:after="0"/>
        <w:outlineLvl w:val="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E048D6">
        <w:rPr>
          <w:b/>
          <w:sz w:val="22"/>
          <w:szCs w:val="22"/>
        </w:rPr>
        <w:t>Set</w:t>
      </w:r>
      <w:proofErr w:type="spellEnd"/>
    </w:p>
    <w:p w:rsidR="00F21156" w:rsidRDefault="00F21156" w:rsidP="00F21156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Šį vaistą laikykite vaikams nepastebimoje ir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nepasiekiamoje vietoje.</w:t>
      </w:r>
    </w:p>
    <w:p w:rsidR="00F21156" w:rsidRDefault="00F21156" w:rsidP="00F21156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Ant išorinės dėžutės, flakono ir tirpikliu užpildyto švirkšto po „EXP“ nurodytam tinkamumo laikui pasibaigus, šio vaisto vartoti negalima. </w:t>
      </w:r>
      <w:r w:rsidRPr="00A860C7">
        <w:rPr>
          <w:sz w:val="22"/>
          <w:szCs w:val="22"/>
        </w:rPr>
        <w:t xml:space="preserve">Jei nurodyta </w:t>
      </w:r>
      <w:r>
        <w:rPr>
          <w:sz w:val="22"/>
          <w:szCs w:val="22"/>
        </w:rPr>
        <w:t>tinkamumo laiko</w:t>
      </w:r>
      <w:r w:rsidRPr="00A860C7">
        <w:rPr>
          <w:sz w:val="22"/>
          <w:szCs w:val="22"/>
        </w:rPr>
        <w:t xml:space="preserve"> data yra mėnuo/metai, tai </w:t>
      </w:r>
      <w:r>
        <w:rPr>
          <w:sz w:val="22"/>
          <w:szCs w:val="22"/>
        </w:rPr>
        <w:t>vaistas tinkamas vartoti iki</w:t>
      </w:r>
      <w:r w:rsidRPr="00A860C7">
        <w:rPr>
          <w:sz w:val="22"/>
          <w:szCs w:val="22"/>
        </w:rPr>
        <w:t xml:space="preserve"> </w:t>
      </w:r>
      <w:r>
        <w:rPr>
          <w:sz w:val="22"/>
          <w:szCs w:val="22"/>
        </w:rPr>
        <w:t>paskutinės nurodyto mėnesio dienos.</w:t>
      </w: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Prieš paruošimą: laikyti 2 °C – 8 °C temperatūroje.</w:t>
      </w: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Po paruošimo tirpalą galima laikyti ne ilgiau kaip 28 paras ne aukštesnėje kaip 25 °C temperatūroje.</w:t>
      </w: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Negalima užšaldyti prieš ir po paruošimo.</w:t>
      </w: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</w:p>
    <w:p w:rsidR="00F21156" w:rsidRDefault="00F21156" w:rsidP="00F2115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Pastebėjus, kad tirpalas nėra skaidrus,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vartoti negalima. Paruoštas tirpalas turi būti skaidrus ir bespalvis.</w:t>
      </w: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:rsidR="00F21156" w:rsidRDefault="00F21156" w:rsidP="00F2115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Vaistų negalima išmesti į kanalizaciją </w:t>
      </w:r>
      <w:r>
        <w:rPr>
          <w:sz w:val="22"/>
        </w:rPr>
        <w:t>arba su buitinėmis atliekomis</w:t>
      </w:r>
      <w:r>
        <w:rPr>
          <w:sz w:val="22"/>
          <w:szCs w:val="22"/>
        </w:rPr>
        <w:t>. Kaip išmesti nereikalingus vaistus, klauskite vaistininko. Šios priemonės padės apsaugoti aplinką.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ind w:left="709" w:hanging="709"/>
        <w:outlineLvl w:val="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Pakuotės turinys ir kita informacija</w:t>
      </w:r>
    </w:p>
    <w:p w:rsidR="00F21156" w:rsidRPr="00BF69E0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rFonts w:ascii="Times New Roman Gras" w:hAnsi="Times New Roman Gras"/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Set</w:t>
      </w:r>
      <w:proofErr w:type="spellEnd"/>
      <w:r>
        <w:rPr>
          <w:b/>
          <w:sz w:val="22"/>
          <w:szCs w:val="22"/>
        </w:rPr>
        <w:t xml:space="preserve"> </w:t>
      </w:r>
      <w:r>
        <w:rPr>
          <w:rFonts w:ascii="Times New Roman Gras" w:hAnsi="Times New Roman Gras"/>
          <w:b/>
          <w:sz w:val="22"/>
          <w:szCs w:val="22"/>
        </w:rPr>
        <w:t>sudėtis</w:t>
      </w:r>
    </w:p>
    <w:p w:rsidR="00F21156" w:rsidRDefault="00F21156" w:rsidP="00F21156">
      <w:pPr>
        <w:shd w:val="clear" w:color="auto" w:fill="FFFFFF"/>
        <w:spacing w:before="0" w:after="0"/>
        <w:rPr>
          <w:bCs/>
          <w:sz w:val="22"/>
          <w:szCs w:val="22"/>
        </w:rPr>
      </w:pPr>
      <w:r>
        <w:rPr>
          <w:rFonts w:ascii="Times New Roman Gras" w:hAnsi="Times New Roman Gras"/>
          <w:sz w:val="22"/>
          <w:szCs w:val="22"/>
        </w:rPr>
        <w:t>Veiklioji medžiaga yra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menotropinas</w:t>
      </w:r>
      <w:proofErr w:type="spellEnd"/>
      <w:r>
        <w:rPr>
          <w:sz w:val="22"/>
          <w:szCs w:val="22"/>
        </w:rPr>
        <w:t>.</w:t>
      </w:r>
    </w:p>
    <w:p w:rsidR="00F21156" w:rsidRDefault="00F21156" w:rsidP="00F21156">
      <w:pPr>
        <w:shd w:val="clear" w:color="auto" w:fill="FFFFFF"/>
        <w:spacing w:before="0" w:after="0"/>
        <w:rPr>
          <w:bCs/>
          <w:sz w:val="22"/>
          <w:szCs w:val="22"/>
        </w:rPr>
      </w:pPr>
    </w:p>
    <w:p w:rsidR="00F21156" w:rsidRDefault="00F21156" w:rsidP="00F21156">
      <w:pPr>
        <w:shd w:val="clear" w:color="auto" w:fill="FFFFFF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Kiekviename </w:t>
      </w:r>
      <w:proofErr w:type="spellStart"/>
      <w:r>
        <w:rPr>
          <w:sz w:val="22"/>
          <w:szCs w:val="22"/>
        </w:rPr>
        <w:t>daugiadoziame</w:t>
      </w:r>
      <w:proofErr w:type="spellEnd"/>
      <w:r>
        <w:rPr>
          <w:sz w:val="22"/>
          <w:szCs w:val="22"/>
        </w:rPr>
        <w:t xml:space="preserve"> flakone yra </w:t>
      </w:r>
      <w:proofErr w:type="spellStart"/>
      <w:r>
        <w:rPr>
          <w:sz w:val="22"/>
          <w:szCs w:val="22"/>
        </w:rPr>
        <w:t>liofilizuotų</w:t>
      </w:r>
      <w:proofErr w:type="spellEnd"/>
      <w:r>
        <w:rPr>
          <w:sz w:val="22"/>
          <w:szCs w:val="22"/>
        </w:rPr>
        <w:t xml:space="preserve"> miltelių, kurių aktyvumas atitinka 900 TV žmogaus folikulus stimuliuojančio hormono aktyvumo (FSH) ir 900 TV žmogaus </w:t>
      </w:r>
      <w:proofErr w:type="spellStart"/>
      <w:r>
        <w:rPr>
          <w:sz w:val="22"/>
          <w:szCs w:val="22"/>
        </w:rPr>
        <w:t>liuteinizuojančio</w:t>
      </w:r>
      <w:proofErr w:type="spellEnd"/>
      <w:r>
        <w:rPr>
          <w:sz w:val="22"/>
          <w:szCs w:val="22"/>
        </w:rPr>
        <w:t xml:space="preserve"> hormono aktyvumo (LH). </w:t>
      </w:r>
    </w:p>
    <w:p w:rsidR="00F21156" w:rsidRDefault="00F21156" w:rsidP="00F21156">
      <w:pPr>
        <w:shd w:val="clear" w:color="auto" w:fill="FFFFFF"/>
        <w:spacing w:before="0" w:after="0"/>
        <w:rPr>
          <w:bCs/>
          <w:sz w:val="22"/>
          <w:szCs w:val="22"/>
        </w:rPr>
      </w:pPr>
      <w:r>
        <w:rPr>
          <w:sz w:val="22"/>
          <w:szCs w:val="22"/>
        </w:rPr>
        <w:t xml:space="preserve">Žmogaus </w:t>
      </w:r>
      <w:proofErr w:type="spellStart"/>
      <w:r>
        <w:rPr>
          <w:sz w:val="22"/>
          <w:szCs w:val="22"/>
        </w:rPr>
        <w:t>menopauzinis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gonadotropinas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žMG</w:t>
      </w:r>
      <w:proofErr w:type="spellEnd"/>
      <w:r>
        <w:rPr>
          <w:sz w:val="22"/>
          <w:szCs w:val="22"/>
        </w:rPr>
        <w:t xml:space="preserve">) yra išskiriamas iš moterų po menopauzės šlapimo. Žmogaus </w:t>
      </w:r>
      <w:proofErr w:type="spellStart"/>
      <w:r>
        <w:rPr>
          <w:sz w:val="22"/>
          <w:szCs w:val="22"/>
        </w:rPr>
        <w:t>chorioninis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gonadotropinas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žCG</w:t>
      </w:r>
      <w:proofErr w:type="spellEnd"/>
      <w:r>
        <w:rPr>
          <w:sz w:val="22"/>
          <w:szCs w:val="22"/>
        </w:rPr>
        <w:t>) – hormonas, išskiriamas iš nėščių moterų šlapimo, pridedamas siekiant padidinti bendrąjį LH aktyvumą.</w:t>
      </w:r>
    </w:p>
    <w:p w:rsidR="00F21156" w:rsidRDefault="00F21156" w:rsidP="00F21156">
      <w:pPr>
        <w:spacing w:before="0" w:after="0"/>
        <w:ind w:right="-1"/>
        <w:rPr>
          <w:bCs/>
          <w:strike/>
          <w:sz w:val="22"/>
          <w:szCs w:val="22"/>
          <w:lang w:eastAsia="de-DE"/>
        </w:rPr>
      </w:pPr>
    </w:p>
    <w:p w:rsidR="00F21156" w:rsidRDefault="00F21156" w:rsidP="00F21156">
      <w:pPr>
        <w:keepNext/>
        <w:spacing w:before="0" w:after="0"/>
        <w:rPr>
          <w:b/>
          <w:sz w:val="22"/>
          <w:szCs w:val="22"/>
        </w:rPr>
      </w:pPr>
      <w:r>
        <w:rPr>
          <w:rFonts w:ascii="Times New Roman Gras" w:hAnsi="Times New Roman Gras"/>
          <w:b/>
          <w:sz w:val="22"/>
          <w:szCs w:val="22"/>
        </w:rPr>
        <w:t>P</w:t>
      </w:r>
      <w:r>
        <w:rPr>
          <w:b/>
          <w:sz w:val="22"/>
          <w:szCs w:val="22"/>
        </w:rPr>
        <w:t>agalbinės medžiagos yra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Milteliai: laktozė </w:t>
      </w:r>
      <w:proofErr w:type="spellStart"/>
      <w:r>
        <w:rPr>
          <w:sz w:val="22"/>
          <w:szCs w:val="22"/>
        </w:rPr>
        <w:t>monohidratas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polisorbatas</w:t>
      </w:r>
      <w:proofErr w:type="spellEnd"/>
      <w:r>
        <w:rPr>
          <w:sz w:val="22"/>
          <w:szCs w:val="22"/>
        </w:rPr>
        <w:t xml:space="preserve"> 20, </w:t>
      </w:r>
      <w:proofErr w:type="spellStart"/>
      <w:r>
        <w:rPr>
          <w:sz w:val="22"/>
          <w:szCs w:val="22"/>
        </w:rPr>
        <w:t>dinatrio</w:t>
      </w:r>
      <w:proofErr w:type="spellEnd"/>
      <w:r>
        <w:rPr>
          <w:sz w:val="22"/>
          <w:szCs w:val="22"/>
        </w:rPr>
        <w:t xml:space="preserve"> fosfatas </w:t>
      </w:r>
      <w:proofErr w:type="spellStart"/>
      <w:r>
        <w:rPr>
          <w:sz w:val="22"/>
          <w:szCs w:val="22"/>
        </w:rPr>
        <w:t>dihidratas</w:t>
      </w:r>
      <w:proofErr w:type="spellEnd"/>
      <w:r>
        <w:rPr>
          <w:sz w:val="22"/>
          <w:szCs w:val="22"/>
        </w:rPr>
        <w:t xml:space="preserve">, fosfato rūgštis ir natrio </w:t>
      </w:r>
      <w:proofErr w:type="spellStart"/>
      <w:r>
        <w:rPr>
          <w:sz w:val="22"/>
          <w:szCs w:val="22"/>
        </w:rPr>
        <w:t>hidroksidas</w:t>
      </w:r>
      <w:proofErr w:type="spellEnd"/>
      <w:r>
        <w:rPr>
          <w:sz w:val="22"/>
          <w:szCs w:val="22"/>
        </w:rPr>
        <w:t>.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Tirpiklis: </w:t>
      </w:r>
      <w:proofErr w:type="spellStart"/>
      <w:r>
        <w:rPr>
          <w:sz w:val="22"/>
          <w:szCs w:val="22"/>
        </w:rPr>
        <w:t>metakrezolis</w:t>
      </w:r>
      <w:proofErr w:type="spellEnd"/>
      <w:r>
        <w:rPr>
          <w:sz w:val="22"/>
          <w:szCs w:val="22"/>
        </w:rPr>
        <w:t xml:space="preserve"> ir injekcinis vanduo.</w:t>
      </w:r>
    </w:p>
    <w:p w:rsidR="00F21156" w:rsidRPr="00BF69E0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Set</w:t>
      </w:r>
      <w:proofErr w:type="spellEnd"/>
      <w:r>
        <w:rPr>
          <w:b/>
          <w:sz w:val="22"/>
          <w:szCs w:val="22"/>
        </w:rPr>
        <w:t xml:space="preserve"> išvaizda ir kiekis pakuotėje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Milteliai: balti </w:t>
      </w:r>
      <w:proofErr w:type="spellStart"/>
      <w:r>
        <w:rPr>
          <w:sz w:val="22"/>
          <w:szCs w:val="22"/>
        </w:rPr>
        <w:t>liofilizuoti</w:t>
      </w:r>
      <w:proofErr w:type="spellEnd"/>
      <w:r>
        <w:rPr>
          <w:sz w:val="22"/>
          <w:szCs w:val="22"/>
        </w:rPr>
        <w:t xml:space="preserve"> milteliai ar jų gumulėlis.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Tirpiklis: skaidrus, bespalvis tirpalas.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</w:t>
      </w:r>
      <w:proofErr w:type="spellEnd"/>
      <w:r>
        <w:rPr>
          <w:sz w:val="22"/>
          <w:szCs w:val="22"/>
        </w:rPr>
        <w:t xml:space="preserve"> yra milteliai ir tirpiklis injekciniam tirpalui.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1 rinkinyje yra:</w:t>
      </w:r>
    </w:p>
    <w:p w:rsidR="00F21156" w:rsidRDefault="00F21156" w:rsidP="00F21156">
      <w:pPr>
        <w:tabs>
          <w:tab w:val="left" w:pos="360"/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- 1 flakonas su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  <w:r w:rsidRPr="00E048D6">
        <w:rPr>
          <w:sz w:val="22"/>
          <w:szCs w:val="22"/>
        </w:rPr>
        <w:t xml:space="preserve"> </w:t>
      </w:r>
      <w:r>
        <w:rPr>
          <w:sz w:val="22"/>
          <w:szCs w:val="22"/>
        </w:rPr>
        <w:t>milteliais</w:t>
      </w:r>
    </w:p>
    <w:p w:rsidR="00F21156" w:rsidRDefault="00F21156" w:rsidP="00F21156">
      <w:pPr>
        <w:tabs>
          <w:tab w:val="left" w:pos="360"/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- 1 užpildytas švirkštas su tirpikliu paruošimui</w:t>
      </w:r>
    </w:p>
    <w:p w:rsidR="00F21156" w:rsidRDefault="00F21156" w:rsidP="00F21156">
      <w:pPr>
        <w:tabs>
          <w:tab w:val="left" w:pos="360"/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- 1 adata paruošimui</w:t>
      </w:r>
    </w:p>
    <w:p w:rsidR="00F21156" w:rsidRDefault="00F21156" w:rsidP="00F21156">
      <w:pPr>
        <w:tabs>
          <w:tab w:val="left" w:pos="360"/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- 12 alkoholiu suvilgytų tamponėlių daugkartinėms injekcijoms</w:t>
      </w:r>
    </w:p>
    <w:p w:rsidR="00F21156" w:rsidRDefault="00F21156" w:rsidP="00F21156">
      <w:pPr>
        <w:tabs>
          <w:tab w:val="left" w:pos="360"/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- 12 vienkartinių švirkštų su integruotomis adatomis daugkartinėms injekcijoms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Registruotojas ir gamintojas</w:t>
      </w:r>
    </w:p>
    <w:p w:rsidR="00F21156" w:rsidRDefault="00F21156" w:rsidP="00F2115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IBSA </w:t>
      </w:r>
      <w:proofErr w:type="spellStart"/>
      <w:r>
        <w:rPr>
          <w:sz w:val="22"/>
          <w:szCs w:val="22"/>
        </w:rPr>
        <w:t>Farmaceutici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Italia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srl</w:t>
      </w:r>
      <w:proofErr w:type="spellEnd"/>
    </w:p>
    <w:p w:rsidR="00F21156" w:rsidRDefault="00F21156" w:rsidP="00F2115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Martiri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Cefalonia</w:t>
      </w:r>
      <w:proofErr w:type="spellEnd"/>
      <w:r>
        <w:rPr>
          <w:sz w:val="22"/>
          <w:szCs w:val="22"/>
        </w:rPr>
        <w:t>, 2</w:t>
      </w:r>
    </w:p>
    <w:p w:rsidR="00F21156" w:rsidRDefault="00F21156" w:rsidP="00F2115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26900 </w:t>
      </w:r>
      <w:proofErr w:type="spellStart"/>
      <w:r>
        <w:rPr>
          <w:sz w:val="22"/>
          <w:szCs w:val="22"/>
        </w:rPr>
        <w:t>Lodi</w:t>
      </w:r>
      <w:proofErr w:type="spellEnd"/>
    </w:p>
    <w:p w:rsidR="00F21156" w:rsidRDefault="00F21156" w:rsidP="00F2115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Italija</w:t>
      </w:r>
    </w:p>
    <w:p w:rsidR="00F21156" w:rsidRDefault="00F21156" w:rsidP="00F2115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Šis vaistas Europos ekonominės erdvės valstybėse narėse ir Jungtinėje Karalystėje (Šiaurės Airijoje) registruotas tokiais pavadinimais (stiprumas ir farmacinė forma yra vienodi visose šalyse, skiriasi tik sugalvotas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pavadinimas):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Austrija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PFS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Belgija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Fertinorm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Bulgarija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PFS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Kipras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PFS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Čekija: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Danija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Estija: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18"/>
          <w:szCs w:val="18"/>
        </w:rPr>
      </w:pPr>
      <w:r>
        <w:rPr>
          <w:sz w:val="22"/>
          <w:szCs w:val="22"/>
          <w:u w:val="single"/>
        </w:rPr>
        <w:t>Suomija:</w:t>
      </w:r>
      <w:r>
        <w:rPr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Prancūzija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Fertistartkit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Graikija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Vengrija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Italija: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Latvija: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Lietuva: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Liuksemburgas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Fertinorm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Norvegija</w:t>
      </w:r>
      <w:r>
        <w:rPr>
          <w:sz w:val="18"/>
          <w:szCs w:val="18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Lenkija: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Mensinorm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Rumunija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PFS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Slovakija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Ispanija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Švedija:</w:t>
      </w:r>
      <w:r>
        <w:rPr>
          <w:sz w:val="18"/>
          <w:szCs w:val="18"/>
        </w:rPr>
        <w:t xml:space="preserve">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048D6">
        <w:rPr>
          <w:sz w:val="22"/>
          <w:szCs w:val="22"/>
        </w:rPr>
        <w:t>Set</w:t>
      </w:r>
      <w:proofErr w:type="spellEnd"/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Nyderlandai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spuit</w:t>
      </w:r>
      <w:proofErr w:type="spellEnd"/>
      <w:r>
        <w:rPr>
          <w:sz w:val="22"/>
          <w:szCs w:val="22"/>
        </w:rPr>
        <w:t xml:space="preserve"> </w:t>
      </w: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  <w:u w:val="single"/>
        </w:rPr>
        <w:t>Jungtinė Karalystė (Šiaurės Airija)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PFS</w:t>
      </w:r>
    </w:p>
    <w:p w:rsidR="00F21156" w:rsidRDefault="00F21156" w:rsidP="00F21156">
      <w:pPr>
        <w:spacing w:before="0" w:after="0"/>
        <w:rPr>
          <w:sz w:val="22"/>
          <w:szCs w:val="22"/>
        </w:rPr>
      </w:pPr>
    </w:p>
    <w:p w:rsidR="00F21156" w:rsidRPr="009226B3" w:rsidRDefault="00F21156" w:rsidP="00F21156">
      <w:pPr>
        <w:spacing w:before="0" w:after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Šis pakuotės lapelis paskutinį kartą </w:t>
      </w:r>
      <w:r w:rsidRPr="009226B3">
        <w:rPr>
          <w:b/>
          <w:bCs/>
          <w:sz w:val="22"/>
          <w:szCs w:val="22"/>
        </w:rPr>
        <w:t xml:space="preserve">peržiūrėtas </w:t>
      </w:r>
      <w:r>
        <w:rPr>
          <w:b/>
          <w:sz w:val="22"/>
          <w:szCs w:val="22"/>
        </w:rPr>
        <w:t>2024-05-18</w:t>
      </w:r>
      <w:r w:rsidRPr="009226B3">
        <w:rPr>
          <w:b/>
          <w:sz w:val="22"/>
          <w:szCs w:val="22"/>
        </w:rPr>
        <w:t>.</w:t>
      </w:r>
    </w:p>
    <w:p w:rsidR="00F21156" w:rsidRPr="00C63EF2" w:rsidRDefault="00F21156" w:rsidP="00F21156">
      <w:pPr>
        <w:numPr>
          <w:ilvl w:val="12"/>
          <w:numId w:val="0"/>
        </w:numPr>
        <w:spacing w:before="0" w:after="0"/>
        <w:ind w:right="-2"/>
        <w:rPr>
          <w:iCs/>
          <w:sz w:val="22"/>
          <w:szCs w:val="22"/>
        </w:rPr>
      </w:pPr>
    </w:p>
    <w:p w:rsidR="00F21156" w:rsidRDefault="00F21156" w:rsidP="00F2115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</w:rPr>
        <w:t xml:space="preserve"> </w:t>
      </w:r>
      <w:hyperlink r:id="rId15" w:history="1">
        <w:r>
          <w:rPr>
            <w:rStyle w:val="Hipersaitas"/>
            <w:rFonts w:eastAsia="SimSun"/>
            <w:sz w:val="22"/>
            <w:szCs w:val="22"/>
          </w:rPr>
          <w:t>http://www.vvkt.lt/</w:t>
        </w:r>
      </w:hyperlink>
      <w:r>
        <w:rPr>
          <w:sz w:val="22"/>
          <w:szCs w:val="22"/>
        </w:rPr>
        <w:t>.</w:t>
      </w:r>
    </w:p>
    <w:p w:rsidR="00BA6577" w:rsidRDefault="00BA6577">
      <w:bookmarkStart w:id="0" w:name="_GoBack"/>
      <w:bookmarkEnd w:id="0"/>
    </w:p>
    <w:sectPr w:rsidR="00BA6577" w:rsidSect="00FA6371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242"/>
    <w:multiLevelType w:val="hybridMultilevel"/>
    <w:tmpl w:val="96A2494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3785"/>
    <w:multiLevelType w:val="hybridMultilevel"/>
    <w:tmpl w:val="199CDF9A"/>
    <w:lvl w:ilvl="0" w:tplc="165E9A26">
      <w:start w:val="3"/>
      <w:numFmt w:val="bullet"/>
      <w:lvlText w:val="-"/>
      <w:lvlJc w:val="left"/>
      <w:pPr>
        <w:tabs>
          <w:tab w:val="num" w:pos="1639"/>
        </w:tabs>
        <w:ind w:left="1639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59"/>
        </w:tabs>
        <w:ind w:left="235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79"/>
        </w:tabs>
        <w:ind w:left="307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99"/>
        </w:tabs>
        <w:ind w:left="379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19"/>
        </w:tabs>
        <w:ind w:left="451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39"/>
        </w:tabs>
        <w:ind w:left="523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59"/>
        </w:tabs>
        <w:ind w:left="595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79"/>
        </w:tabs>
        <w:ind w:left="667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99"/>
        </w:tabs>
        <w:ind w:left="7399" w:hanging="360"/>
      </w:pPr>
      <w:rPr>
        <w:rFonts w:ascii="Wingdings" w:hAnsi="Wingdings" w:hint="default"/>
      </w:rPr>
    </w:lvl>
  </w:abstractNum>
  <w:abstractNum w:abstractNumId="2" w15:restartNumberingAfterBreak="0">
    <w:nsid w:val="1C1B6523"/>
    <w:multiLevelType w:val="hybridMultilevel"/>
    <w:tmpl w:val="EFFC3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911BEF"/>
    <w:multiLevelType w:val="hybridMultilevel"/>
    <w:tmpl w:val="8C88D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32B"/>
    <w:multiLevelType w:val="hybridMultilevel"/>
    <w:tmpl w:val="5A5AA0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71E4C"/>
    <w:multiLevelType w:val="hybridMultilevel"/>
    <w:tmpl w:val="550E827E"/>
    <w:lvl w:ilvl="0" w:tplc="BAB2CC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75F6763"/>
    <w:multiLevelType w:val="hybridMultilevel"/>
    <w:tmpl w:val="9F9804F4"/>
    <w:lvl w:ilvl="0" w:tplc="186A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F">
      <w:start w:val="1"/>
      <w:numFmt w:val="decimal"/>
      <w:lvlText w:val="%6."/>
      <w:lvlJc w:val="left"/>
      <w:pPr>
        <w:tabs>
          <w:tab w:val="num" w:pos="1597"/>
        </w:tabs>
        <w:ind w:left="1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D00F7F"/>
    <w:multiLevelType w:val="hybridMultilevel"/>
    <w:tmpl w:val="B36CD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1731A"/>
    <w:multiLevelType w:val="hybridMultilevel"/>
    <w:tmpl w:val="D67CD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CE140F"/>
    <w:multiLevelType w:val="hybridMultilevel"/>
    <w:tmpl w:val="6052C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761F6"/>
    <w:multiLevelType w:val="hybridMultilevel"/>
    <w:tmpl w:val="9E3E1C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DA098F"/>
    <w:multiLevelType w:val="hybridMultilevel"/>
    <w:tmpl w:val="D390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562C1"/>
    <w:multiLevelType w:val="hybridMultilevel"/>
    <w:tmpl w:val="B9B25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25DEB"/>
    <w:multiLevelType w:val="hybridMultilevel"/>
    <w:tmpl w:val="A7C25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56"/>
    <w:rsid w:val="00072F85"/>
    <w:rsid w:val="00181364"/>
    <w:rsid w:val="002945D9"/>
    <w:rsid w:val="00305C48"/>
    <w:rsid w:val="003362C6"/>
    <w:rsid w:val="00742EBF"/>
    <w:rsid w:val="00B4219F"/>
    <w:rsid w:val="00BA6577"/>
    <w:rsid w:val="00C30905"/>
    <w:rsid w:val="00D358F2"/>
    <w:rsid w:val="00EF4A4D"/>
    <w:rsid w:val="00F21156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E4127-9131-4691-89AB-89EAD30F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5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21156"/>
    <w:rPr>
      <w:rFonts w:cs="Times New Roman"/>
      <w:color w:val="0000FF"/>
      <w:u w:val="none"/>
      <w:vertAlign w:val="baseline"/>
    </w:rPr>
  </w:style>
  <w:style w:type="paragraph" w:styleId="Sraopastraipa">
    <w:name w:val="List Paragraph"/>
    <w:basedOn w:val="prastasis"/>
    <w:qFormat/>
    <w:rsid w:val="00F21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vapris.vvkt.lt/vvkt-web/public/nr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medicine.medscape.com/article/270450-over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ema.europa.eu" TargetMode="Externa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12035</Words>
  <Characters>6860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Kas yra Meriofert Set ir kam jis vartojamas</vt:lpstr>
      <vt:lpstr>    Kas žinotina prieš vartojant Meriofert Set</vt:lpstr>
      <vt:lpstr>    Kaip vartoti Meriofert Set</vt:lpstr>
      <vt:lpstr>    4.	Galimas šalutinis poveikis</vt:lpstr>
      <vt:lpstr>    5.	Kaip laikyti Meriofert Set</vt:lpstr>
      <vt:lpstr>    6.	Pakuotės turinys ir kita informacija</vt:lpstr>
    </vt:vector>
  </TitlesOfParts>
  <Company/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2024-06-21T07:39:00Z</dcterms:created>
  <dcterms:modified xsi:type="dcterms:W3CDTF">2024-06-21T07:40:00Z</dcterms:modified>
</cp:coreProperties>
</file>