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C44B"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21044D2F"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3D11D90B"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70C05415"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1D66A8B6"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066303FF"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1F9CF1C1"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62F341B8"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292D0A0F" w14:textId="25AC4F37" w:rsidR="003F257C" w:rsidRPr="007F2054" w:rsidRDefault="003F257C" w:rsidP="003F257C">
      <w:pPr>
        <w:widowControl w:val="0"/>
        <w:autoSpaceDE w:val="0"/>
        <w:autoSpaceDN w:val="0"/>
        <w:spacing w:after="0" w:line="240" w:lineRule="auto"/>
        <w:rPr>
          <w:rFonts w:ascii="Times New Roman" w:eastAsia="Times New Roman" w:hAnsi="Times New Roman" w:cs="Times New Roman"/>
        </w:rPr>
      </w:pPr>
    </w:p>
    <w:p w14:paraId="5E67BC82" w14:textId="4CB7A4A9"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3C34D4A4" w14:textId="51CE6AF9"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76EAB2A9" w14:textId="24D5064A"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1B5F1954" w14:textId="2A5B7A31"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126B7901" w14:textId="400DCE9D"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6CBC402A" w14:textId="0CF67104"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655A4D57" w14:textId="5455E6DC"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7E86611B" w14:textId="04484B30"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64792602" w14:textId="16B41610"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15BF168B" w14:textId="5ED084D9"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00855513" w14:textId="161D5E05"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7FACAE6B" w14:textId="1EAC4AF4"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52C4291D" w14:textId="4A6A1966"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635D2C0E" w14:textId="086FF24D"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
    <w:p w14:paraId="3FE7AF9A" w14:textId="77777777" w:rsidR="003F257C" w:rsidRPr="003F257C" w:rsidRDefault="003F257C" w:rsidP="003F257C">
      <w:pPr>
        <w:widowControl w:val="0"/>
        <w:autoSpaceDE w:val="0"/>
        <w:autoSpaceDN w:val="0"/>
        <w:spacing w:after="0" w:line="240" w:lineRule="auto"/>
        <w:jc w:val="center"/>
        <w:rPr>
          <w:rFonts w:ascii="Times New Roman" w:eastAsia="Times New Roman" w:hAnsi="Times New Roman" w:cs="Times New Roman"/>
          <w:b/>
        </w:rPr>
      </w:pPr>
      <w:r w:rsidRPr="003F257C">
        <w:rPr>
          <w:rFonts w:ascii="Times New Roman" w:eastAsia="Times New Roman" w:hAnsi="Times New Roman" w:cs="Times New Roman"/>
          <w:b/>
        </w:rPr>
        <w:t>I PRIEDAS</w:t>
      </w:r>
    </w:p>
    <w:p w14:paraId="36486BBB" w14:textId="77777777" w:rsidR="003F257C" w:rsidRPr="003F257C" w:rsidRDefault="003F257C" w:rsidP="003F257C">
      <w:pPr>
        <w:widowControl w:val="0"/>
        <w:autoSpaceDE w:val="0"/>
        <w:autoSpaceDN w:val="0"/>
        <w:spacing w:after="0" w:line="240" w:lineRule="auto"/>
        <w:jc w:val="center"/>
        <w:rPr>
          <w:rFonts w:ascii="Times New Roman" w:eastAsia="Times New Roman" w:hAnsi="Times New Roman" w:cs="Times New Roman"/>
          <w:b/>
        </w:rPr>
      </w:pPr>
      <w:bookmarkStart w:id="0" w:name="PREPARATO_CHARAKTERISTIKŲ_SANTRAUKA"/>
      <w:bookmarkEnd w:id="0"/>
    </w:p>
    <w:p w14:paraId="1359B509" w14:textId="77777777" w:rsidR="003F257C" w:rsidRPr="003F257C" w:rsidRDefault="003F257C" w:rsidP="003F257C">
      <w:pPr>
        <w:widowControl w:val="0"/>
        <w:autoSpaceDE w:val="0"/>
        <w:autoSpaceDN w:val="0"/>
        <w:spacing w:after="0" w:line="240" w:lineRule="auto"/>
        <w:jc w:val="center"/>
        <w:rPr>
          <w:rFonts w:ascii="Times New Roman" w:eastAsia="Times New Roman" w:hAnsi="Times New Roman" w:cs="Times New Roman"/>
          <w:b/>
        </w:rPr>
      </w:pPr>
      <w:r w:rsidRPr="003F257C">
        <w:rPr>
          <w:rFonts w:ascii="Times New Roman" w:eastAsia="Times New Roman" w:hAnsi="Times New Roman" w:cs="Times New Roman"/>
          <w:b/>
        </w:rPr>
        <w:t>PREPARATO CHARAKTERISTIKŲ SANTRAUKA</w:t>
      </w:r>
    </w:p>
    <w:p w14:paraId="7382D469" w14:textId="77777777" w:rsidR="003F257C" w:rsidRPr="003F257C" w:rsidRDefault="003F257C" w:rsidP="003F257C">
      <w:pPr>
        <w:widowControl w:val="0"/>
        <w:autoSpaceDE w:val="0"/>
        <w:autoSpaceDN w:val="0"/>
        <w:spacing w:after="0" w:line="240" w:lineRule="auto"/>
        <w:jc w:val="center"/>
        <w:rPr>
          <w:rFonts w:ascii="Times New Roman" w:eastAsia="Times New Roman" w:hAnsi="Times New Roman" w:cs="Times New Roman"/>
        </w:rPr>
        <w:sectPr w:rsidR="003F257C" w:rsidRPr="003F257C" w:rsidSect="009A7381">
          <w:footerReference w:type="default" r:id="rId11"/>
          <w:pgSz w:w="11910" w:h="16840" w:code="9"/>
          <w:pgMar w:top="1134" w:right="1418" w:bottom="1134" w:left="1418" w:header="737" w:footer="737" w:gutter="0"/>
          <w:pgNumType w:start="1"/>
          <w:cols w:space="720"/>
          <w:docGrid w:linePitch="299"/>
        </w:sectPr>
      </w:pPr>
    </w:p>
    <w:p w14:paraId="7D1BBE8C" w14:textId="77777777" w:rsidR="003F257C" w:rsidRPr="003F257C" w:rsidRDefault="003F257C" w:rsidP="000A618E">
      <w:pPr>
        <w:widowControl w:val="0"/>
        <w:numPr>
          <w:ilvl w:val="0"/>
          <w:numId w:val="10"/>
        </w:numPr>
        <w:tabs>
          <w:tab w:val="left" w:pos="567"/>
          <w:tab w:val="left" w:pos="1579"/>
          <w:tab w:val="left" w:pos="1581"/>
        </w:tabs>
        <w:autoSpaceDE w:val="0"/>
        <w:autoSpaceDN w:val="0"/>
        <w:spacing w:after="0" w:line="240" w:lineRule="auto"/>
        <w:ind w:left="567" w:hanging="567"/>
        <w:outlineLvl w:val="0"/>
        <w:rPr>
          <w:rFonts w:ascii="Times New Roman" w:eastAsia="Times New Roman" w:hAnsi="Times New Roman" w:cs="Times New Roman"/>
          <w:b/>
          <w:bCs/>
        </w:rPr>
      </w:pPr>
      <w:r w:rsidRPr="003F257C">
        <w:rPr>
          <w:rFonts w:ascii="Times New Roman" w:eastAsia="Times New Roman" w:hAnsi="Times New Roman" w:cs="Times New Roman"/>
          <w:b/>
          <w:bCs/>
        </w:rPr>
        <w:lastRenderedPageBreak/>
        <w:t>VAISTINIO PREPARATO PAVADINIMAS</w:t>
      </w:r>
    </w:p>
    <w:p w14:paraId="2C69EB2F"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76703A52" w14:textId="55B30DBC" w:rsidR="003F257C" w:rsidRPr="003F257C" w:rsidRDefault="005A3031" w:rsidP="003F257C">
      <w:pPr>
        <w:widowControl w:val="0"/>
        <w:autoSpaceDE w:val="0"/>
        <w:autoSpaceDN w:val="0"/>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Xiltess</w:t>
      </w:r>
      <w:r w:rsidR="003F257C" w:rsidRPr="003F257C">
        <w:rPr>
          <w:rFonts w:ascii="Times New Roman" w:eastAsia="Times New Roman" w:hAnsi="Times New Roman" w:cs="Times New Roman"/>
        </w:rPr>
        <w:t xml:space="preserve"> 2,5</w:t>
      </w:r>
      <w:r w:rsidR="00D61A12" w:rsidRPr="007F2054">
        <w:rPr>
          <w:rFonts w:ascii="Times New Roman" w:eastAsia="Times New Roman" w:hAnsi="Times New Roman" w:cs="Times New Roman"/>
        </w:rPr>
        <w:t> mg</w:t>
      </w:r>
      <w:r w:rsidR="003F257C" w:rsidRPr="003F257C">
        <w:rPr>
          <w:rFonts w:ascii="Times New Roman" w:eastAsia="Times New Roman" w:hAnsi="Times New Roman" w:cs="Times New Roman"/>
        </w:rPr>
        <w:t xml:space="preserve"> plėvele dengtos tabletės</w:t>
      </w:r>
    </w:p>
    <w:p w14:paraId="4A7A4A3C"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507EAFBF"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272904F6" w14:textId="77777777" w:rsidR="003F257C" w:rsidRPr="003F257C" w:rsidRDefault="003F257C" w:rsidP="000A618E">
      <w:pPr>
        <w:widowControl w:val="0"/>
        <w:numPr>
          <w:ilvl w:val="0"/>
          <w:numId w:val="10"/>
        </w:numPr>
        <w:tabs>
          <w:tab w:val="left" w:pos="567"/>
          <w:tab w:val="left" w:pos="1585"/>
          <w:tab w:val="left" w:pos="1587"/>
        </w:tabs>
        <w:autoSpaceDE w:val="0"/>
        <w:autoSpaceDN w:val="0"/>
        <w:spacing w:after="0" w:line="240" w:lineRule="auto"/>
        <w:ind w:left="567" w:hanging="567"/>
        <w:outlineLvl w:val="0"/>
        <w:rPr>
          <w:rFonts w:ascii="Times New Roman" w:eastAsia="Times New Roman" w:hAnsi="Times New Roman" w:cs="Times New Roman"/>
          <w:b/>
          <w:bCs/>
        </w:rPr>
      </w:pPr>
      <w:r w:rsidRPr="003F257C">
        <w:rPr>
          <w:rFonts w:ascii="Times New Roman" w:eastAsia="Times New Roman" w:hAnsi="Times New Roman" w:cs="Times New Roman"/>
          <w:b/>
          <w:bCs/>
        </w:rPr>
        <w:t>KOKYBINĖ IR KIEKYBINĖ SUDĖTIS</w:t>
      </w:r>
    </w:p>
    <w:p w14:paraId="6BB00B49"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5BADD904" w14:textId="7ADB8EBB"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r w:rsidRPr="003F257C">
        <w:rPr>
          <w:rFonts w:ascii="Times New Roman" w:eastAsia="Times New Roman" w:hAnsi="Times New Roman" w:cs="Times New Roman"/>
        </w:rPr>
        <w:t>Kiekvienoje plėvele dengtoje tabletėje yra 2,5</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rivaroksabano. </w:t>
      </w:r>
    </w:p>
    <w:p w14:paraId="376B6511"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u w:val="single"/>
        </w:rPr>
      </w:pPr>
    </w:p>
    <w:p w14:paraId="31238EA0"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r w:rsidRPr="003F257C">
        <w:rPr>
          <w:rFonts w:ascii="Times New Roman" w:eastAsia="Times New Roman" w:hAnsi="Times New Roman" w:cs="Times New Roman"/>
        </w:rPr>
        <w:t>Visos pagalbinės medžiagos išvardytos 6.1 skyriuje.</w:t>
      </w:r>
    </w:p>
    <w:p w14:paraId="3C235283"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322142E2"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410FA308" w14:textId="77777777" w:rsidR="003F257C" w:rsidRPr="003F257C" w:rsidRDefault="003F257C" w:rsidP="000A618E">
      <w:pPr>
        <w:widowControl w:val="0"/>
        <w:numPr>
          <w:ilvl w:val="0"/>
          <w:numId w:val="10"/>
        </w:numPr>
        <w:tabs>
          <w:tab w:val="left" w:pos="567"/>
          <w:tab w:val="left" w:pos="1585"/>
          <w:tab w:val="left" w:pos="1586"/>
        </w:tabs>
        <w:autoSpaceDE w:val="0"/>
        <w:autoSpaceDN w:val="0"/>
        <w:spacing w:after="0" w:line="240" w:lineRule="auto"/>
        <w:ind w:left="567" w:hanging="567"/>
        <w:outlineLvl w:val="0"/>
        <w:rPr>
          <w:rFonts w:ascii="Times New Roman" w:eastAsia="Times New Roman" w:hAnsi="Times New Roman" w:cs="Times New Roman"/>
          <w:b/>
          <w:bCs/>
        </w:rPr>
      </w:pPr>
      <w:r w:rsidRPr="003F257C">
        <w:rPr>
          <w:rFonts w:ascii="Times New Roman" w:eastAsia="Times New Roman" w:hAnsi="Times New Roman" w:cs="Times New Roman"/>
          <w:b/>
          <w:bCs/>
        </w:rPr>
        <w:t>FARMACINĖ FORMA</w:t>
      </w:r>
    </w:p>
    <w:p w14:paraId="0FEE35F6" w14:textId="77777777" w:rsidR="003F257C" w:rsidRPr="003F257C" w:rsidRDefault="003F257C" w:rsidP="003F257C">
      <w:pPr>
        <w:widowControl w:val="0"/>
        <w:tabs>
          <w:tab w:val="left" w:pos="1710"/>
        </w:tabs>
        <w:autoSpaceDE w:val="0"/>
        <w:autoSpaceDN w:val="0"/>
        <w:spacing w:after="0" w:line="240" w:lineRule="auto"/>
        <w:ind w:left="540" w:hanging="540"/>
        <w:rPr>
          <w:rFonts w:ascii="Times New Roman" w:eastAsia="Times New Roman" w:hAnsi="Times New Roman" w:cs="Times New Roman"/>
          <w:b/>
        </w:rPr>
      </w:pPr>
    </w:p>
    <w:p w14:paraId="4098DFDB" w14:textId="63A75378" w:rsidR="003F257C" w:rsidRPr="003F257C" w:rsidRDefault="003F257C" w:rsidP="003F257C">
      <w:pPr>
        <w:widowControl w:val="0"/>
        <w:tabs>
          <w:tab w:val="left" w:pos="1710"/>
        </w:tabs>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Plėvele dengta tabletė </w:t>
      </w:r>
    </w:p>
    <w:p w14:paraId="43D0A4F5" w14:textId="64B67AC0" w:rsidR="003F257C" w:rsidRPr="007F2054" w:rsidRDefault="003F257C" w:rsidP="003F257C">
      <w:pPr>
        <w:widowControl w:val="0"/>
        <w:tabs>
          <w:tab w:val="left" w:pos="1710"/>
        </w:tabs>
        <w:autoSpaceDE w:val="0"/>
        <w:autoSpaceDN w:val="0"/>
        <w:spacing w:after="0" w:line="240" w:lineRule="auto"/>
        <w:rPr>
          <w:rFonts w:ascii="Times New Roman" w:eastAsia="Times New Roman" w:hAnsi="Times New Roman" w:cs="Times New Roman"/>
        </w:rPr>
      </w:pPr>
    </w:p>
    <w:p w14:paraId="7C9DACB3" w14:textId="253A1383" w:rsidR="003F257C" w:rsidRPr="007F2054" w:rsidRDefault="003F257C" w:rsidP="003F257C">
      <w:pPr>
        <w:tabs>
          <w:tab w:val="left" w:pos="720"/>
        </w:tabs>
        <w:snapToGrid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Apvalios, abipus išgaubtos, rožinės </w:t>
      </w:r>
      <w:r w:rsidR="00485E18">
        <w:rPr>
          <w:rFonts w:ascii="Times New Roman" w:eastAsia="Times New Roman" w:hAnsi="Times New Roman" w:cs="Times New Roman"/>
        </w:rPr>
        <w:t xml:space="preserve">spalvos </w:t>
      </w:r>
      <w:r w:rsidRPr="007F2054">
        <w:rPr>
          <w:rFonts w:ascii="Times New Roman" w:eastAsia="Times New Roman" w:hAnsi="Times New Roman" w:cs="Times New Roman"/>
        </w:rPr>
        <w:t>plėvele dengtos tabletės, maždaug 8,1</w:t>
      </w:r>
      <w:r w:rsidR="00013FF6">
        <w:rPr>
          <w:rFonts w:ascii="Times New Roman" w:eastAsia="Times New Roman" w:hAnsi="Times New Roman" w:cs="Times New Roman"/>
        </w:rPr>
        <w:t> </w:t>
      </w:r>
      <w:r w:rsidRPr="007F2054">
        <w:rPr>
          <w:rFonts w:ascii="Times New Roman" w:eastAsia="Times New Roman" w:hAnsi="Times New Roman" w:cs="Times New Roman"/>
        </w:rPr>
        <w:t>mm skersmens, su užrašu E841 vienoje pusėje, kita pusė lygi.</w:t>
      </w:r>
    </w:p>
    <w:p w14:paraId="47900F09" w14:textId="77777777" w:rsidR="003F257C" w:rsidRPr="003F257C" w:rsidRDefault="003F257C" w:rsidP="003F257C">
      <w:pPr>
        <w:widowControl w:val="0"/>
        <w:tabs>
          <w:tab w:val="left" w:pos="1710"/>
        </w:tabs>
        <w:autoSpaceDE w:val="0"/>
        <w:autoSpaceDN w:val="0"/>
        <w:spacing w:after="0" w:line="240" w:lineRule="auto"/>
        <w:rPr>
          <w:rFonts w:ascii="Times New Roman" w:eastAsia="Times New Roman" w:hAnsi="Times New Roman" w:cs="Times New Roman"/>
        </w:rPr>
      </w:pPr>
    </w:p>
    <w:p w14:paraId="1802DA0C" w14:textId="77777777" w:rsidR="003F257C" w:rsidRPr="003F257C" w:rsidRDefault="003F257C" w:rsidP="003F257C">
      <w:pPr>
        <w:widowControl w:val="0"/>
        <w:tabs>
          <w:tab w:val="left" w:pos="1710"/>
        </w:tabs>
        <w:autoSpaceDE w:val="0"/>
        <w:autoSpaceDN w:val="0"/>
        <w:spacing w:after="0" w:line="240" w:lineRule="auto"/>
        <w:rPr>
          <w:rFonts w:ascii="Times New Roman" w:eastAsia="Times New Roman" w:hAnsi="Times New Roman" w:cs="Times New Roman"/>
        </w:rPr>
      </w:pPr>
    </w:p>
    <w:p w14:paraId="4073B9A1" w14:textId="77777777" w:rsidR="003F257C" w:rsidRPr="003F257C" w:rsidRDefault="003F257C" w:rsidP="000A618E">
      <w:pPr>
        <w:widowControl w:val="0"/>
        <w:numPr>
          <w:ilvl w:val="0"/>
          <w:numId w:val="10"/>
        </w:numPr>
        <w:tabs>
          <w:tab w:val="left" w:pos="567"/>
          <w:tab w:val="left" w:pos="1585"/>
          <w:tab w:val="left" w:pos="1586"/>
        </w:tabs>
        <w:autoSpaceDE w:val="0"/>
        <w:autoSpaceDN w:val="0"/>
        <w:spacing w:after="0" w:line="240" w:lineRule="auto"/>
        <w:ind w:left="567" w:hanging="567"/>
        <w:outlineLvl w:val="0"/>
        <w:rPr>
          <w:rFonts w:ascii="Times New Roman" w:eastAsia="Times New Roman" w:hAnsi="Times New Roman" w:cs="Times New Roman"/>
          <w:b/>
          <w:bCs/>
        </w:rPr>
      </w:pPr>
      <w:r w:rsidRPr="003F257C">
        <w:rPr>
          <w:rFonts w:ascii="Times New Roman" w:eastAsia="Times New Roman" w:hAnsi="Times New Roman" w:cs="Times New Roman"/>
          <w:b/>
          <w:bCs/>
        </w:rPr>
        <w:t>KLINIKINĖ INFORMACIJA</w:t>
      </w:r>
    </w:p>
    <w:p w14:paraId="32A522F7"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043B3088" w14:textId="77777777" w:rsidR="003F257C" w:rsidRPr="003F257C" w:rsidRDefault="003F257C" w:rsidP="000A618E">
      <w:pPr>
        <w:widowControl w:val="0"/>
        <w:numPr>
          <w:ilvl w:val="1"/>
          <w:numId w:val="10"/>
        </w:numPr>
        <w:autoSpaceDE w:val="0"/>
        <w:autoSpaceDN w:val="0"/>
        <w:spacing w:after="0" w:line="240" w:lineRule="auto"/>
        <w:ind w:left="567" w:hanging="567"/>
        <w:rPr>
          <w:rFonts w:ascii="Times New Roman" w:eastAsia="Times New Roman" w:hAnsi="Times New Roman" w:cs="Times New Roman"/>
          <w:b/>
        </w:rPr>
      </w:pPr>
      <w:r w:rsidRPr="003F257C">
        <w:rPr>
          <w:rFonts w:ascii="Times New Roman" w:eastAsia="Times New Roman" w:hAnsi="Times New Roman" w:cs="Times New Roman"/>
          <w:b/>
        </w:rPr>
        <w:t>Terapinės</w:t>
      </w:r>
      <w:r w:rsidRPr="003F257C">
        <w:rPr>
          <w:rFonts w:ascii="Times New Roman" w:eastAsia="Times New Roman" w:hAnsi="Times New Roman" w:cs="Times New Roman"/>
          <w:b/>
          <w:spacing w:val="-2"/>
        </w:rPr>
        <w:t xml:space="preserve"> </w:t>
      </w:r>
      <w:r w:rsidRPr="003F257C">
        <w:rPr>
          <w:rFonts w:ascii="Times New Roman" w:eastAsia="Times New Roman" w:hAnsi="Times New Roman" w:cs="Times New Roman"/>
          <w:b/>
        </w:rPr>
        <w:t>indikacijos</w:t>
      </w:r>
    </w:p>
    <w:p w14:paraId="6DC179DD"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326D16C9" w14:textId="3E6463DE" w:rsidR="003F257C" w:rsidRPr="003F257C" w:rsidRDefault="005A3031" w:rsidP="003F257C">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3F257C" w:rsidRPr="003F257C">
        <w:rPr>
          <w:rFonts w:ascii="Times New Roman" w:eastAsia="Times New Roman" w:hAnsi="Times New Roman" w:cs="Times New Roman"/>
        </w:rPr>
        <w:t xml:space="preserve">, </w:t>
      </w:r>
      <w:r w:rsidR="00EA0674" w:rsidRPr="007F2054">
        <w:rPr>
          <w:rFonts w:ascii="Times New Roman" w:eastAsia="Times New Roman" w:hAnsi="Times New Roman" w:cs="Times New Roman"/>
          <w:lang w:eastAsia="lt-LT"/>
        </w:rPr>
        <w:t xml:space="preserve">vartojamas kartu su acetilsalicilo rūgštimi (ASR) arba kartu su ASR ir </w:t>
      </w:r>
      <w:proofErr w:type="spellStart"/>
      <w:r w:rsidR="00EA0674" w:rsidRPr="007F2054">
        <w:rPr>
          <w:rFonts w:ascii="Times New Roman" w:eastAsia="Times New Roman" w:hAnsi="Times New Roman" w:cs="Times New Roman"/>
          <w:lang w:eastAsia="lt-LT"/>
        </w:rPr>
        <w:t>klopidogreliu</w:t>
      </w:r>
      <w:proofErr w:type="spellEnd"/>
      <w:r w:rsidR="00EA0674" w:rsidRPr="007F2054">
        <w:rPr>
          <w:rFonts w:ascii="Times New Roman" w:eastAsia="Times New Roman" w:hAnsi="Times New Roman" w:cs="Times New Roman"/>
          <w:lang w:eastAsia="lt-LT"/>
        </w:rPr>
        <w:t xml:space="preserve"> ar </w:t>
      </w:r>
      <w:proofErr w:type="spellStart"/>
      <w:r w:rsidR="00EA0674" w:rsidRPr="007F2054">
        <w:rPr>
          <w:rFonts w:ascii="Times New Roman" w:eastAsia="Times New Roman" w:hAnsi="Times New Roman" w:cs="Times New Roman"/>
          <w:lang w:eastAsia="lt-LT"/>
        </w:rPr>
        <w:t>tiklopidinu</w:t>
      </w:r>
      <w:proofErr w:type="spellEnd"/>
      <w:r w:rsidR="00EA0674" w:rsidRPr="007F2054">
        <w:rPr>
          <w:rFonts w:ascii="Times New Roman" w:eastAsia="Times New Roman" w:hAnsi="Times New Roman" w:cs="Times New Roman"/>
          <w:lang w:eastAsia="lt-LT"/>
        </w:rPr>
        <w:t xml:space="preserve">, skirtas </w:t>
      </w:r>
      <w:proofErr w:type="spellStart"/>
      <w:r w:rsidR="00EA0674" w:rsidRPr="007F2054">
        <w:rPr>
          <w:rFonts w:ascii="Times New Roman" w:eastAsia="Times New Roman" w:hAnsi="Times New Roman" w:cs="Times New Roman"/>
          <w:lang w:eastAsia="lt-LT"/>
        </w:rPr>
        <w:t>aterotrombozinių</w:t>
      </w:r>
      <w:proofErr w:type="spellEnd"/>
      <w:r w:rsidR="00EA0674" w:rsidRPr="007F2054">
        <w:rPr>
          <w:rFonts w:ascii="Times New Roman" w:eastAsia="Times New Roman" w:hAnsi="Times New Roman" w:cs="Times New Roman"/>
          <w:lang w:eastAsia="lt-LT"/>
        </w:rPr>
        <w:t xml:space="preserve"> reiškinių profilaktikai suaugusiems pacientams, patyrusiems ūminį koronarinį sindromą (ŪKS) su padidėjusiais </w:t>
      </w:r>
      <w:proofErr w:type="spellStart"/>
      <w:r w:rsidR="00EA0674" w:rsidRPr="007F2054">
        <w:rPr>
          <w:rFonts w:ascii="Times New Roman" w:eastAsia="Times New Roman" w:hAnsi="Times New Roman" w:cs="Times New Roman"/>
          <w:lang w:eastAsia="lt-LT"/>
        </w:rPr>
        <w:t>kardialiniais</w:t>
      </w:r>
      <w:proofErr w:type="spellEnd"/>
      <w:r w:rsidR="00EA0674" w:rsidRPr="007F2054">
        <w:rPr>
          <w:rFonts w:ascii="Times New Roman" w:eastAsia="Times New Roman" w:hAnsi="Times New Roman" w:cs="Times New Roman"/>
          <w:lang w:eastAsia="lt-LT"/>
        </w:rPr>
        <w:t xml:space="preserve"> biologiniais žymenimis (žr. 4.3, 4.4 ir 5.1 skyrius).</w:t>
      </w:r>
    </w:p>
    <w:p w14:paraId="1E0FEE78"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643C3614" w14:textId="4ACCE79E" w:rsidR="003F257C" w:rsidRPr="003F257C" w:rsidRDefault="005A3031" w:rsidP="003F257C">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3F257C" w:rsidRPr="003F257C">
        <w:rPr>
          <w:rFonts w:ascii="Times New Roman" w:eastAsia="Times New Roman" w:hAnsi="Times New Roman" w:cs="Times New Roman"/>
        </w:rPr>
        <w:t xml:space="preserve">, </w:t>
      </w:r>
      <w:r w:rsidR="00EA0674" w:rsidRPr="007F2054">
        <w:rPr>
          <w:rFonts w:ascii="Times New Roman" w:eastAsia="Times New Roman" w:hAnsi="Times New Roman" w:cs="Times New Roman"/>
          <w:lang w:eastAsia="lt-LT"/>
        </w:rPr>
        <w:t xml:space="preserve">vartojamas kartu su acetilsalicilo rūgštimi (ASR), skirtas </w:t>
      </w:r>
      <w:proofErr w:type="spellStart"/>
      <w:r w:rsidR="00EA0674" w:rsidRPr="007F2054">
        <w:rPr>
          <w:rFonts w:ascii="Times New Roman" w:eastAsia="Times New Roman" w:hAnsi="Times New Roman" w:cs="Times New Roman"/>
          <w:lang w:eastAsia="lt-LT"/>
        </w:rPr>
        <w:t>aterotrombozinių</w:t>
      </w:r>
      <w:proofErr w:type="spellEnd"/>
      <w:r w:rsidR="00EA0674" w:rsidRPr="007F2054">
        <w:rPr>
          <w:rFonts w:ascii="Times New Roman" w:eastAsia="Times New Roman" w:hAnsi="Times New Roman" w:cs="Times New Roman"/>
          <w:lang w:eastAsia="lt-LT"/>
        </w:rPr>
        <w:t xml:space="preserve"> reiškinių profilaktikai suaugusiems pacientams, sergantiems vainikinių arterijų liga (VAL) arba simptomine periferinių arterijų liga (PAL), esant didelei išeminių reiškinių rizikai</w:t>
      </w:r>
      <w:r w:rsidR="003F257C" w:rsidRPr="003F257C">
        <w:rPr>
          <w:rFonts w:ascii="Times New Roman" w:eastAsia="Times New Roman" w:hAnsi="Times New Roman" w:cs="Times New Roman"/>
        </w:rPr>
        <w:t>.</w:t>
      </w:r>
    </w:p>
    <w:p w14:paraId="74F377DA"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3B49D730" w14:textId="77777777" w:rsidR="003F257C" w:rsidRPr="003F257C" w:rsidRDefault="003F257C" w:rsidP="00EA0674">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3F257C">
        <w:rPr>
          <w:rFonts w:ascii="Times New Roman" w:eastAsia="Times New Roman" w:hAnsi="Times New Roman" w:cs="Times New Roman"/>
          <w:b/>
          <w:bCs/>
        </w:rPr>
        <w:t>Dozavimas ir vartojimo</w:t>
      </w:r>
      <w:r w:rsidRPr="003F257C">
        <w:rPr>
          <w:rFonts w:ascii="Times New Roman" w:eastAsia="Times New Roman" w:hAnsi="Times New Roman" w:cs="Times New Roman"/>
          <w:b/>
          <w:bCs/>
          <w:spacing w:val="-3"/>
        </w:rPr>
        <w:t xml:space="preserve"> </w:t>
      </w:r>
      <w:r w:rsidRPr="003F257C">
        <w:rPr>
          <w:rFonts w:ascii="Times New Roman" w:eastAsia="Times New Roman" w:hAnsi="Times New Roman" w:cs="Times New Roman"/>
          <w:b/>
          <w:bCs/>
        </w:rPr>
        <w:t>metodas</w:t>
      </w:r>
    </w:p>
    <w:p w14:paraId="1AD122FB"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6437C927"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u w:val="single"/>
        </w:rPr>
      </w:pPr>
      <w:r w:rsidRPr="003F257C">
        <w:rPr>
          <w:rFonts w:ascii="Times New Roman" w:eastAsia="Times New Roman" w:hAnsi="Times New Roman" w:cs="Times New Roman"/>
          <w:u w:val="single"/>
        </w:rPr>
        <w:t>Dozavimas</w:t>
      </w:r>
    </w:p>
    <w:p w14:paraId="4B2CD26E"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u w:val="single"/>
        </w:rPr>
      </w:pPr>
    </w:p>
    <w:p w14:paraId="62C708DA" w14:textId="0CA34418"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Rekomenduojama dozė yra 2,5</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du kartus per parą.</w:t>
      </w:r>
    </w:p>
    <w:p w14:paraId="08AB6E63"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33B6819D" w14:textId="77777777" w:rsidR="003F257C" w:rsidRPr="003F257C" w:rsidRDefault="003F257C" w:rsidP="00EA0674">
      <w:pPr>
        <w:widowControl w:val="0"/>
        <w:numPr>
          <w:ilvl w:val="0"/>
          <w:numId w:val="8"/>
        </w:numPr>
        <w:tabs>
          <w:tab w:val="left" w:pos="1579"/>
          <w:tab w:val="left" w:pos="1580"/>
        </w:tabs>
        <w:autoSpaceDE w:val="0"/>
        <w:autoSpaceDN w:val="0"/>
        <w:spacing w:after="0" w:line="240" w:lineRule="auto"/>
        <w:ind w:left="540" w:hanging="540"/>
        <w:rPr>
          <w:rFonts w:ascii="Times New Roman" w:eastAsia="Times New Roman" w:hAnsi="Times New Roman" w:cs="Times New Roman"/>
          <w:i/>
        </w:rPr>
      </w:pPr>
      <w:r w:rsidRPr="003F257C">
        <w:rPr>
          <w:rFonts w:ascii="Times New Roman" w:eastAsia="Times New Roman" w:hAnsi="Times New Roman" w:cs="Times New Roman"/>
          <w:i/>
          <w:u w:val="single"/>
        </w:rPr>
        <w:t>ŪKS</w:t>
      </w:r>
    </w:p>
    <w:p w14:paraId="7B973FF8" w14:textId="3B9DF92E"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Pacientai, vartojantys </w:t>
      </w:r>
      <w:r w:rsidR="005A3031">
        <w:rPr>
          <w:rFonts w:ascii="Times New Roman" w:eastAsia="Times New Roman" w:hAnsi="Times New Roman" w:cs="Times New Roman"/>
        </w:rPr>
        <w:t>Xiltess</w:t>
      </w:r>
      <w:r w:rsidRPr="003F257C">
        <w:rPr>
          <w:rFonts w:ascii="Times New Roman" w:eastAsia="Times New Roman" w:hAnsi="Times New Roman" w:cs="Times New Roman"/>
        </w:rPr>
        <w:t xml:space="preserve"> 2,5</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du kartus per parą, taip pat turi vartoti 75</w:t>
      </w:r>
      <w:r w:rsidR="008C616A" w:rsidRPr="007F2054">
        <w:rPr>
          <w:rFonts w:ascii="Times New Roman" w:eastAsia="Times New Roman" w:hAnsi="Times New Roman" w:cs="Times New Roman"/>
        </w:rPr>
        <w:t>–</w:t>
      </w:r>
      <w:r w:rsidRPr="003F257C">
        <w:rPr>
          <w:rFonts w:ascii="Times New Roman" w:eastAsia="Times New Roman" w:hAnsi="Times New Roman" w:cs="Times New Roman"/>
        </w:rPr>
        <w:t>100</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ASR arba 75</w:t>
      </w:r>
      <w:r w:rsidR="008C616A" w:rsidRPr="007F2054">
        <w:rPr>
          <w:rFonts w:ascii="Times New Roman" w:eastAsia="Times New Roman" w:hAnsi="Times New Roman" w:cs="Times New Roman"/>
        </w:rPr>
        <w:t>–</w:t>
      </w:r>
      <w:r w:rsidRPr="003F257C">
        <w:rPr>
          <w:rFonts w:ascii="Times New Roman" w:eastAsia="Times New Roman" w:hAnsi="Times New Roman" w:cs="Times New Roman"/>
        </w:rPr>
        <w:t>100</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ASR per parą kartu su 75</w:t>
      </w:r>
      <w:r w:rsidR="00D61A12" w:rsidRPr="007F2054">
        <w:rPr>
          <w:rFonts w:ascii="Times New Roman" w:eastAsia="Times New Roman" w:hAnsi="Times New Roman" w:cs="Times New Roman"/>
        </w:rPr>
        <w:t> mg</w:t>
      </w:r>
      <w:r w:rsidRPr="003F257C">
        <w:rPr>
          <w:rFonts w:ascii="Times New Roman" w:eastAsia="Times New Roman" w:hAnsi="Times New Roman" w:cs="Times New Roman"/>
        </w:rPr>
        <w:t xml:space="preserve"> klopidogrelio arba su standartine tiklopidino paros doze.</w:t>
      </w:r>
    </w:p>
    <w:p w14:paraId="747E086C"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221616D7"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Reikia periodiškai peržiūrėti kiekvieno paciento gydymą, įvertinant išeminių reiškinių ir kraujavimo riziką. Ilgiau kaip 12 mėnesių galima gydyti tik individualiais atvejais, nes gydymo iki 24 mėnesių patirtis yra ribota (žr. 5.1 skyrių).</w:t>
      </w:r>
    </w:p>
    <w:p w14:paraId="4476F678"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22DA348F" w14:textId="400B582A"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Stabilizavus ŪKS reiškinius (įskaitant revaskuliarizacijos procedūras), gydymą </w:t>
      </w:r>
      <w:r w:rsidR="005A3031">
        <w:rPr>
          <w:rFonts w:ascii="Times New Roman" w:eastAsia="Times New Roman" w:hAnsi="Times New Roman" w:cs="Times New Roman"/>
        </w:rPr>
        <w:t>Xiltess</w:t>
      </w:r>
      <w:r w:rsidRPr="003F257C">
        <w:rPr>
          <w:rFonts w:ascii="Times New Roman" w:eastAsia="Times New Roman" w:hAnsi="Times New Roman" w:cs="Times New Roman"/>
        </w:rPr>
        <w:t xml:space="preserve"> reikia pradėti kuo anksčiau: </w:t>
      </w:r>
      <w:r w:rsidR="00BE4C73">
        <w:rPr>
          <w:rFonts w:ascii="Times New Roman" w:eastAsia="Times New Roman" w:hAnsi="Times New Roman" w:cs="Times New Roman"/>
        </w:rPr>
        <w:t>anksčiausiai</w:t>
      </w:r>
      <w:r w:rsidR="00BE4C73" w:rsidRPr="003F257C">
        <w:rPr>
          <w:rFonts w:ascii="Times New Roman" w:eastAsia="Times New Roman" w:hAnsi="Times New Roman" w:cs="Times New Roman"/>
        </w:rPr>
        <w:t xml:space="preserve"> </w:t>
      </w:r>
      <w:r w:rsidRPr="003F257C">
        <w:rPr>
          <w:rFonts w:ascii="Times New Roman" w:eastAsia="Times New Roman" w:hAnsi="Times New Roman" w:cs="Times New Roman"/>
        </w:rPr>
        <w:t>24 valandas po hospitalizavimo ir</w:t>
      </w:r>
      <w:r w:rsidR="008C616A" w:rsidRPr="007F2054">
        <w:rPr>
          <w:rFonts w:ascii="Times New Roman" w:eastAsia="Times New Roman" w:hAnsi="Times New Roman" w:cs="Times New Roman"/>
        </w:rPr>
        <w:t xml:space="preserve"> </w:t>
      </w:r>
      <w:r w:rsidR="00D61A12" w:rsidRPr="007F2054">
        <w:rPr>
          <w:rFonts w:ascii="Times New Roman" w:eastAsia="Times New Roman" w:hAnsi="Times New Roman" w:cs="Times New Roman"/>
        </w:rPr>
        <w:t xml:space="preserve">kai </w:t>
      </w:r>
      <w:r w:rsidRPr="003F257C">
        <w:rPr>
          <w:rFonts w:ascii="Times New Roman" w:eastAsia="Times New Roman" w:hAnsi="Times New Roman" w:cs="Times New Roman"/>
        </w:rPr>
        <w:t>įprastai nutrauk</w:t>
      </w:r>
      <w:r w:rsidR="00D61A12" w:rsidRPr="007F2054">
        <w:rPr>
          <w:rFonts w:ascii="Times New Roman" w:eastAsia="Times New Roman" w:hAnsi="Times New Roman" w:cs="Times New Roman"/>
        </w:rPr>
        <w:t>iamas</w:t>
      </w:r>
      <w:r w:rsidRPr="003F257C">
        <w:rPr>
          <w:rFonts w:ascii="Times New Roman" w:eastAsia="Times New Roman" w:hAnsi="Times New Roman" w:cs="Times New Roman"/>
        </w:rPr>
        <w:t xml:space="preserve"> </w:t>
      </w:r>
      <w:proofErr w:type="spellStart"/>
      <w:r w:rsidR="00D61A12" w:rsidRPr="007F2054">
        <w:rPr>
          <w:rFonts w:ascii="Times New Roman" w:eastAsia="Times New Roman" w:hAnsi="Times New Roman" w:cs="Times New Roman"/>
          <w:lang w:eastAsia="lt-LT"/>
        </w:rPr>
        <w:t>parenterinis</w:t>
      </w:r>
      <w:proofErr w:type="spellEnd"/>
      <w:r w:rsidR="00D61A12" w:rsidRPr="007F2054">
        <w:rPr>
          <w:rFonts w:ascii="Times New Roman" w:eastAsia="Times New Roman" w:hAnsi="Times New Roman" w:cs="Times New Roman"/>
          <w:lang w:eastAsia="lt-LT"/>
        </w:rPr>
        <w:t xml:space="preserve"> </w:t>
      </w:r>
      <w:proofErr w:type="spellStart"/>
      <w:r w:rsidR="00D61A12" w:rsidRPr="007F2054">
        <w:rPr>
          <w:rFonts w:ascii="Times New Roman" w:eastAsia="Times New Roman" w:hAnsi="Times New Roman" w:cs="Times New Roman"/>
          <w:lang w:eastAsia="lt-LT"/>
        </w:rPr>
        <w:t>antikoaguliacinis</w:t>
      </w:r>
      <w:proofErr w:type="spellEnd"/>
      <w:r w:rsidR="00D61A12" w:rsidRPr="007F2054">
        <w:rPr>
          <w:rFonts w:ascii="Times New Roman" w:eastAsia="Times New Roman" w:hAnsi="Times New Roman" w:cs="Times New Roman"/>
          <w:lang w:eastAsia="lt-LT"/>
        </w:rPr>
        <w:t xml:space="preserve"> gydymas</w:t>
      </w:r>
      <w:r w:rsidRPr="003F257C">
        <w:rPr>
          <w:rFonts w:ascii="Times New Roman" w:eastAsia="Times New Roman" w:hAnsi="Times New Roman" w:cs="Times New Roman"/>
        </w:rPr>
        <w:t xml:space="preserve">. </w:t>
      </w:r>
    </w:p>
    <w:p w14:paraId="281F190F"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4C111663" w14:textId="77777777" w:rsidR="003F257C" w:rsidRPr="003F257C" w:rsidRDefault="003F257C" w:rsidP="00EA0674">
      <w:pPr>
        <w:widowControl w:val="0"/>
        <w:numPr>
          <w:ilvl w:val="0"/>
          <w:numId w:val="8"/>
        </w:numPr>
        <w:tabs>
          <w:tab w:val="left" w:pos="1579"/>
          <w:tab w:val="left" w:pos="1580"/>
        </w:tabs>
        <w:autoSpaceDE w:val="0"/>
        <w:autoSpaceDN w:val="0"/>
        <w:spacing w:after="0" w:line="240" w:lineRule="auto"/>
        <w:ind w:left="540"/>
        <w:rPr>
          <w:rFonts w:ascii="Times New Roman" w:eastAsia="Times New Roman" w:hAnsi="Times New Roman" w:cs="Times New Roman"/>
          <w:i/>
        </w:rPr>
      </w:pPr>
      <w:r w:rsidRPr="003F257C">
        <w:rPr>
          <w:rFonts w:ascii="Times New Roman" w:eastAsia="Times New Roman" w:hAnsi="Times New Roman" w:cs="Times New Roman"/>
          <w:i/>
          <w:u w:val="single"/>
        </w:rPr>
        <w:t>VAL ir (arba)</w:t>
      </w:r>
      <w:r w:rsidRPr="003F257C">
        <w:rPr>
          <w:rFonts w:ascii="Times New Roman" w:eastAsia="Times New Roman" w:hAnsi="Times New Roman" w:cs="Times New Roman"/>
          <w:i/>
          <w:spacing w:val="-4"/>
          <w:u w:val="single"/>
        </w:rPr>
        <w:t xml:space="preserve"> </w:t>
      </w:r>
      <w:r w:rsidRPr="003F257C">
        <w:rPr>
          <w:rFonts w:ascii="Times New Roman" w:eastAsia="Times New Roman" w:hAnsi="Times New Roman" w:cs="Times New Roman"/>
          <w:i/>
          <w:u w:val="single"/>
        </w:rPr>
        <w:t>PAL</w:t>
      </w:r>
    </w:p>
    <w:p w14:paraId="07132DE5" w14:textId="185B49D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Pacientai, vartojantys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2,5 mg du kartus per parą, taip pat turi vartoti 75–100 mg ASR per parą.</w:t>
      </w:r>
    </w:p>
    <w:p w14:paraId="05D4586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E5103D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kuriems dėl simptominės PAL sėkmingai atlikta apatinės galūnės revaskuliarizacijos procedūra (chirurginė arba </w:t>
      </w:r>
      <w:proofErr w:type="spellStart"/>
      <w:r w:rsidRPr="007F2054">
        <w:rPr>
          <w:rFonts w:ascii="Times New Roman" w:eastAsia="Times New Roman" w:hAnsi="Times New Roman" w:cs="Times New Roman"/>
        </w:rPr>
        <w:t>endovaskulinė</w:t>
      </w:r>
      <w:proofErr w:type="spellEnd"/>
      <w:r w:rsidRPr="007F2054">
        <w:rPr>
          <w:rFonts w:ascii="Times New Roman" w:eastAsia="Times New Roman" w:hAnsi="Times New Roman" w:cs="Times New Roman"/>
        </w:rPr>
        <w:t>, įskaitant hibridines procedūras), negalima pradėti gydymo, kol nepasiekta hemostazė (žr. 5.1 skyrių).</w:t>
      </w:r>
    </w:p>
    <w:p w14:paraId="450D62C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D93B9B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Gydymo trukmę reikia nustatyti individualiai kiekvienam pacientui remiantis reguliariais vertinimais ir atsižvelgiant į </w:t>
      </w:r>
      <w:proofErr w:type="spellStart"/>
      <w:r w:rsidRPr="007F2054">
        <w:rPr>
          <w:rFonts w:ascii="Times New Roman" w:eastAsia="Times New Roman" w:hAnsi="Times New Roman" w:cs="Times New Roman"/>
        </w:rPr>
        <w:t>trombozinių</w:t>
      </w:r>
      <w:proofErr w:type="spellEnd"/>
      <w:r w:rsidRPr="007F2054">
        <w:rPr>
          <w:rFonts w:ascii="Times New Roman" w:eastAsia="Times New Roman" w:hAnsi="Times New Roman" w:cs="Times New Roman"/>
        </w:rPr>
        <w:t xml:space="preserve"> reiškinių riziką, lyginant su kraujavimo rizika.</w:t>
      </w:r>
    </w:p>
    <w:p w14:paraId="1749B07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103F4DE" w14:textId="77777777" w:rsidR="00D61A12" w:rsidRPr="007F2054" w:rsidRDefault="00D61A12" w:rsidP="00D61A12">
      <w:pPr>
        <w:widowControl w:val="0"/>
        <w:numPr>
          <w:ilvl w:val="0"/>
          <w:numId w:val="8"/>
        </w:numPr>
        <w:tabs>
          <w:tab w:val="left" w:pos="1579"/>
          <w:tab w:val="left" w:pos="1580"/>
        </w:tabs>
        <w:autoSpaceDE w:val="0"/>
        <w:autoSpaceDN w:val="0"/>
        <w:spacing w:after="0" w:line="240" w:lineRule="auto"/>
        <w:ind w:left="540"/>
        <w:rPr>
          <w:rFonts w:ascii="Times New Roman" w:eastAsia="Times New Roman" w:hAnsi="Times New Roman" w:cs="Times New Roman"/>
          <w:i/>
          <w:u w:val="single"/>
        </w:rPr>
      </w:pPr>
      <w:r w:rsidRPr="007F2054">
        <w:rPr>
          <w:rFonts w:ascii="Times New Roman" w:eastAsia="Times New Roman" w:hAnsi="Times New Roman" w:cs="Times New Roman"/>
          <w:i/>
          <w:u w:val="single"/>
        </w:rPr>
        <w:t xml:space="preserve">• ŪKS, VAL ir (arba) PAL </w:t>
      </w:r>
    </w:p>
    <w:p w14:paraId="0FD5932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F7A58D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Vartojimas kartu skiriant gydymą antitrombocitiniais vaistiniais preparatais </w:t>
      </w:r>
    </w:p>
    <w:p w14:paraId="63AE2A9E" w14:textId="01EFFA7C"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kuriems pasireiškė ūminis </w:t>
      </w:r>
      <w:proofErr w:type="spellStart"/>
      <w:r w:rsidRPr="007F2054">
        <w:rPr>
          <w:rFonts w:ascii="Times New Roman" w:eastAsia="Times New Roman" w:hAnsi="Times New Roman" w:cs="Times New Roman"/>
        </w:rPr>
        <w:t>trombozinis</w:t>
      </w:r>
      <w:proofErr w:type="spellEnd"/>
      <w:r w:rsidRPr="007F2054">
        <w:rPr>
          <w:rFonts w:ascii="Times New Roman" w:eastAsia="Times New Roman" w:hAnsi="Times New Roman" w:cs="Times New Roman"/>
        </w:rPr>
        <w:t xml:space="preserve"> reiškinys arba atlikta kraujagyslių procedūra ir reikalingas gydymas dviem antitrombocitiniais vaistiniais preparatais, reikia įvertinti tolesnį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2,5 mg vartojimą du kartus per parą, atsižvelgiant į reiškinį arba procedūrą ir antitrombocitinio gydymo režimą. </w:t>
      </w:r>
    </w:p>
    <w:p w14:paraId="0AE7D912" w14:textId="77777777" w:rsidR="00F548D8" w:rsidRPr="007F2054" w:rsidRDefault="00F548D8" w:rsidP="00D61A12">
      <w:pPr>
        <w:widowControl w:val="0"/>
        <w:autoSpaceDE w:val="0"/>
        <w:autoSpaceDN w:val="0"/>
        <w:spacing w:after="0" w:line="240" w:lineRule="auto"/>
        <w:rPr>
          <w:rFonts w:ascii="Times New Roman" w:eastAsia="Times New Roman" w:hAnsi="Times New Roman" w:cs="Times New Roman"/>
        </w:rPr>
      </w:pPr>
    </w:p>
    <w:p w14:paraId="2BA5EC0B" w14:textId="52A6D2C7" w:rsidR="00D61A12" w:rsidRPr="007F2054" w:rsidRDefault="005A3031" w:rsidP="00D61A12">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D61A12" w:rsidRPr="007F2054">
        <w:rPr>
          <w:rFonts w:ascii="Times New Roman" w:eastAsia="Times New Roman" w:hAnsi="Times New Roman" w:cs="Times New Roman"/>
        </w:rPr>
        <w:t xml:space="preserve"> 2,5 mg vartojimo du kartus per parą, derinamo su gydymu dviem antitrombocitiniais vaistiniais preparatais, saugumas ir veiksmingumas ištirti pacientams, </w:t>
      </w:r>
    </w:p>
    <w:p w14:paraId="175D2EBA" w14:textId="35261187" w:rsidR="00D61A12" w:rsidRPr="007F2054" w:rsidRDefault="00D61A12" w:rsidP="00F548D8">
      <w:pPr>
        <w:pStyle w:val="Sraopastraipa"/>
        <w:numPr>
          <w:ilvl w:val="2"/>
          <w:numId w:val="12"/>
        </w:numPr>
        <w:tabs>
          <w:tab w:val="left" w:pos="567"/>
        </w:tabs>
        <w:ind w:left="851" w:hanging="284"/>
      </w:pPr>
      <w:r w:rsidRPr="007F2054">
        <w:t xml:space="preserve">neseniai patyrusiems ŪKS, kai kartu vartojama ASR ir klopidogrelio / tiklopidino (žr. 4.1 skyrių), ir </w:t>
      </w:r>
    </w:p>
    <w:p w14:paraId="6CD6490B" w14:textId="2C80EF1C" w:rsidR="00D61A12" w:rsidRPr="007F2054" w:rsidRDefault="00D61A12" w:rsidP="00F548D8">
      <w:pPr>
        <w:pStyle w:val="Sraopastraipa"/>
        <w:numPr>
          <w:ilvl w:val="2"/>
          <w:numId w:val="12"/>
        </w:numPr>
        <w:tabs>
          <w:tab w:val="left" w:pos="567"/>
        </w:tabs>
        <w:ind w:left="851" w:hanging="284"/>
      </w:pPr>
      <w:r w:rsidRPr="007F2054">
        <w:t xml:space="preserve">kuriems neseniai dėl simptominės PAL atlikta apatinės galūnės revaskuliarizacijos procedūra, kai kartu vartojama ASR ir prireikus trumpai vartojama klopidogrelio (žr. 4.4 ir 5.1 skyrius). </w:t>
      </w:r>
    </w:p>
    <w:p w14:paraId="73BD230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9F5C37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Praleista dozė </w:t>
      </w:r>
    </w:p>
    <w:p w14:paraId="2457C8A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Jei užmirštama pavartoti vaistinio preparato dozę, kitą įprastą rekomenduojamą dozę pacientas turi vartoti artimiausiu įprastu laiku. Negalima vartoti dvigubos dozės norint kompensuoti praleistą dozę. </w:t>
      </w:r>
    </w:p>
    <w:p w14:paraId="56B9792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4696F6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Vitamino K antagonistų (VKA) keitimas rivaroksabanu </w:t>
      </w:r>
    </w:p>
    <w:p w14:paraId="7BE3E95B" w14:textId="2BBC3E1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Gydymą VKA keičiant gydymu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pradėjus vartoti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tarptautinio normalizuoto santykio (TNS, angl. </w:t>
      </w:r>
      <w:proofErr w:type="spellStart"/>
      <w:r w:rsidRPr="007F2054">
        <w:rPr>
          <w:rFonts w:ascii="Times New Roman" w:eastAsia="Times New Roman" w:hAnsi="Times New Roman" w:cs="Times New Roman"/>
          <w:i/>
          <w:iCs/>
        </w:rPr>
        <w:t>international</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normalised</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ratio</w:t>
      </w:r>
      <w:proofErr w:type="spellEnd"/>
      <w:r w:rsidRPr="007F2054">
        <w:rPr>
          <w:rFonts w:ascii="Times New Roman" w:eastAsia="Times New Roman" w:hAnsi="Times New Roman" w:cs="Times New Roman"/>
        </w:rPr>
        <w:t xml:space="preserve"> </w:t>
      </w:r>
      <w:r w:rsidRPr="007F2054">
        <w:rPr>
          <w:rFonts w:ascii="Times New Roman" w:eastAsia="Times New Roman" w:hAnsi="Times New Roman" w:cs="Times New Roman"/>
          <w:i/>
          <w:iCs/>
        </w:rPr>
        <w:t>[INR]</w:t>
      </w:r>
      <w:r w:rsidRPr="007F2054">
        <w:rPr>
          <w:rFonts w:ascii="Times New Roman" w:eastAsia="Times New Roman" w:hAnsi="Times New Roman" w:cs="Times New Roman"/>
        </w:rPr>
        <w:t xml:space="preserve">) rodiklis gali būti klaidingai padidėjęs. TNS netinka vertinti </w:t>
      </w:r>
      <w:proofErr w:type="spellStart"/>
      <w:r w:rsidR="005A3031">
        <w:rPr>
          <w:rFonts w:ascii="Times New Roman" w:eastAsia="Times New Roman" w:hAnsi="Times New Roman" w:cs="Times New Roman"/>
        </w:rPr>
        <w:t>Xiltess</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antikoaguliacinį</w:t>
      </w:r>
      <w:proofErr w:type="spellEnd"/>
      <w:r w:rsidRPr="007F2054">
        <w:rPr>
          <w:rFonts w:ascii="Times New Roman" w:eastAsia="Times New Roman" w:hAnsi="Times New Roman" w:cs="Times New Roman"/>
        </w:rPr>
        <w:t xml:space="preserve"> aktyvumą, todėl jo tirti nereikia (žr. 4.5 skyrių). </w:t>
      </w:r>
    </w:p>
    <w:p w14:paraId="717C3C9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62C984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Rivaroksabano keitimas vitamino K antagonistais (VKA) </w:t>
      </w:r>
    </w:p>
    <w:p w14:paraId="37DA197B" w14:textId="6F5F8C89"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Keičiant gydymą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gydymu VKA, yra nepakankamos </w:t>
      </w:r>
      <w:proofErr w:type="spellStart"/>
      <w:r w:rsidRPr="007F2054">
        <w:rPr>
          <w:rFonts w:ascii="Times New Roman" w:eastAsia="Times New Roman" w:hAnsi="Times New Roman" w:cs="Times New Roman"/>
        </w:rPr>
        <w:t>antikoaguliacijos</w:t>
      </w:r>
      <w:proofErr w:type="spellEnd"/>
      <w:r w:rsidRPr="007F2054">
        <w:rPr>
          <w:rFonts w:ascii="Times New Roman" w:eastAsia="Times New Roman" w:hAnsi="Times New Roman" w:cs="Times New Roman"/>
        </w:rPr>
        <w:t xml:space="preserve"> tikimybė. Visais atvejais, kai </w:t>
      </w:r>
      <w:r w:rsidR="00CC7058" w:rsidRPr="007F2054">
        <w:rPr>
          <w:rFonts w:ascii="Times New Roman" w:eastAsia="Times New Roman" w:hAnsi="Times New Roman" w:cs="Times New Roman"/>
        </w:rPr>
        <w:t xml:space="preserve">vaistinis </w:t>
      </w:r>
      <w:r w:rsidRPr="007F2054">
        <w:rPr>
          <w:rFonts w:ascii="Times New Roman" w:eastAsia="Times New Roman" w:hAnsi="Times New Roman" w:cs="Times New Roman"/>
        </w:rPr>
        <w:t xml:space="preserve">preparatas keičiamas alternatyviu antikoaguliantu, reikia užtikrinti nuolatinę pakankamą </w:t>
      </w:r>
      <w:proofErr w:type="spellStart"/>
      <w:r w:rsidRPr="007F2054">
        <w:rPr>
          <w:rFonts w:ascii="Times New Roman" w:eastAsia="Times New Roman" w:hAnsi="Times New Roman" w:cs="Times New Roman"/>
        </w:rPr>
        <w:t>antikoaguliaciją</w:t>
      </w:r>
      <w:proofErr w:type="spellEnd"/>
      <w:r w:rsidRPr="007F2054">
        <w:rPr>
          <w:rFonts w:ascii="Times New Roman" w:eastAsia="Times New Roman" w:hAnsi="Times New Roman" w:cs="Times New Roman"/>
        </w:rPr>
        <w:t xml:space="preserve">. Reikia įsidėmėti, kad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gali būti viena iš padidėjusio TNS priežasčių. Pacientams, kuriems gydymas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keičiamas gydymu VKA, VKA reikia skirti kartu, kol TNS bus ≥</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 xml:space="preserve">2,0. Pirmąsias dvi gydymo keitimo paras reikia skirti standartinę pradinę VKA dozę, po to VKA dozę reikia parinkti atsižvelgiant į TNS reikšmes. Kol pacientas vartoja ir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ir VKA, TNS reikia tirti ne anksčiau nei 24 valandos po ankstesnės dozės, prieš vartojant kitą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dozę. Nutraukus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vartojimą, TNS galima patikimai nustatyti praėjus ne mažiau kaip 24</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 xml:space="preserve">valandoms po paskutinės dozės (žr. 4.5 ir 5.2 skyrius). </w:t>
      </w:r>
    </w:p>
    <w:p w14:paraId="4510670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14DBEE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Parenteriniu būdu vartojamų antikoaguliantų keitimas rivaroksabanu </w:t>
      </w:r>
    </w:p>
    <w:p w14:paraId="3EA27133" w14:textId="61665238"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rPr>
        <w:t>Parenterinius</w:t>
      </w:r>
      <w:proofErr w:type="spellEnd"/>
      <w:r w:rsidRPr="007F2054">
        <w:rPr>
          <w:rFonts w:ascii="Times New Roman" w:eastAsia="Times New Roman" w:hAnsi="Times New Roman" w:cs="Times New Roman"/>
        </w:rPr>
        <w:t xml:space="preserve"> antikoaguliantus vartojantiems pacientams nutraukite </w:t>
      </w:r>
      <w:proofErr w:type="spellStart"/>
      <w:r w:rsidRPr="007F2054">
        <w:rPr>
          <w:rFonts w:ascii="Times New Roman" w:eastAsia="Times New Roman" w:hAnsi="Times New Roman" w:cs="Times New Roman"/>
        </w:rPr>
        <w:t>parenterinio</w:t>
      </w:r>
      <w:proofErr w:type="spellEnd"/>
      <w:r w:rsidRPr="007F2054">
        <w:rPr>
          <w:rFonts w:ascii="Times New Roman" w:eastAsia="Times New Roman" w:hAnsi="Times New Roman" w:cs="Times New Roman"/>
        </w:rPr>
        <w:t xml:space="preserve"> antikoagulianto vartojimą ir pradėkite </w:t>
      </w:r>
      <w:r w:rsidR="005A3031">
        <w:rPr>
          <w:rFonts w:ascii="Times New Roman" w:eastAsia="Times New Roman" w:hAnsi="Times New Roman" w:cs="Times New Roman"/>
        </w:rPr>
        <w:t>Xiltess</w:t>
      </w:r>
      <w:r w:rsidRPr="007F2054">
        <w:rPr>
          <w:rFonts w:ascii="Times New Roman" w:eastAsia="Times New Roman" w:hAnsi="Times New Roman" w:cs="Times New Roman"/>
        </w:rPr>
        <w:t>, likus 0–2</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 xml:space="preserve">val. iki to laiko, kai pagal numatytą dozavimo režimą turėtų būti vartojamas </w:t>
      </w:r>
      <w:proofErr w:type="spellStart"/>
      <w:r w:rsidRPr="007F2054">
        <w:rPr>
          <w:rFonts w:ascii="Times New Roman" w:eastAsia="Times New Roman" w:hAnsi="Times New Roman" w:cs="Times New Roman"/>
        </w:rPr>
        <w:t>parenterinis</w:t>
      </w:r>
      <w:proofErr w:type="spellEnd"/>
      <w:r w:rsidRPr="007F2054">
        <w:rPr>
          <w:rFonts w:ascii="Times New Roman" w:eastAsia="Times New Roman" w:hAnsi="Times New Roman" w:cs="Times New Roman"/>
        </w:rPr>
        <w:t xml:space="preserve"> vaistinis preparatas (pvz., mažos molekulinės masės heparinas), arba tuo metu, kai nutraukiamas nuolatinis </w:t>
      </w:r>
      <w:proofErr w:type="spellStart"/>
      <w:r w:rsidRPr="007F2054">
        <w:rPr>
          <w:rFonts w:ascii="Times New Roman" w:eastAsia="Times New Roman" w:hAnsi="Times New Roman" w:cs="Times New Roman"/>
        </w:rPr>
        <w:t>parenterinio</w:t>
      </w:r>
      <w:proofErr w:type="spellEnd"/>
      <w:r w:rsidRPr="007F2054">
        <w:rPr>
          <w:rFonts w:ascii="Times New Roman" w:eastAsia="Times New Roman" w:hAnsi="Times New Roman" w:cs="Times New Roman"/>
        </w:rPr>
        <w:t xml:space="preserve"> vaistinio preparato (pvz., intraveninio </w:t>
      </w:r>
      <w:proofErr w:type="spellStart"/>
      <w:r w:rsidRPr="007F2054">
        <w:rPr>
          <w:rFonts w:ascii="Times New Roman" w:eastAsia="Times New Roman" w:hAnsi="Times New Roman" w:cs="Times New Roman"/>
        </w:rPr>
        <w:t>nefrakcionuoto</w:t>
      </w:r>
      <w:proofErr w:type="spellEnd"/>
      <w:r w:rsidRPr="007F2054">
        <w:rPr>
          <w:rFonts w:ascii="Times New Roman" w:eastAsia="Times New Roman" w:hAnsi="Times New Roman" w:cs="Times New Roman"/>
        </w:rPr>
        <w:t xml:space="preserve"> heparino) vartojimas.</w:t>
      </w:r>
    </w:p>
    <w:p w14:paraId="78DD88F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5DC6AF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Rivaroksabano keitimas parenteriniu būdu vartojamais antikoaguliantais </w:t>
      </w:r>
    </w:p>
    <w:p w14:paraId="54002354" w14:textId="4CFF0C4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Pirmąją parenteriniu būdu vartojamo antikoagulianto dozę skirkite tuo metu, kai turėjo būti vartojama kita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dozė.</w:t>
      </w:r>
    </w:p>
    <w:p w14:paraId="24581DB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377D06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Ypatingos populiacijos </w:t>
      </w:r>
    </w:p>
    <w:p w14:paraId="0683466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531AE3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Pacientams, kurių inkstų funkciją sutrikusi</w:t>
      </w:r>
    </w:p>
    <w:p w14:paraId="0DF58665" w14:textId="49C752D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Riboti klinikiniai duomenys rodo, kad pacientams, kuriems yra sunkus inkstų funkcijos sutrikimas (kreatinino klirensas 15–29</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rivaroksabano koncentracija plazmoje būna reikšmingai padidėjusi. Todėl šiems pacientams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reikia vartoti atsargiai. Nerekomenduojama vartoti </w:t>
      </w:r>
      <w:r w:rsidRPr="007F2054">
        <w:rPr>
          <w:rFonts w:ascii="Times New Roman" w:eastAsia="Times New Roman" w:hAnsi="Times New Roman" w:cs="Times New Roman"/>
        </w:rPr>
        <w:lastRenderedPageBreak/>
        <w:t>pacientams, kurių kreatinino klirensas &lt;</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15</w:t>
      </w:r>
      <w:r w:rsidR="00CC7058"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(žr. 4.4 ir 5.2 skyrius). </w:t>
      </w:r>
    </w:p>
    <w:p w14:paraId="1F318179" w14:textId="0E42195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Pacientams, kuriems yra lengvas inkstų funkcijos sutrikimas (kreatinino klirensas 50–80</w:t>
      </w:r>
      <w:r w:rsidR="00BE4C73">
        <w:rPr>
          <w:rFonts w:ascii="Times New Roman" w:eastAsia="Times New Roman" w:hAnsi="Times New Roman" w:cs="Times New Roman"/>
        </w:rPr>
        <w:t> </w:t>
      </w:r>
      <w:r w:rsidRPr="007F2054">
        <w:rPr>
          <w:rFonts w:ascii="Times New Roman" w:eastAsia="Times New Roman" w:hAnsi="Times New Roman" w:cs="Times New Roman"/>
        </w:rPr>
        <w:t>ml/min) arba vidutinio sunkumo inkstų funkcijos sutrikimas (kreatinino klirensas 30–49</w:t>
      </w:r>
      <w:r w:rsidR="000A618E"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dozės koreguoti nereikia (žr. 5.2 skyrių). </w:t>
      </w:r>
    </w:p>
    <w:p w14:paraId="4940BBF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3772D9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Pacientams, kurių kepenų funkcija sutrikusi</w:t>
      </w:r>
    </w:p>
    <w:p w14:paraId="1E1C2125" w14:textId="6FC351B4" w:rsidR="00D61A12" w:rsidRPr="007F2054" w:rsidRDefault="005A3031" w:rsidP="00D61A12">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D61A12" w:rsidRPr="007F2054">
        <w:rPr>
          <w:rFonts w:ascii="Times New Roman" w:eastAsia="Times New Roman" w:hAnsi="Times New Roman" w:cs="Times New Roman"/>
        </w:rPr>
        <w:t xml:space="preserve"> draudžiama vartoti pacientams, sergantiems kepenų liga, susijusia su </w:t>
      </w:r>
      <w:proofErr w:type="spellStart"/>
      <w:r w:rsidR="00D61A12" w:rsidRPr="007F2054">
        <w:rPr>
          <w:rFonts w:ascii="Times New Roman" w:eastAsia="Times New Roman" w:hAnsi="Times New Roman" w:cs="Times New Roman"/>
        </w:rPr>
        <w:t>koaguliopatija</w:t>
      </w:r>
      <w:proofErr w:type="spellEnd"/>
      <w:r w:rsidR="00D61A12" w:rsidRPr="007F2054">
        <w:rPr>
          <w:rFonts w:ascii="Times New Roman" w:eastAsia="Times New Roman" w:hAnsi="Times New Roman" w:cs="Times New Roman"/>
        </w:rPr>
        <w:t xml:space="preserve"> ir klinikiniu požiūriu reikšmingo kraujavimo rizika, įskaitant ciroze sergančius pacientus (B ir C klasės pagal </w:t>
      </w:r>
      <w:proofErr w:type="spellStart"/>
      <w:r w:rsidR="00D61A12" w:rsidRPr="007F2054">
        <w:rPr>
          <w:rFonts w:ascii="Times New Roman" w:eastAsia="Times New Roman" w:hAnsi="Times New Roman" w:cs="Times New Roman"/>
        </w:rPr>
        <w:t>Child</w:t>
      </w:r>
      <w:proofErr w:type="spellEnd"/>
      <w:r w:rsidR="00D61A12" w:rsidRPr="007F2054">
        <w:rPr>
          <w:rFonts w:ascii="Times New Roman" w:eastAsia="Times New Roman" w:hAnsi="Times New Roman" w:cs="Times New Roman"/>
        </w:rPr>
        <w:t xml:space="preserve"> </w:t>
      </w:r>
      <w:proofErr w:type="spellStart"/>
      <w:r w:rsidR="00D61A12" w:rsidRPr="007F2054">
        <w:rPr>
          <w:rFonts w:ascii="Times New Roman" w:eastAsia="Times New Roman" w:hAnsi="Times New Roman" w:cs="Times New Roman"/>
        </w:rPr>
        <w:t>Pugh</w:t>
      </w:r>
      <w:proofErr w:type="spellEnd"/>
      <w:r w:rsidR="00D61A12" w:rsidRPr="007F2054">
        <w:rPr>
          <w:rFonts w:ascii="Times New Roman" w:eastAsia="Times New Roman" w:hAnsi="Times New Roman" w:cs="Times New Roman"/>
        </w:rPr>
        <w:t>) (žr. 4.3 ir 5.2 skyrius).</w:t>
      </w:r>
    </w:p>
    <w:p w14:paraId="3830398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D1B7C2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Senyviems pacientams </w:t>
      </w:r>
    </w:p>
    <w:p w14:paraId="1277DAE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Dozės koreguoti nereikia (žr. 4.4 ir 5.2 skyrius) </w:t>
      </w:r>
    </w:p>
    <w:p w14:paraId="1B14F8B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Su amžiumi didėja kraujavimo rizika (žr. 4.4 skyrių). </w:t>
      </w:r>
    </w:p>
    <w:p w14:paraId="0E95DAC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5F5A48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Kūno svoris </w:t>
      </w:r>
    </w:p>
    <w:p w14:paraId="5BB6CD4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Dozės koreguoti nereikia (žr. 4.4 ir 5.2 skyrius) </w:t>
      </w:r>
    </w:p>
    <w:p w14:paraId="0EECFF2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50501B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Lytis </w:t>
      </w:r>
    </w:p>
    <w:p w14:paraId="1C1E8F3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Dozės koreguoti nereikia (žr. 5.2 skyrių) </w:t>
      </w:r>
    </w:p>
    <w:p w14:paraId="5B68CF0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EDB132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Vaikų populiacija </w:t>
      </w:r>
    </w:p>
    <w:p w14:paraId="157B0103" w14:textId="3D6EDE46" w:rsidR="00D61A12" w:rsidRPr="007F2054" w:rsidRDefault="005A3031" w:rsidP="00D61A12">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D61A12" w:rsidRPr="007F2054">
        <w:rPr>
          <w:rFonts w:ascii="Times New Roman" w:eastAsia="Times New Roman" w:hAnsi="Times New Roman" w:cs="Times New Roman"/>
        </w:rPr>
        <w:t xml:space="preserve"> 2,5 mg </w:t>
      </w:r>
      <w:r w:rsidR="00013855" w:rsidRPr="007F2054">
        <w:rPr>
          <w:rFonts w:ascii="Times New Roman" w:eastAsia="Times New Roman" w:hAnsi="Times New Roman" w:cs="Times New Roman"/>
        </w:rPr>
        <w:t xml:space="preserve">plėvele dengtų tablečių </w:t>
      </w:r>
      <w:r w:rsidR="00D61A12" w:rsidRPr="007F2054">
        <w:rPr>
          <w:rFonts w:ascii="Times New Roman" w:eastAsia="Times New Roman" w:hAnsi="Times New Roman" w:cs="Times New Roman"/>
        </w:rPr>
        <w:t xml:space="preserve">saugumas ir veiksmingumas vaikams nuo 0 iki 18 metų amžiaus neištirti. Duomenų nėra, todėl </w:t>
      </w:r>
      <w:r>
        <w:rPr>
          <w:rFonts w:ascii="Times New Roman" w:eastAsia="Times New Roman" w:hAnsi="Times New Roman" w:cs="Times New Roman"/>
        </w:rPr>
        <w:t>Xiltess</w:t>
      </w:r>
      <w:r w:rsidR="00D61A12" w:rsidRPr="007F2054">
        <w:rPr>
          <w:rFonts w:ascii="Times New Roman" w:eastAsia="Times New Roman" w:hAnsi="Times New Roman" w:cs="Times New Roman"/>
        </w:rPr>
        <w:t xml:space="preserve"> 2,5 mg </w:t>
      </w:r>
      <w:r w:rsidR="00013855" w:rsidRPr="007F2054">
        <w:rPr>
          <w:rFonts w:ascii="Times New Roman" w:eastAsia="Times New Roman" w:hAnsi="Times New Roman" w:cs="Times New Roman"/>
        </w:rPr>
        <w:t xml:space="preserve">tablečių </w:t>
      </w:r>
      <w:r w:rsidR="00D61A12" w:rsidRPr="007F2054">
        <w:rPr>
          <w:rFonts w:ascii="Times New Roman" w:eastAsia="Times New Roman" w:hAnsi="Times New Roman" w:cs="Times New Roman"/>
        </w:rPr>
        <w:t xml:space="preserve">nerekomenduojama vartoti vaikams, jaunesniems kaip 18 metų. </w:t>
      </w:r>
    </w:p>
    <w:p w14:paraId="2AE27FE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E5149A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Vartojimo metodas </w:t>
      </w:r>
    </w:p>
    <w:p w14:paraId="1F84A21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E4ABB7F" w14:textId="23485C67" w:rsidR="00D61A12" w:rsidRPr="007F2054" w:rsidRDefault="005A3031" w:rsidP="00D61A12">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D61A12" w:rsidRPr="007F2054">
        <w:rPr>
          <w:rFonts w:ascii="Times New Roman" w:eastAsia="Times New Roman" w:hAnsi="Times New Roman" w:cs="Times New Roman"/>
        </w:rPr>
        <w:t xml:space="preserve"> skirtas vartoti per burną. </w:t>
      </w:r>
    </w:p>
    <w:p w14:paraId="5407D5FF" w14:textId="66B3C767" w:rsidR="00D61A12" w:rsidRPr="007F2054" w:rsidRDefault="005A3031" w:rsidP="00D61A12">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0A618E" w:rsidRPr="007F2054">
        <w:rPr>
          <w:rFonts w:ascii="Times New Roman" w:eastAsia="Times New Roman" w:hAnsi="Times New Roman" w:cs="Times New Roman"/>
        </w:rPr>
        <w:t xml:space="preserve"> 2,5 mg plėvele dengtas t</w:t>
      </w:r>
      <w:r w:rsidR="00D61A12" w:rsidRPr="007F2054">
        <w:rPr>
          <w:rFonts w:ascii="Times New Roman" w:eastAsia="Times New Roman" w:hAnsi="Times New Roman" w:cs="Times New Roman"/>
        </w:rPr>
        <w:t xml:space="preserve">abletes galima vartoti valgio metu arba nevalgius (žr. 4.5 ir 5.2 skyrius). </w:t>
      </w:r>
    </w:p>
    <w:p w14:paraId="4BA96FD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E33E9D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Tablečių traiškymas </w:t>
      </w:r>
    </w:p>
    <w:p w14:paraId="689E9E11" w14:textId="00113973"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kurie negali nuryti visos tabletės, prieš pat vartojant </w:t>
      </w:r>
      <w:r w:rsidR="005A3031">
        <w:rPr>
          <w:rFonts w:ascii="Times New Roman" w:eastAsia="Times New Roman" w:hAnsi="Times New Roman" w:cs="Times New Roman"/>
        </w:rPr>
        <w:t>Xiltess</w:t>
      </w:r>
      <w:r w:rsidRPr="007F2054">
        <w:rPr>
          <w:rFonts w:ascii="Times New Roman" w:eastAsia="Times New Roman" w:hAnsi="Times New Roman" w:cs="Times New Roman"/>
        </w:rPr>
        <w:t>, tabletę galima su</w:t>
      </w:r>
      <w:r w:rsidR="00B96744">
        <w:rPr>
          <w:rFonts w:ascii="Times New Roman" w:eastAsia="Times New Roman" w:hAnsi="Times New Roman" w:cs="Times New Roman"/>
        </w:rPr>
        <w:t>traiškyti</w:t>
      </w:r>
      <w:r w:rsidRPr="007F2054">
        <w:rPr>
          <w:rFonts w:ascii="Times New Roman" w:eastAsia="Times New Roman" w:hAnsi="Times New Roman" w:cs="Times New Roman"/>
        </w:rPr>
        <w:t xml:space="preserve"> ir sumaišyti su vandeniu arba obuolių tyre, ir suvartoti per burną. </w:t>
      </w:r>
    </w:p>
    <w:p w14:paraId="2822DE8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CBF872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Susmulkintą tabletę galima vartoti ir per skrandžio vamzdelį (žr. 5.2 ir 6.6 skyrius).</w:t>
      </w:r>
    </w:p>
    <w:p w14:paraId="3AB1DB0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42BB9C3" w14:textId="115DC5CB"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Kontraindikacijos</w:t>
      </w:r>
    </w:p>
    <w:p w14:paraId="2C82461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CC8529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Padidėjęs jautrumas veikliajai arba bet kuriai 6.1 skyriuje nurodytai pagalbinei medžiagai. </w:t>
      </w:r>
    </w:p>
    <w:p w14:paraId="4C159AC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3DFFDB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Aktyvus, klinikiniu požiūriu reikšmingas kraujavimas. </w:t>
      </w:r>
    </w:p>
    <w:p w14:paraId="73162B0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47C9C3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w:t>
      </w:r>
      <w:proofErr w:type="spellStart"/>
      <w:r w:rsidRPr="007F2054">
        <w:rPr>
          <w:rFonts w:ascii="Times New Roman" w:eastAsia="Times New Roman" w:hAnsi="Times New Roman" w:cs="Times New Roman"/>
        </w:rPr>
        <w:t>varikozė</w:t>
      </w:r>
      <w:proofErr w:type="spellEnd"/>
      <w:r w:rsidRPr="007F2054">
        <w:rPr>
          <w:rFonts w:ascii="Times New Roman" w:eastAsia="Times New Roman" w:hAnsi="Times New Roman" w:cs="Times New Roman"/>
        </w:rPr>
        <w:t xml:space="preserve">, įgimtos </w:t>
      </w:r>
      <w:proofErr w:type="spellStart"/>
      <w:r w:rsidRPr="007F2054">
        <w:rPr>
          <w:rFonts w:ascii="Times New Roman" w:eastAsia="Times New Roman" w:hAnsi="Times New Roman" w:cs="Times New Roman"/>
        </w:rPr>
        <w:t>arterioveninės</w:t>
      </w:r>
      <w:proofErr w:type="spellEnd"/>
      <w:r w:rsidRPr="007F2054">
        <w:rPr>
          <w:rFonts w:ascii="Times New Roman" w:eastAsia="Times New Roman" w:hAnsi="Times New Roman" w:cs="Times New Roman"/>
        </w:rPr>
        <w:t xml:space="preserve"> anomalijos, kraujagyslių aneurizmos arba didžiosios stuburo ar galvos smegenų kraujagyslių anomalijos. </w:t>
      </w:r>
    </w:p>
    <w:p w14:paraId="2B8164D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E0544F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Tuo pačiu metu taikomas gydymas bet kuriais kitais antikoaguliantais, pvz., </w:t>
      </w:r>
      <w:proofErr w:type="spellStart"/>
      <w:r w:rsidRPr="007F2054">
        <w:rPr>
          <w:rFonts w:ascii="Times New Roman" w:eastAsia="Times New Roman" w:hAnsi="Times New Roman" w:cs="Times New Roman"/>
        </w:rPr>
        <w:t>nefrakcionuotu</w:t>
      </w:r>
      <w:proofErr w:type="spellEnd"/>
      <w:r w:rsidRPr="007F2054">
        <w:rPr>
          <w:rFonts w:ascii="Times New Roman" w:eastAsia="Times New Roman" w:hAnsi="Times New Roman" w:cs="Times New Roman"/>
        </w:rPr>
        <w:t xml:space="preserve"> heparinu (NFH), mažos molekulinės masės heparinais (</w:t>
      </w:r>
      <w:proofErr w:type="spellStart"/>
      <w:r w:rsidRPr="007F2054">
        <w:rPr>
          <w:rFonts w:ascii="Times New Roman" w:eastAsia="Times New Roman" w:hAnsi="Times New Roman" w:cs="Times New Roman"/>
        </w:rPr>
        <w:t>enoksaparinu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dalteparinu</w:t>
      </w:r>
      <w:proofErr w:type="spellEnd"/>
      <w:r w:rsidRPr="007F2054">
        <w:rPr>
          <w:rFonts w:ascii="Times New Roman" w:eastAsia="Times New Roman" w:hAnsi="Times New Roman" w:cs="Times New Roman"/>
        </w:rPr>
        <w:t xml:space="preserve"> ir kt.), heparino dariniais (</w:t>
      </w:r>
      <w:proofErr w:type="spellStart"/>
      <w:r w:rsidRPr="007F2054">
        <w:rPr>
          <w:rFonts w:ascii="Times New Roman" w:eastAsia="Times New Roman" w:hAnsi="Times New Roman" w:cs="Times New Roman"/>
        </w:rPr>
        <w:t>fondaparinuksu</w:t>
      </w:r>
      <w:proofErr w:type="spellEnd"/>
      <w:r w:rsidRPr="007F2054">
        <w:rPr>
          <w:rFonts w:ascii="Times New Roman" w:eastAsia="Times New Roman" w:hAnsi="Times New Roman" w:cs="Times New Roman"/>
        </w:rPr>
        <w:t xml:space="preserve"> ir kt.), geriamaisiais antikoaguliantais (</w:t>
      </w:r>
      <w:proofErr w:type="spellStart"/>
      <w:r w:rsidRPr="007F2054">
        <w:rPr>
          <w:rFonts w:ascii="Times New Roman" w:eastAsia="Times New Roman" w:hAnsi="Times New Roman" w:cs="Times New Roman"/>
        </w:rPr>
        <w:t>varfarinu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dabigatrano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eteksilatu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apiksabanu</w:t>
      </w:r>
      <w:proofErr w:type="spellEnd"/>
      <w:r w:rsidRPr="007F2054">
        <w:rPr>
          <w:rFonts w:ascii="Times New Roman" w:eastAsia="Times New Roman" w:hAnsi="Times New Roman" w:cs="Times New Roman"/>
        </w:rPr>
        <w:t xml:space="preserve"> ir kt.), išskyrus ypatingus gydymo antikoaguliantais keitimo atvejus (žr. 4.2 skyrių) arba kai NFH vartojamas tokiomis dozėmis, kurios būtinos, kad išliktų pralaidus centrinės venos arba arterijos kateteris (žr. 4.5 skyrių).</w:t>
      </w:r>
    </w:p>
    <w:p w14:paraId="4B32D96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8CADD9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lastRenderedPageBreak/>
        <w:t xml:space="preserve">Tuo pačiu metu taikomas </w:t>
      </w:r>
      <w:proofErr w:type="spellStart"/>
      <w:r w:rsidRPr="007F2054">
        <w:rPr>
          <w:rFonts w:ascii="Times New Roman" w:eastAsia="Times New Roman" w:hAnsi="Times New Roman" w:cs="Times New Roman"/>
        </w:rPr>
        <w:t>antitrombocitinis</w:t>
      </w:r>
      <w:proofErr w:type="spellEnd"/>
      <w:r w:rsidRPr="007F2054">
        <w:rPr>
          <w:rFonts w:ascii="Times New Roman" w:eastAsia="Times New Roman" w:hAnsi="Times New Roman" w:cs="Times New Roman"/>
        </w:rPr>
        <w:t xml:space="preserve"> ŪKS gydymas pacientams, anksčiau patyrusiems insultą arba praeinančių smegenų išemijos priepuolių (PSIP) (žr. 4.4 skyrių). </w:t>
      </w:r>
    </w:p>
    <w:p w14:paraId="19A3EB4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085112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Tuo pačiu metu taikomas VAL ir (arba) PAL gydymas ASR pacientams, anksčiau patyrusiems hemoraginį arba </w:t>
      </w:r>
      <w:proofErr w:type="spellStart"/>
      <w:r w:rsidRPr="007F2054">
        <w:rPr>
          <w:rFonts w:ascii="Times New Roman" w:eastAsia="Times New Roman" w:hAnsi="Times New Roman" w:cs="Times New Roman"/>
        </w:rPr>
        <w:t>lakūninį</w:t>
      </w:r>
      <w:proofErr w:type="spellEnd"/>
      <w:r w:rsidRPr="007F2054">
        <w:rPr>
          <w:rFonts w:ascii="Times New Roman" w:eastAsia="Times New Roman" w:hAnsi="Times New Roman" w:cs="Times New Roman"/>
        </w:rPr>
        <w:t xml:space="preserve"> insultą arba per praėjusį mėnesį patyrusiems bet kokį insultą (žr. 4.4 skyrių). </w:t>
      </w:r>
    </w:p>
    <w:p w14:paraId="4BEEE3C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6A4F30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Kepenų liga, susijusi su </w:t>
      </w:r>
      <w:proofErr w:type="spellStart"/>
      <w:r w:rsidRPr="007F2054">
        <w:rPr>
          <w:rFonts w:ascii="Times New Roman" w:eastAsia="Times New Roman" w:hAnsi="Times New Roman" w:cs="Times New Roman"/>
        </w:rPr>
        <w:t>koaguliopatija</w:t>
      </w:r>
      <w:proofErr w:type="spellEnd"/>
      <w:r w:rsidRPr="007F2054">
        <w:rPr>
          <w:rFonts w:ascii="Times New Roman" w:eastAsia="Times New Roman" w:hAnsi="Times New Roman" w:cs="Times New Roman"/>
        </w:rPr>
        <w:t xml:space="preserve"> ir klinikiniu požiūriu reikšmingo kraujavimo rizika, įskaitant ciroze sergančius pacientus (B ir C klasės pagal </w:t>
      </w:r>
      <w:proofErr w:type="spellStart"/>
      <w:r w:rsidRPr="007F2054">
        <w:rPr>
          <w:rFonts w:ascii="Times New Roman" w:eastAsia="Times New Roman" w:hAnsi="Times New Roman" w:cs="Times New Roman"/>
        </w:rPr>
        <w:t>Child</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Pugh</w:t>
      </w:r>
      <w:proofErr w:type="spellEnd"/>
      <w:r w:rsidRPr="007F2054">
        <w:rPr>
          <w:rFonts w:ascii="Times New Roman" w:eastAsia="Times New Roman" w:hAnsi="Times New Roman" w:cs="Times New Roman"/>
        </w:rPr>
        <w:t xml:space="preserve">) (žr. 5.2 skyrių). </w:t>
      </w:r>
    </w:p>
    <w:p w14:paraId="210C340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C35AEC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Nėštumo ir žindymo laikotarpis (žr. 4.6 skyrių).</w:t>
      </w:r>
    </w:p>
    <w:p w14:paraId="627E591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42C90B6" w14:textId="5FD54E1C"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Specialūs įspėjimai ir atsargumo priemonės</w:t>
      </w:r>
    </w:p>
    <w:p w14:paraId="5CB8694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9AC0730" w14:textId="2B1BCA7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ŪKS sergantiems pacientams du kartus per parą vartojamo rivaroksabano 2,5 mg veiksmingumas bei saugumas buvo ištirti, derinant šį vaistinį preparatą su </w:t>
      </w:r>
      <w:proofErr w:type="spellStart"/>
      <w:r w:rsidRPr="007F2054">
        <w:rPr>
          <w:rFonts w:ascii="Times New Roman" w:eastAsia="Times New Roman" w:hAnsi="Times New Roman" w:cs="Times New Roman"/>
        </w:rPr>
        <w:t>antitrombocitinėmis</w:t>
      </w:r>
      <w:proofErr w:type="spellEnd"/>
      <w:r w:rsidRPr="007F2054">
        <w:rPr>
          <w:rFonts w:ascii="Times New Roman" w:eastAsia="Times New Roman" w:hAnsi="Times New Roman" w:cs="Times New Roman"/>
        </w:rPr>
        <w:t xml:space="preserve"> medžiagomis – vien ASR arba ASR ir </w:t>
      </w:r>
      <w:proofErr w:type="spellStart"/>
      <w:r w:rsidRPr="007F2054">
        <w:rPr>
          <w:rFonts w:ascii="Times New Roman" w:eastAsia="Times New Roman" w:hAnsi="Times New Roman" w:cs="Times New Roman"/>
        </w:rPr>
        <w:t>klopidogreliu</w:t>
      </w:r>
      <w:proofErr w:type="spellEnd"/>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tiklopidinu</w:t>
      </w:r>
      <w:proofErr w:type="spellEnd"/>
      <w:r w:rsidRPr="007F2054">
        <w:rPr>
          <w:rFonts w:ascii="Times New Roman" w:eastAsia="Times New Roman" w:hAnsi="Times New Roman" w:cs="Times New Roman"/>
        </w:rPr>
        <w:t>.</w:t>
      </w:r>
    </w:p>
    <w:p w14:paraId="479C84F8" w14:textId="68AEBCB8"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VAL ir (arba) PAL sergantiems pacientams, kuriems yra didelė išeminių reiškinių rizika, du kartus per parą vartojamo rivaroksabano 2,5 mg veiksmingumas ir saugumas ištirti jį derinant su ASR.</w:t>
      </w:r>
    </w:p>
    <w:p w14:paraId="5AA5F156" w14:textId="73A46C2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kuriems dėl simptominės PAL neseniai atlikta apatinės galūnės revaskuliarizacijos procedūra, du kartus per parą vartojamo rivaroksabano 2,5 mg veiksmingumas ir saugumas ištirti jį derinant vien tik su </w:t>
      </w:r>
      <w:proofErr w:type="spellStart"/>
      <w:r w:rsidRPr="007F2054">
        <w:rPr>
          <w:rFonts w:ascii="Times New Roman" w:eastAsia="Times New Roman" w:hAnsi="Times New Roman" w:cs="Times New Roman"/>
        </w:rPr>
        <w:t>antitrombocitinį</w:t>
      </w:r>
      <w:proofErr w:type="spellEnd"/>
      <w:r w:rsidRPr="007F2054">
        <w:rPr>
          <w:rFonts w:ascii="Times New Roman" w:eastAsia="Times New Roman" w:hAnsi="Times New Roman" w:cs="Times New Roman"/>
        </w:rPr>
        <w:t xml:space="preserve"> poveikį turinčia medžiaga ASR arba su ASR ir trumpai vartojamu </w:t>
      </w:r>
      <w:proofErr w:type="spellStart"/>
      <w:r w:rsidRPr="007F2054">
        <w:rPr>
          <w:rFonts w:ascii="Times New Roman" w:eastAsia="Times New Roman" w:hAnsi="Times New Roman" w:cs="Times New Roman"/>
        </w:rPr>
        <w:t>klopidogreliu</w:t>
      </w:r>
      <w:proofErr w:type="spellEnd"/>
      <w:r w:rsidRPr="007F2054">
        <w:rPr>
          <w:rFonts w:ascii="Times New Roman" w:eastAsia="Times New Roman" w:hAnsi="Times New Roman" w:cs="Times New Roman"/>
        </w:rPr>
        <w:t>. Prireikus gydymas dviem antitrombocitiniais vaistiniais preparatais skiriant klopidogrelio turi būti trumpalaikis; ilgalaikio gydymo dviem antitrombocitiniais vaistiniais preparatais reikia vengti (žr. 5.1 skyrių).</w:t>
      </w:r>
    </w:p>
    <w:p w14:paraId="2B2868E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Gydymas derinant su kitomis </w:t>
      </w:r>
      <w:proofErr w:type="spellStart"/>
      <w:r w:rsidRPr="007F2054">
        <w:rPr>
          <w:rFonts w:ascii="Times New Roman" w:eastAsia="Times New Roman" w:hAnsi="Times New Roman" w:cs="Times New Roman"/>
        </w:rPr>
        <w:t>antitrombocitinį</w:t>
      </w:r>
      <w:proofErr w:type="spellEnd"/>
      <w:r w:rsidRPr="007F2054">
        <w:rPr>
          <w:rFonts w:ascii="Times New Roman" w:eastAsia="Times New Roman" w:hAnsi="Times New Roman" w:cs="Times New Roman"/>
        </w:rPr>
        <w:t xml:space="preserve"> poveikį turinčiomis medžiagomis, pvz., </w:t>
      </w:r>
      <w:proofErr w:type="spellStart"/>
      <w:r w:rsidRPr="007F2054">
        <w:rPr>
          <w:rFonts w:ascii="Times New Roman" w:eastAsia="Times New Roman" w:hAnsi="Times New Roman" w:cs="Times New Roman"/>
        </w:rPr>
        <w:t>prazugreliu</w:t>
      </w:r>
      <w:proofErr w:type="spellEnd"/>
      <w:r w:rsidRPr="007F2054">
        <w:rPr>
          <w:rFonts w:ascii="Times New Roman" w:eastAsia="Times New Roman" w:hAnsi="Times New Roman" w:cs="Times New Roman"/>
        </w:rPr>
        <w:t xml:space="preserve"> arba </w:t>
      </w:r>
      <w:proofErr w:type="spellStart"/>
      <w:r w:rsidRPr="007F2054">
        <w:rPr>
          <w:rFonts w:ascii="Times New Roman" w:eastAsia="Times New Roman" w:hAnsi="Times New Roman" w:cs="Times New Roman"/>
        </w:rPr>
        <w:t>tikagreloru</w:t>
      </w:r>
      <w:proofErr w:type="spellEnd"/>
      <w:r w:rsidRPr="007F2054">
        <w:rPr>
          <w:rFonts w:ascii="Times New Roman" w:eastAsia="Times New Roman" w:hAnsi="Times New Roman" w:cs="Times New Roman"/>
        </w:rPr>
        <w:t>, neištirtas ir nerekomenduojamas.</w:t>
      </w:r>
    </w:p>
    <w:p w14:paraId="484C442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0DF396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Gydymo laikotarpiu rekomenduojamas klinikinis stebėjimas, paremtas gydymo antikoaguliantais praktika.</w:t>
      </w:r>
    </w:p>
    <w:p w14:paraId="7EAAD95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B61017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Hemoragijos</w:t>
      </w:r>
      <w:proofErr w:type="spellEnd"/>
      <w:r w:rsidRPr="007F2054">
        <w:rPr>
          <w:rFonts w:ascii="Times New Roman" w:eastAsia="Times New Roman" w:hAnsi="Times New Roman" w:cs="Times New Roman"/>
          <w:u w:val="single"/>
        </w:rPr>
        <w:t xml:space="preserve"> rizika</w:t>
      </w:r>
    </w:p>
    <w:p w14:paraId="53836124" w14:textId="32F4EA4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Kaip ir gydant kitais antikoaguliantais,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vartojančius pacientus reikia atidžiai stebėti dėl kraujavimo požymių. Esant padidėjusios kraujavimo rizikos būklėms, šio vaistinio preparato rekomenduojama vartoti atsargiai. Jei pasireiškia sunkus kraujavimas,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vartojimą reikia nutraukti (žr. 4.9 skyrių).</w:t>
      </w:r>
    </w:p>
    <w:p w14:paraId="7232939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9550F2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ir kartu skiriant vieno arba dviejų </w:t>
      </w:r>
      <w:proofErr w:type="spellStart"/>
      <w:r w:rsidRPr="007F2054">
        <w:rPr>
          <w:rFonts w:ascii="Times New Roman" w:eastAsia="Times New Roman" w:hAnsi="Times New Roman" w:cs="Times New Roman"/>
        </w:rPr>
        <w:t>antitrombocitinių</w:t>
      </w:r>
      <w:proofErr w:type="spellEnd"/>
      <w:r w:rsidRPr="007F2054">
        <w:rPr>
          <w:rFonts w:ascii="Times New Roman" w:eastAsia="Times New Roman" w:hAnsi="Times New Roman" w:cs="Times New Roman"/>
        </w:rPr>
        <w:t xml:space="preserve"> vaistinių preparatų. Taigi, papildant adekvatų klinikinį stebėjimą, slaptam kraujavimui nustatyti ir klinikinei akivaizdaus kraujavimo reikšmei įvertinti gali būti naudinga atlikti hemoglobino ir (arba) </w:t>
      </w:r>
      <w:proofErr w:type="spellStart"/>
      <w:r w:rsidRPr="007F2054">
        <w:rPr>
          <w:rFonts w:ascii="Times New Roman" w:eastAsia="Times New Roman" w:hAnsi="Times New Roman" w:cs="Times New Roman"/>
        </w:rPr>
        <w:t>hematokrito</w:t>
      </w:r>
      <w:proofErr w:type="spellEnd"/>
      <w:r w:rsidRPr="007F2054">
        <w:rPr>
          <w:rFonts w:ascii="Times New Roman" w:eastAsia="Times New Roman" w:hAnsi="Times New Roman" w:cs="Times New Roman"/>
        </w:rPr>
        <w:t xml:space="preserve"> laboratorinius tyrimus, kurie laikomi tam tinkamais.</w:t>
      </w:r>
    </w:p>
    <w:p w14:paraId="6F340CF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AE2FF0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Keliems pacientų pogrupiams, kaip nurodyta toliau, yra padidėjusi kraujavimo rizika. Taigi šiems pacientams reikia įvertinti rivaroksabano vartojimo kartu su dviem antitrombocitiniais vaistiniais preparatais riziką ir </w:t>
      </w:r>
      <w:proofErr w:type="spellStart"/>
      <w:r w:rsidRPr="007F2054">
        <w:rPr>
          <w:rFonts w:ascii="Times New Roman" w:eastAsia="Times New Roman" w:hAnsi="Times New Roman" w:cs="Times New Roman"/>
        </w:rPr>
        <w:t>aterotrombozinių</w:t>
      </w:r>
      <w:proofErr w:type="spellEnd"/>
      <w:r w:rsidRPr="007F2054">
        <w:rPr>
          <w:rFonts w:ascii="Times New Roman" w:eastAsia="Times New Roman" w:hAnsi="Times New Roman" w:cs="Times New Roman"/>
        </w:rPr>
        <w:t xml:space="preserve"> reiškinių profilaktikos naudą. Be to, pradėjus gydymą, šiuos pacientus reikia atidžiai stebėti dėl kraujavimo komplikacijų požymių bei simptomų ir anemijos (žr. 4.8 skyrių).</w:t>
      </w:r>
    </w:p>
    <w:p w14:paraId="315DB31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Esant bet kokiam nepaaiškinamam hemoglobino sumažėjimui ar kraujospūdžio kritimui, reikia ieškoti kraujavimo vietos.</w:t>
      </w:r>
    </w:p>
    <w:p w14:paraId="72AC382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3F2C586" w14:textId="739F435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w:t>
      </w:r>
      <w:proofErr w:type="spellStart"/>
      <w:r w:rsidRPr="007F2054">
        <w:rPr>
          <w:rFonts w:ascii="Times New Roman" w:eastAsia="Times New Roman" w:hAnsi="Times New Roman" w:cs="Times New Roman"/>
        </w:rPr>
        <w:t>anti</w:t>
      </w:r>
      <w:proofErr w:type="spellEnd"/>
      <w:r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tyrimą (žr. 5.1 ir 5.2 skyrius).</w:t>
      </w:r>
    </w:p>
    <w:p w14:paraId="239076A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825B23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Sutrikusi inkstų funkcija </w:t>
      </w:r>
    </w:p>
    <w:p w14:paraId="59340E33" w14:textId="5158CB72"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lastRenderedPageBreak/>
        <w:t>Pacientams, kuriems yra sunkus inkstų funkcijos sutrikimas (kreatinino klirensas &lt;</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30</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ml/min), rivaroksabano koncentracija plazmoje gali būti labai padidėjusi (vidutiniškai 1,6 karto) ir tai gali lemti padidėjusią kraujavimo riziką. Pacientams, kurių kreatinino klirensas 15–29</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reikia vartoti atsargiai. Nerekomenduojama vartoti pacientams, kurių kreatinino klirensas &lt; 15</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(žr. 4.2 ir 5.2 skyrius). </w:t>
      </w:r>
    </w:p>
    <w:p w14:paraId="3D11A959" w14:textId="4A2EAC7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Pacientams, kuriems yra vidutinio sunkumo inkstų funkcijos sutrikimas (kreatinino klirensas</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30</w:t>
      </w:r>
      <w:r w:rsidR="000A420D" w:rsidRPr="007F2054">
        <w:rPr>
          <w:rFonts w:ascii="Times New Roman" w:eastAsia="Times New Roman" w:hAnsi="Times New Roman" w:cs="Times New Roman"/>
        </w:rPr>
        <w:t>–</w:t>
      </w:r>
      <w:r w:rsidRPr="007F2054">
        <w:rPr>
          <w:rFonts w:ascii="Times New Roman" w:eastAsia="Times New Roman" w:hAnsi="Times New Roman" w:cs="Times New Roman"/>
        </w:rPr>
        <w:t>49</w:t>
      </w:r>
      <w:r w:rsidR="000A420D"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kartu skiriant kitų vaistinių preparatų, kurie padidina rivaroksabano koncentraciją plazmoje,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reikia vartoti atsargiai (žr. 4.5 skyrių). </w:t>
      </w:r>
    </w:p>
    <w:p w14:paraId="699A879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851421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Sąveika su kitais vaistiniais preparatais </w:t>
      </w:r>
    </w:p>
    <w:p w14:paraId="10604A37" w14:textId="7638D5F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nerekomenduojama skirti pacientams, kuriems taikomas sisteminis gydymas </w:t>
      </w:r>
      <w:proofErr w:type="spellStart"/>
      <w:r w:rsidRPr="007F2054">
        <w:rPr>
          <w:rFonts w:ascii="Times New Roman" w:eastAsia="Times New Roman" w:hAnsi="Times New Roman" w:cs="Times New Roman"/>
        </w:rPr>
        <w:t>azolo</w:t>
      </w:r>
      <w:proofErr w:type="spellEnd"/>
      <w:r w:rsidRPr="007F2054">
        <w:rPr>
          <w:rFonts w:ascii="Times New Roman" w:eastAsia="Times New Roman" w:hAnsi="Times New Roman" w:cs="Times New Roman"/>
        </w:rPr>
        <w:t xml:space="preserve"> grupės priešgrybeliniais vaistiniais preparatais (pvz., </w:t>
      </w:r>
      <w:proofErr w:type="spellStart"/>
      <w:r w:rsidRPr="007F2054">
        <w:rPr>
          <w:rFonts w:ascii="Times New Roman" w:eastAsia="Times New Roman" w:hAnsi="Times New Roman" w:cs="Times New Roman"/>
        </w:rPr>
        <w:t>ketokonazolu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itrakonazolu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vorikonazolu</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pozakonazolu</w:t>
      </w:r>
      <w:proofErr w:type="spellEnd"/>
      <w:r w:rsidRPr="007F2054">
        <w:rPr>
          <w:rFonts w:ascii="Times New Roman" w:eastAsia="Times New Roman" w:hAnsi="Times New Roman" w:cs="Times New Roman"/>
        </w:rPr>
        <w:t xml:space="preserve">) arba ŽIV proteazės inhibitoriais (pvz., </w:t>
      </w:r>
      <w:proofErr w:type="spellStart"/>
      <w:r w:rsidRPr="007F2054">
        <w:rPr>
          <w:rFonts w:ascii="Times New Roman" w:eastAsia="Times New Roman" w:hAnsi="Times New Roman" w:cs="Times New Roman"/>
        </w:rPr>
        <w:t>ritonaviru</w:t>
      </w:r>
      <w:proofErr w:type="spellEnd"/>
      <w:r w:rsidRPr="007F2054">
        <w:rPr>
          <w:rFonts w:ascii="Times New Roman" w:eastAsia="Times New Roman" w:hAnsi="Times New Roman" w:cs="Times New Roman"/>
        </w:rPr>
        <w:t>). Šios veikliosios medžiagos yra stiprūs CYP3A4 ir P–</w:t>
      </w:r>
      <w:proofErr w:type="spellStart"/>
      <w:r w:rsidRPr="007F2054">
        <w:rPr>
          <w:rFonts w:ascii="Times New Roman" w:eastAsia="Times New Roman" w:hAnsi="Times New Roman" w:cs="Times New Roman"/>
        </w:rPr>
        <w:t>glikoproteino</w:t>
      </w:r>
      <w:proofErr w:type="spellEnd"/>
      <w:r w:rsidRPr="007F2054">
        <w:rPr>
          <w:rFonts w:ascii="Times New Roman" w:eastAsia="Times New Roman" w:hAnsi="Times New Roman" w:cs="Times New Roman"/>
        </w:rPr>
        <w:t xml:space="preserve"> (P–</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inhibitoriai ir dėl to gali klinikiniu požiūriu reikšmingai padidinti rivaroksabano koncentraciją plazmoje (vidutiniškai 2,6 karto), kas gali lemti padidėjusią kraujavimo riziką (žr. 4.5 skyrių). </w:t>
      </w:r>
    </w:p>
    <w:p w14:paraId="590BD0C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55485D5" w14:textId="7563EF92"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Turi būti imamasi atsargumo priemonių, jei pacientai kartu gydomi hemostazę veikiančiais vaistiniais preparatais, pvz., nesteroidiniais vaistiniais preparatais nuo uždegimo (NVPNU), acetilsalicilo rūgštimi (ASR) ir trombocitų </w:t>
      </w:r>
      <w:proofErr w:type="spellStart"/>
      <w:r w:rsidRPr="007F2054">
        <w:rPr>
          <w:rFonts w:ascii="Times New Roman" w:eastAsia="Times New Roman" w:hAnsi="Times New Roman" w:cs="Times New Roman"/>
        </w:rPr>
        <w:t>agregacijos</w:t>
      </w:r>
      <w:proofErr w:type="spellEnd"/>
      <w:r w:rsidRPr="007F2054">
        <w:rPr>
          <w:rFonts w:ascii="Times New Roman" w:eastAsia="Times New Roman" w:hAnsi="Times New Roman" w:cs="Times New Roman"/>
        </w:rPr>
        <w:t xml:space="preserve"> inhibitoriais arba selektyviais </w:t>
      </w:r>
      <w:proofErr w:type="spellStart"/>
      <w:r w:rsidRPr="007F2054">
        <w:rPr>
          <w:rFonts w:ascii="Times New Roman" w:eastAsia="Times New Roman" w:hAnsi="Times New Roman" w:cs="Times New Roman"/>
        </w:rPr>
        <w:t>serotonino</w:t>
      </w:r>
      <w:proofErr w:type="spellEnd"/>
      <w:r w:rsidRPr="007F2054">
        <w:rPr>
          <w:rFonts w:ascii="Times New Roman" w:eastAsia="Times New Roman" w:hAnsi="Times New Roman" w:cs="Times New Roman"/>
        </w:rPr>
        <w:t xml:space="preserve"> reabsorbcijos inhibitoriais (SSRI) ir </w:t>
      </w:r>
      <w:proofErr w:type="spellStart"/>
      <w:r w:rsidRPr="007F2054">
        <w:rPr>
          <w:rFonts w:ascii="Times New Roman" w:eastAsia="Times New Roman" w:hAnsi="Times New Roman" w:cs="Times New Roman"/>
        </w:rPr>
        <w:t>serotonino</w:t>
      </w:r>
      <w:proofErr w:type="spellEnd"/>
      <w:r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norepinefrino</w:t>
      </w:r>
      <w:proofErr w:type="spellEnd"/>
      <w:r w:rsidRPr="007F2054">
        <w:rPr>
          <w:rFonts w:ascii="Times New Roman" w:eastAsia="Times New Roman" w:hAnsi="Times New Roman" w:cs="Times New Roman"/>
        </w:rPr>
        <w:t xml:space="preserve"> reabsorbcijos inhibitoriais (SNRI). Pacientams, kuriems yra opinės virškinimo trakto ligos rizika, gali būti apsvarstytas atitinkamas profilaktinis gydymas (žr. 4.5 ir 5.1 skyrius). </w:t>
      </w:r>
    </w:p>
    <w:p w14:paraId="069F10AD" w14:textId="7BA791CC"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Pacientai, gydomi </w:t>
      </w:r>
      <w:proofErr w:type="spellStart"/>
      <w:r w:rsidR="005A3031">
        <w:rPr>
          <w:rFonts w:ascii="Times New Roman" w:eastAsia="Times New Roman" w:hAnsi="Times New Roman" w:cs="Times New Roman"/>
        </w:rPr>
        <w:t>Xiltess</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antitrombocitinį</w:t>
      </w:r>
      <w:proofErr w:type="spellEnd"/>
      <w:r w:rsidRPr="007F2054">
        <w:rPr>
          <w:rFonts w:ascii="Times New Roman" w:eastAsia="Times New Roman" w:hAnsi="Times New Roman" w:cs="Times New Roman"/>
        </w:rPr>
        <w:t xml:space="preserve"> poveikį turinčiomis medžiagomis, NVPNU kartu gali vartoti tik tada, jeigu gydymo nauda viršija kraujavimo riziką. </w:t>
      </w:r>
    </w:p>
    <w:p w14:paraId="1F4F7D9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791BAE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Kiti </w:t>
      </w:r>
      <w:proofErr w:type="spellStart"/>
      <w:r w:rsidRPr="007F2054">
        <w:rPr>
          <w:rFonts w:ascii="Times New Roman" w:eastAsia="Times New Roman" w:hAnsi="Times New Roman" w:cs="Times New Roman"/>
          <w:u w:val="single"/>
        </w:rPr>
        <w:t>hemoragijos</w:t>
      </w:r>
      <w:proofErr w:type="spellEnd"/>
      <w:r w:rsidRPr="007F2054">
        <w:rPr>
          <w:rFonts w:ascii="Times New Roman" w:eastAsia="Times New Roman" w:hAnsi="Times New Roman" w:cs="Times New Roman"/>
          <w:u w:val="single"/>
        </w:rPr>
        <w:t xml:space="preserve"> rizikos veiksniai </w:t>
      </w:r>
    </w:p>
    <w:p w14:paraId="3CBD3BB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Kaip ir kiti </w:t>
      </w:r>
      <w:proofErr w:type="spellStart"/>
      <w:r w:rsidRPr="007F2054">
        <w:rPr>
          <w:rFonts w:ascii="Times New Roman" w:eastAsia="Times New Roman" w:hAnsi="Times New Roman" w:cs="Times New Roman"/>
        </w:rPr>
        <w:t>antitromboziniai</w:t>
      </w:r>
      <w:proofErr w:type="spellEnd"/>
      <w:r w:rsidRPr="007F2054">
        <w:rPr>
          <w:rFonts w:ascii="Times New Roman" w:eastAsia="Times New Roman" w:hAnsi="Times New Roman" w:cs="Times New Roman"/>
        </w:rPr>
        <w:t xml:space="preserve"> vaistiniai preparatai, </w:t>
      </w:r>
      <w:proofErr w:type="spellStart"/>
      <w:r w:rsidRPr="007F2054">
        <w:rPr>
          <w:rFonts w:ascii="Times New Roman" w:eastAsia="Times New Roman" w:hAnsi="Times New Roman" w:cs="Times New Roman"/>
        </w:rPr>
        <w:t>rivaroksabanas</w:t>
      </w:r>
      <w:proofErr w:type="spellEnd"/>
      <w:r w:rsidRPr="007F2054">
        <w:rPr>
          <w:rFonts w:ascii="Times New Roman" w:eastAsia="Times New Roman" w:hAnsi="Times New Roman" w:cs="Times New Roman"/>
        </w:rPr>
        <w:t xml:space="preserve"> nerekomenduojamas pacientams, kuriems padidėjusi kraujavimo rizika dėl šių priežasčių: </w:t>
      </w:r>
    </w:p>
    <w:p w14:paraId="42A7B91C" w14:textId="49E2BD0E" w:rsidR="00D61A12" w:rsidRPr="007F2054" w:rsidRDefault="00D61A12" w:rsidP="002A046F">
      <w:pPr>
        <w:pStyle w:val="Sraopastraipa"/>
        <w:numPr>
          <w:ilvl w:val="2"/>
          <w:numId w:val="13"/>
        </w:numPr>
        <w:ind w:left="567" w:hanging="567"/>
      </w:pPr>
      <w:r w:rsidRPr="007F2054">
        <w:t xml:space="preserve">įgimti ar įgyti kraujavimo sutrikimai, </w:t>
      </w:r>
    </w:p>
    <w:p w14:paraId="37754FC6" w14:textId="04B4D271" w:rsidR="00D61A12" w:rsidRPr="007F2054" w:rsidRDefault="00D61A12" w:rsidP="002A046F">
      <w:pPr>
        <w:pStyle w:val="Sraopastraipa"/>
        <w:numPr>
          <w:ilvl w:val="2"/>
          <w:numId w:val="13"/>
        </w:numPr>
        <w:ind w:left="567" w:hanging="567"/>
      </w:pPr>
      <w:r w:rsidRPr="007F2054">
        <w:t xml:space="preserve">nesureguliuota sunki arterinė hipertenzija, </w:t>
      </w:r>
    </w:p>
    <w:p w14:paraId="2A822849" w14:textId="5BD05AD2" w:rsidR="00D61A12" w:rsidRPr="007F2054" w:rsidRDefault="00D61A12" w:rsidP="002A046F">
      <w:pPr>
        <w:pStyle w:val="Sraopastraipa"/>
        <w:numPr>
          <w:ilvl w:val="2"/>
          <w:numId w:val="13"/>
        </w:numPr>
        <w:ind w:left="567" w:hanging="567"/>
      </w:pPr>
      <w:r w:rsidRPr="007F2054">
        <w:t xml:space="preserve">kita virškinimo trakto liga be aktyvių opų, potencialiai galinti sukelti kraujavimo komplikacijas (pvz., uždegiminė žarnyno liga, </w:t>
      </w:r>
      <w:proofErr w:type="spellStart"/>
      <w:r w:rsidRPr="007F2054">
        <w:t>ezofagitas</w:t>
      </w:r>
      <w:proofErr w:type="spellEnd"/>
      <w:r w:rsidRPr="007F2054">
        <w:t xml:space="preserve">, gastritas ir </w:t>
      </w:r>
      <w:proofErr w:type="spellStart"/>
      <w:r w:rsidRPr="007F2054">
        <w:t>gastroezofaginio</w:t>
      </w:r>
      <w:proofErr w:type="spellEnd"/>
      <w:r w:rsidRPr="007F2054">
        <w:t xml:space="preserve"> refliukso liga), </w:t>
      </w:r>
    </w:p>
    <w:p w14:paraId="5E504BB0" w14:textId="14C151DB" w:rsidR="00D61A12" w:rsidRPr="007F2054" w:rsidRDefault="00D61A12" w:rsidP="002A046F">
      <w:pPr>
        <w:pStyle w:val="Sraopastraipa"/>
        <w:numPr>
          <w:ilvl w:val="2"/>
          <w:numId w:val="13"/>
        </w:numPr>
        <w:ind w:left="567" w:hanging="567"/>
      </w:pPr>
      <w:r w:rsidRPr="007F2054">
        <w:t xml:space="preserve">kraujagyslinė </w:t>
      </w:r>
      <w:proofErr w:type="spellStart"/>
      <w:r w:rsidRPr="007F2054">
        <w:t>retinopatija</w:t>
      </w:r>
      <w:proofErr w:type="spellEnd"/>
      <w:r w:rsidRPr="007F2054">
        <w:t xml:space="preserve">, </w:t>
      </w:r>
    </w:p>
    <w:p w14:paraId="4974909A" w14:textId="433499A0" w:rsidR="00D61A12" w:rsidRPr="007F2054" w:rsidRDefault="00D61A12" w:rsidP="002A046F">
      <w:pPr>
        <w:pStyle w:val="Sraopastraipa"/>
        <w:numPr>
          <w:ilvl w:val="2"/>
          <w:numId w:val="13"/>
        </w:numPr>
        <w:ind w:left="567" w:hanging="567"/>
      </w:pPr>
      <w:proofErr w:type="spellStart"/>
      <w:r w:rsidRPr="007F2054">
        <w:t>bronchektazės</w:t>
      </w:r>
      <w:proofErr w:type="spellEnd"/>
      <w:r w:rsidRPr="007F2054">
        <w:t xml:space="preserve"> arba buvęs kraujavimas iš plaučių. </w:t>
      </w:r>
    </w:p>
    <w:p w14:paraId="17DC52D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A62D55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Atsargiai reikia vartoti ŪKS patyrusiems bei VAL ir (arba) PAL sergantiems pacientams: </w:t>
      </w:r>
    </w:p>
    <w:p w14:paraId="3C9FAFF8" w14:textId="5E5D0951" w:rsidR="00D61A12" w:rsidRPr="007F2054" w:rsidRDefault="00D61A12" w:rsidP="002A046F">
      <w:pPr>
        <w:pStyle w:val="Sraopastraipa"/>
        <w:numPr>
          <w:ilvl w:val="2"/>
          <w:numId w:val="13"/>
        </w:numPr>
        <w:ind w:left="567" w:hanging="567"/>
      </w:pPr>
      <w:r w:rsidRPr="007F2054">
        <w:t>≥</w:t>
      </w:r>
      <w:r w:rsidR="002A046F" w:rsidRPr="007F2054">
        <w:t> </w:t>
      </w:r>
      <w:r w:rsidRPr="007F2054">
        <w:t xml:space="preserve">75 metų amžiaus, jeigu kartu vartojama ASR arba ASR su </w:t>
      </w:r>
      <w:proofErr w:type="spellStart"/>
      <w:r w:rsidRPr="007F2054">
        <w:t>klopidogreliu</w:t>
      </w:r>
      <w:proofErr w:type="spellEnd"/>
      <w:r w:rsidRPr="007F2054">
        <w:t xml:space="preserve"> ar </w:t>
      </w:r>
      <w:proofErr w:type="spellStart"/>
      <w:r w:rsidRPr="007F2054">
        <w:t>tiklopidinu</w:t>
      </w:r>
      <w:proofErr w:type="spellEnd"/>
      <w:r w:rsidRPr="007F2054">
        <w:t xml:space="preserve">. Reikia reguliariai individualiai įvertinti gydymo naudos ir rizikos santykį. </w:t>
      </w:r>
    </w:p>
    <w:p w14:paraId="552E81A7" w14:textId="4502AC0D" w:rsidR="00D61A12" w:rsidRPr="007F2054" w:rsidRDefault="00D61A12" w:rsidP="002A046F">
      <w:pPr>
        <w:pStyle w:val="Sraopastraipa"/>
        <w:numPr>
          <w:ilvl w:val="2"/>
          <w:numId w:val="13"/>
        </w:numPr>
        <w:ind w:left="567" w:hanging="567"/>
      </w:pPr>
      <w:r w:rsidRPr="007F2054">
        <w:t>mažesnio kūno svorio (&lt;</w:t>
      </w:r>
      <w:r w:rsidR="002A046F" w:rsidRPr="007F2054">
        <w:t> </w:t>
      </w:r>
      <w:r w:rsidRPr="007F2054">
        <w:t>60</w:t>
      </w:r>
      <w:r w:rsidR="002A046F" w:rsidRPr="007F2054">
        <w:t> </w:t>
      </w:r>
      <w:r w:rsidRPr="007F2054">
        <w:t xml:space="preserve">kg), jeigu kartu vartojama ASR arba ASR su </w:t>
      </w:r>
      <w:proofErr w:type="spellStart"/>
      <w:r w:rsidRPr="007F2054">
        <w:t>klopidogreliu</w:t>
      </w:r>
      <w:proofErr w:type="spellEnd"/>
      <w:r w:rsidRPr="007F2054">
        <w:t xml:space="preserve"> ar </w:t>
      </w:r>
      <w:proofErr w:type="spellStart"/>
      <w:r w:rsidRPr="007F2054">
        <w:t>tiklopidinu</w:t>
      </w:r>
      <w:proofErr w:type="spellEnd"/>
      <w:r w:rsidRPr="007F2054">
        <w:t xml:space="preserve">. </w:t>
      </w:r>
    </w:p>
    <w:p w14:paraId="7430C539" w14:textId="20A86DEA" w:rsidR="00D61A12" w:rsidRPr="007F2054" w:rsidRDefault="00D61A12" w:rsidP="002A046F">
      <w:pPr>
        <w:pStyle w:val="Sraopastraipa"/>
        <w:numPr>
          <w:ilvl w:val="2"/>
          <w:numId w:val="13"/>
        </w:numPr>
        <w:ind w:left="567" w:hanging="567"/>
      </w:pPr>
      <w:r w:rsidRPr="007F2054">
        <w:t xml:space="preserve">VAL sergantiems pacientams, kuriems yra sunkus simptominis širdies nepakankamumas. Tyrimo duomenys rodo, kad tokiems pacientams gydymas rivaroksabanu gali būti mažiau naudingas (žr. 5.1 skyrių). </w:t>
      </w:r>
    </w:p>
    <w:p w14:paraId="0E0B089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854ECC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Vėžiu sergantys pacientai </w:t>
      </w:r>
    </w:p>
    <w:p w14:paraId="4D0BA3E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sergantiems piktybine liga, tuo pačiu metu gali būti didesnė kraujavimo ir trombozės rizika. Turėtų būti įvertinta individuali </w:t>
      </w:r>
      <w:proofErr w:type="spellStart"/>
      <w:r w:rsidRPr="007F2054">
        <w:rPr>
          <w:rFonts w:ascii="Times New Roman" w:eastAsia="Times New Roman" w:hAnsi="Times New Roman" w:cs="Times New Roman"/>
        </w:rPr>
        <w:t>antitrombozinio</w:t>
      </w:r>
      <w:proofErr w:type="spellEnd"/>
      <w:r w:rsidRPr="007F2054">
        <w:rPr>
          <w:rFonts w:ascii="Times New Roman" w:eastAsia="Times New Roman" w:hAnsi="Times New Roman" w:cs="Times New Roman"/>
        </w:rPr>
        <w:t xml:space="preserve"> gydymo nauda lyginant su kraujavimo rizika pacientams, sergantiems aktyviu vėžiu, priklausomai nuo naviko lokalizacijos, priešvėžinio gydymo ir ligos stadijos. Virškinimo arba </w:t>
      </w:r>
      <w:proofErr w:type="spellStart"/>
      <w:r w:rsidRPr="007F2054">
        <w:rPr>
          <w:rFonts w:ascii="Times New Roman" w:eastAsia="Times New Roman" w:hAnsi="Times New Roman" w:cs="Times New Roman"/>
        </w:rPr>
        <w:t>urogenitaliniame</w:t>
      </w:r>
      <w:proofErr w:type="spellEnd"/>
      <w:r w:rsidRPr="007F2054">
        <w:rPr>
          <w:rFonts w:ascii="Times New Roman" w:eastAsia="Times New Roman" w:hAnsi="Times New Roman" w:cs="Times New Roman"/>
        </w:rPr>
        <w:t xml:space="preserve"> trakte esantys navikai buvo susiję su padidėjusia kraujavimo rizika gydant rivaroksabanu. </w:t>
      </w:r>
    </w:p>
    <w:p w14:paraId="529B64B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Pacientams, sergantiems piktybiniais navikais, kurių kraujavimo rizika yra didelė, rivaroksabano vartoti draudžiama (žr. 4.3 skyrių).</w:t>
      </w:r>
    </w:p>
    <w:p w14:paraId="2E7419E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713513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Pacientai, kuriems yra protezuoti širdies vožtuvai </w:t>
      </w:r>
    </w:p>
    <w:p w14:paraId="7B1FAD0D" w14:textId="6D42314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Pacientams, kuriems neseniai atliktas </w:t>
      </w:r>
      <w:proofErr w:type="spellStart"/>
      <w:r w:rsidRPr="007F2054">
        <w:rPr>
          <w:rFonts w:ascii="Times New Roman" w:eastAsia="Times New Roman" w:hAnsi="Times New Roman" w:cs="Times New Roman"/>
        </w:rPr>
        <w:t>transkateterinis</w:t>
      </w:r>
      <w:proofErr w:type="spellEnd"/>
      <w:r w:rsidRPr="007F2054">
        <w:rPr>
          <w:rFonts w:ascii="Times New Roman" w:eastAsia="Times New Roman" w:hAnsi="Times New Roman" w:cs="Times New Roman"/>
        </w:rPr>
        <w:t xml:space="preserve"> aortos vožtuvo pakeitimas (TAVP), </w:t>
      </w:r>
      <w:proofErr w:type="spellStart"/>
      <w:r w:rsidRPr="007F2054">
        <w:rPr>
          <w:rFonts w:ascii="Times New Roman" w:eastAsia="Times New Roman" w:hAnsi="Times New Roman" w:cs="Times New Roman"/>
        </w:rPr>
        <w:t>rivaroksabanas</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trombų</w:t>
      </w:r>
      <w:proofErr w:type="spellEnd"/>
      <w:r w:rsidRPr="007F2054">
        <w:rPr>
          <w:rFonts w:ascii="Times New Roman" w:eastAsia="Times New Roman" w:hAnsi="Times New Roman" w:cs="Times New Roman"/>
        </w:rPr>
        <w:t xml:space="preserve"> susidarymo profilaktikos tikslu nevartotinas. Rivaroksabano saugumas ir </w:t>
      </w:r>
      <w:r w:rsidRPr="007F2054">
        <w:rPr>
          <w:rFonts w:ascii="Times New Roman" w:eastAsia="Times New Roman" w:hAnsi="Times New Roman" w:cs="Times New Roman"/>
        </w:rPr>
        <w:lastRenderedPageBreak/>
        <w:t xml:space="preserve">veiksmingumas pacientams, kuriems yra protezuoti širdies vožtuvai, neištirti. Todėl nėra duomenų, patvirtinančių, kad rivaroksabanas šiems pacientams užtikrina pakankamą </w:t>
      </w:r>
      <w:proofErr w:type="spellStart"/>
      <w:r w:rsidRPr="007F2054">
        <w:rPr>
          <w:rFonts w:ascii="Times New Roman" w:eastAsia="Times New Roman" w:hAnsi="Times New Roman" w:cs="Times New Roman"/>
        </w:rPr>
        <w:t>antikoaguliacinį</w:t>
      </w:r>
      <w:proofErr w:type="spellEnd"/>
      <w:r w:rsidRPr="007F2054">
        <w:rPr>
          <w:rFonts w:ascii="Times New Roman" w:eastAsia="Times New Roman" w:hAnsi="Times New Roman" w:cs="Times New Roman"/>
        </w:rPr>
        <w:t xml:space="preserve"> poveikį. Gydymas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šiems pacientams nerekomenduojamas. </w:t>
      </w:r>
    </w:p>
    <w:p w14:paraId="093ED88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B04FF1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Antifosfolipidiniu</w:t>
      </w:r>
      <w:proofErr w:type="spellEnd"/>
      <w:r w:rsidRPr="007F2054">
        <w:rPr>
          <w:rFonts w:ascii="Times New Roman" w:eastAsia="Times New Roman" w:hAnsi="Times New Roman" w:cs="Times New Roman"/>
          <w:u w:val="single"/>
        </w:rPr>
        <w:t xml:space="preserve"> sindromu sergantys pacientai </w:t>
      </w:r>
    </w:p>
    <w:p w14:paraId="19BC007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Tiesioginio poveikio geriamieji antikoaguliantai (TPGA), įskaitant </w:t>
      </w:r>
      <w:proofErr w:type="spellStart"/>
      <w:r w:rsidRPr="007F2054">
        <w:rPr>
          <w:rFonts w:ascii="Times New Roman" w:eastAsia="Times New Roman" w:hAnsi="Times New Roman" w:cs="Times New Roman"/>
        </w:rPr>
        <w:t>rivaroksabaną</w:t>
      </w:r>
      <w:proofErr w:type="spellEnd"/>
      <w:r w:rsidRPr="007F2054">
        <w:rPr>
          <w:rFonts w:ascii="Times New Roman" w:eastAsia="Times New Roman" w:hAnsi="Times New Roman" w:cs="Times New Roman"/>
        </w:rPr>
        <w:t xml:space="preserve">, nerekomenduojami </w:t>
      </w:r>
      <w:proofErr w:type="spellStart"/>
      <w:r w:rsidRPr="007F2054">
        <w:rPr>
          <w:rFonts w:ascii="Times New Roman" w:eastAsia="Times New Roman" w:hAnsi="Times New Roman" w:cs="Times New Roman"/>
        </w:rPr>
        <w:t>antifosfolipidiniu</w:t>
      </w:r>
      <w:proofErr w:type="spellEnd"/>
      <w:r w:rsidRPr="007F2054">
        <w:rPr>
          <w:rFonts w:ascii="Times New Roman" w:eastAsia="Times New Roman" w:hAnsi="Times New Roman" w:cs="Times New Roman"/>
        </w:rPr>
        <w:t xml:space="preserve"> sindromu sergantiems pacientams, kuriems praeityje buvo nustatyta trombozė. Taikant gydymą TPGA, visų pirma tiems pacientams, kuriems nustatyti visų trijų pogrupių </w:t>
      </w:r>
      <w:proofErr w:type="spellStart"/>
      <w:r w:rsidRPr="007F2054">
        <w:rPr>
          <w:rFonts w:ascii="Times New Roman" w:eastAsia="Times New Roman" w:hAnsi="Times New Roman" w:cs="Times New Roman"/>
        </w:rPr>
        <w:t>antifosfolipidiniai</w:t>
      </w:r>
      <w:proofErr w:type="spellEnd"/>
      <w:r w:rsidRPr="007F2054">
        <w:rPr>
          <w:rFonts w:ascii="Times New Roman" w:eastAsia="Times New Roman" w:hAnsi="Times New Roman" w:cs="Times New Roman"/>
        </w:rPr>
        <w:t xml:space="preserve"> antikūnai (vilkligės antikoaguliantai, </w:t>
      </w:r>
      <w:proofErr w:type="spellStart"/>
      <w:r w:rsidRPr="007F2054">
        <w:rPr>
          <w:rFonts w:ascii="Times New Roman" w:eastAsia="Times New Roman" w:hAnsi="Times New Roman" w:cs="Times New Roman"/>
        </w:rPr>
        <w:t>antikardiolipino</w:t>
      </w:r>
      <w:proofErr w:type="spellEnd"/>
      <w:r w:rsidRPr="007F2054">
        <w:rPr>
          <w:rFonts w:ascii="Times New Roman" w:eastAsia="Times New Roman" w:hAnsi="Times New Roman" w:cs="Times New Roman"/>
        </w:rPr>
        <w:t xml:space="preserve"> antikūnai ir </w:t>
      </w:r>
      <w:proofErr w:type="spellStart"/>
      <w:r w:rsidRPr="007F2054">
        <w:rPr>
          <w:rFonts w:ascii="Times New Roman" w:eastAsia="Times New Roman" w:hAnsi="Times New Roman" w:cs="Times New Roman"/>
        </w:rPr>
        <w:t>anti</w:t>
      </w:r>
      <w:proofErr w:type="spellEnd"/>
      <w:r w:rsidRPr="007F2054">
        <w:rPr>
          <w:rFonts w:ascii="Times New Roman" w:eastAsia="Times New Roman" w:hAnsi="Times New Roman" w:cs="Times New Roman"/>
        </w:rPr>
        <w:t xml:space="preserve"> beta 2 </w:t>
      </w:r>
      <w:proofErr w:type="spellStart"/>
      <w:r w:rsidRPr="007F2054">
        <w:rPr>
          <w:rFonts w:ascii="Times New Roman" w:eastAsia="Times New Roman" w:hAnsi="Times New Roman" w:cs="Times New Roman"/>
        </w:rPr>
        <w:t>glikoproteino</w:t>
      </w:r>
      <w:proofErr w:type="spellEnd"/>
      <w:r w:rsidRPr="007F2054">
        <w:rPr>
          <w:rFonts w:ascii="Times New Roman" w:eastAsia="Times New Roman" w:hAnsi="Times New Roman" w:cs="Times New Roman"/>
        </w:rPr>
        <w:t xml:space="preserve"> I antikūnai), </w:t>
      </w:r>
      <w:proofErr w:type="spellStart"/>
      <w:r w:rsidRPr="007F2054">
        <w:rPr>
          <w:rFonts w:ascii="Times New Roman" w:eastAsia="Times New Roman" w:hAnsi="Times New Roman" w:cs="Times New Roman"/>
        </w:rPr>
        <w:t>trombozinių</w:t>
      </w:r>
      <w:proofErr w:type="spellEnd"/>
      <w:r w:rsidRPr="007F2054">
        <w:rPr>
          <w:rFonts w:ascii="Times New Roman" w:eastAsia="Times New Roman" w:hAnsi="Times New Roman" w:cs="Times New Roman"/>
        </w:rPr>
        <w:t xml:space="preserve"> reiškinių gali pasikartoti dažniau, nei taikant vitamino K antagonistų terapiją.</w:t>
      </w:r>
    </w:p>
    <w:p w14:paraId="5C6A6B2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99ECC6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Pacientai, anksčiau patyrę insultą arba PSIP </w:t>
      </w:r>
    </w:p>
    <w:p w14:paraId="5C138B1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Pacientai, sergantys ŪKS </w:t>
      </w:r>
    </w:p>
    <w:p w14:paraId="74CADF51" w14:textId="7C660578"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Insultą arba PSIP anksčiau patyrusių pacientų ŪKS gydymui rivaroksabano 2,5 mg vartoti draudžiama (žr. 4.3 skyrių). Buvo ištirta keletas ŪKS pacientų, anksčiau patyrusių insultą arba PSIP, tačiau turimi riboti veiksmingumo duomenys rodo, kad gydymas šių pacientų būklės nepagerina. </w:t>
      </w:r>
    </w:p>
    <w:p w14:paraId="25E625F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94AE17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Pacientai, sergantys VAL ir (arba) PAL </w:t>
      </w:r>
    </w:p>
    <w:p w14:paraId="18B8C50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VAL ir (arba) PAL sergantys pacientai, per praėjusį mėnesį patyrę hemoraginį ar </w:t>
      </w:r>
      <w:proofErr w:type="spellStart"/>
      <w:r w:rsidRPr="007F2054">
        <w:rPr>
          <w:rFonts w:ascii="Times New Roman" w:eastAsia="Times New Roman" w:hAnsi="Times New Roman" w:cs="Times New Roman"/>
        </w:rPr>
        <w:t>lakūninį</w:t>
      </w:r>
      <w:proofErr w:type="spellEnd"/>
      <w:r w:rsidRPr="007F2054">
        <w:rPr>
          <w:rFonts w:ascii="Times New Roman" w:eastAsia="Times New Roman" w:hAnsi="Times New Roman" w:cs="Times New Roman"/>
        </w:rPr>
        <w:t xml:space="preserve"> insultą arba išeminį, </w:t>
      </w:r>
      <w:proofErr w:type="spellStart"/>
      <w:r w:rsidRPr="007F2054">
        <w:rPr>
          <w:rFonts w:ascii="Times New Roman" w:eastAsia="Times New Roman" w:hAnsi="Times New Roman" w:cs="Times New Roman"/>
        </w:rPr>
        <w:t>nelakūninį</w:t>
      </w:r>
      <w:proofErr w:type="spellEnd"/>
      <w:r w:rsidRPr="007F2054">
        <w:rPr>
          <w:rFonts w:ascii="Times New Roman" w:eastAsia="Times New Roman" w:hAnsi="Times New Roman" w:cs="Times New Roman"/>
        </w:rPr>
        <w:t xml:space="preserve"> insultą, tiriami nebuvo (žr. 4.3 skyrių). </w:t>
      </w:r>
    </w:p>
    <w:p w14:paraId="036AC6B5" w14:textId="3AE1A30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Anksčiau insultą arba PSIP patyrę pacientai, kuriems dėl simptominės PAL neseniai atlikta apatinės galūnės revaskuliarizacijos procedūra, neištirti. Šiems pacientams, kuriems skiriamas gydymas dviem antitrombocitiniais vaistiniais preparatais, reikia vengti gydymo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2,5 mg. </w:t>
      </w:r>
    </w:p>
    <w:p w14:paraId="3255AD3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BE348A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Spinalinė</w:t>
      </w:r>
      <w:proofErr w:type="spellEnd"/>
      <w:r w:rsidRPr="007F2054">
        <w:rPr>
          <w:rFonts w:ascii="Times New Roman" w:eastAsia="Times New Roman" w:hAnsi="Times New Roman" w:cs="Times New Roman"/>
          <w:u w:val="single"/>
        </w:rPr>
        <w:t xml:space="preserve"> / </w:t>
      </w:r>
      <w:proofErr w:type="spellStart"/>
      <w:r w:rsidRPr="007F2054">
        <w:rPr>
          <w:rFonts w:ascii="Times New Roman" w:eastAsia="Times New Roman" w:hAnsi="Times New Roman" w:cs="Times New Roman"/>
          <w:u w:val="single"/>
        </w:rPr>
        <w:t>epidurinė</w:t>
      </w:r>
      <w:proofErr w:type="spellEnd"/>
      <w:r w:rsidRPr="007F2054">
        <w:rPr>
          <w:rFonts w:ascii="Times New Roman" w:eastAsia="Times New Roman" w:hAnsi="Times New Roman" w:cs="Times New Roman"/>
          <w:u w:val="single"/>
        </w:rPr>
        <w:t xml:space="preserve"> anestezija arba punkcija </w:t>
      </w:r>
    </w:p>
    <w:p w14:paraId="16B914E6" w14:textId="18D36039" w:rsidR="002A046F"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Taikant </w:t>
      </w:r>
      <w:proofErr w:type="spellStart"/>
      <w:r w:rsidRPr="007F2054">
        <w:rPr>
          <w:rFonts w:ascii="Times New Roman" w:eastAsia="Times New Roman" w:hAnsi="Times New Roman" w:cs="Times New Roman"/>
        </w:rPr>
        <w:t>neuroaksialinę</w:t>
      </w:r>
      <w:proofErr w:type="spellEnd"/>
      <w:r w:rsidRPr="007F2054">
        <w:rPr>
          <w:rFonts w:ascii="Times New Roman" w:eastAsia="Times New Roman" w:hAnsi="Times New Roman" w:cs="Times New Roman"/>
        </w:rPr>
        <w:t xml:space="preserve"> anesteziją (</w:t>
      </w:r>
      <w:proofErr w:type="spellStart"/>
      <w:r w:rsidRPr="007F2054">
        <w:rPr>
          <w:rFonts w:ascii="Times New Roman" w:eastAsia="Times New Roman" w:hAnsi="Times New Roman" w:cs="Times New Roman"/>
        </w:rPr>
        <w:t>spinalinę</w:t>
      </w:r>
      <w:proofErr w:type="spellEnd"/>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epidurinę</w:t>
      </w:r>
      <w:proofErr w:type="spellEnd"/>
      <w:r w:rsidRPr="007F2054">
        <w:rPr>
          <w:rFonts w:ascii="Times New Roman" w:eastAsia="Times New Roman" w:hAnsi="Times New Roman" w:cs="Times New Roman"/>
        </w:rPr>
        <w:t xml:space="preserve"> anesteziją) arba </w:t>
      </w:r>
      <w:proofErr w:type="spellStart"/>
      <w:r w:rsidRPr="007F2054">
        <w:rPr>
          <w:rFonts w:ascii="Times New Roman" w:eastAsia="Times New Roman" w:hAnsi="Times New Roman" w:cs="Times New Roman"/>
        </w:rPr>
        <w:t>spinalinę</w:t>
      </w:r>
      <w:proofErr w:type="spellEnd"/>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epidurinę</w:t>
      </w:r>
      <w:proofErr w:type="spellEnd"/>
      <w:r w:rsidRPr="007F2054">
        <w:rPr>
          <w:rFonts w:ascii="Times New Roman" w:eastAsia="Times New Roman" w:hAnsi="Times New Roman" w:cs="Times New Roman"/>
        </w:rPr>
        <w:t xml:space="preserve"> punkciją pacientams, gydomiems </w:t>
      </w:r>
      <w:proofErr w:type="spellStart"/>
      <w:r w:rsidRPr="007F2054">
        <w:rPr>
          <w:rFonts w:ascii="Times New Roman" w:eastAsia="Times New Roman" w:hAnsi="Times New Roman" w:cs="Times New Roman"/>
        </w:rPr>
        <w:t>antitromboziniais</w:t>
      </w:r>
      <w:proofErr w:type="spellEnd"/>
      <w:r w:rsidRPr="007F2054">
        <w:rPr>
          <w:rFonts w:ascii="Times New Roman" w:eastAsia="Times New Roman" w:hAnsi="Times New Roman" w:cs="Times New Roman"/>
        </w:rPr>
        <w:t xml:space="preserve"> preparatais </w:t>
      </w:r>
      <w:proofErr w:type="spellStart"/>
      <w:r w:rsidRPr="007F2054">
        <w:rPr>
          <w:rFonts w:ascii="Times New Roman" w:eastAsia="Times New Roman" w:hAnsi="Times New Roman" w:cs="Times New Roman"/>
        </w:rPr>
        <w:t>tromboembolinių</w:t>
      </w:r>
      <w:proofErr w:type="spellEnd"/>
      <w:r w:rsidRPr="007F2054">
        <w:rPr>
          <w:rFonts w:ascii="Times New Roman" w:eastAsia="Times New Roman" w:hAnsi="Times New Roman" w:cs="Times New Roman"/>
        </w:rPr>
        <w:t xml:space="preserve"> komplikacijų profilaktikai, yra rizika, kad formuosis </w:t>
      </w:r>
      <w:proofErr w:type="spellStart"/>
      <w:r w:rsidRPr="007F2054">
        <w:rPr>
          <w:rFonts w:ascii="Times New Roman" w:eastAsia="Times New Roman" w:hAnsi="Times New Roman" w:cs="Times New Roman"/>
        </w:rPr>
        <w:t>epidurinė</w:t>
      </w:r>
      <w:proofErr w:type="spellEnd"/>
      <w:r w:rsidRPr="007F2054">
        <w:rPr>
          <w:rFonts w:ascii="Times New Roman" w:eastAsia="Times New Roman" w:hAnsi="Times New Roman" w:cs="Times New Roman"/>
        </w:rPr>
        <w:t xml:space="preserve"> ar </w:t>
      </w:r>
      <w:proofErr w:type="spellStart"/>
      <w:r w:rsidRPr="007F2054">
        <w:rPr>
          <w:rFonts w:ascii="Times New Roman" w:eastAsia="Times New Roman" w:hAnsi="Times New Roman" w:cs="Times New Roman"/>
        </w:rPr>
        <w:t>spinalinė</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hematoma</w:t>
      </w:r>
      <w:proofErr w:type="spellEnd"/>
      <w:r w:rsidRPr="007F2054">
        <w:rPr>
          <w:rFonts w:ascii="Times New Roman" w:eastAsia="Times New Roman" w:hAnsi="Times New Roman" w:cs="Times New Roman"/>
        </w:rPr>
        <w:t xml:space="preserve">, kuri gali lemti ilgalaikį arba nuolatinį paralyžių. Šių reiškinių rizika gali didėti naudojant pooperacinius </w:t>
      </w:r>
      <w:proofErr w:type="spellStart"/>
      <w:r w:rsidRPr="007F2054">
        <w:rPr>
          <w:rFonts w:ascii="Times New Roman" w:eastAsia="Times New Roman" w:hAnsi="Times New Roman" w:cs="Times New Roman"/>
        </w:rPr>
        <w:t>epidurinius</w:t>
      </w:r>
      <w:proofErr w:type="spellEnd"/>
      <w:r w:rsidRPr="007F2054">
        <w:rPr>
          <w:rFonts w:ascii="Times New Roman" w:eastAsia="Times New Roman" w:hAnsi="Times New Roman" w:cs="Times New Roman"/>
        </w:rPr>
        <w:t xml:space="preserve"> kateterius arba kartu vartojant vaistinių preparatų, veikiančių hemostazę. Rizika taip pat gali didėti trauminės ar pakartotinos </w:t>
      </w:r>
      <w:proofErr w:type="spellStart"/>
      <w:r w:rsidRPr="007F2054">
        <w:rPr>
          <w:rFonts w:ascii="Times New Roman" w:eastAsia="Times New Roman" w:hAnsi="Times New Roman" w:cs="Times New Roman"/>
        </w:rPr>
        <w:t>epidurinės</w:t>
      </w:r>
      <w:proofErr w:type="spellEnd"/>
      <w:r w:rsidRPr="007F2054">
        <w:rPr>
          <w:rFonts w:ascii="Times New Roman" w:eastAsia="Times New Roman" w:hAnsi="Times New Roman" w:cs="Times New Roman"/>
        </w:rPr>
        <w:t xml:space="preserve"> ar </w:t>
      </w:r>
      <w:proofErr w:type="spellStart"/>
      <w:r w:rsidRPr="007F2054">
        <w:rPr>
          <w:rFonts w:ascii="Times New Roman" w:eastAsia="Times New Roman" w:hAnsi="Times New Roman" w:cs="Times New Roman"/>
        </w:rPr>
        <w:t>spinalinės</w:t>
      </w:r>
      <w:proofErr w:type="spellEnd"/>
      <w:r w:rsidRPr="007F2054">
        <w:rPr>
          <w:rFonts w:ascii="Times New Roman" w:eastAsia="Times New Roman" w:hAnsi="Times New Roman" w:cs="Times New Roman"/>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7F2054">
        <w:rPr>
          <w:rFonts w:ascii="Times New Roman" w:eastAsia="Times New Roman" w:hAnsi="Times New Roman" w:cs="Times New Roman"/>
        </w:rPr>
        <w:t>neuroaksialinę</w:t>
      </w:r>
      <w:proofErr w:type="spellEnd"/>
      <w:r w:rsidRPr="007F2054">
        <w:rPr>
          <w:rFonts w:ascii="Times New Roman" w:eastAsia="Times New Roman" w:hAnsi="Times New Roman" w:cs="Times New Roman"/>
        </w:rPr>
        <w:t xml:space="preserve"> intervenciją gydytojai turi įvertinti galimos naudos ir rizikos santykį pacientams, kuriems skirta antikoaguliantų, arba pacientams, kuriems turi būti skiriama antikoaguliantų trombozės profilaktikai. Klinikinės patirties, vartojant rivaroksabano 2,5 mg dozę kartu su </w:t>
      </w:r>
      <w:proofErr w:type="spellStart"/>
      <w:r w:rsidRPr="007F2054">
        <w:rPr>
          <w:rFonts w:ascii="Times New Roman" w:eastAsia="Times New Roman" w:hAnsi="Times New Roman" w:cs="Times New Roman"/>
        </w:rPr>
        <w:t>antitrombocitinį</w:t>
      </w:r>
      <w:proofErr w:type="spellEnd"/>
      <w:r w:rsidRPr="007F2054">
        <w:rPr>
          <w:rFonts w:ascii="Times New Roman" w:eastAsia="Times New Roman" w:hAnsi="Times New Roman" w:cs="Times New Roman"/>
        </w:rPr>
        <w:t xml:space="preserve"> poveikį turinčiomis medžiagomis, šiose situacijose nėra. Trombocitų </w:t>
      </w:r>
      <w:proofErr w:type="spellStart"/>
      <w:r w:rsidRPr="007F2054">
        <w:rPr>
          <w:rFonts w:ascii="Times New Roman" w:eastAsia="Times New Roman" w:hAnsi="Times New Roman" w:cs="Times New Roman"/>
        </w:rPr>
        <w:t>agregacijos</w:t>
      </w:r>
      <w:proofErr w:type="spellEnd"/>
      <w:r w:rsidRPr="007F2054">
        <w:rPr>
          <w:rFonts w:ascii="Times New Roman" w:eastAsia="Times New Roman" w:hAnsi="Times New Roman" w:cs="Times New Roman"/>
        </w:rPr>
        <w:t xml:space="preserve"> inhibitorių vartojimas turėtų būti nutrauktas, kaip nurodyta gamintojo </w:t>
      </w:r>
      <w:r w:rsidR="00BE4C73">
        <w:rPr>
          <w:rFonts w:ascii="Times New Roman" w:eastAsia="Times New Roman" w:hAnsi="Times New Roman" w:cs="Times New Roman"/>
        </w:rPr>
        <w:t xml:space="preserve">pateikiamoje vaistinio preparato skyrimo </w:t>
      </w:r>
      <w:r w:rsidRPr="007F2054">
        <w:rPr>
          <w:rFonts w:ascii="Times New Roman" w:eastAsia="Times New Roman" w:hAnsi="Times New Roman" w:cs="Times New Roman"/>
        </w:rPr>
        <w:t xml:space="preserve">informacijoje. </w:t>
      </w:r>
    </w:p>
    <w:p w14:paraId="67D9739D" w14:textId="51E69A4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Kad sumažintumėte galimą kraujavimo riziką, susijusią su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vartojimu, taikant </w:t>
      </w:r>
      <w:proofErr w:type="spellStart"/>
      <w:r w:rsidRPr="007F2054">
        <w:rPr>
          <w:rFonts w:ascii="Times New Roman" w:eastAsia="Times New Roman" w:hAnsi="Times New Roman" w:cs="Times New Roman"/>
        </w:rPr>
        <w:t>neuroaksialinę</w:t>
      </w:r>
      <w:proofErr w:type="spellEnd"/>
      <w:r w:rsidRPr="007F2054">
        <w:rPr>
          <w:rFonts w:ascii="Times New Roman" w:eastAsia="Times New Roman" w:hAnsi="Times New Roman" w:cs="Times New Roman"/>
        </w:rPr>
        <w:t xml:space="preserve"> anesteziją (</w:t>
      </w:r>
      <w:proofErr w:type="spellStart"/>
      <w:r w:rsidRPr="007F2054">
        <w:rPr>
          <w:rFonts w:ascii="Times New Roman" w:eastAsia="Times New Roman" w:hAnsi="Times New Roman" w:cs="Times New Roman"/>
        </w:rPr>
        <w:t>spinalinę</w:t>
      </w:r>
      <w:proofErr w:type="spellEnd"/>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epidurinę</w:t>
      </w:r>
      <w:proofErr w:type="spellEnd"/>
      <w:r w:rsidRPr="007F2054">
        <w:rPr>
          <w:rFonts w:ascii="Times New Roman" w:eastAsia="Times New Roman" w:hAnsi="Times New Roman" w:cs="Times New Roman"/>
        </w:rPr>
        <w:t xml:space="preserve"> anesteziją) arba </w:t>
      </w:r>
      <w:proofErr w:type="spellStart"/>
      <w:r w:rsidRPr="007F2054">
        <w:rPr>
          <w:rFonts w:ascii="Times New Roman" w:eastAsia="Times New Roman" w:hAnsi="Times New Roman" w:cs="Times New Roman"/>
        </w:rPr>
        <w:t>spinalinę</w:t>
      </w:r>
      <w:proofErr w:type="spellEnd"/>
      <w:r w:rsidRPr="007F2054">
        <w:rPr>
          <w:rFonts w:ascii="Times New Roman" w:eastAsia="Times New Roman" w:hAnsi="Times New Roman" w:cs="Times New Roman"/>
        </w:rPr>
        <w:t xml:space="preserve"> punkciją, reikia atsižvelgti į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farmakokinetines</w:t>
      </w:r>
      <w:proofErr w:type="spellEnd"/>
      <w:r w:rsidRPr="007F2054">
        <w:rPr>
          <w:rFonts w:ascii="Times New Roman" w:eastAsia="Times New Roman" w:hAnsi="Times New Roman" w:cs="Times New Roman"/>
        </w:rPr>
        <w:t xml:space="preserve"> savybes. </w:t>
      </w:r>
      <w:proofErr w:type="spellStart"/>
      <w:r w:rsidRPr="007F2054">
        <w:rPr>
          <w:rFonts w:ascii="Times New Roman" w:eastAsia="Times New Roman" w:hAnsi="Times New Roman" w:cs="Times New Roman"/>
        </w:rPr>
        <w:t>Epidurinio</w:t>
      </w:r>
      <w:proofErr w:type="spellEnd"/>
      <w:r w:rsidRPr="007F2054">
        <w:rPr>
          <w:rFonts w:ascii="Times New Roman" w:eastAsia="Times New Roman" w:hAnsi="Times New Roman" w:cs="Times New Roman"/>
        </w:rPr>
        <w:t xml:space="preserve"> kateterio įvedimą arba pašalinimą ar </w:t>
      </w:r>
      <w:proofErr w:type="spellStart"/>
      <w:r w:rsidRPr="007F2054">
        <w:rPr>
          <w:rFonts w:ascii="Times New Roman" w:eastAsia="Times New Roman" w:hAnsi="Times New Roman" w:cs="Times New Roman"/>
        </w:rPr>
        <w:t>spinalinę</w:t>
      </w:r>
      <w:proofErr w:type="spellEnd"/>
      <w:r w:rsidRPr="007F2054">
        <w:rPr>
          <w:rFonts w:ascii="Times New Roman" w:eastAsia="Times New Roman" w:hAnsi="Times New Roman" w:cs="Times New Roman"/>
        </w:rPr>
        <w:t xml:space="preserve"> punkciją geriausia atlikti, kai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antikoaguliacinis</w:t>
      </w:r>
      <w:proofErr w:type="spellEnd"/>
      <w:r w:rsidRPr="007F2054">
        <w:rPr>
          <w:rFonts w:ascii="Times New Roman" w:eastAsia="Times New Roman" w:hAnsi="Times New Roman" w:cs="Times New Roman"/>
        </w:rPr>
        <w:t xml:space="preserve"> poveikis yra mažas (žr. 5.2 skyrių). Tačiau tikslus laikotarpis, per kurį pasiekiamas pakankamai mažas </w:t>
      </w:r>
      <w:proofErr w:type="spellStart"/>
      <w:r w:rsidRPr="007F2054">
        <w:rPr>
          <w:rFonts w:ascii="Times New Roman" w:eastAsia="Times New Roman" w:hAnsi="Times New Roman" w:cs="Times New Roman"/>
        </w:rPr>
        <w:t>antikoaguliacinis</w:t>
      </w:r>
      <w:proofErr w:type="spellEnd"/>
      <w:r w:rsidRPr="007F2054">
        <w:rPr>
          <w:rFonts w:ascii="Times New Roman" w:eastAsia="Times New Roman" w:hAnsi="Times New Roman" w:cs="Times New Roman"/>
        </w:rPr>
        <w:t xml:space="preserve"> poveikis kiekvienam pacientui, nėra žinomas. </w:t>
      </w:r>
    </w:p>
    <w:p w14:paraId="1C352D6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F1C447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Dozavimo rekomendacijos prieš ir po invazinių procedūrų arba chirurginių intervencijų </w:t>
      </w:r>
    </w:p>
    <w:p w14:paraId="3A7BD7A9" w14:textId="597908D8"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Jeigu reikia atlikti invazinę procedūrą arba chirurginę intervenciją, jeigu tai įmanoma,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2,5 mg vartojimą reikia nutraukti likus mažiausiai 12 valandų iki intervencijos, remiantis klinikiniu gydytojo sprendimu. Jeigu pacientui bus atliekama planinė operacija ir </w:t>
      </w:r>
      <w:proofErr w:type="spellStart"/>
      <w:r w:rsidRPr="007F2054">
        <w:rPr>
          <w:rFonts w:ascii="Times New Roman" w:eastAsia="Times New Roman" w:hAnsi="Times New Roman" w:cs="Times New Roman"/>
        </w:rPr>
        <w:t>antitrombocitinis</w:t>
      </w:r>
      <w:proofErr w:type="spellEnd"/>
      <w:r w:rsidRPr="007F2054">
        <w:rPr>
          <w:rFonts w:ascii="Times New Roman" w:eastAsia="Times New Roman" w:hAnsi="Times New Roman" w:cs="Times New Roman"/>
        </w:rPr>
        <w:t xml:space="preserve"> poveikis nepageidaujamas, reikia nutraukti trombocitų </w:t>
      </w:r>
      <w:proofErr w:type="spellStart"/>
      <w:r w:rsidRPr="007F2054">
        <w:rPr>
          <w:rFonts w:ascii="Times New Roman" w:eastAsia="Times New Roman" w:hAnsi="Times New Roman" w:cs="Times New Roman"/>
        </w:rPr>
        <w:t>agregacijos</w:t>
      </w:r>
      <w:proofErr w:type="spellEnd"/>
      <w:r w:rsidRPr="007F2054">
        <w:rPr>
          <w:rFonts w:ascii="Times New Roman" w:eastAsia="Times New Roman" w:hAnsi="Times New Roman" w:cs="Times New Roman"/>
        </w:rPr>
        <w:t xml:space="preserve"> inhibitorių vartojimą, kaip nurodyta gydytojui skirtoje gamintojo informacijoje.</w:t>
      </w:r>
    </w:p>
    <w:p w14:paraId="3C0D31F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Jeigu procedūros negalima atlikti vėliau, reikia įvertinti padidėjusios kraujavimo rizikos ir intervencijos skubumo santykį.</w:t>
      </w:r>
    </w:p>
    <w:p w14:paraId="61433DE0" w14:textId="42FC116D"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Po invazinės procedūros ar chirurginės intervencijos kaip įmanoma greičiau reikia atnaujinti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vartojimą, jei gydantis gydytojas mano, kad klinikinė situacija leidžia tai padaryti ir pasiekta tinkama </w:t>
      </w:r>
      <w:r w:rsidRPr="007F2054">
        <w:rPr>
          <w:rFonts w:ascii="Times New Roman" w:eastAsia="Times New Roman" w:hAnsi="Times New Roman" w:cs="Times New Roman"/>
        </w:rPr>
        <w:lastRenderedPageBreak/>
        <w:t xml:space="preserve">hemostazė (žr. 5.2 skyrių). </w:t>
      </w:r>
    </w:p>
    <w:p w14:paraId="6BA9B67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8C9788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Senyvi pacientai </w:t>
      </w:r>
    </w:p>
    <w:p w14:paraId="14228F2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Vyresnis amžius gali padidinti </w:t>
      </w:r>
      <w:proofErr w:type="spellStart"/>
      <w:r w:rsidRPr="007F2054">
        <w:rPr>
          <w:rFonts w:ascii="Times New Roman" w:eastAsia="Times New Roman" w:hAnsi="Times New Roman" w:cs="Times New Roman"/>
        </w:rPr>
        <w:t>hemoragijos</w:t>
      </w:r>
      <w:proofErr w:type="spellEnd"/>
      <w:r w:rsidRPr="007F2054">
        <w:rPr>
          <w:rFonts w:ascii="Times New Roman" w:eastAsia="Times New Roman" w:hAnsi="Times New Roman" w:cs="Times New Roman"/>
        </w:rPr>
        <w:t xml:space="preserve"> riziką (žr. 5.1 ir 5.2 skyrius). </w:t>
      </w:r>
    </w:p>
    <w:p w14:paraId="0CDB253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E2F521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Dermatologinės</w:t>
      </w:r>
      <w:proofErr w:type="spellEnd"/>
      <w:r w:rsidRPr="007F2054">
        <w:rPr>
          <w:rFonts w:ascii="Times New Roman" w:eastAsia="Times New Roman" w:hAnsi="Times New Roman" w:cs="Times New Roman"/>
          <w:u w:val="single"/>
        </w:rPr>
        <w:t xml:space="preserve"> reakcijos </w:t>
      </w:r>
    </w:p>
    <w:p w14:paraId="086E505F" w14:textId="6514E2A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rPr>
        <w:t>Poregistracinio</w:t>
      </w:r>
      <w:proofErr w:type="spellEnd"/>
      <w:r w:rsidRPr="007F2054">
        <w:rPr>
          <w:rFonts w:ascii="Times New Roman" w:eastAsia="Times New Roman" w:hAnsi="Times New Roman" w:cs="Times New Roman"/>
        </w:rPr>
        <w:t xml:space="preserve"> stebėjimo metu buvo pranešta apie sunkias odos reakcijas, susijusias su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vartojimu, įskaitant </w:t>
      </w:r>
      <w:proofErr w:type="spellStart"/>
      <w:r w:rsidRPr="007F2054">
        <w:rPr>
          <w:rFonts w:ascii="Times New Roman" w:eastAsia="Times New Roman" w:hAnsi="Times New Roman" w:cs="Times New Roman"/>
        </w:rPr>
        <w:t>Stevens</w:t>
      </w:r>
      <w:proofErr w:type="spellEnd"/>
      <w:r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Johnson</w:t>
      </w:r>
      <w:proofErr w:type="spellEnd"/>
      <w:r w:rsidRPr="007F2054">
        <w:rPr>
          <w:rFonts w:ascii="Times New Roman" w:eastAsia="Times New Roman" w:hAnsi="Times New Roman" w:cs="Times New Roman"/>
        </w:rPr>
        <w:t xml:space="preserve"> sindromą ir (arba) toksinę epidermio </w:t>
      </w:r>
      <w:proofErr w:type="spellStart"/>
      <w:r w:rsidRPr="007F2054">
        <w:rPr>
          <w:rFonts w:ascii="Times New Roman" w:eastAsia="Times New Roman" w:hAnsi="Times New Roman" w:cs="Times New Roman"/>
        </w:rPr>
        <w:t>nekrolizę</w:t>
      </w:r>
      <w:proofErr w:type="spellEnd"/>
      <w:r w:rsidRPr="007F2054">
        <w:rPr>
          <w:rFonts w:ascii="Times New Roman" w:eastAsia="Times New Roman" w:hAnsi="Times New Roman" w:cs="Times New Roman"/>
        </w:rPr>
        <w:t xml:space="preserve"> bei </w:t>
      </w:r>
      <w:r w:rsidRPr="007F2054">
        <w:rPr>
          <w:rFonts w:ascii="Times New Roman" w:eastAsia="Times New Roman" w:hAnsi="Times New Roman" w:cs="Times New Roman"/>
          <w:i/>
          <w:iCs/>
        </w:rPr>
        <w:t>DRESS</w:t>
      </w:r>
      <w:r w:rsidRPr="007F2054">
        <w:rPr>
          <w:rFonts w:ascii="Times New Roman" w:eastAsia="Times New Roman" w:hAnsi="Times New Roman" w:cs="Times New Roman"/>
        </w:rPr>
        <w:t xml:space="preserve"> (angl. </w:t>
      </w:r>
      <w:proofErr w:type="spellStart"/>
      <w:r w:rsidRPr="007F2054">
        <w:rPr>
          <w:rFonts w:ascii="Times New Roman" w:eastAsia="Times New Roman" w:hAnsi="Times New Roman" w:cs="Times New Roman"/>
          <w:i/>
          <w:iCs/>
        </w:rPr>
        <w:t>drug</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rash</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with</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eosinophilia</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and</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systemic</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symptoms</w:t>
      </w:r>
      <w:proofErr w:type="spellEnd"/>
      <w:r w:rsidRPr="007F2054">
        <w:rPr>
          <w:rFonts w:ascii="Times New Roman" w:eastAsia="Times New Roman" w:hAnsi="Times New Roman" w:cs="Times New Roman"/>
        </w:rP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0B0E0F9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57843A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Informacija apie pagalbines medžiagas </w:t>
      </w:r>
    </w:p>
    <w:p w14:paraId="04F90DB9" w14:textId="001F2BF9"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Šio vaistinio preparato kiekvienoje </w:t>
      </w:r>
      <w:r w:rsidR="0016548F" w:rsidRPr="007F2054">
        <w:rPr>
          <w:rFonts w:ascii="Times New Roman" w:eastAsia="Times New Roman" w:hAnsi="Times New Roman" w:cs="Times New Roman"/>
        </w:rPr>
        <w:t xml:space="preserve">plėvele dengtoje </w:t>
      </w:r>
      <w:r w:rsidRPr="007F2054">
        <w:rPr>
          <w:rFonts w:ascii="Times New Roman" w:eastAsia="Times New Roman" w:hAnsi="Times New Roman" w:cs="Times New Roman"/>
        </w:rPr>
        <w:t>tabletėje yra mažiau kaip 1</w:t>
      </w:r>
      <w:r w:rsidR="00013FF6">
        <w:rPr>
          <w:rFonts w:ascii="Times New Roman" w:eastAsia="Times New Roman" w:hAnsi="Times New Roman" w:cs="Times New Roman"/>
        </w:rPr>
        <w:t> </w:t>
      </w:r>
      <w:proofErr w:type="spellStart"/>
      <w:r w:rsidRPr="007F2054">
        <w:rPr>
          <w:rFonts w:ascii="Times New Roman" w:eastAsia="Times New Roman" w:hAnsi="Times New Roman" w:cs="Times New Roman"/>
        </w:rPr>
        <w:t>mmol</w:t>
      </w:r>
      <w:proofErr w:type="spellEnd"/>
      <w:r w:rsidRPr="007F2054">
        <w:rPr>
          <w:rFonts w:ascii="Times New Roman" w:eastAsia="Times New Roman" w:hAnsi="Times New Roman" w:cs="Times New Roman"/>
        </w:rPr>
        <w:t xml:space="preserve"> (23 mg) natrio, t. y., jis beveik neturi reikšmės.</w:t>
      </w:r>
    </w:p>
    <w:p w14:paraId="619013F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F5C1AC4" w14:textId="4BB2310B"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Sąveika su kitais vaistiniais preparatais ir kitokia sąveika</w:t>
      </w:r>
    </w:p>
    <w:p w14:paraId="3B7BB81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451C03E" w14:textId="18A844C5"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CYP3A4 ir P–</w:t>
      </w:r>
      <w:proofErr w:type="spellStart"/>
      <w:r w:rsidRPr="007F2054">
        <w:rPr>
          <w:rFonts w:ascii="Times New Roman" w:eastAsia="Times New Roman" w:hAnsi="Times New Roman" w:cs="Times New Roman"/>
          <w:u w:val="single"/>
        </w:rPr>
        <w:t>gp</w:t>
      </w:r>
      <w:proofErr w:type="spellEnd"/>
      <w:r w:rsidRPr="007F2054">
        <w:rPr>
          <w:rFonts w:ascii="Times New Roman" w:eastAsia="Times New Roman" w:hAnsi="Times New Roman" w:cs="Times New Roman"/>
          <w:u w:val="single"/>
        </w:rPr>
        <w:t xml:space="preserve"> inhibitoriai </w:t>
      </w:r>
    </w:p>
    <w:p w14:paraId="1F48D05C" w14:textId="2653A6F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Kartu vartojant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ketokonazolo</w:t>
      </w:r>
      <w:proofErr w:type="spellEnd"/>
      <w:r w:rsidRPr="007F2054">
        <w:rPr>
          <w:rFonts w:ascii="Times New Roman" w:eastAsia="Times New Roman" w:hAnsi="Times New Roman" w:cs="Times New Roman"/>
        </w:rPr>
        <w:t xml:space="preserve"> (400 mg vieną kartą per parą) arba </w:t>
      </w:r>
      <w:proofErr w:type="spellStart"/>
      <w:r w:rsidRPr="007F2054">
        <w:rPr>
          <w:rFonts w:ascii="Times New Roman" w:eastAsia="Times New Roman" w:hAnsi="Times New Roman" w:cs="Times New Roman"/>
        </w:rPr>
        <w:t>ritonaviro</w:t>
      </w:r>
      <w:proofErr w:type="spellEnd"/>
      <w:r w:rsidRPr="007F2054">
        <w:rPr>
          <w:rFonts w:ascii="Times New Roman" w:eastAsia="Times New Roman" w:hAnsi="Times New Roman" w:cs="Times New Roman"/>
        </w:rPr>
        <w:t xml:space="preserve"> (po 600 mg du kartus per parą), 2,6 karto / 2,5 karto padidėjo vidutinis rivaroksabano koncentracijos ir laiko kreivės ribojamas plotas (AUC) ir 1,7 karto / 1,6 karto padidėjo vidutinė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kartu ryškiai padidėjo </w:t>
      </w:r>
      <w:proofErr w:type="spellStart"/>
      <w:r w:rsidRPr="007F2054">
        <w:rPr>
          <w:rFonts w:ascii="Times New Roman" w:eastAsia="Times New Roman" w:hAnsi="Times New Roman" w:cs="Times New Roman"/>
        </w:rPr>
        <w:t>farmakodinaminiai</w:t>
      </w:r>
      <w:proofErr w:type="spellEnd"/>
      <w:r w:rsidRPr="007F2054">
        <w:rPr>
          <w:rFonts w:ascii="Times New Roman" w:eastAsia="Times New Roman" w:hAnsi="Times New Roman" w:cs="Times New Roman"/>
        </w:rPr>
        <w:t xml:space="preserve"> poveikiai, dėl ko gali padidėti kraujavimo rizika. Todėl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nerekomenduojama skirti pacientams, kuriems taikomas sisteminis gydymas </w:t>
      </w:r>
      <w:proofErr w:type="spellStart"/>
      <w:r w:rsidRPr="007F2054">
        <w:rPr>
          <w:rFonts w:ascii="Times New Roman" w:eastAsia="Times New Roman" w:hAnsi="Times New Roman" w:cs="Times New Roman"/>
        </w:rPr>
        <w:t>azolo</w:t>
      </w:r>
      <w:proofErr w:type="spellEnd"/>
      <w:r w:rsidRPr="007F2054">
        <w:rPr>
          <w:rFonts w:ascii="Times New Roman" w:eastAsia="Times New Roman" w:hAnsi="Times New Roman" w:cs="Times New Roman"/>
        </w:rPr>
        <w:t xml:space="preserve"> grupės priešgrybeliniais vaistiniais preparatais, pavyzdžiui, </w:t>
      </w:r>
      <w:proofErr w:type="spellStart"/>
      <w:r w:rsidRPr="007F2054">
        <w:rPr>
          <w:rFonts w:ascii="Times New Roman" w:eastAsia="Times New Roman" w:hAnsi="Times New Roman" w:cs="Times New Roman"/>
        </w:rPr>
        <w:t>ketokonazolu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itrakonazolu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vorikonazolu</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pozakonazolu</w:t>
      </w:r>
      <w:proofErr w:type="spellEnd"/>
      <w:r w:rsidRPr="007F2054">
        <w:rPr>
          <w:rFonts w:ascii="Times New Roman" w:eastAsia="Times New Roman" w:hAnsi="Times New Roman" w:cs="Times New Roman"/>
        </w:rPr>
        <w:t>, arba ŽIV proteazės inhibitoriais. Šios veikliosios medžiagos yra stiprūs CYP3A4 ir P</w:t>
      </w:r>
      <w:r w:rsidR="00F52ED6"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inhibitoriai (žr. 4.4 skyrių). </w:t>
      </w:r>
    </w:p>
    <w:p w14:paraId="476E17F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59B1216" w14:textId="1A390EA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Manoma, kad veikliosios medžiagos, stipriai slopinančios vieną iš rivaroksabano šalinimo kelių – CYP3A4 arba P</w:t>
      </w:r>
      <w:r w:rsidR="00F52ED6"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didina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koncentraciją plazmoje ne taip žymiai. Pavyzdžiui, </w:t>
      </w:r>
      <w:proofErr w:type="spellStart"/>
      <w:r w:rsidRPr="007F2054">
        <w:rPr>
          <w:rFonts w:ascii="Times New Roman" w:eastAsia="Times New Roman" w:hAnsi="Times New Roman" w:cs="Times New Roman"/>
        </w:rPr>
        <w:t>klaritromicinas</w:t>
      </w:r>
      <w:proofErr w:type="spellEnd"/>
      <w:r w:rsidRPr="007F2054">
        <w:rPr>
          <w:rFonts w:ascii="Times New Roman" w:eastAsia="Times New Roman" w:hAnsi="Times New Roman" w:cs="Times New Roman"/>
        </w:rPr>
        <w:t xml:space="preserve"> (po 500 mg du kartus per parą), kuris yra laikomas stipriu CYP3A4 inhibitoriumi ir vidutinio stiprumo P</w:t>
      </w:r>
      <w:r w:rsidR="00F52ED6"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inhibitoriumi, lėmė 1,5 karto vidutinės rivaroksabano koncentracijos AUC padidėjimą ir 1,4 karto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padidėjimą. Tikėtina, kad daugumai pacientų sąveika su </w:t>
      </w:r>
      <w:proofErr w:type="spellStart"/>
      <w:r w:rsidRPr="007F2054">
        <w:rPr>
          <w:rFonts w:ascii="Times New Roman" w:eastAsia="Times New Roman" w:hAnsi="Times New Roman" w:cs="Times New Roman"/>
        </w:rPr>
        <w:t>klaritromicinu</w:t>
      </w:r>
      <w:proofErr w:type="spellEnd"/>
      <w:r w:rsidRPr="007F2054">
        <w:rPr>
          <w:rFonts w:ascii="Times New Roman" w:eastAsia="Times New Roman" w:hAnsi="Times New Roman" w:cs="Times New Roman"/>
        </w:rPr>
        <w:t xml:space="preserve"> nėra kliniškai reikšminga, tačiau ji gali būti reikšminga didelės rizikos pacientams (</w:t>
      </w:r>
      <w:r w:rsidR="00BE4C73">
        <w:rPr>
          <w:rFonts w:ascii="Times New Roman" w:eastAsia="Times New Roman" w:hAnsi="Times New Roman" w:cs="Times New Roman"/>
        </w:rPr>
        <w:t>i</w:t>
      </w:r>
      <w:r w:rsidRPr="007F2054">
        <w:rPr>
          <w:rFonts w:ascii="Times New Roman" w:eastAsia="Times New Roman" w:hAnsi="Times New Roman" w:cs="Times New Roman"/>
        </w:rPr>
        <w:t xml:space="preserve">nformaciją pacientams, kurių inkstų funkcija yra sutrikusi, žr. 4.4 skyriuje). </w:t>
      </w:r>
    </w:p>
    <w:p w14:paraId="0911B34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7178A1B" w14:textId="65AF619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Eritromicinas (po 500 mg tris kartus per parą), CYP3A4 ir P–</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slopinantis vidutiniškai, lėmė 1,3 karto vidutinių rivaroksabano koncentracijos AUC ir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padidėjimą. Tikėtina, kad daugumai pacientų sąveika su </w:t>
      </w:r>
      <w:proofErr w:type="spellStart"/>
      <w:r w:rsidRPr="007F2054">
        <w:rPr>
          <w:rFonts w:ascii="Times New Roman" w:eastAsia="Times New Roman" w:hAnsi="Times New Roman" w:cs="Times New Roman"/>
        </w:rPr>
        <w:t>eritromicinu</w:t>
      </w:r>
      <w:proofErr w:type="spellEnd"/>
      <w:r w:rsidRPr="007F2054">
        <w:rPr>
          <w:rFonts w:ascii="Times New Roman" w:eastAsia="Times New Roman" w:hAnsi="Times New Roman" w:cs="Times New Roman"/>
        </w:rPr>
        <w:t xml:space="preserve"> nėra kliniškai reikšminga, tačiau ji gali būti reikšminga didelės rizikos pacientams. </w:t>
      </w:r>
    </w:p>
    <w:p w14:paraId="2D19E316" w14:textId="1991CC1F"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Tiriamiesiems, kuriems buvo lengvas inkstų funkcijos sutrikimas, eritromicinas (po 500 mg tris kartus per parą) lėmė 1,8 karto vidutinės rivaroksabano koncentracijos AUC ir 1,6 karto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padidėjimą, palyginti su tiriamaisiais, kurių inkstų funkcija normali. Tiriamiesiems, kuriems buvo vidutinio sunkumo inkstų funkcijos sutrikimas, eritromicinas lėmė 2,0 karto vidutinės rivaroksabano koncentracijos AUC ir 1,6 karto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padidėjimą, palyginti su tiriamaisiais, kurių inkstų funkcija normali. Eritromicino ir inkstų funkcijos sutrikimo poveikis yra suminis (žr. 4.4 skyrių). </w:t>
      </w:r>
    </w:p>
    <w:p w14:paraId="55297C1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A022EE4" w14:textId="0596EC5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Flukonazolas (400 mg vieną kartą per parą), vertinamas kaip saikingas CYP3A4 inhibitorius, lėmė rivaroksabano AUC padidėjimą vidutiniškai 1,4 karto ir vidutinės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padidėjimą 1,3 karto. Tikėtina, kad daugumai pacientų sąveika su </w:t>
      </w:r>
      <w:proofErr w:type="spellStart"/>
      <w:r w:rsidRPr="007F2054">
        <w:rPr>
          <w:rFonts w:ascii="Times New Roman" w:eastAsia="Times New Roman" w:hAnsi="Times New Roman" w:cs="Times New Roman"/>
        </w:rPr>
        <w:t>flukonazolu</w:t>
      </w:r>
      <w:proofErr w:type="spellEnd"/>
      <w:r w:rsidRPr="007F2054">
        <w:rPr>
          <w:rFonts w:ascii="Times New Roman" w:eastAsia="Times New Roman" w:hAnsi="Times New Roman" w:cs="Times New Roman"/>
        </w:rPr>
        <w:t xml:space="preserve"> nėra kliniškai reikšminga, tačiau ji gali būti reikšminga didelės rizikos pacientams (</w:t>
      </w:r>
      <w:r w:rsidR="00BE4C73">
        <w:rPr>
          <w:rFonts w:ascii="Times New Roman" w:eastAsia="Times New Roman" w:hAnsi="Times New Roman" w:cs="Times New Roman"/>
        </w:rPr>
        <w:t>i</w:t>
      </w:r>
      <w:r w:rsidRPr="007F2054">
        <w:rPr>
          <w:rFonts w:ascii="Times New Roman" w:eastAsia="Times New Roman" w:hAnsi="Times New Roman" w:cs="Times New Roman"/>
        </w:rPr>
        <w:t xml:space="preserve">nformaciją pacientams, kurių inkstų funkcija sutrikusi, žr. 4.4 skyriuje). </w:t>
      </w:r>
    </w:p>
    <w:p w14:paraId="20CDCB2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1F7675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Klinikiniai duomenys apie </w:t>
      </w:r>
      <w:proofErr w:type="spellStart"/>
      <w:r w:rsidRPr="007F2054">
        <w:rPr>
          <w:rFonts w:ascii="Times New Roman" w:eastAsia="Times New Roman" w:hAnsi="Times New Roman" w:cs="Times New Roman"/>
        </w:rPr>
        <w:t>dronedaroną</w:t>
      </w:r>
      <w:proofErr w:type="spellEnd"/>
      <w:r w:rsidRPr="007F2054">
        <w:rPr>
          <w:rFonts w:ascii="Times New Roman" w:eastAsia="Times New Roman" w:hAnsi="Times New Roman" w:cs="Times New Roman"/>
        </w:rPr>
        <w:t xml:space="preserve"> yra riboti, todėl jo reikia vengti skirti kartu su rivaroksabanu. </w:t>
      </w:r>
    </w:p>
    <w:p w14:paraId="5B445C1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88D658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lastRenderedPageBreak/>
        <w:t xml:space="preserve">Antikoaguliantai </w:t>
      </w:r>
    </w:p>
    <w:p w14:paraId="137D967C" w14:textId="5FB4883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Kartu vartojant </w:t>
      </w:r>
      <w:proofErr w:type="spellStart"/>
      <w:r w:rsidRPr="007F2054">
        <w:rPr>
          <w:rFonts w:ascii="Times New Roman" w:eastAsia="Times New Roman" w:hAnsi="Times New Roman" w:cs="Times New Roman"/>
        </w:rPr>
        <w:t>enoksaparino</w:t>
      </w:r>
      <w:proofErr w:type="spellEnd"/>
      <w:r w:rsidRPr="007F2054">
        <w:rPr>
          <w:rFonts w:ascii="Times New Roman" w:eastAsia="Times New Roman" w:hAnsi="Times New Roman" w:cs="Times New Roman"/>
        </w:rPr>
        <w:t xml:space="preserve"> (40 mg vienkartinė dozė) ir rivaroksabano (10 mg vienkartinė dozė), buvo stebimas suminis poveikis </w:t>
      </w:r>
      <w:proofErr w:type="spellStart"/>
      <w:r w:rsidRPr="007F2054">
        <w:rPr>
          <w:rFonts w:ascii="Times New Roman" w:eastAsia="Times New Roman" w:hAnsi="Times New Roman" w:cs="Times New Roman"/>
        </w:rPr>
        <w:t>anti</w:t>
      </w:r>
      <w:r w:rsidR="00F52ED6" w:rsidRPr="007F2054">
        <w:rPr>
          <w:rFonts w:ascii="Times New Roman" w:eastAsia="Times New Roman" w:hAnsi="Times New Roman" w:cs="Times New Roman"/>
        </w:rPr>
        <w:t>-</w:t>
      </w:r>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aktyvumui be jokio papildomo poveikio krešėjimo tyrimams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laikui [PL, angl. </w:t>
      </w:r>
      <w:proofErr w:type="spellStart"/>
      <w:r w:rsidRPr="007F2054">
        <w:rPr>
          <w:rFonts w:ascii="Times New Roman" w:eastAsia="Times New Roman" w:hAnsi="Times New Roman" w:cs="Times New Roman"/>
        </w:rPr>
        <w:t>prothrombin</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time</w:t>
      </w:r>
      <w:proofErr w:type="spellEnd"/>
      <w:r w:rsidRPr="007F2054">
        <w:rPr>
          <w:rFonts w:ascii="Times New Roman" w:eastAsia="Times New Roman" w:hAnsi="Times New Roman" w:cs="Times New Roman"/>
        </w:rPr>
        <w:t xml:space="preserve"> (PT)], daliniam aktyvintam </w:t>
      </w:r>
      <w:proofErr w:type="spellStart"/>
      <w:r w:rsidRPr="007F2054">
        <w:rPr>
          <w:rFonts w:ascii="Times New Roman" w:eastAsia="Times New Roman" w:hAnsi="Times New Roman" w:cs="Times New Roman"/>
        </w:rPr>
        <w:t>tromboplastino</w:t>
      </w:r>
      <w:proofErr w:type="spellEnd"/>
      <w:r w:rsidRPr="007F2054">
        <w:rPr>
          <w:rFonts w:ascii="Times New Roman" w:eastAsia="Times New Roman" w:hAnsi="Times New Roman" w:cs="Times New Roman"/>
        </w:rPr>
        <w:t xml:space="preserve"> laikui [DATL]). </w:t>
      </w:r>
      <w:proofErr w:type="spellStart"/>
      <w:r w:rsidRPr="007F2054">
        <w:rPr>
          <w:rFonts w:ascii="Times New Roman" w:eastAsia="Times New Roman" w:hAnsi="Times New Roman" w:cs="Times New Roman"/>
        </w:rPr>
        <w:t>Enoksaparinas</w:t>
      </w:r>
      <w:proofErr w:type="spellEnd"/>
      <w:r w:rsidRPr="007F2054">
        <w:rPr>
          <w:rFonts w:ascii="Times New Roman" w:eastAsia="Times New Roman" w:hAnsi="Times New Roman" w:cs="Times New Roman"/>
        </w:rPr>
        <w:t xml:space="preserve"> neveikė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w:t>
      </w:r>
    </w:p>
    <w:p w14:paraId="5402D8B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Jei pacientas kartu gydomas bet kokiais kitais antikoaguliantais, dėl padidėjusios kraujavimo rizikos reikia imtis atsargumo priemonių (žr. 4.3 ir 4.4 skyrius). </w:t>
      </w:r>
    </w:p>
    <w:p w14:paraId="0C4154E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163DD8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NVPNU ir (arba) trombocitų </w:t>
      </w:r>
      <w:proofErr w:type="spellStart"/>
      <w:r w:rsidRPr="007F2054">
        <w:rPr>
          <w:rFonts w:ascii="Times New Roman" w:eastAsia="Times New Roman" w:hAnsi="Times New Roman" w:cs="Times New Roman"/>
          <w:u w:val="single"/>
        </w:rPr>
        <w:t>agregacijos</w:t>
      </w:r>
      <w:proofErr w:type="spellEnd"/>
      <w:r w:rsidRPr="007F2054">
        <w:rPr>
          <w:rFonts w:ascii="Times New Roman" w:eastAsia="Times New Roman" w:hAnsi="Times New Roman" w:cs="Times New Roman"/>
          <w:u w:val="single"/>
        </w:rPr>
        <w:t xml:space="preserve"> inhibitoriai </w:t>
      </w:r>
    </w:p>
    <w:p w14:paraId="2F35ED7E" w14:textId="33088763"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Vartojant rivaroksabano (15 mg) kartu su 500 mg naprokseno doze, jokio kliniškai reikšmingo kraujavimo laiko pailgėjimo nenustatyta. Tačiau gali būti asmenų, kuriems </w:t>
      </w:r>
      <w:proofErr w:type="spellStart"/>
      <w:r w:rsidRPr="007F2054">
        <w:rPr>
          <w:rFonts w:ascii="Times New Roman" w:eastAsia="Times New Roman" w:hAnsi="Times New Roman" w:cs="Times New Roman"/>
        </w:rPr>
        <w:t>farmakodinaminis</w:t>
      </w:r>
      <w:proofErr w:type="spellEnd"/>
      <w:r w:rsidRPr="007F2054">
        <w:rPr>
          <w:rFonts w:ascii="Times New Roman" w:eastAsia="Times New Roman" w:hAnsi="Times New Roman" w:cs="Times New Roman"/>
        </w:rPr>
        <w:t xml:space="preserve"> poveikis yra stipriau išreikštas. </w:t>
      </w:r>
    </w:p>
    <w:p w14:paraId="42E4BAC3" w14:textId="2394A4E9"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Jokios klinikiniu požiūriu reikšmingos </w:t>
      </w:r>
      <w:proofErr w:type="spellStart"/>
      <w:r w:rsidRPr="007F2054">
        <w:rPr>
          <w:rFonts w:ascii="Times New Roman" w:eastAsia="Times New Roman" w:hAnsi="Times New Roman" w:cs="Times New Roman"/>
        </w:rPr>
        <w:t>farmakokinetinės</w:t>
      </w:r>
      <w:proofErr w:type="spellEnd"/>
      <w:r w:rsidRPr="007F2054">
        <w:rPr>
          <w:rFonts w:ascii="Times New Roman" w:eastAsia="Times New Roman" w:hAnsi="Times New Roman" w:cs="Times New Roman"/>
        </w:rPr>
        <w:t xml:space="preserve"> ar </w:t>
      </w:r>
      <w:proofErr w:type="spellStart"/>
      <w:r w:rsidRPr="007F2054">
        <w:rPr>
          <w:rFonts w:ascii="Times New Roman" w:eastAsia="Times New Roman" w:hAnsi="Times New Roman" w:cs="Times New Roman"/>
        </w:rPr>
        <w:t>farmakodinaminės</w:t>
      </w:r>
      <w:proofErr w:type="spellEnd"/>
      <w:r w:rsidRPr="007F2054">
        <w:rPr>
          <w:rFonts w:ascii="Times New Roman" w:eastAsia="Times New Roman" w:hAnsi="Times New Roman" w:cs="Times New Roman"/>
        </w:rPr>
        <w:t xml:space="preserve"> sąveikos nebuvo nustatyta, kai rivaroksabano buvo kartu vartojama su 500 mg acetilsalicilo rūgštimi. </w:t>
      </w:r>
    </w:p>
    <w:p w14:paraId="5BDDA953" w14:textId="1A32B00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Kartu vartojant klopidogrelio (300 mg įsotinimo dozė ir po jos 75 mg palaikomoji dozė) nebuvo nustatyta jokios </w:t>
      </w:r>
      <w:proofErr w:type="spellStart"/>
      <w:r w:rsidRPr="007F2054">
        <w:rPr>
          <w:rFonts w:ascii="Times New Roman" w:eastAsia="Times New Roman" w:hAnsi="Times New Roman" w:cs="Times New Roman"/>
        </w:rPr>
        <w:t>farmakokinetinės</w:t>
      </w:r>
      <w:proofErr w:type="spellEnd"/>
      <w:r w:rsidRPr="007F2054">
        <w:rPr>
          <w:rFonts w:ascii="Times New Roman" w:eastAsia="Times New Roman" w:hAnsi="Times New Roman" w:cs="Times New Roman"/>
        </w:rPr>
        <w:t xml:space="preserve"> sąveikos su </w:t>
      </w:r>
      <w:proofErr w:type="spellStart"/>
      <w:r w:rsidRPr="007F2054">
        <w:rPr>
          <w:rFonts w:ascii="Times New Roman" w:eastAsia="Times New Roman" w:hAnsi="Times New Roman" w:cs="Times New Roman"/>
        </w:rPr>
        <w:t>rivaroksabanu</w:t>
      </w:r>
      <w:proofErr w:type="spellEnd"/>
      <w:r w:rsidRPr="007F2054">
        <w:rPr>
          <w:rFonts w:ascii="Times New Roman" w:eastAsia="Times New Roman" w:hAnsi="Times New Roman" w:cs="Times New Roman"/>
        </w:rPr>
        <w:t xml:space="preserve"> (15 mg), tačiau buvo stebimas reikšmingas kraujavimo laiko pailgėjimas pacientų pogrupiui; tai nekoreliavo su trombocitų </w:t>
      </w:r>
      <w:proofErr w:type="spellStart"/>
      <w:r w:rsidRPr="007F2054">
        <w:rPr>
          <w:rFonts w:ascii="Times New Roman" w:eastAsia="Times New Roman" w:hAnsi="Times New Roman" w:cs="Times New Roman"/>
        </w:rPr>
        <w:t>agregacija</w:t>
      </w:r>
      <w:proofErr w:type="spellEnd"/>
      <w:r w:rsidRPr="007F2054">
        <w:rPr>
          <w:rFonts w:ascii="Times New Roman" w:eastAsia="Times New Roman" w:hAnsi="Times New Roman" w:cs="Times New Roman"/>
        </w:rPr>
        <w:t>, P</w:t>
      </w:r>
      <w:r w:rsidR="00F52ED6"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selektinu</w:t>
      </w:r>
      <w:proofErr w:type="spellEnd"/>
      <w:r w:rsidRPr="007F2054">
        <w:rPr>
          <w:rFonts w:ascii="Times New Roman" w:eastAsia="Times New Roman" w:hAnsi="Times New Roman" w:cs="Times New Roman"/>
        </w:rPr>
        <w:t xml:space="preserve"> arba </w:t>
      </w:r>
      <w:proofErr w:type="spellStart"/>
      <w:r w:rsidRPr="007F2054">
        <w:rPr>
          <w:rFonts w:ascii="Times New Roman" w:eastAsia="Times New Roman" w:hAnsi="Times New Roman" w:cs="Times New Roman"/>
        </w:rPr>
        <w:t>GPIIb</w:t>
      </w:r>
      <w:proofErr w:type="spellEnd"/>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IIIa</w:t>
      </w:r>
      <w:proofErr w:type="spellEnd"/>
      <w:r w:rsidRPr="007F2054">
        <w:rPr>
          <w:rFonts w:ascii="Times New Roman" w:eastAsia="Times New Roman" w:hAnsi="Times New Roman" w:cs="Times New Roman"/>
        </w:rPr>
        <w:t xml:space="preserve"> receptorių kiekiais. </w:t>
      </w:r>
    </w:p>
    <w:p w14:paraId="61B5B0D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Turi būti imamasi atsargumo priemonių, jei pacientai yra kartu gydomi nesteroidiniais vaistiniais preparatais nuo uždegimo (NVPNU) (įskaitant acetilsalicilo rūgštį) ir trombocitų </w:t>
      </w:r>
      <w:proofErr w:type="spellStart"/>
      <w:r w:rsidRPr="007F2054">
        <w:rPr>
          <w:rFonts w:ascii="Times New Roman" w:eastAsia="Times New Roman" w:hAnsi="Times New Roman" w:cs="Times New Roman"/>
        </w:rPr>
        <w:t>agregacijos</w:t>
      </w:r>
      <w:proofErr w:type="spellEnd"/>
      <w:r w:rsidRPr="007F2054">
        <w:rPr>
          <w:rFonts w:ascii="Times New Roman" w:eastAsia="Times New Roman" w:hAnsi="Times New Roman" w:cs="Times New Roman"/>
        </w:rPr>
        <w:t xml:space="preserve"> inhibitoriais, nes šie vaistiniai preparatai dažniausiai didina kraujavimo riziką (žr. 4.4 skyrių). </w:t>
      </w:r>
    </w:p>
    <w:p w14:paraId="124EF4B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A0ECF9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SSRI / SNRI </w:t>
      </w:r>
    </w:p>
    <w:p w14:paraId="253DEBA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5385665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FB4E6A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Varfarinas</w:t>
      </w:r>
      <w:proofErr w:type="spellEnd"/>
      <w:r w:rsidRPr="007F2054">
        <w:rPr>
          <w:rFonts w:ascii="Times New Roman" w:eastAsia="Times New Roman" w:hAnsi="Times New Roman" w:cs="Times New Roman"/>
          <w:u w:val="single"/>
        </w:rPr>
        <w:t xml:space="preserve"> </w:t>
      </w:r>
    </w:p>
    <w:p w14:paraId="1A02ACCE" w14:textId="6ABF3EB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Keičiant gydymą vitamino K antagonistu </w:t>
      </w:r>
      <w:proofErr w:type="spellStart"/>
      <w:r w:rsidRPr="007F2054">
        <w:rPr>
          <w:rFonts w:ascii="Times New Roman" w:eastAsia="Times New Roman" w:hAnsi="Times New Roman" w:cs="Times New Roman"/>
        </w:rPr>
        <w:t>varfarinu</w:t>
      </w:r>
      <w:proofErr w:type="spellEnd"/>
      <w:r w:rsidRPr="007F2054">
        <w:rPr>
          <w:rFonts w:ascii="Times New Roman" w:eastAsia="Times New Roman" w:hAnsi="Times New Roman" w:cs="Times New Roman"/>
        </w:rPr>
        <w:t xml:space="preserve"> (TNS nuo 2,0 iki 3,0) į gydymą rivaroksabanu (20 mg) arba gydymą rivaroksabanu (20 mg) į gydymą </w:t>
      </w:r>
      <w:proofErr w:type="spellStart"/>
      <w:r w:rsidRPr="007F2054">
        <w:rPr>
          <w:rFonts w:ascii="Times New Roman" w:eastAsia="Times New Roman" w:hAnsi="Times New Roman" w:cs="Times New Roman"/>
        </w:rPr>
        <w:t>varfarinu</w:t>
      </w:r>
      <w:proofErr w:type="spellEnd"/>
      <w:r w:rsidRPr="007F2054">
        <w:rPr>
          <w:rFonts w:ascii="Times New Roman" w:eastAsia="Times New Roman" w:hAnsi="Times New Roman" w:cs="Times New Roman"/>
        </w:rPr>
        <w:t xml:space="preserve"> (TNS nuo 2,0 iki 3,0),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laikas / TNS (</w:t>
      </w:r>
      <w:proofErr w:type="spellStart"/>
      <w:r w:rsidRPr="007F2054">
        <w:rPr>
          <w:rFonts w:ascii="Times New Roman" w:eastAsia="Times New Roman" w:hAnsi="Times New Roman" w:cs="Times New Roman"/>
        </w:rPr>
        <w:t>Neoplastin</w:t>
      </w:r>
      <w:proofErr w:type="spellEnd"/>
      <w:r w:rsidRPr="007F2054">
        <w:rPr>
          <w:rFonts w:ascii="Times New Roman" w:eastAsia="Times New Roman" w:hAnsi="Times New Roman" w:cs="Times New Roman"/>
        </w:rPr>
        <w:t xml:space="preserve">) padidėjo daugiau nei iki suminės reikšmės (atskirais atvejais nustatyta TNS reikšmė iki 12), tuo tarpu kai poveikis DATL,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aktyvumo slopinimui ir endogeninio trombino potencialui (ETP) buvo suminis. </w:t>
      </w:r>
    </w:p>
    <w:p w14:paraId="73AC1D8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Norint ištirti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farmakodinaminį</w:t>
      </w:r>
      <w:proofErr w:type="spellEnd"/>
      <w:r w:rsidRPr="007F2054">
        <w:rPr>
          <w:rFonts w:ascii="Times New Roman" w:eastAsia="Times New Roman" w:hAnsi="Times New Roman" w:cs="Times New Roman"/>
        </w:rPr>
        <w:t xml:space="preserve"> poveikį gydymo keitimo metu, galima atlikti </w:t>
      </w:r>
      <w:proofErr w:type="spellStart"/>
      <w:r w:rsidRPr="007F2054">
        <w:rPr>
          <w:rFonts w:ascii="Times New Roman" w:eastAsia="Times New Roman" w:hAnsi="Times New Roman" w:cs="Times New Roman"/>
        </w:rPr>
        <w:t>antifaktoriaus</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aktyvumo, </w:t>
      </w:r>
      <w:proofErr w:type="spellStart"/>
      <w:r w:rsidRPr="007F2054">
        <w:rPr>
          <w:rFonts w:ascii="Times New Roman" w:eastAsia="Times New Roman" w:hAnsi="Times New Roman" w:cs="Times New Roman"/>
        </w:rPr>
        <w:t>PiCT</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Heptest</w:t>
      </w:r>
      <w:proofErr w:type="spellEnd"/>
      <w:r w:rsidRPr="007F2054">
        <w:rPr>
          <w:rFonts w:ascii="Times New Roman" w:eastAsia="Times New Roman" w:hAnsi="Times New Roman" w:cs="Times New Roman"/>
        </w:rPr>
        <w:t xml:space="preserve"> tyrimus, kadangi </w:t>
      </w:r>
      <w:proofErr w:type="spellStart"/>
      <w:r w:rsidRPr="007F2054">
        <w:rPr>
          <w:rFonts w:ascii="Times New Roman" w:eastAsia="Times New Roman" w:hAnsi="Times New Roman" w:cs="Times New Roman"/>
        </w:rPr>
        <w:t>varfarinas</w:t>
      </w:r>
      <w:proofErr w:type="spellEnd"/>
      <w:r w:rsidRPr="007F2054">
        <w:rPr>
          <w:rFonts w:ascii="Times New Roman" w:eastAsia="Times New Roman" w:hAnsi="Times New Roman" w:cs="Times New Roman"/>
        </w:rPr>
        <w:t xml:space="preserve"> šių tyrimų neveikia. Ketvirtą parą po paskutinės varfarino dozės pavartojimo visi tyrimai (įskaitant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laiką, DATL,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aktyvumo slopinimą ir ETP) rodė tik rivaroksabano poveikį. </w:t>
      </w:r>
    </w:p>
    <w:p w14:paraId="2CF56A7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Norint ištirti </w:t>
      </w:r>
      <w:proofErr w:type="spellStart"/>
      <w:r w:rsidRPr="007F2054">
        <w:rPr>
          <w:rFonts w:ascii="Times New Roman" w:eastAsia="Times New Roman" w:hAnsi="Times New Roman" w:cs="Times New Roman"/>
        </w:rPr>
        <w:t>varfarino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farmakodinaminį</w:t>
      </w:r>
      <w:proofErr w:type="spellEnd"/>
      <w:r w:rsidRPr="007F2054">
        <w:rPr>
          <w:rFonts w:ascii="Times New Roman" w:eastAsia="Times New Roman" w:hAnsi="Times New Roman" w:cs="Times New Roman"/>
        </w:rPr>
        <w:t xml:space="preserve"> poveikį gydymo keitimo metu, galima atlikti TNS tyrimą, esant mažiausiai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koncentracijai (</w:t>
      </w:r>
      <w:proofErr w:type="spellStart"/>
      <w:r w:rsidRPr="007F2054">
        <w:rPr>
          <w:rFonts w:ascii="Times New Roman" w:eastAsia="Times New Roman" w:hAnsi="Times New Roman" w:cs="Times New Roman"/>
        </w:rPr>
        <w:t>Ctrough</w:t>
      </w:r>
      <w:proofErr w:type="spellEnd"/>
      <w:r w:rsidRPr="007F2054">
        <w:rPr>
          <w:rFonts w:ascii="Times New Roman" w:eastAsia="Times New Roman" w:hAnsi="Times New Roman" w:cs="Times New Roman"/>
        </w:rPr>
        <w:t xml:space="preserve">) (praėjus 24 valandoms po paskutinio rivaroksabano pavartojimo), nes šiuo laiku tyrimas bus mažiausiai paveiktas rivaroksabano. </w:t>
      </w:r>
    </w:p>
    <w:p w14:paraId="5E02D19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Farmakokinetinės varfarino ir rivaroksabano sąveikos nustatyta nebuvo. </w:t>
      </w:r>
    </w:p>
    <w:p w14:paraId="2D2E7C3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B5F5FC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CYP3A4 </w:t>
      </w:r>
      <w:proofErr w:type="spellStart"/>
      <w:r w:rsidRPr="007F2054">
        <w:rPr>
          <w:rFonts w:ascii="Times New Roman" w:eastAsia="Times New Roman" w:hAnsi="Times New Roman" w:cs="Times New Roman"/>
          <w:u w:val="single"/>
        </w:rPr>
        <w:t>induktoriai</w:t>
      </w:r>
      <w:proofErr w:type="spellEnd"/>
      <w:r w:rsidRPr="007F2054">
        <w:rPr>
          <w:rFonts w:ascii="Times New Roman" w:eastAsia="Times New Roman" w:hAnsi="Times New Roman" w:cs="Times New Roman"/>
          <w:u w:val="single"/>
        </w:rPr>
        <w:t xml:space="preserve"> </w:t>
      </w:r>
    </w:p>
    <w:p w14:paraId="44EB5347" w14:textId="6D4891CC"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vartojant kartu su stipriu CYP3A4 </w:t>
      </w:r>
      <w:proofErr w:type="spellStart"/>
      <w:r w:rsidRPr="007F2054">
        <w:rPr>
          <w:rFonts w:ascii="Times New Roman" w:eastAsia="Times New Roman" w:hAnsi="Times New Roman" w:cs="Times New Roman"/>
        </w:rPr>
        <w:t>induktoriumi</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rifampicinu</w:t>
      </w:r>
      <w:proofErr w:type="spellEnd"/>
      <w:r w:rsidRPr="007F2054">
        <w:rPr>
          <w:rFonts w:ascii="Times New Roman" w:eastAsia="Times New Roman" w:hAnsi="Times New Roman" w:cs="Times New Roman"/>
        </w:rPr>
        <w:t>, nustatytas maždaug 50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vidutinio rivaroksabano AUC sumažėjimas ir kartu – </w:t>
      </w:r>
      <w:proofErr w:type="spellStart"/>
      <w:r w:rsidRPr="007F2054">
        <w:rPr>
          <w:rFonts w:ascii="Times New Roman" w:eastAsia="Times New Roman" w:hAnsi="Times New Roman" w:cs="Times New Roman"/>
        </w:rPr>
        <w:t>farmakodinaminių</w:t>
      </w:r>
      <w:proofErr w:type="spellEnd"/>
      <w:r w:rsidRPr="007F2054">
        <w:rPr>
          <w:rFonts w:ascii="Times New Roman" w:eastAsia="Times New Roman" w:hAnsi="Times New Roman" w:cs="Times New Roman"/>
        </w:rPr>
        <w:t xml:space="preserve"> poveikių sumažėjimas. Rivaroksabano vartojant kartu su kitais stipriais CYP3A4 </w:t>
      </w:r>
      <w:proofErr w:type="spellStart"/>
      <w:r w:rsidRPr="007F2054">
        <w:rPr>
          <w:rFonts w:ascii="Times New Roman" w:eastAsia="Times New Roman" w:hAnsi="Times New Roman" w:cs="Times New Roman"/>
        </w:rPr>
        <w:t>induktoriais</w:t>
      </w:r>
      <w:proofErr w:type="spellEnd"/>
      <w:r w:rsidRPr="007F2054">
        <w:rPr>
          <w:rFonts w:ascii="Times New Roman" w:eastAsia="Times New Roman" w:hAnsi="Times New Roman" w:cs="Times New Roman"/>
        </w:rPr>
        <w:t xml:space="preserve"> (pvz., </w:t>
      </w:r>
      <w:proofErr w:type="spellStart"/>
      <w:r w:rsidRPr="007F2054">
        <w:rPr>
          <w:rFonts w:ascii="Times New Roman" w:eastAsia="Times New Roman" w:hAnsi="Times New Roman" w:cs="Times New Roman"/>
        </w:rPr>
        <w:t>fenitoinu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karbamazepinu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fenobarbitaliu</w:t>
      </w:r>
      <w:proofErr w:type="spellEnd"/>
      <w:r w:rsidRPr="007F2054">
        <w:rPr>
          <w:rFonts w:ascii="Times New Roman" w:eastAsia="Times New Roman" w:hAnsi="Times New Roman" w:cs="Times New Roman"/>
        </w:rPr>
        <w:t xml:space="preserve"> arba paprastosios jonažolės (</w:t>
      </w:r>
      <w:proofErr w:type="spellStart"/>
      <w:r w:rsidRPr="007F2054">
        <w:rPr>
          <w:rFonts w:ascii="Times New Roman" w:eastAsia="Times New Roman" w:hAnsi="Times New Roman" w:cs="Times New Roman"/>
          <w:i/>
          <w:iCs/>
        </w:rPr>
        <w:t>Hypericum</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perforatum</w:t>
      </w:r>
      <w:proofErr w:type="spellEnd"/>
      <w:r w:rsidRPr="007F2054">
        <w:rPr>
          <w:rFonts w:ascii="Times New Roman" w:eastAsia="Times New Roman" w:hAnsi="Times New Roman" w:cs="Times New Roman"/>
        </w:rPr>
        <w:t xml:space="preserve">) preparatais), gali sumažėti rivaroksabano koncentracija plazmoje. Taigi reikia vengti kartu skirti stipriai veikiančių CYP3A4 </w:t>
      </w:r>
      <w:proofErr w:type="spellStart"/>
      <w:r w:rsidRPr="007F2054">
        <w:rPr>
          <w:rFonts w:ascii="Times New Roman" w:eastAsia="Times New Roman" w:hAnsi="Times New Roman" w:cs="Times New Roman"/>
        </w:rPr>
        <w:t>induktorių</w:t>
      </w:r>
      <w:proofErr w:type="spellEnd"/>
      <w:r w:rsidRPr="007F2054">
        <w:rPr>
          <w:rFonts w:ascii="Times New Roman" w:eastAsia="Times New Roman" w:hAnsi="Times New Roman" w:cs="Times New Roman"/>
        </w:rPr>
        <w:t>, nebent pacientas yra atidžiai stebimas dėl trombozės požymių ir simptomų.</w:t>
      </w:r>
    </w:p>
    <w:p w14:paraId="12E6A4E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5522C0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Kitas kartu skiriamas gydymas </w:t>
      </w:r>
    </w:p>
    <w:p w14:paraId="2C6F11A2" w14:textId="717D557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Vartojant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kartu su </w:t>
      </w:r>
      <w:proofErr w:type="spellStart"/>
      <w:r w:rsidRPr="007F2054">
        <w:rPr>
          <w:rFonts w:ascii="Times New Roman" w:eastAsia="Times New Roman" w:hAnsi="Times New Roman" w:cs="Times New Roman"/>
        </w:rPr>
        <w:t>midazolamu</w:t>
      </w:r>
      <w:proofErr w:type="spellEnd"/>
      <w:r w:rsidRPr="007F2054">
        <w:rPr>
          <w:rFonts w:ascii="Times New Roman" w:eastAsia="Times New Roman" w:hAnsi="Times New Roman" w:cs="Times New Roman"/>
        </w:rPr>
        <w:t xml:space="preserve"> (CYP3A4 substratas), </w:t>
      </w:r>
      <w:proofErr w:type="spellStart"/>
      <w:r w:rsidRPr="007F2054">
        <w:rPr>
          <w:rFonts w:ascii="Times New Roman" w:eastAsia="Times New Roman" w:hAnsi="Times New Roman" w:cs="Times New Roman"/>
        </w:rPr>
        <w:t>digoksinu</w:t>
      </w:r>
      <w:proofErr w:type="spellEnd"/>
      <w:r w:rsidRPr="007F2054">
        <w:rPr>
          <w:rFonts w:ascii="Times New Roman" w:eastAsia="Times New Roman" w:hAnsi="Times New Roman" w:cs="Times New Roman"/>
        </w:rPr>
        <w:t xml:space="preserve"> (P</w:t>
      </w:r>
      <w:r w:rsidR="0016548F"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substratas), </w:t>
      </w:r>
      <w:proofErr w:type="spellStart"/>
      <w:r w:rsidRPr="007F2054">
        <w:rPr>
          <w:rFonts w:ascii="Times New Roman" w:eastAsia="Times New Roman" w:hAnsi="Times New Roman" w:cs="Times New Roman"/>
        </w:rPr>
        <w:t>atorvastatinu</w:t>
      </w:r>
      <w:proofErr w:type="spellEnd"/>
      <w:r w:rsidRPr="007F2054">
        <w:rPr>
          <w:rFonts w:ascii="Times New Roman" w:eastAsia="Times New Roman" w:hAnsi="Times New Roman" w:cs="Times New Roman"/>
        </w:rPr>
        <w:t xml:space="preserve"> (CYP3A4 ir P</w:t>
      </w:r>
      <w:r w:rsidR="0016548F"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substratas) arba </w:t>
      </w:r>
      <w:proofErr w:type="spellStart"/>
      <w:r w:rsidRPr="007F2054">
        <w:rPr>
          <w:rFonts w:ascii="Times New Roman" w:eastAsia="Times New Roman" w:hAnsi="Times New Roman" w:cs="Times New Roman"/>
        </w:rPr>
        <w:t>omeprazolu</w:t>
      </w:r>
      <w:proofErr w:type="spellEnd"/>
      <w:r w:rsidRPr="007F2054">
        <w:rPr>
          <w:rFonts w:ascii="Times New Roman" w:eastAsia="Times New Roman" w:hAnsi="Times New Roman" w:cs="Times New Roman"/>
        </w:rPr>
        <w:t xml:space="preserve"> (protonų pompos inhibitorius), klinikiniu požiūriu reikšmingos </w:t>
      </w:r>
      <w:proofErr w:type="spellStart"/>
      <w:r w:rsidRPr="007F2054">
        <w:rPr>
          <w:rFonts w:ascii="Times New Roman" w:eastAsia="Times New Roman" w:hAnsi="Times New Roman" w:cs="Times New Roman"/>
        </w:rPr>
        <w:t>farmakokinetinės</w:t>
      </w:r>
      <w:proofErr w:type="spellEnd"/>
      <w:r w:rsidRPr="007F2054">
        <w:rPr>
          <w:rFonts w:ascii="Times New Roman" w:eastAsia="Times New Roman" w:hAnsi="Times New Roman" w:cs="Times New Roman"/>
        </w:rPr>
        <w:t xml:space="preserve"> arba </w:t>
      </w:r>
      <w:proofErr w:type="spellStart"/>
      <w:r w:rsidRPr="007F2054">
        <w:rPr>
          <w:rFonts w:ascii="Times New Roman" w:eastAsia="Times New Roman" w:hAnsi="Times New Roman" w:cs="Times New Roman"/>
        </w:rPr>
        <w:t>farmakodinaminės</w:t>
      </w:r>
      <w:proofErr w:type="spellEnd"/>
      <w:r w:rsidRPr="007F2054">
        <w:rPr>
          <w:rFonts w:ascii="Times New Roman" w:eastAsia="Times New Roman" w:hAnsi="Times New Roman" w:cs="Times New Roman"/>
        </w:rPr>
        <w:t xml:space="preserve"> sąveikos nustatyta nebuvo. Rivaroksabanas neslopina ir neindukuoja svarbiausių CYP </w:t>
      </w:r>
      <w:proofErr w:type="spellStart"/>
      <w:r w:rsidRPr="007F2054">
        <w:rPr>
          <w:rFonts w:ascii="Times New Roman" w:eastAsia="Times New Roman" w:hAnsi="Times New Roman" w:cs="Times New Roman"/>
        </w:rPr>
        <w:t>izoformų</w:t>
      </w:r>
      <w:proofErr w:type="spellEnd"/>
      <w:r w:rsidRPr="007F2054">
        <w:rPr>
          <w:rFonts w:ascii="Times New Roman" w:eastAsia="Times New Roman" w:hAnsi="Times New Roman" w:cs="Times New Roman"/>
        </w:rPr>
        <w:t xml:space="preserve">, tokių kaip CYP3A4. </w:t>
      </w:r>
    </w:p>
    <w:p w14:paraId="3C04439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lastRenderedPageBreak/>
        <w:t xml:space="preserve">Kliniškai reikšmingos sąveikos su maistu nustatyta nebuvo (žr. 4.2 skyrių). </w:t>
      </w:r>
    </w:p>
    <w:p w14:paraId="0AA1426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77E629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Laboratoriniai rodmenys </w:t>
      </w:r>
    </w:p>
    <w:p w14:paraId="7699BCAE" w14:textId="09F46E3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Kaip ir galima tikėtis, rivaroksabano veikimo mechanizmas paveikia krešėjimo parametrus (pvz.,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laiką [PL], dalinį aktyvintą </w:t>
      </w:r>
      <w:proofErr w:type="spellStart"/>
      <w:r w:rsidRPr="007F2054">
        <w:rPr>
          <w:rFonts w:ascii="Times New Roman" w:eastAsia="Times New Roman" w:hAnsi="Times New Roman" w:cs="Times New Roman"/>
        </w:rPr>
        <w:t>tromboplastino</w:t>
      </w:r>
      <w:proofErr w:type="spellEnd"/>
      <w:r w:rsidRPr="007F2054">
        <w:rPr>
          <w:rFonts w:ascii="Times New Roman" w:eastAsia="Times New Roman" w:hAnsi="Times New Roman" w:cs="Times New Roman"/>
        </w:rPr>
        <w:t xml:space="preserve"> laiką [DATL], </w:t>
      </w:r>
      <w:proofErr w:type="spellStart"/>
      <w:r w:rsidRPr="006C1D08">
        <w:rPr>
          <w:rFonts w:ascii="Times New Roman" w:eastAsia="Times New Roman" w:hAnsi="Times New Roman" w:cs="Times New Roman"/>
          <w:i/>
          <w:iCs/>
        </w:rPr>
        <w:t>Hep</w:t>
      </w:r>
      <w:r w:rsidR="00BE4C73">
        <w:rPr>
          <w:rFonts w:ascii="Times New Roman" w:eastAsia="Times New Roman" w:hAnsi="Times New Roman" w:cs="Times New Roman"/>
          <w:i/>
          <w:iCs/>
        </w:rPr>
        <w:t>t</w:t>
      </w:r>
      <w:r w:rsidRPr="006C1D08">
        <w:rPr>
          <w:rFonts w:ascii="Times New Roman" w:eastAsia="Times New Roman" w:hAnsi="Times New Roman" w:cs="Times New Roman"/>
          <w:i/>
          <w:iCs/>
        </w:rPr>
        <w:t>est</w:t>
      </w:r>
      <w:proofErr w:type="spellEnd"/>
      <w:r w:rsidRPr="007F2054">
        <w:rPr>
          <w:rFonts w:ascii="Times New Roman" w:eastAsia="Times New Roman" w:hAnsi="Times New Roman" w:cs="Times New Roman"/>
        </w:rPr>
        <w:t>) (žr. 5.1 skyrių).</w:t>
      </w:r>
    </w:p>
    <w:p w14:paraId="02E8606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7C69580" w14:textId="273A62F2"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Vaisingumas, nėštumo ir žindymo laikotarpis</w:t>
      </w:r>
    </w:p>
    <w:p w14:paraId="086219A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680124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Nėštumas </w:t>
      </w:r>
    </w:p>
    <w:p w14:paraId="6A4B4254" w14:textId="7FA096B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draudžiama vartoti nėštumo metu (žr. 4.3 skyrių). </w:t>
      </w:r>
    </w:p>
    <w:p w14:paraId="643C845A"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Vaisingo amžiaus moterys turi stengtis nepastoti gydymo rivaroksabanu metu. </w:t>
      </w:r>
    </w:p>
    <w:p w14:paraId="00AE69D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E1FC56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Žindymas </w:t>
      </w:r>
    </w:p>
    <w:p w14:paraId="63E41DBD" w14:textId="7D1AEC5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saugumas ir veiksmingumas žindyvėms neištirti. Tyrimų su gyvūnais duomenys rodo, kad rivaroksabanas išsiskiria į motinos pieną. Todėl </w:t>
      </w:r>
      <w:r w:rsidR="005A3031">
        <w:rPr>
          <w:rFonts w:ascii="Times New Roman" w:eastAsia="Times New Roman" w:hAnsi="Times New Roman" w:cs="Times New Roman"/>
        </w:rPr>
        <w:t>Xiltess</w:t>
      </w:r>
      <w:r w:rsidRPr="007F2054">
        <w:rPr>
          <w:rFonts w:ascii="Times New Roman" w:eastAsia="Times New Roman" w:hAnsi="Times New Roman" w:cs="Times New Roman"/>
        </w:rPr>
        <w:t xml:space="preserve"> draudžiama vartoti žindymo metu (žr. 4.3 skyrių). Reikia nuspręsti, ar nutraukti žindymą, ar nutraukti / susilaikyti nuo gydymo vaistiniu preparatu. </w:t>
      </w:r>
    </w:p>
    <w:p w14:paraId="4155B87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093BC0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Vaisingumas </w:t>
      </w:r>
    </w:p>
    <w:p w14:paraId="0EA01A0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Rivaroksabano poveikį vaisingumui įvertinančių specifinių tyrimų su žmonėmis neatlikta. Žiurkių patelių ir patinų vaisingumo tyrime poveikio nebuvo nustatyta (žr. 5.3 skyrių).</w:t>
      </w:r>
    </w:p>
    <w:p w14:paraId="2F124F3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C75A2F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7F970C2" w14:textId="7D58FE17"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Poveikis gebėjimui vairuoti ir valdyti mechanizmus</w:t>
      </w:r>
    </w:p>
    <w:p w14:paraId="3767C81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37355A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Rivaroksabanas gebėjimą vairuoti ir valdyti mechanizmus veikia silpnai. Buvo gauta pranešimų apie šias nepageidaujamas reakcijas: apalpimą (dažnis: nedažnas) ir svaigulį (dažnis: dažnas) (žr. 4.8 skyrių). Pacientams, kuriems pasireiškia šių nepageidaujamų reakcijų, vairuoti ir valdyti mechanizmų negalima.</w:t>
      </w:r>
    </w:p>
    <w:p w14:paraId="1AA9857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472F17C" w14:textId="484E0FB2"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Nepageidaujamas poveikis</w:t>
      </w:r>
    </w:p>
    <w:p w14:paraId="78A7238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F0AA0B9" w14:textId="77777777" w:rsidR="00D61A12" w:rsidRPr="006C1D08" w:rsidRDefault="00D61A12" w:rsidP="00D61A12">
      <w:pPr>
        <w:widowControl w:val="0"/>
        <w:autoSpaceDE w:val="0"/>
        <w:autoSpaceDN w:val="0"/>
        <w:spacing w:after="0" w:line="240" w:lineRule="auto"/>
        <w:rPr>
          <w:rFonts w:ascii="Times New Roman" w:eastAsia="Times New Roman" w:hAnsi="Times New Roman" w:cs="Times New Roman"/>
          <w:u w:val="single"/>
        </w:rPr>
      </w:pPr>
      <w:r w:rsidRPr="006C1D08">
        <w:rPr>
          <w:rFonts w:ascii="Times New Roman" w:eastAsia="Times New Roman" w:hAnsi="Times New Roman" w:cs="Times New Roman"/>
          <w:u w:val="single"/>
        </w:rPr>
        <w:t xml:space="preserve">Saugumo duomenų santrauka </w:t>
      </w:r>
    </w:p>
    <w:p w14:paraId="15C4B958" w14:textId="77777777" w:rsidR="00D61A12"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saugumas buvo tiriamas trylikoje pagrindinių III fazės tyrimų (žr. 1 lentelę). </w:t>
      </w:r>
    </w:p>
    <w:p w14:paraId="3CDD2F0C" w14:textId="77777777" w:rsidR="001A67D8" w:rsidRPr="007F2054" w:rsidRDefault="001A67D8" w:rsidP="00D61A12">
      <w:pPr>
        <w:widowControl w:val="0"/>
        <w:autoSpaceDE w:val="0"/>
        <w:autoSpaceDN w:val="0"/>
        <w:spacing w:after="0" w:line="240" w:lineRule="auto"/>
        <w:rPr>
          <w:rFonts w:ascii="Times New Roman" w:eastAsia="Times New Roman" w:hAnsi="Times New Roman" w:cs="Times New Roman"/>
        </w:rPr>
      </w:pPr>
    </w:p>
    <w:p w14:paraId="37071A2B" w14:textId="693E709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Iš viso devyniolikoje III fazės tyrimų dalyvavo 69 608 suaugę pacientai, ir dviejuose II fazės tyrimuose bei </w:t>
      </w:r>
      <w:r w:rsidR="001A67D8">
        <w:rPr>
          <w:rFonts w:ascii="Times New Roman" w:eastAsia="Times New Roman" w:hAnsi="Times New Roman" w:cs="Times New Roman"/>
        </w:rPr>
        <w:t>dviejuose</w:t>
      </w:r>
      <w:r w:rsidRPr="007F2054">
        <w:rPr>
          <w:rFonts w:ascii="Times New Roman" w:eastAsia="Times New Roman" w:hAnsi="Times New Roman" w:cs="Times New Roman"/>
        </w:rPr>
        <w:t xml:space="preserve"> III fazės tyrim</w:t>
      </w:r>
      <w:r w:rsidR="001A67D8">
        <w:rPr>
          <w:rFonts w:ascii="Times New Roman" w:eastAsia="Times New Roman" w:hAnsi="Times New Roman" w:cs="Times New Roman"/>
        </w:rPr>
        <w:t>uose</w:t>
      </w:r>
      <w:r w:rsidRPr="007F2054">
        <w:rPr>
          <w:rFonts w:ascii="Times New Roman" w:eastAsia="Times New Roman" w:hAnsi="Times New Roman" w:cs="Times New Roman"/>
        </w:rPr>
        <w:t xml:space="preserve"> dalyvavo 4</w:t>
      </w:r>
      <w:r w:rsidR="001A67D8">
        <w:rPr>
          <w:rFonts w:ascii="Times New Roman" w:eastAsia="Times New Roman" w:hAnsi="Times New Roman" w:cs="Times New Roman"/>
        </w:rPr>
        <w:t>88</w:t>
      </w:r>
      <w:r w:rsidRPr="007F2054">
        <w:rPr>
          <w:rFonts w:ascii="Times New Roman" w:eastAsia="Times New Roman" w:hAnsi="Times New Roman" w:cs="Times New Roman"/>
        </w:rPr>
        <w:t xml:space="preserve"> vaik</w:t>
      </w:r>
      <w:r w:rsidR="001A67D8">
        <w:rPr>
          <w:rFonts w:ascii="Times New Roman" w:eastAsia="Times New Roman" w:hAnsi="Times New Roman" w:cs="Times New Roman"/>
        </w:rPr>
        <w:t>ai</w:t>
      </w:r>
      <w:r w:rsidRPr="007F2054">
        <w:rPr>
          <w:rFonts w:ascii="Times New Roman" w:eastAsia="Times New Roman" w:hAnsi="Times New Roman" w:cs="Times New Roman"/>
        </w:rPr>
        <w:t xml:space="preserve">, </w:t>
      </w:r>
      <w:r w:rsidR="001A67D8">
        <w:rPr>
          <w:rFonts w:ascii="Times New Roman" w:eastAsia="Times New Roman" w:hAnsi="Times New Roman" w:cs="Times New Roman"/>
        </w:rPr>
        <w:t xml:space="preserve">kurie </w:t>
      </w:r>
      <w:r w:rsidRPr="007F2054">
        <w:rPr>
          <w:rFonts w:ascii="Times New Roman" w:eastAsia="Times New Roman" w:hAnsi="Times New Roman" w:cs="Times New Roman"/>
        </w:rPr>
        <w:t>vartoj</w:t>
      </w:r>
      <w:r w:rsidR="001A67D8">
        <w:rPr>
          <w:rFonts w:ascii="Times New Roman" w:eastAsia="Times New Roman" w:hAnsi="Times New Roman" w:cs="Times New Roman"/>
        </w:rPr>
        <w:t>o</w:t>
      </w:r>
      <w:r w:rsidRPr="007F2054">
        <w:rPr>
          <w:rFonts w:ascii="Times New Roman" w:eastAsia="Times New Roman" w:hAnsi="Times New Roman" w:cs="Times New Roman"/>
        </w:rPr>
        <w:t xml:space="preserve"> rivaroksabano. </w:t>
      </w:r>
    </w:p>
    <w:p w14:paraId="339156E9" w14:textId="69BFF525" w:rsidR="000A618E" w:rsidRPr="007F2054" w:rsidRDefault="000A618E" w:rsidP="00D61A12">
      <w:pPr>
        <w:widowControl w:val="0"/>
        <w:autoSpaceDE w:val="0"/>
        <w:autoSpaceDN w:val="0"/>
        <w:spacing w:after="0" w:line="240" w:lineRule="auto"/>
        <w:rPr>
          <w:rFonts w:ascii="Times New Roman" w:eastAsia="Times New Roman" w:hAnsi="Times New Roman" w:cs="Times New Roman"/>
        </w:rPr>
      </w:pPr>
    </w:p>
    <w:p w14:paraId="042C77BE" w14:textId="7A0263ED" w:rsidR="000A618E" w:rsidRPr="007F2054" w:rsidRDefault="000A618E" w:rsidP="000A618E">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b/>
          <w:bCs/>
          <w:szCs w:val="20"/>
          <w:lang w:eastAsia="lt-LT"/>
        </w:rPr>
        <w:t>1 lentelė. Tirtų pacientų skaičius, bendra paros dozė ir ilgiausia gydymo trukmė III fazės suaugusiųjų ir pacientų vaikų tyrimuose</w:t>
      </w:r>
    </w:p>
    <w:p w14:paraId="2683BC1D" w14:textId="4457C0E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88"/>
        <w:gridCol w:w="2692"/>
        <w:gridCol w:w="1973"/>
      </w:tblGrid>
      <w:tr w:rsidR="000A618E" w:rsidRPr="000A618E" w14:paraId="5E11E155" w14:textId="77777777" w:rsidTr="004215B0">
        <w:tc>
          <w:tcPr>
            <w:tcW w:w="3227" w:type="dxa"/>
            <w:shd w:val="clear" w:color="auto" w:fill="auto"/>
          </w:tcPr>
          <w:p w14:paraId="7B42AF18"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0A618E">
              <w:rPr>
                <w:rFonts w:ascii="Times New Roman" w:eastAsia="Times New Roman" w:hAnsi="Times New Roman" w:cs="Times New Roman"/>
                <w:b/>
                <w:lang w:eastAsia="lt-LT"/>
              </w:rPr>
              <w:t>Indikacija</w:t>
            </w:r>
          </w:p>
        </w:tc>
        <w:tc>
          <w:tcPr>
            <w:tcW w:w="128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72"/>
            </w:tblGrid>
            <w:tr w:rsidR="000A618E" w:rsidRPr="000A618E" w14:paraId="7B6CA1DC" w14:textId="77777777" w:rsidTr="004215B0">
              <w:trPr>
                <w:trHeight w:val="283"/>
              </w:trPr>
              <w:tc>
                <w:tcPr>
                  <w:tcW w:w="0" w:type="auto"/>
                </w:tcPr>
                <w:p w14:paraId="48443330"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b/>
                      <w:bCs/>
                      <w:color w:val="000000"/>
                      <w:lang w:eastAsia="en-GB"/>
                    </w:rPr>
                    <w:t xml:space="preserve">Pacientų skaičius* </w:t>
                  </w:r>
                </w:p>
              </w:tc>
            </w:tr>
          </w:tbl>
          <w:p w14:paraId="118A6491"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6"/>
            </w:tblGrid>
            <w:tr w:rsidR="000A618E" w:rsidRPr="000A618E" w14:paraId="241F78E8" w14:textId="77777777" w:rsidTr="004215B0">
              <w:trPr>
                <w:trHeight w:val="152"/>
              </w:trPr>
              <w:tc>
                <w:tcPr>
                  <w:tcW w:w="0" w:type="auto"/>
                </w:tcPr>
                <w:p w14:paraId="0540DB08"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b/>
                      <w:bCs/>
                      <w:color w:val="000000"/>
                      <w:lang w:eastAsia="en-GB"/>
                    </w:rPr>
                    <w:t xml:space="preserve">Bendra paros dozė </w:t>
                  </w:r>
                </w:p>
              </w:tc>
            </w:tr>
          </w:tbl>
          <w:p w14:paraId="666E1C31"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97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57"/>
            </w:tblGrid>
            <w:tr w:rsidR="000A618E" w:rsidRPr="000A618E" w14:paraId="1147D00C" w14:textId="77777777" w:rsidTr="004215B0">
              <w:trPr>
                <w:trHeight w:val="283"/>
              </w:trPr>
              <w:tc>
                <w:tcPr>
                  <w:tcW w:w="0" w:type="auto"/>
                </w:tcPr>
                <w:p w14:paraId="293C81AF"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b/>
                      <w:bCs/>
                      <w:color w:val="000000"/>
                      <w:lang w:eastAsia="en-GB"/>
                    </w:rPr>
                    <w:t xml:space="preserve">Ilgiausia gydymo trukmė </w:t>
                  </w:r>
                </w:p>
              </w:tc>
            </w:tr>
          </w:tbl>
          <w:p w14:paraId="0B051C0D"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0A618E" w:rsidRPr="000A618E" w14:paraId="16C65260" w14:textId="77777777" w:rsidTr="004215B0">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A618E" w:rsidRPr="000A618E" w14:paraId="309ECBD5" w14:textId="77777777" w:rsidTr="004215B0">
              <w:trPr>
                <w:trHeight w:val="538"/>
              </w:trPr>
              <w:tc>
                <w:tcPr>
                  <w:tcW w:w="0" w:type="auto"/>
                </w:tcPr>
                <w:p w14:paraId="6EFE6613"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lang w:eastAsia="en-GB"/>
                    </w:rPr>
                    <w:t xml:space="preserve">Venų </w:t>
                  </w:r>
                  <w:proofErr w:type="spellStart"/>
                  <w:r w:rsidRPr="000A618E">
                    <w:rPr>
                      <w:rFonts w:ascii="Times New Roman" w:eastAsia="SimSun" w:hAnsi="Times New Roman" w:cs="Times New Roman"/>
                      <w:color w:val="000000"/>
                      <w:lang w:eastAsia="en-GB"/>
                    </w:rPr>
                    <w:t>tromboembolijos</w:t>
                  </w:r>
                  <w:proofErr w:type="spellEnd"/>
                  <w:r w:rsidRPr="000A618E">
                    <w:rPr>
                      <w:rFonts w:ascii="Times New Roman" w:eastAsia="SimSun" w:hAnsi="Times New Roman" w:cs="Times New Roman"/>
                      <w:color w:val="000000"/>
                      <w:lang w:eastAsia="en-GB"/>
                    </w:rPr>
                    <w:t xml:space="preserve"> (VTE) profilaktika suaugusiems pacientams, kuriems atliekama planinė klubo arba kelio sąnario pakeitimo operacija </w:t>
                  </w:r>
                </w:p>
              </w:tc>
            </w:tr>
          </w:tbl>
          <w:p w14:paraId="56FE77A1" w14:textId="77777777" w:rsidR="000A618E" w:rsidRPr="000A618E" w:rsidRDefault="000A618E" w:rsidP="000A618E">
            <w:pPr>
              <w:keepNext/>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288" w:type="dxa"/>
            <w:shd w:val="clear" w:color="auto" w:fill="auto"/>
          </w:tcPr>
          <w:p w14:paraId="7B403FBD" w14:textId="0133F8F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6</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097</w:t>
            </w:r>
          </w:p>
        </w:tc>
        <w:tc>
          <w:tcPr>
            <w:tcW w:w="2692" w:type="dxa"/>
            <w:shd w:val="clear" w:color="auto" w:fill="auto"/>
          </w:tcPr>
          <w:p w14:paraId="6ADA3735"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10 mg</w:t>
            </w:r>
          </w:p>
        </w:tc>
        <w:tc>
          <w:tcPr>
            <w:tcW w:w="1973" w:type="dxa"/>
            <w:shd w:val="clear" w:color="auto" w:fill="auto"/>
          </w:tcPr>
          <w:p w14:paraId="5084EEB4" w14:textId="77777777" w:rsidR="000A618E" w:rsidRPr="000A618E" w:rsidRDefault="000A618E" w:rsidP="000A618E">
            <w:pPr>
              <w:keepNext/>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39 paros</w:t>
            </w:r>
          </w:p>
        </w:tc>
      </w:tr>
      <w:tr w:rsidR="000A618E" w:rsidRPr="000A618E" w14:paraId="5290B6F4" w14:textId="77777777" w:rsidTr="004215B0">
        <w:tc>
          <w:tcPr>
            <w:tcW w:w="3227" w:type="dxa"/>
            <w:shd w:val="clear" w:color="auto" w:fill="auto"/>
          </w:tcPr>
          <w:p w14:paraId="5152DE54"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r w:rsidRPr="000A618E">
              <w:rPr>
                <w:rFonts w:ascii="Times New Roman" w:eastAsia="SimSun" w:hAnsi="Times New Roman" w:cs="Times New Roman"/>
                <w:lang w:eastAsia="en-GB"/>
              </w:rPr>
              <w:t>VTE profilaktika vidaus ligomis sergantiems pacientams</w:t>
            </w:r>
          </w:p>
        </w:tc>
        <w:tc>
          <w:tcPr>
            <w:tcW w:w="1288" w:type="dxa"/>
            <w:shd w:val="clear" w:color="auto" w:fill="auto"/>
          </w:tcPr>
          <w:p w14:paraId="732811DB" w14:textId="41E2C0D2"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997</w:t>
            </w:r>
          </w:p>
        </w:tc>
        <w:tc>
          <w:tcPr>
            <w:tcW w:w="2692" w:type="dxa"/>
            <w:shd w:val="clear" w:color="auto" w:fill="auto"/>
          </w:tcPr>
          <w:p w14:paraId="6341FA7D"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10 mg</w:t>
            </w:r>
          </w:p>
        </w:tc>
        <w:tc>
          <w:tcPr>
            <w:tcW w:w="1973" w:type="dxa"/>
            <w:shd w:val="clear" w:color="auto" w:fill="auto"/>
          </w:tcPr>
          <w:p w14:paraId="75337808"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39 paros</w:t>
            </w:r>
          </w:p>
        </w:tc>
      </w:tr>
      <w:tr w:rsidR="000A618E" w:rsidRPr="000A618E" w14:paraId="6F322691" w14:textId="77777777" w:rsidTr="004215B0">
        <w:tc>
          <w:tcPr>
            <w:tcW w:w="3227" w:type="dxa"/>
            <w:shd w:val="clear" w:color="auto" w:fill="auto"/>
          </w:tcPr>
          <w:p w14:paraId="14C785C9"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r w:rsidRPr="000A618E">
              <w:rPr>
                <w:rFonts w:ascii="Times New Roman" w:eastAsia="SimSun" w:hAnsi="Times New Roman" w:cs="Times New Roman"/>
                <w:lang w:eastAsia="en-GB"/>
              </w:rPr>
              <w:t>Gydymas nuo giliųjų venų trombozės (GVT), plaučių embolijos (PE) ir pasikartojimo profilaktika</w:t>
            </w:r>
          </w:p>
        </w:tc>
        <w:tc>
          <w:tcPr>
            <w:tcW w:w="1288" w:type="dxa"/>
            <w:shd w:val="clear" w:color="auto" w:fill="auto"/>
          </w:tcPr>
          <w:p w14:paraId="45642D03" w14:textId="330C0EC2"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6</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790</w:t>
            </w:r>
          </w:p>
        </w:tc>
        <w:tc>
          <w:tcPr>
            <w:tcW w:w="2692" w:type="dxa"/>
            <w:shd w:val="clear" w:color="auto" w:fill="auto"/>
          </w:tcPr>
          <w:p w14:paraId="2F1FA063"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1–21 para: 30 mg</w:t>
            </w:r>
          </w:p>
          <w:p w14:paraId="6B58B6B3"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22 para ir vėliau 20 mg</w:t>
            </w:r>
          </w:p>
          <w:p w14:paraId="4565EED5" w14:textId="709EFEF1"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lastRenderedPageBreak/>
              <w:t xml:space="preserve">Ne anksčiau kaip po 6 mėnesių: 10 mg </w:t>
            </w:r>
            <w:r w:rsidR="00BC418D">
              <w:rPr>
                <w:rFonts w:ascii="Times New Roman" w:eastAsia="Times New Roman" w:hAnsi="Times New Roman" w:cs="Times New Roman"/>
                <w:lang w:eastAsia="lt-LT"/>
              </w:rPr>
              <w:t>arba</w:t>
            </w:r>
            <w:r w:rsidRPr="000A618E">
              <w:rPr>
                <w:rFonts w:ascii="Times New Roman" w:eastAsia="Times New Roman" w:hAnsi="Times New Roman" w:cs="Times New Roman"/>
                <w:lang w:eastAsia="lt-LT"/>
              </w:rPr>
              <w:t xml:space="preserve"> 20 mg</w:t>
            </w:r>
          </w:p>
        </w:tc>
        <w:tc>
          <w:tcPr>
            <w:tcW w:w="1973" w:type="dxa"/>
            <w:shd w:val="clear" w:color="auto" w:fill="auto"/>
          </w:tcPr>
          <w:p w14:paraId="72883A51"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lastRenderedPageBreak/>
              <w:t>21 mėnuo</w:t>
            </w:r>
          </w:p>
        </w:tc>
      </w:tr>
      <w:tr w:rsidR="000A618E" w:rsidRPr="000A618E" w14:paraId="04C7B01E" w14:textId="77777777" w:rsidTr="004215B0">
        <w:tc>
          <w:tcPr>
            <w:tcW w:w="3227" w:type="dxa"/>
            <w:shd w:val="clear" w:color="auto" w:fill="auto"/>
          </w:tcPr>
          <w:p w14:paraId="71FE6D4D"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r w:rsidRPr="000A618E">
              <w:rPr>
                <w:rFonts w:ascii="Times New Roman" w:eastAsia="SimSun" w:hAnsi="Times New Roman" w:cs="Times New Roman"/>
                <w:lang w:eastAsia="en-GB"/>
              </w:rPr>
              <w:t xml:space="preserve">Gydymas nuo VTE ir VTE pasikartojimo profilaktika naujagimiams ir jaunesniems nei 18 metų vaikams pradėjus standartinį </w:t>
            </w:r>
            <w:proofErr w:type="spellStart"/>
            <w:r w:rsidRPr="000A618E">
              <w:rPr>
                <w:rFonts w:ascii="Times New Roman" w:eastAsia="SimSun" w:hAnsi="Times New Roman" w:cs="Times New Roman"/>
                <w:lang w:eastAsia="en-GB"/>
              </w:rPr>
              <w:t>antikoaguliacinį</w:t>
            </w:r>
            <w:proofErr w:type="spellEnd"/>
            <w:r w:rsidRPr="000A618E">
              <w:rPr>
                <w:rFonts w:ascii="Times New Roman" w:eastAsia="SimSun" w:hAnsi="Times New Roman" w:cs="Times New Roman"/>
                <w:lang w:eastAsia="en-GB"/>
              </w:rPr>
              <w:t xml:space="preserve"> gydymą</w:t>
            </w:r>
          </w:p>
        </w:tc>
        <w:tc>
          <w:tcPr>
            <w:tcW w:w="1288" w:type="dxa"/>
            <w:shd w:val="clear" w:color="auto" w:fill="auto"/>
          </w:tcPr>
          <w:p w14:paraId="48B42114"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329</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0A618E" w:rsidRPr="000A618E" w14:paraId="791EAF23" w14:textId="77777777" w:rsidTr="004215B0">
              <w:trPr>
                <w:trHeight w:val="797"/>
              </w:trPr>
              <w:tc>
                <w:tcPr>
                  <w:tcW w:w="0" w:type="auto"/>
                </w:tcPr>
                <w:p w14:paraId="4165CAB7"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lang w:eastAsia="en-GB"/>
                    </w:rPr>
                    <w:t xml:space="preserve">Kūno svorio koreguota dozė, kad būtų pasiekta panaši ekspozicija, kaip ir suaugusiesiems, gydomiems GVT </w:t>
                  </w:r>
                </w:p>
              </w:tc>
            </w:tr>
          </w:tbl>
          <w:p w14:paraId="2931B7B2"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20 mg rivaroksabanu kartą per parą.</w:t>
            </w:r>
          </w:p>
          <w:p w14:paraId="7360E361"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p>
        </w:tc>
        <w:tc>
          <w:tcPr>
            <w:tcW w:w="1973" w:type="dxa"/>
            <w:shd w:val="clear" w:color="auto" w:fill="auto"/>
          </w:tcPr>
          <w:p w14:paraId="66FFF786"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12 mėnesių</w:t>
            </w:r>
          </w:p>
        </w:tc>
      </w:tr>
      <w:tr w:rsidR="000A618E" w:rsidRPr="000A618E" w14:paraId="442AF54F" w14:textId="77777777" w:rsidTr="004215B0">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A618E" w:rsidRPr="000A618E" w14:paraId="7A2F3DAD" w14:textId="77777777" w:rsidTr="004215B0">
              <w:trPr>
                <w:trHeight w:val="538"/>
              </w:trPr>
              <w:tc>
                <w:tcPr>
                  <w:tcW w:w="0" w:type="auto"/>
                </w:tcPr>
                <w:p w14:paraId="7BBC199B"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lang w:eastAsia="en-GB"/>
                    </w:rPr>
                    <w:t xml:space="preserve">Insulto ir sisteminės embolijos profilaktika pacientams, kuriems yra su vožtuvų liga nesusijęs prieširdžių virpėjimas </w:t>
                  </w:r>
                </w:p>
              </w:tc>
            </w:tr>
          </w:tbl>
          <w:p w14:paraId="015E051F"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288" w:type="dxa"/>
            <w:shd w:val="clear" w:color="auto" w:fill="auto"/>
          </w:tcPr>
          <w:p w14:paraId="0EF71FB3" w14:textId="1EA754EB"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7</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750</w:t>
            </w:r>
          </w:p>
        </w:tc>
        <w:tc>
          <w:tcPr>
            <w:tcW w:w="2692" w:type="dxa"/>
            <w:shd w:val="clear" w:color="auto" w:fill="auto"/>
          </w:tcPr>
          <w:p w14:paraId="3987DAAA"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20 mg</w:t>
            </w:r>
          </w:p>
        </w:tc>
        <w:tc>
          <w:tcPr>
            <w:tcW w:w="1973" w:type="dxa"/>
            <w:shd w:val="clear" w:color="auto" w:fill="auto"/>
          </w:tcPr>
          <w:p w14:paraId="2BDC796C"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41 mėnuo</w:t>
            </w:r>
          </w:p>
        </w:tc>
      </w:tr>
      <w:tr w:rsidR="000A618E" w:rsidRPr="000A618E" w14:paraId="7C34D9F5" w14:textId="77777777" w:rsidTr="004215B0">
        <w:tc>
          <w:tcPr>
            <w:tcW w:w="3227" w:type="dxa"/>
            <w:shd w:val="clear" w:color="auto" w:fill="auto"/>
          </w:tcPr>
          <w:p w14:paraId="3F119FB5"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proofErr w:type="spellStart"/>
            <w:r w:rsidRPr="000A618E">
              <w:rPr>
                <w:rFonts w:ascii="Times New Roman" w:eastAsia="SimSun" w:hAnsi="Times New Roman" w:cs="Times New Roman"/>
                <w:lang w:eastAsia="en-GB"/>
              </w:rPr>
              <w:t>Aterotrombozinių</w:t>
            </w:r>
            <w:proofErr w:type="spellEnd"/>
            <w:r w:rsidRPr="000A618E">
              <w:rPr>
                <w:rFonts w:ascii="Times New Roman" w:eastAsia="SimSun" w:hAnsi="Times New Roman" w:cs="Times New Roman"/>
                <w:lang w:eastAsia="en-GB"/>
              </w:rPr>
              <w:t xml:space="preserve"> reiškinių profilaktika pacientams, patyrusiems ŪKS</w:t>
            </w:r>
          </w:p>
        </w:tc>
        <w:tc>
          <w:tcPr>
            <w:tcW w:w="1288" w:type="dxa"/>
            <w:shd w:val="clear" w:color="auto" w:fill="auto"/>
          </w:tcPr>
          <w:p w14:paraId="2228AB96" w14:textId="14718E78"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10</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225</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0A618E" w:rsidRPr="000A618E" w14:paraId="2004F30A" w14:textId="77777777" w:rsidTr="004215B0">
              <w:trPr>
                <w:trHeight w:val="928"/>
              </w:trPr>
              <w:tc>
                <w:tcPr>
                  <w:tcW w:w="0" w:type="auto"/>
                </w:tcPr>
                <w:p w14:paraId="0D4B6240"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 xml:space="preserve">Atitinkamai 5 mg arba 10 mg, kartu vartojant acetilsalicilo rūgšties, arba acetilsalicilo rūgšties ir klopidogrelio arba tiklopidino </w:t>
                  </w:r>
                </w:p>
              </w:tc>
            </w:tr>
          </w:tbl>
          <w:p w14:paraId="78EC8C8A"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p>
        </w:tc>
        <w:tc>
          <w:tcPr>
            <w:tcW w:w="1973" w:type="dxa"/>
            <w:shd w:val="clear" w:color="auto" w:fill="auto"/>
          </w:tcPr>
          <w:p w14:paraId="25D87608"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31 mėnuo</w:t>
            </w:r>
          </w:p>
        </w:tc>
      </w:tr>
      <w:tr w:rsidR="000A618E" w:rsidRPr="000A618E" w14:paraId="6639E858" w14:textId="77777777" w:rsidTr="004215B0">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0A618E" w:rsidRPr="000A618E" w14:paraId="4E94387B" w14:textId="77777777" w:rsidTr="004215B0">
              <w:trPr>
                <w:trHeight w:val="409"/>
              </w:trPr>
              <w:tc>
                <w:tcPr>
                  <w:tcW w:w="0" w:type="auto"/>
                </w:tcPr>
                <w:p w14:paraId="129A9008"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proofErr w:type="spellStart"/>
                  <w:r w:rsidRPr="000A618E">
                    <w:rPr>
                      <w:rFonts w:ascii="Times New Roman" w:eastAsia="SimSun" w:hAnsi="Times New Roman" w:cs="Times New Roman"/>
                      <w:color w:val="000000"/>
                      <w:lang w:eastAsia="en-GB"/>
                    </w:rPr>
                    <w:t>Aterotrombozinių</w:t>
                  </w:r>
                  <w:proofErr w:type="spellEnd"/>
                  <w:r w:rsidRPr="000A618E">
                    <w:rPr>
                      <w:rFonts w:ascii="Times New Roman" w:eastAsia="SimSun" w:hAnsi="Times New Roman" w:cs="Times New Roman"/>
                      <w:color w:val="000000"/>
                      <w:lang w:eastAsia="en-GB"/>
                    </w:rPr>
                    <w:t xml:space="preserve"> reiškinių profilaktika pacientams, sergantiems VAL ir (arba) PAL </w:t>
                  </w:r>
                </w:p>
              </w:tc>
            </w:tr>
          </w:tbl>
          <w:p w14:paraId="27479BA7"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288" w:type="dxa"/>
            <w:shd w:val="clear" w:color="auto" w:fill="auto"/>
          </w:tcPr>
          <w:p w14:paraId="012B2EC3" w14:textId="637355ED"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18</w:t>
            </w:r>
            <w:r w:rsidR="00435C5B">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244</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0A618E" w:rsidRPr="000A618E" w14:paraId="500DB10A" w14:textId="77777777" w:rsidTr="004215B0">
              <w:trPr>
                <w:trHeight w:val="538"/>
              </w:trPr>
              <w:tc>
                <w:tcPr>
                  <w:tcW w:w="0" w:type="auto"/>
                </w:tcPr>
                <w:p w14:paraId="70ADA130"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sz w:val="24"/>
                      <w:lang w:eastAsia="en-GB"/>
                    </w:rPr>
                    <w:t>5 mg ,</w:t>
                  </w:r>
                  <w:r w:rsidRPr="000A618E">
                    <w:rPr>
                      <w:rFonts w:ascii="Times New Roman" w:eastAsia="SimSun" w:hAnsi="Times New Roman" w:cs="Times New Roman"/>
                      <w:color w:val="000000"/>
                      <w:lang w:eastAsia="en-GB"/>
                    </w:rPr>
                    <w:t xml:space="preserve"> derinant su acetilsalicilo rūgštimi, arba vartojant vien </w:t>
                  </w:r>
                </w:p>
              </w:tc>
            </w:tr>
          </w:tbl>
          <w:p w14:paraId="384DA2BA"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10 mg rivaroksabano</w:t>
            </w:r>
          </w:p>
        </w:tc>
        <w:tc>
          <w:tcPr>
            <w:tcW w:w="1973" w:type="dxa"/>
            <w:shd w:val="clear" w:color="auto" w:fill="auto"/>
          </w:tcPr>
          <w:p w14:paraId="15688819" w14:textId="4C8C0A78"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47 mėnesia</w:t>
            </w:r>
            <w:r w:rsidR="00F52ED6" w:rsidRPr="007F2054">
              <w:rPr>
                <w:rFonts w:ascii="Times New Roman" w:eastAsia="Times New Roman" w:hAnsi="Times New Roman" w:cs="Times New Roman"/>
                <w:lang w:eastAsia="lt-LT"/>
              </w:rPr>
              <w:t>i</w:t>
            </w:r>
          </w:p>
        </w:tc>
      </w:tr>
      <w:tr w:rsidR="000A618E" w:rsidRPr="000A618E" w14:paraId="38E585FD" w14:textId="77777777" w:rsidTr="004215B0">
        <w:tc>
          <w:tcPr>
            <w:tcW w:w="3227" w:type="dxa"/>
            <w:shd w:val="clear" w:color="auto" w:fill="auto"/>
          </w:tcPr>
          <w:p w14:paraId="569359D3" w14:textId="77777777" w:rsidR="000A618E" w:rsidRPr="000A618E" w:rsidRDefault="000A618E" w:rsidP="000A618E">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288" w:type="dxa"/>
            <w:shd w:val="clear" w:color="auto" w:fill="auto"/>
          </w:tcPr>
          <w:p w14:paraId="6DE9D608" w14:textId="5AB4581C"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spacing w:val="-1"/>
                <w:lang w:eastAsia="lt-LT"/>
              </w:rPr>
              <w:t>3</w:t>
            </w:r>
            <w:r w:rsidR="00435C5B">
              <w:rPr>
                <w:rFonts w:ascii="Times New Roman" w:eastAsia="Times New Roman" w:hAnsi="Times New Roman" w:cs="Times New Roman"/>
                <w:spacing w:val="-1"/>
                <w:lang w:eastAsia="lt-LT"/>
              </w:rPr>
              <w:t> </w:t>
            </w:r>
            <w:r w:rsidRPr="000A618E">
              <w:rPr>
                <w:rFonts w:ascii="Times New Roman" w:eastAsia="Times New Roman" w:hAnsi="Times New Roman" w:cs="Times New Roman"/>
                <w:spacing w:val="-1"/>
                <w:lang w:eastAsia="lt-LT"/>
              </w:rPr>
              <w:t>256**</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0A618E" w:rsidRPr="000A618E" w14:paraId="217A1257" w14:textId="77777777" w:rsidTr="004215B0">
              <w:trPr>
                <w:trHeight w:val="279"/>
              </w:trPr>
              <w:tc>
                <w:tcPr>
                  <w:tcW w:w="0" w:type="auto"/>
                </w:tcPr>
                <w:p w14:paraId="3EC4DDB4"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sz w:val="24"/>
                      <w:lang w:eastAsia="en-GB"/>
                    </w:rPr>
                    <w:t>5 </w:t>
                  </w:r>
                  <w:r w:rsidRPr="000A618E">
                    <w:rPr>
                      <w:rFonts w:ascii="Times New Roman" w:eastAsia="SimSun" w:hAnsi="Times New Roman" w:cs="Times New Roman"/>
                      <w:color w:val="000000"/>
                      <w:spacing w:val="-1"/>
                      <w:sz w:val="24"/>
                      <w:lang w:eastAsia="en-GB"/>
                    </w:rPr>
                    <w:t>mg</w:t>
                  </w:r>
                  <w:r w:rsidRPr="000A618E">
                    <w:rPr>
                      <w:rFonts w:ascii="Times New Roman" w:eastAsia="SimSun" w:hAnsi="Times New Roman" w:cs="Times New Roman"/>
                      <w:color w:val="000000"/>
                      <w:sz w:val="24"/>
                      <w:szCs w:val="24"/>
                      <w:lang w:eastAsia="en-GB"/>
                    </w:rPr>
                    <w:t xml:space="preserve"> </w:t>
                  </w:r>
                  <w:r w:rsidRPr="000A618E">
                    <w:rPr>
                      <w:rFonts w:ascii="Times New Roman" w:eastAsia="SimSun" w:hAnsi="Times New Roman" w:cs="Times New Roman"/>
                      <w:color w:val="000000"/>
                      <w:lang w:eastAsia="en-GB"/>
                    </w:rPr>
                    <w:t xml:space="preserve">derinant su acetilsalicilo rūgštimi </w:t>
                  </w:r>
                </w:p>
              </w:tc>
            </w:tr>
          </w:tbl>
          <w:p w14:paraId="631E662D"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spacing w:val="-9"/>
                <w:lang w:eastAsia="lt-LT"/>
              </w:rPr>
              <w:t xml:space="preserve"> </w:t>
            </w:r>
          </w:p>
        </w:tc>
        <w:tc>
          <w:tcPr>
            <w:tcW w:w="1973" w:type="dxa"/>
            <w:shd w:val="clear" w:color="auto" w:fill="auto"/>
          </w:tcPr>
          <w:p w14:paraId="2042ACA2" w14:textId="77777777" w:rsidR="000A618E" w:rsidRPr="000A618E" w:rsidRDefault="000A618E" w:rsidP="000A618E">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42 mėnesiai</w:t>
            </w:r>
          </w:p>
        </w:tc>
      </w:tr>
    </w:tbl>
    <w:p w14:paraId="7EC2C124" w14:textId="77777777" w:rsidR="000A618E" w:rsidRPr="000A618E" w:rsidRDefault="000A618E" w:rsidP="000A618E">
      <w:pPr>
        <w:tabs>
          <w:tab w:val="left" w:pos="567"/>
        </w:tabs>
        <w:autoSpaceDE w:val="0"/>
        <w:autoSpaceDN w:val="0"/>
        <w:adjustRightInd w:val="0"/>
        <w:spacing w:after="0" w:line="240" w:lineRule="auto"/>
        <w:ind w:left="142"/>
        <w:rPr>
          <w:rFonts w:ascii="Times New Roman" w:eastAsia="Times New Roman" w:hAnsi="Times New Roman" w:cs="Times New Roman"/>
          <w:sz w:val="20"/>
          <w:szCs w:val="20"/>
          <w:lang w:eastAsia="lt-LT"/>
        </w:rPr>
      </w:pPr>
      <w:r w:rsidRPr="000A618E">
        <w:rPr>
          <w:rFonts w:ascii="Times New Roman" w:eastAsia="Times New Roman" w:hAnsi="Times New Roman" w:cs="Times New Roman"/>
          <w:sz w:val="20"/>
          <w:szCs w:val="20"/>
          <w:lang w:eastAsia="lt-LT"/>
        </w:rPr>
        <w:t>* Pacientai, pavartoję mažiausiai vieną rivaroksabano dozę</w:t>
      </w:r>
    </w:p>
    <w:p w14:paraId="10787EB0" w14:textId="77777777" w:rsidR="000A618E" w:rsidRPr="000A618E" w:rsidRDefault="000A618E" w:rsidP="000A618E">
      <w:pPr>
        <w:tabs>
          <w:tab w:val="left" w:pos="567"/>
        </w:tabs>
        <w:autoSpaceDE w:val="0"/>
        <w:autoSpaceDN w:val="0"/>
        <w:adjustRightInd w:val="0"/>
        <w:spacing w:after="0" w:line="240" w:lineRule="auto"/>
        <w:ind w:left="142"/>
        <w:rPr>
          <w:rFonts w:ascii="Times New Roman" w:eastAsia="Times New Roman" w:hAnsi="Times New Roman" w:cs="Times New Roman"/>
          <w:sz w:val="20"/>
          <w:szCs w:val="20"/>
          <w:lang w:eastAsia="lt-LT"/>
        </w:rPr>
      </w:pPr>
      <w:r w:rsidRPr="000A618E">
        <w:rPr>
          <w:rFonts w:ascii="Times New Roman" w:eastAsia="Times New Roman" w:hAnsi="Times New Roman" w:cs="Times New Roman"/>
          <w:sz w:val="20"/>
          <w:szCs w:val="20"/>
          <w:lang w:eastAsia="lt-LT"/>
        </w:rPr>
        <w:t>** Tyrimo VOYAGER PAD duomenys</w:t>
      </w:r>
    </w:p>
    <w:p w14:paraId="79A0DC1C"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B290487" w14:textId="53DEBFDF"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Rivaroksabano vartojusiems pacientams dažniausiai nustatyta nepageidaujama reakcija buvo kraujavimas (2 lentelė) (taip pat žr. 4.4 skyrių ir toliau pateiktą „Atrinktų nepageidaujamų reakcijų apibūdinimą“). Dažniausiai nustatyti kraujavimo reiškiniai buvo kraujavimas iš nosies (4,5</w:t>
      </w:r>
      <w:r w:rsidR="00C338A4" w:rsidRPr="007F2054">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 ir kraujavimas iš virškinimo trakto (3,8</w:t>
      </w:r>
      <w:r w:rsidR="00C338A4" w:rsidRPr="007F2054">
        <w:rPr>
          <w:rFonts w:ascii="Times New Roman" w:eastAsia="Times New Roman" w:hAnsi="Times New Roman" w:cs="Times New Roman"/>
          <w:lang w:eastAsia="lt-LT"/>
        </w:rPr>
        <w:t> %</w:t>
      </w:r>
      <w:r w:rsidRPr="000A618E">
        <w:rPr>
          <w:rFonts w:ascii="Times New Roman" w:eastAsia="Times New Roman" w:hAnsi="Times New Roman" w:cs="Times New Roman"/>
          <w:lang w:eastAsia="lt-LT"/>
        </w:rPr>
        <w:t>).</w:t>
      </w:r>
    </w:p>
    <w:p w14:paraId="75902D90" w14:textId="3730F0BD" w:rsidR="000A618E" w:rsidRPr="007F2054" w:rsidRDefault="000A618E" w:rsidP="00D61A12">
      <w:pPr>
        <w:widowControl w:val="0"/>
        <w:autoSpaceDE w:val="0"/>
        <w:autoSpaceDN w:val="0"/>
        <w:spacing w:after="0" w:line="240" w:lineRule="auto"/>
        <w:rPr>
          <w:rFonts w:ascii="Times New Roman" w:eastAsia="Times New Roman" w:hAnsi="Times New Roman" w:cs="Times New Roman"/>
        </w:rPr>
      </w:pPr>
    </w:p>
    <w:p w14:paraId="2768259B"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b/>
          <w:bCs/>
          <w:lang w:eastAsia="lt-LT"/>
        </w:rPr>
        <w:t>2 lentelė. Kraujavimo* ir anemijos reiškinių dažniai, nustatyti rivaroksabano vartojusiems pacientams, dalyvavusiems užbaigtuose III fazės tyrimuose su suaugusiais ir vaikais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53"/>
        <w:gridCol w:w="3097"/>
      </w:tblGrid>
      <w:tr w:rsidR="000A618E" w:rsidRPr="000A618E" w14:paraId="26851A2D" w14:textId="77777777" w:rsidTr="004215B0">
        <w:tc>
          <w:tcPr>
            <w:tcW w:w="3330" w:type="dxa"/>
            <w:shd w:val="clear" w:color="auto" w:fill="auto"/>
          </w:tcPr>
          <w:p w14:paraId="48531E4E"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0A618E">
              <w:rPr>
                <w:rFonts w:ascii="Times New Roman" w:eastAsia="Times New Roman" w:hAnsi="Times New Roman" w:cs="Times New Roman"/>
                <w:b/>
                <w:lang w:eastAsia="lt-LT"/>
              </w:rPr>
              <w:t>Indikacija</w:t>
            </w:r>
          </w:p>
        </w:tc>
        <w:tc>
          <w:tcPr>
            <w:tcW w:w="2753" w:type="dxa"/>
            <w:shd w:val="clear" w:color="auto" w:fill="auto"/>
          </w:tcPr>
          <w:p w14:paraId="37BE7831"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sz w:val="24"/>
                <w:lang w:eastAsia="en-GB"/>
              </w:rPr>
            </w:pPr>
            <w:r w:rsidRPr="000A618E">
              <w:rPr>
                <w:rFonts w:ascii="Times New Roman" w:eastAsia="SimSun" w:hAnsi="Times New Roman" w:cs="Times New Roman"/>
                <w:b/>
                <w:bCs/>
                <w:color w:val="000000"/>
                <w:lang w:eastAsia="en-GB"/>
              </w:rPr>
              <w:t xml:space="preserve">Bet koks kraujavimas </w:t>
            </w:r>
          </w:p>
          <w:p w14:paraId="2115D22F"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b/>
                <w:lang w:eastAsia="lt-LT"/>
              </w:rPr>
            </w:pPr>
          </w:p>
        </w:tc>
        <w:tc>
          <w:tcPr>
            <w:tcW w:w="3097" w:type="dxa"/>
            <w:shd w:val="clear" w:color="auto" w:fill="auto"/>
          </w:tcPr>
          <w:p w14:paraId="5D2D1B81"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0A618E">
              <w:rPr>
                <w:rFonts w:ascii="Times New Roman" w:eastAsia="Times New Roman" w:hAnsi="Times New Roman" w:cs="Times New Roman"/>
                <w:b/>
                <w:lang w:eastAsia="lt-LT"/>
              </w:rPr>
              <w:t>Anemija</w:t>
            </w:r>
          </w:p>
        </w:tc>
      </w:tr>
      <w:tr w:rsidR="000A618E" w:rsidRPr="000A618E" w14:paraId="6E462963" w14:textId="77777777" w:rsidTr="004215B0">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0A618E" w:rsidRPr="000A618E" w14:paraId="415ED1A7" w14:textId="77777777" w:rsidTr="004215B0">
              <w:trPr>
                <w:trHeight w:val="538"/>
              </w:trPr>
              <w:tc>
                <w:tcPr>
                  <w:tcW w:w="0" w:type="auto"/>
                </w:tcPr>
                <w:p w14:paraId="5B4A02EB"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lang w:eastAsia="en-GB"/>
                    </w:rPr>
                    <w:t xml:space="preserve">VTE profilaktika suaugusiems pacientams, kuriems atliekamos planinės klubo arba kelio sąnario pakeitimo operacijos </w:t>
                  </w:r>
                </w:p>
              </w:tc>
            </w:tr>
          </w:tbl>
          <w:p w14:paraId="6D9DDD2A"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2753" w:type="dxa"/>
            <w:shd w:val="clear" w:color="auto" w:fill="auto"/>
          </w:tcPr>
          <w:p w14:paraId="5C3A8ADE" w14:textId="53A52368"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6</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8</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pa</w:t>
            </w:r>
            <w:r w:rsidR="00B86BD7" w:rsidRPr="007F2054">
              <w:rPr>
                <w:rFonts w:ascii="Times New Roman" w:eastAsia="Times New Roman" w:hAnsi="Times New Roman" w:cs="Times New Roman"/>
                <w:lang w:eastAsia="lt-LT"/>
              </w:rPr>
              <w:t>cie</w:t>
            </w:r>
            <w:r w:rsidRPr="000A618E">
              <w:rPr>
                <w:rFonts w:ascii="Times New Roman" w:eastAsia="Times New Roman" w:hAnsi="Times New Roman" w:cs="Times New Roman"/>
                <w:lang w:eastAsia="lt-LT"/>
              </w:rPr>
              <w:t>ntų</w:t>
            </w:r>
          </w:p>
        </w:tc>
        <w:tc>
          <w:tcPr>
            <w:tcW w:w="3097" w:type="dxa"/>
            <w:shd w:val="clear" w:color="auto" w:fill="auto"/>
          </w:tcPr>
          <w:p w14:paraId="4CEE552B" w14:textId="014C2294"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5</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9</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r>
      <w:tr w:rsidR="000A618E" w:rsidRPr="000A618E" w14:paraId="666C30AD" w14:textId="77777777" w:rsidTr="004215B0">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0A618E" w:rsidRPr="000A618E" w14:paraId="0A839E15" w14:textId="77777777" w:rsidTr="004215B0">
              <w:trPr>
                <w:trHeight w:val="278"/>
              </w:trPr>
              <w:tc>
                <w:tcPr>
                  <w:tcW w:w="0" w:type="auto"/>
                </w:tcPr>
                <w:p w14:paraId="14AEA1D8" w14:textId="77777777" w:rsidR="000A618E" w:rsidRPr="000A618E" w:rsidRDefault="000A618E" w:rsidP="000A618E">
                  <w:pPr>
                    <w:autoSpaceDE w:val="0"/>
                    <w:autoSpaceDN w:val="0"/>
                    <w:adjustRightInd w:val="0"/>
                    <w:spacing w:after="0" w:line="240" w:lineRule="auto"/>
                    <w:rPr>
                      <w:rFonts w:ascii="Times New Roman" w:eastAsia="SimSun" w:hAnsi="Times New Roman" w:cs="Times New Roman"/>
                      <w:color w:val="000000"/>
                      <w:lang w:eastAsia="en-GB"/>
                    </w:rPr>
                  </w:pPr>
                  <w:r w:rsidRPr="000A618E">
                    <w:rPr>
                      <w:rFonts w:ascii="Times New Roman" w:eastAsia="SimSun" w:hAnsi="Times New Roman" w:cs="Times New Roman"/>
                      <w:color w:val="000000"/>
                      <w:lang w:eastAsia="en-GB"/>
                    </w:rPr>
                    <w:t xml:space="preserve">VTE profilaktika vidaus ligomis sergantiems pacientams </w:t>
                  </w:r>
                </w:p>
              </w:tc>
            </w:tr>
          </w:tbl>
          <w:p w14:paraId="76545176"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2753" w:type="dxa"/>
            <w:shd w:val="clear" w:color="auto" w:fill="auto"/>
          </w:tcPr>
          <w:p w14:paraId="1BC600CC" w14:textId="60D73A6A"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12</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6</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c>
          <w:tcPr>
            <w:tcW w:w="3097" w:type="dxa"/>
            <w:shd w:val="clear" w:color="auto" w:fill="auto"/>
          </w:tcPr>
          <w:p w14:paraId="16195F5D" w14:textId="3BE8EC9F"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1</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r>
      <w:tr w:rsidR="000A618E" w:rsidRPr="000A618E" w14:paraId="6FA4E906" w14:textId="77777777" w:rsidTr="004215B0">
        <w:tc>
          <w:tcPr>
            <w:tcW w:w="3330" w:type="dxa"/>
            <w:shd w:val="clear" w:color="auto" w:fill="auto"/>
          </w:tcPr>
          <w:p w14:paraId="54368D48" w14:textId="62192C46" w:rsidR="000A618E" w:rsidRPr="000A618E" w:rsidRDefault="000A618E" w:rsidP="00B86BD7">
            <w:pPr>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SimSun" w:hAnsi="Times New Roman" w:cs="Times New Roman"/>
                <w:color w:val="000000"/>
                <w:lang w:eastAsia="en-GB"/>
              </w:rPr>
              <w:t xml:space="preserve">Gydymas nuo GVT, PE ir pasikartojimo profilaktika </w:t>
            </w:r>
          </w:p>
        </w:tc>
        <w:tc>
          <w:tcPr>
            <w:tcW w:w="2753" w:type="dxa"/>
            <w:shd w:val="clear" w:color="auto" w:fill="auto"/>
          </w:tcPr>
          <w:p w14:paraId="4BD6DF18" w14:textId="27E2A738"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23%</w:t>
            </w:r>
            <w:r w:rsidRPr="000A618E">
              <w:rPr>
                <w:rFonts w:ascii="Times New Roman" w:eastAsia="Times New Roman" w:hAnsi="Times New Roman" w:cs="Times New Roman"/>
                <w:b/>
                <w:noProof/>
                <w:lang w:eastAsia="lt-LT"/>
              </w:rPr>
              <w:t>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c>
          <w:tcPr>
            <w:tcW w:w="3097" w:type="dxa"/>
            <w:shd w:val="clear" w:color="auto" w:fill="auto"/>
          </w:tcPr>
          <w:p w14:paraId="0D3970B1" w14:textId="71CA5538"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6</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r>
      <w:tr w:rsidR="000A618E" w:rsidRPr="000A618E" w14:paraId="221DD17A" w14:textId="77777777" w:rsidTr="004215B0">
        <w:tc>
          <w:tcPr>
            <w:tcW w:w="3330" w:type="dxa"/>
            <w:shd w:val="clear" w:color="auto" w:fill="auto"/>
          </w:tcPr>
          <w:p w14:paraId="248C8A43"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Gydymas nuo VTE ir pasikartojančios VTE profilaktika išnešiotiems naujagimiams ir jaunesniems kaip 18 metų amžiaus vaikams, pradėjus standartinį gydymą antikoaguliantais</w:t>
            </w:r>
          </w:p>
        </w:tc>
        <w:tc>
          <w:tcPr>
            <w:tcW w:w="2753" w:type="dxa"/>
            <w:shd w:val="clear" w:color="auto" w:fill="auto"/>
          </w:tcPr>
          <w:p w14:paraId="3EA0E237" w14:textId="7A342DCA"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39</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5</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c>
          <w:tcPr>
            <w:tcW w:w="3097" w:type="dxa"/>
            <w:shd w:val="clear" w:color="auto" w:fill="auto"/>
          </w:tcPr>
          <w:p w14:paraId="3D132276" w14:textId="3ECDA6AE"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4</w:t>
            </w:r>
            <w:r w:rsidR="00BC418D">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6</w:t>
            </w:r>
            <w:r w:rsidR="00C338A4" w:rsidRPr="007F2054">
              <w:rPr>
                <w:rFonts w:ascii="Times New Roman" w:eastAsia="Times New Roman" w:hAnsi="Times New Roman" w:cs="Times New Roman"/>
                <w:b/>
                <w:noProof/>
                <w:lang w:eastAsia="lt-LT"/>
              </w:rPr>
              <w:t> %</w:t>
            </w:r>
            <w:r w:rsidRPr="000A618E">
              <w:rPr>
                <w:rFonts w:ascii="Times New Roman" w:eastAsia="Times New Roman" w:hAnsi="Times New Roman" w:cs="Times New Roman"/>
                <w:lang w:eastAsia="lt-LT"/>
              </w:rPr>
              <w:t xml:space="preserve"> </w:t>
            </w:r>
            <w:r w:rsidR="00B86BD7" w:rsidRPr="000A618E">
              <w:rPr>
                <w:rFonts w:ascii="Times New Roman" w:eastAsia="Times New Roman" w:hAnsi="Times New Roman" w:cs="Times New Roman"/>
                <w:lang w:eastAsia="lt-LT"/>
              </w:rPr>
              <w:t>pa</w:t>
            </w:r>
            <w:r w:rsidR="00B86BD7" w:rsidRPr="007F2054">
              <w:rPr>
                <w:rFonts w:ascii="Times New Roman" w:eastAsia="Times New Roman" w:hAnsi="Times New Roman" w:cs="Times New Roman"/>
                <w:lang w:eastAsia="lt-LT"/>
              </w:rPr>
              <w:t>cie</w:t>
            </w:r>
            <w:r w:rsidR="00B86BD7" w:rsidRPr="000A618E">
              <w:rPr>
                <w:rFonts w:ascii="Times New Roman" w:eastAsia="Times New Roman" w:hAnsi="Times New Roman" w:cs="Times New Roman"/>
                <w:lang w:eastAsia="lt-LT"/>
              </w:rPr>
              <w:t>ntų</w:t>
            </w:r>
          </w:p>
        </w:tc>
      </w:tr>
      <w:tr w:rsidR="000A618E" w:rsidRPr="000A618E" w14:paraId="35929878" w14:textId="77777777" w:rsidTr="004215B0">
        <w:tc>
          <w:tcPr>
            <w:tcW w:w="3330" w:type="dxa"/>
            <w:shd w:val="clear" w:color="auto" w:fill="auto"/>
          </w:tcPr>
          <w:p w14:paraId="6CF9E92B"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 xml:space="preserve">Insulto ir sisteminės embolijos profilaktika pacientams, kuriems </w:t>
            </w:r>
            <w:r w:rsidRPr="000A618E">
              <w:rPr>
                <w:rFonts w:ascii="Times New Roman" w:eastAsia="Times New Roman" w:hAnsi="Times New Roman" w:cs="Times New Roman"/>
                <w:lang w:eastAsia="lt-LT"/>
              </w:rPr>
              <w:lastRenderedPageBreak/>
              <w:t>yra su vožtuvų liga nesusijęs prieširdžių virpėjimas</w:t>
            </w:r>
          </w:p>
        </w:tc>
        <w:tc>
          <w:tcPr>
            <w:tcW w:w="2753" w:type="dxa"/>
            <w:shd w:val="clear" w:color="auto" w:fill="auto"/>
          </w:tcPr>
          <w:p w14:paraId="4A730B22" w14:textId="38FC5AB6"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lastRenderedPageBreak/>
              <w:t>28 atvejai 100-ui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c>
          <w:tcPr>
            <w:tcW w:w="3097" w:type="dxa"/>
            <w:shd w:val="clear" w:color="auto" w:fill="auto"/>
          </w:tcPr>
          <w:p w14:paraId="3A7F0293" w14:textId="1DEE0CF5"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5 atvejo 100 -ui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r>
      <w:tr w:rsidR="000A618E" w:rsidRPr="000A618E" w14:paraId="3AFBDDAA" w14:textId="77777777" w:rsidTr="004215B0">
        <w:tc>
          <w:tcPr>
            <w:tcW w:w="3330" w:type="dxa"/>
            <w:shd w:val="clear" w:color="auto" w:fill="auto"/>
          </w:tcPr>
          <w:p w14:paraId="53F00FFB"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0A618E">
              <w:rPr>
                <w:rFonts w:ascii="Times New Roman" w:eastAsia="Times New Roman" w:hAnsi="Times New Roman" w:cs="Times New Roman"/>
                <w:lang w:eastAsia="lt-LT"/>
              </w:rPr>
              <w:t>Aterotrombozinių</w:t>
            </w:r>
            <w:proofErr w:type="spellEnd"/>
            <w:r w:rsidRPr="000A618E">
              <w:rPr>
                <w:rFonts w:ascii="Times New Roman" w:eastAsia="Times New Roman" w:hAnsi="Times New Roman" w:cs="Times New Roman"/>
                <w:lang w:eastAsia="lt-LT"/>
              </w:rPr>
              <w:t xml:space="preserve"> reiškinių profilaktika pacientams, patyrusiems ŪKS </w:t>
            </w:r>
          </w:p>
        </w:tc>
        <w:tc>
          <w:tcPr>
            <w:tcW w:w="2753" w:type="dxa"/>
            <w:shd w:val="clear" w:color="auto" w:fill="auto"/>
          </w:tcPr>
          <w:p w14:paraId="3BA1E899" w14:textId="066F58E4"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22 atvejai 100-ui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c>
          <w:tcPr>
            <w:tcW w:w="3097" w:type="dxa"/>
            <w:shd w:val="clear" w:color="auto" w:fill="auto"/>
          </w:tcPr>
          <w:p w14:paraId="4D651C4F" w14:textId="5A5D35A9"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1</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4 atvejo 100 -ui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r>
      <w:tr w:rsidR="000A618E" w:rsidRPr="000A618E" w14:paraId="475B7FE6" w14:textId="77777777" w:rsidTr="004215B0">
        <w:trPr>
          <w:trHeight w:val="242"/>
        </w:trPr>
        <w:tc>
          <w:tcPr>
            <w:tcW w:w="3330" w:type="dxa"/>
            <w:vMerge w:val="restart"/>
            <w:shd w:val="clear" w:color="auto" w:fill="auto"/>
          </w:tcPr>
          <w:p w14:paraId="6B7389DD"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0A618E">
              <w:rPr>
                <w:rFonts w:ascii="Times New Roman" w:eastAsia="Times New Roman" w:hAnsi="Times New Roman" w:cs="Times New Roman"/>
                <w:lang w:eastAsia="lt-LT"/>
              </w:rPr>
              <w:t>Aterotrombozinių</w:t>
            </w:r>
            <w:proofErr w:type="spellEnd"/>
            <w:r w:rsidRPr="000A618E">
              <w:rPr>
                <w:rFonts w:ascii="Times New Roman" w:eastAsia="Times New Roman" w:hAnsi="Times New Roman" w:cs="Times New Roman"/>
                <w:lang w:eastAsia="lt-LT"/>
              </w:rPr>
              <w:t xml:space="preserve"> reiškinių profilaktika pacientams, sergantiems VAL ir (arba) PAL</w:t>
            </w:r>
          </w:p>
        </w:tc>
        <w:tc>
          <w:tcPr>
            <w:tcW w:w="2753" w:type="dxa"/>
            <w:shd w:val="clear" w:color="auto" w:fill="auto"/>
          </w:tcPr>
          <w:p w14:paraId="4A7CCB96" w14:textId="664DC7AD"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6</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7 atvejo 100-ui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c>
          <w:tcPr>
            <w:tcW w:w="3097" w:type="dxa"/>
            <w:shd w:val="clear" w:color="auto" w:fill="auto"/>
          </w:tcPr>
          <w:p w14:paraId="309B0D57" w14:textId="3AA1CD5B"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0</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15 atvejo 100-ui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r>
      <w:tr w:rsidR="000A618E" w:rsidRPr="000A618E" w14:paraId="57F05E2E" w14:textId="77777777" w:rsidTr="004215B0">
        <w:trPr>
          <w:trHeight w:val="242"/>
        </w:trPr>
        <w:tc>
          <w:tcPr>
            <w:tcW w:w="3330" w:type="dxa"/>
            <w:vMerge/>
            <w:shd w:val="clear" w:color="auto" w:fill="auto"/>
          </w:tcPr>
          <w:p w14:paraId="1C46645D" w14:textId="77777777"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2753" w:type="dxa"/>
            <w:shd w:val="clear" w:color="auto" w:fill="auto"/>
          </w:tcPr>
          <w:p w14:paraId="5384F40A" w14:textId="53C283DD"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8</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38</w:t>
            </w:r>
            <w:r w:rsidRPr="000A618E">
              <w:rPr>
                <w:rFonts w:ascii="Times New Roman" w:eastAsia="Times New Roman" w:hAnsi="Times New Roman" w:cs="Times New Roman"/>
                <w:szCs w:val="20"/>
                <w:lang w:eastAsia="lt-LT"/>
              </w:rPr>
              <w:t xml:space="preserve"> </w:t>
            </w:r>
            <w:r w:rsidRPr="000A618E">
              <w:rPr>
                <w:rFonts w:ascii="Times New Roman" w:eastAsia="Times New Roman" w:hAnsi="Times New Roman" w:cs="Times New Roman"/>
                <w:lang w:eastAsia="lt-LT"/>
              </w:rPr>
              <w:t>atvejo 100-ui pacient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c>
          <w:tcPr>
            <w:tcW w:w="3097" w:type="dxa"/>
            <w:shd w:val="clear" w:color="auto" w:fill="auto"/>
          </w:tcPr>
          <w:p w14:paraId="2E92FC93" w14:textId="0AD90BDC" w:rsidR="000A618E" w:rsidRPr="000A618E" w:rsidRDefault="000A618E" w:rsidP="000A618E">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A618E">
              <w:rPr>
                <w:rFonts w:ascii="Times New Roman" w:eastAsia="Times New Roman" w:hAnsi="Times New Roman" w:cs="Times New Roman"/>
                <w:lang w:eastAsia="lt-LT"/>
              </w:rPr>
              <w:t>0</w:t>
            </w:r>
            <w:r w:rsidR="00435C5B">
              <w:rPr>
                <w:rFonts w:ascii="Times New Roman" w:eastAsia="Times New Roman" w:hAnsi="Times New Roman" w:cs="Times New Roman"/>
                <w:lang w:eastAsia="lt-LT"/>
              </w:rPr>
              <w:t>,</w:t>
            </w:r>
            <w:r w:rsidRPr="000A618E">
              <w:rPr>
                <w:rFonts w:ascii="Times New Roman" w:eastAsia="Times New Roman" w:hAnsi="Times New Roman" w:cs="Times New Roman"/>
                <w:lang w:eastAsia="lt-LT"/>
              </w:rPr>
              <w:t>74 atvejo</w:t>
            </w:r>
            <w:r w:rsidR="00435C5B">
              <w:rPr>
                <w:rFonts w:ascii="Times New Roman" w:eastAsia="Times New Roman" w:hAnsi="Times New Roman" w:cs="Times New Roman"/>
                <w:lang w:eastAsia="lt-LT"/>
              </w:rPr>
              <w:t xml:space="preserve"> </w:t>
            </w:r>
            <w:r w:rsidRPr="000A618E">
              <w:rPr>
                <w:rFonts w:ascii="Times New Roman" w:eastAsia="Times New Roman" w:hAnsi="Times New Roman" w:cs="Times New Roman"/>
                <w:lang w:eastAsia="lt-LT"/>
              </w:rPr>
              <w:t>100-ui pa</w:t>
            </w:r>
            <w:r w:rsidR="00B86BD7" w:rsidRPr="007F2054">
              <w:rPr>
                <w:rFonts w:ascii="Times New Roman" w:eastAsia="Times New Roman" w:hAnsi="Times New Roman" w:cs="Times New Roman"/>
                <w:lang w:eastAsia="lt-LT"/>
              </w:rPr>
              <w:t>cient</w:t>
            </w:r>
            <w:r w:rsidR="00435C5B">
              <w:rPr>
                <w:rFonts w:ascii="Times New Roman" w:eastAsia="Times New Roman" w:hAnsi="Times New Roman" w:cs="Times New Roman"/>
                <w:lang w:eastAsia="lt-LT"/>
              </w:rPr>
              <w:t>ų</w:t>
            </w:r>
            <w:r w:rsidRPr="000A618E">
              <w:rPr>
                <w:rFonts w:ascii="Times New Roman" w:eastAsia="Times New Roman" w:hAnsi="Times New Roman" w:cs="Times New Roman"/>
                <w:lang w:eastAsia="lt-LT"/>
              </w:rPr>
              <w:t xml:space="preserve"> metų*** #</w:t>
            </w:r>
          </w:p>
        </w:tc>
      </w:tr>
    </w:tbl>
    <w:p w14:paraId="66AE1F38" w14:textId="77777777" w:rsidR="00B86BD7" w:rsidRPr="00B86BD7" w:rsidRDefault="00B86BD7" w:rsidP="00B86BD7">
      <w:pPr>
        <w:autoSpaceDE w:val="0"/>
        <w:autoSpaceDN w:val="0"/>
        <w:adjustRightInd w:val="0"/>
        <w:spacing w:after="0" w:line="240" w:lineRule="auto"/>
        <w:ind w:left="142"/>
        <w:rPr>
          <w:rFonts w:ascii="Times New Roman" w:eastAsia="SimSun" w:hAnsi="Times New Roman" w:cs="Times New Roman"/>
          <w:color w:val="000000"/>
          <w:sz w:val="20"/>
          <w:szCs w:val="20"/>
          <w:lang w:eastAsia="en-GB"/>
        </w:rPr>
      </w:pPr>
      <w:r w:rsidRPr="00B86BD7">
        <w:rPr>
          <w:rFonts w:ascii="Times New Roman" w:eastAsia="SimSun" w:hAnsi="Times New Roman" w:cs="Times New Roman"/>
          <w:color w:val="000000"/>
          <w:sz w:val="20"/>
          <w:szCs w:val="20"/>
          <w:lang w:eastAsia="en-GB"/>
        </w:rPr>
        <w:t xml:space="preserve">* Surinkti duomenys apie visus kraujavimo reiškinius, nustatytus visų rivaroksabano tyrimų metu, apie šiuos reiškinius pranešta ir jie įvertinti. </w:t>
      </w:r>
    </w:p>
    <w:p w14:paraId="40F09364" w14:textId="77777777" w:rsidR="00B86BD7" w:rsidRPr="00B86BD7" w:rsidRDefault="00B86BD7" w:rsidP="00B86BD7">
      <w:pPr>
        <w:autoSpaceDE w:val="0"/>
        <w:autoSpaceDN w:val="0"/>
        <w:adjustRightInd w:val="0"/>
        <w:spacing w:after="0" w:line="240" w:lineRule="auto"/>
        <w:ind w:left="142"/>
        <w:rPr>
          <w:rFonts w:ascii="Times New Roman" w:eastAsia="SimSun" w:hAnsi="Times New Roman" w:cs="Times New Roman"/>
          <w:color w:val="000000"/>
          <w:sz w:val="20"/>
          <w:szCs w:val="20"/>
          <w:lang w:eastAsia="en-GB"/>
        </w:rPr>
      </w:pPr>
      <w:r w:rsidRPr="00B86BD7">
        <w:rPr>
          <w:rFonts w:ascii="Times New Roman" w:eastAsia="SimSun" w:hAnsi="Times New Roman" w:cs="Times New Roman"/>
          <w:color w:val="000000"/>
          <w:sz w:val="20"/>
          <w:szCs w:val="20"/>
          <w:lang w:eastAsia="en-GB"/>
        </w:rPr>
        <w:t xml:space="preserve">** Tyrimo COMPASS metu, taikant selektyvų nepageidaujamų reiškinių duomenų rinkimo metodą, nustatytas mažas anemijos dažnis. </w:t>
      </w:r>
    </w:p>
    <w:p w14:paraId="68533A51" w14:textId="77777777" w:rsidR="00B86BD7" w:rsidRPr="00B86BD7" w:rsidRDefault="00B86BD7" w:rsidP="00B86BD7">
      <w:pPr>
        <w:autoSpaceDE w:val="0"/>
        <w:autoSpaceDN w:val="0"/>
        <w:adjustRightInd w:val="0"/>
        <w:spacing w:after="0" w:line="240" w:lineRule="auto"/>
        <w:ind w:left="142"/>
        <w:rPr>
          <w:rFonts w:ascii="Times New Roman" w:eastAsia="SimSun" w:hAnsi="Times New Roman" w:cs="Times New Roman"/>
          <w:color w:val="000000"/>
          <w:sz w:val="20"/>
          <w:szCs w:val="20"/>
          <w:lang w:eastAsia="en-GB"/>
        </w:rPr>
      </w:pPr>
      <w:r w:rsidRPr="00B86BD7">
        <w:rPr>
          <w:rFonts w:ascii="Times New Roman" w:eastAsia="SimSun" w:hAnsi="Times New Roman" w:cs="Times New Roman"/>
          <w:color w:val="000000"/>
          <w:sz w:val="20"/>
          <w:szCs w:val="20"/>
          <w:lang w:eastAsia="en-GB"/>
        </w:rPr>
        <w:t xml:space="preserve">*** Buvo taikomas selektyvus nepageidaujamų reiškinių duomenų rinkimo metodas. </w:t>
      </w:r>
    </w:p>
    <w:p w14:paraId="5BF13135" w14:textId="77777777" w:rsidR="00B86BD7" w:rsidRPr="00B86BD7" w:rsidRDefault="00B86BD7" w:rsidP="00B86BD7">
      <w:pPr>
        <w:autoSpaceDE w:val="0"/>
        <w:autoSpaceDN w:val="0"/>
        <w:adjustRightInd w:val="0"/>
        <w:spacing w:after="0" w:line="240" w:lineRule="auto"/>
        <w:ind w:left="142"/>
        <w:rPr>
          <w:rFonts w:ascii="Times New Roman" w:eastAsia="SimSun" w:hAnsi="Times New Roman" w:cs="Times New Roman"/>
          <w:color w:val="000000"/>
          <w:sz w:val="20"/>
          <w:szCs w:val="20"/>
          <w:lang w:eastAsia="en-GB"/>
        </w:rPr>
      </w:pPr>
      <w:r w:rsidRPr="00B86BD7">
        <w:rPr>
          <w:rFonts w:ascii="Times New Roman" w:eastAsia="SimSun" w:hAnsi="Times New Roman" w:cs="Times New Roman"/>
          <w:color w:val="000000"/>
          <w:sz w:val="20"/>
          <w:szCs w:val="20"/>
          <w:lang w:eastAsia="en-GB"/>
        </w:rPr>
        <w:t xml:space="preserve"># Tyrimo VOYAGER PAD duomenys. </w:t>
      </w:r>
    </w:p>
    <w:p w14:paraId="4EF99ACA" w14:textId="77777777" w:rsidR="00B86BD7" w:rsidRPr="00B86BD7" w:rsidRDefault="00B86BD7" w:rsidP="00B86BD7">
      <w:pPr>
        <w:autoSpaceDE w:val="0"/>
        <w:autoSpaceDN w:val="0"/>
        <w:adjustRightInd w:val="0"/>
        <w:spacing w:after="0" w:line="240" w:lineRule="auto"/>
        <w:rPr>
          <w:rFonts w:ascii="Times New Roman" w:eastAsia="SimSun" w:hAnsi="Times New Roman" w:cs="Times New Roman"/>
          <w:color w:val="000000"/>
          <w:lang w:eastAsia="en-GB"/>
        </w:rPr>
      </w:pPr>
    </w:p>
    <w:p w14:paraId="58B41DBC" w14:textId="77777777" w:rsidR="00B86BD7" w:rsidRPr="00B86BD7" w:rsidRDefault="00B86BD7" w:rsidP="00B86BD7">
      <w:pPr>
        <w:autoSpaceDE w:val="0"/>
        <w:autoSpaceDN w:val="0"/>
        <w:adjustRightInd w:val="0"/>
        <w:spacing w:after="0" w:line="240" w:lineRule="auto"/>
        <w:rPr>
          <w:rFonts w:ascii="Times New Roman" w:eastAsia="SimSun" w:hAnsi="Times New Roman" w:cs="Times New Roman"/>
          <w:color w:val="000000"/>
          <w:u w:val="single"/>
          <w:lang w:eastAsia="en-GB"/>
        </w:rPr>
      </w:pPr>
      <w:r w:rsidRPr="00B86BD7">
        <w:rPr>
          <w:rFonts w:ascii="Times New Roman" w:eastAsia="SimSun" w:hAnsi="Times New Roman" w:cs="Times New Roman"/>
          <w:color w:val="000000"/>
          <w:u w:val="single"/>
          <w:lang w:eastAsia="en-GB"/>
        </w:rPr>
        <w:t xml:space="preserve">Nepageidaujamų reakcijų santrauka lentelėje </w:t>
      </w:r>
    </w:p>
    <w:p w14:paraId="10E593C9" w14:textId="77777777" w:rsidR="00B86BD7" w:rsidRPr="00B86BD7" w:rsidRDefault="00B86BD7" w:rsidP="00B86BD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86BD7">
        <w:rPr>
          <w:rFonts w:ascii="Times New Roman" w:eastAsia="Times New Roman" w:hAnsi="Times New Roman" w:cs="Times New Roman"/>
          <w:lang w:eastAsia="lt-LT"/>
        </w:rPr>
        <w:t xml:space="preserve">Rivaroksabano vartojimo metu suaugusiesiems ir vaikams nustatytų nepageidaujamų reakcijų dažniai apibūdinami pagal organų sistemų klases (taikant </w:t>
      </w:r>
      <w:proofErr w:type="spellStart"/>
      <w:r w:rsidRPr="00B86BD7">
        <w:rPr>
          <w:rFonts w:ascii="Times New Roman" w:eastAsia="Times New Roman" w:hAnsi="Times New Roman" w:cs="Times New Roman"/>
          <w:lang w:eastAsia="lt-LT"/>
        </w:rPr>
        <w:t>MedDRA</w:t>
      </w:r>
      <w:proofErr w:type="spellEnd"/>
      <w:r w:rsidRPr="00B86BD7">
        <w:rPr>
          <w:rFonts w:ascii="Times New Roman" w:eastAsia="Times New Roman" w:hAnsi="Times New Roman" w:cs="Times New Roman"/>
          <w:lang w:eastAsia="lt-LT"/>
        </w:rPr>
        <w:t xml:space="preserve"> terminologiją) ir dažnį toliau pateiktoje 3 lentelėje.</w:t>
      </w:r>
    </w:p>
    <w:p w14:paraId="52633B5E" w14:textId="77777777" w:rsidR="00B86BD7" w:rsidRPr="00B86BD7" w:rsidRDefault="00B86BD7" w:rsidP="00B86BD7">
      <w:pPr>
        <w:autoSpaceDE w:val="0"/>
        <w:autoSpaceDN w:val="0"/>
        <w:adjustRightInd w:val="0"/>
        <w:spacing w:after="0" w:line="240" w:lineRule="auto"/>
        <w:rPr>
          <w:rFonts w:ascii="Times New Roman" w:eastAsia="SimSun" w:hAnsi="Times New Roman" w:cs="Times New Roman"/>
          <w:snapToGrid w:val="0"/>
          <w:color w:val="000000"/>
          <w:szCs w:val="24"/>
          <w:lang w:eastAsia="en-GB"/>
        </w:rPr>
      </w:pPr>
      <w:r w:rsidRPr="00B86BD7">
        <w:rPr>
          <w:rFonts w:ascii="Times New Roman" w:eastAsia="SimSun" w:hAnsi="Times New Roman" w:cs="Times New Roman"/>
          <w:snapToGrid w:val="0"/>
          <w:color w:val="000000"/>
          <w:lang w:eastAsia="en-GB"/>
        </w:rPr>
        <w:t xml:space="preserve">Nepageidaujamo poveikio </w:t>
      </w:r>
      <w:r w:rsidRPr="00B86BD7">
        <w:rPr>
          <w:rFonts w:ascii="Times New Roman" w:eastAsia="SimSun" w:hAnsi="Times New Roman" w:cs="Times New Roman"/>
          <w:snapToGrid w:val="0"/>
          <w:color w:val="000000"/>
          <w:szCs w:val="24"/>
          <w:lang w:eastAsia="en-GB"/>
        </w:rPr>
        <w:t>dažnis apibūdinamas taip: labai dažnas (≥ 1/10), dažnas (nuo ≥ 1/100 iki &lt; 1/10), nedažnas (nuo ≥ 1/1 000 iki &lt; 1/100), retas (nuo ≥ 1/10 000 iki &lt; 1/1 000), labai retas (&lt; 1/10 000) ir nežinomas (negali būti apskaičiuotas pagal turimus duomenis).</w:t>
      </w:r>
    </w:p>
    <w:p w14:paraId="01DB4BD5" w14:textId="23E10B07" w:rsidR="000A618E" w:rsidRPr="007F2054" w:rsidRDefault="000A618E" w:rsidP="00D61A12">
      <w:pPr>
        <w:widowControl w:val="0"/>
        <w:autoSpaceDE w:val="0"/>
        <w:autoSpaceDN w:val="0"/>
        <w:spacing w:after="0" w:line="240" w:lineRule="auto"/>
        <w:rPr>
          <w:rFonts w:ascii="Times New Roman" w:eastAsia="Times New Roman" w:hAnsi="Times New Roman" w:cs="Times New Roman"/>
        </w:rPr>
      </w:pPr>
    </w:p>
    <w:p w14:paraId="4B7ABA10" w14:textId="32EC195A" w:rsidR="00B86BD7" w:rsidRPr="00B86BD7" w:rsidRDefault="00B86BD7" w:rsidP="00B86BD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86BD7">
        <w:rPr>
          <w:rFonts w:ascii="Times New Roman" w:eastAsia="Times New Roman" w:hAnsi="Times New Roman" w:cs="Times New Roman"/>
          <w:b/>
          <w:bCs/>
          <w:lang w:eastAsia="lt-LT"/>
        </w:rPr>
        <w:t xml:space="preserve">3 lentelė. Visos nepageidaujamos reakcijos, kurios nustatytos suaugusiems pacientams III fazės klinikiniuose tyrimuose arba vaistiniam preparatui esant rinkoje* ir vaikams dviejuose II fazės tyrimuose bei </w:t>
      </w:r>
      <w:r w:rsidR="001A67D8">
        <w:rPr>
          <w:rFonts w:ascii="Times New Roman" w:eastAsia="Times New Roman" w:hAnsi="Times New Roman" w:cs="Times New Roman"/>
          <w:b/>
          <w:bCs/>
          <w:lang w:eastAsia="lt-LT"/>
        </w:rPr>
        <w:t>dviejuose</w:t>
      </w:r>
      <w:r w:rsidRPr="00B86BD7">
        <w:rPr>
          <w:rFonts w:ascii="Times New Roman" w:eastAsia="Times New Roman" w:hAnsi="Times New Roman" w:cs="Times New Roman"/>
          <w:b/>
          <w:bCs/>
          <w:lang w:eastAsia="lt-LT"/>
        </w:rPr>
        <w:t xml:space="preserve"> III fazės tyrim</w:t>
      </w:r>
      <w:r w:rsidR="001A67D8">
        <w:rPr>
          <w:rFonts w:ascii="Times New Roman" w:eastAsia="Times New Roman" w:hAnsi="Times New Roman" w:cs="Times New Roman"/>
          <w:b/>
          <w:bCs/>
          <w:lang w:eastAsia="lt-LT"/>
        </w:rPr>
        <w:t>uose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17"/>
        <w:gridCol w:w="1847"/>
        <w:gridCol w:w="1848"/>
        <w:gridCol w:w="1850"/>
      </w:tblGrid>
      <w:tr w:rsidR="00B86BD7" w:rsidRPr="00B86BD7" w14:paraId="05F6ED36" w14:textId="77777777" w:rsidTr="004215B0">
        <w:trPr>
          <w:tblHeader/>
        </w:trPr>
        <w:tc>
          <w:tcPr>
            <w:tcW w:w="1710" w:type="dxa"/>
            <w:shd w:val="clear" w:color="auto" w:fill="auto"/>
          </w:tcPr>
          <w:p w14:paraId="28BF8508"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Dažnas</w:t>
            </w:r>
          </w:p>
        </w:tc>
        <w:tc>
          <w:tcPr>
            <w:tcW w:w="1817" w:type="dxa"/>
            <w:shd w:val="clear" w:color="auto" w:fill="auto"/>
          </w:tcPr>
          <w:p w14:paraId="565F568D"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Nedažnas</w:t>
            </w:r>
          </w:p>
        </w:tc>
        <w:tc>
          <w:tcPr>
            <w:tcW w:w="1847" w:type="dxa"/>
            <w:shd w:val="clear" w:color="auto" w:fill="auto"/>
          </w:tcPr>
          <w:p w14:paraId="2288467A"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 xml:space="preserve">Retas </w:t>
            </w:r>
          </w:p>
        </w:tc>
        <w:tc>
          <w:tcPr>
            <w:tcW w:w="1848" w:type="dxa"/>
            <w:shd w:val="clear" w:color="auto" w:fill="auto"/>
          </w:tcPr>
          <w:p w14:paraId="6104755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 xml:space="preserve">Labai retas </w:t>
            </w:r>
          </w:p>
        </w:tc>
        <w:tc>
          <w:tcPr>
            <w:tcW w:w="1850" w:type="dxa"/>
            <w:shd w:val="clear" w:color="auto" w:fill="auto"/>
          </w:tcPr>
          <w:p w14:paraId="031634D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Dažnis nežinomas</w:t>
            </w:r>
          </w:p>
        </w:tc>
      </w:tr>
      <w:tr w:rsidR="00B86BD7" w:rsidRPr="00B86BD7" w14:paraId="57C16810" w14:textId="77777777" w:rsidTr="004215B0">
        <w:tc>
          <w:tcPr>
            <w:tcW w:w="9072" w:type="dxa"/>
            <w:gridSpan w:val="5"/>
            <w:shd w:val="clear" w:color="auto" w:fill="auto"/>
          </w:tcPr>
          <w:p w14:paraId="6CF6EBCF"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Kraujo ir limfinės sistemos sutrikimai</w:t>
            </w:r>
          </w:p>
        </w:tc>
      </w:tr>
      <w:tr w:rsidR="00B86BD7" w:rsidRPr="00B86BD7" w14:paraId="5D3B1EAA" w14:textId="77777777" w:rsidTr="004215B0">
        <w:tc>
          <w:tcPr>
            <w:tcW w:w="1710" w:type="dxa"/>
            <w:shd w:val="clear" w:color="auto" w:fill="auto"/>
          </w:tcPr>
          <w:p w14:paraId="31C212E4"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Anemija (įskaitant atitinkamus laboratorinius parametrus)</w:t>
            </w:r>
          </w:p>
        </w:tc>
        <w:tc>
          <w:tcPr>
            <w:tcW w:w="1817" w:type="dxa"/>
            <w:shd w:val="clear" w:color="auto" w:fill="auto"/>
          </w:tcPr>
          <w:p w14:paraId="7D5B8FF0" w14:textId="77777777" w:rsidR="00B86BD7" w:rsidRPr="00B86BD7" w:rsidRDefault="00B86BD7" w:rsidP="00B86BD7">
            <w:pPr>
              <w:autoSpaceDE w:val="0"/>
              <w:autoSpaceDN w:val="0"/>
              <w:adjustRightInd w:val="0"/>
              <w:spacing w:after="0" w:line="240" w:lineRule="auto"/>
              <w:rPr>
                <w:rFonts w:ascii="Times New Roman" w:eastAsia="SimSun" w:hAnsi="Times New Roman" w:cs="Times New Roman"/>
                <w:color w:val="000000"/>
                <w:sz w:val="24"/>
                <w:lang w:eastAsia="en-GB"/>
              </w:rPr>
            </w:pPr>
            <w:proofErr w:type="spellStart"/>
            <w:r w:rsidRPr="00B86BD7">
              <w:rPr>
                <w:rFonts w:ascii="Times New Roman" w:eastAsia="SimSun" w:hAnsi="Times New Roman" w:cs="Times New Roman"/>
                <w:color w:val="000000"/>
                <w:lang w:eastAsia="en-GB"/>
              </w:rPr>
              <w:t>Trombocitozė</w:t>
            </w:r>
            <w:proofErr w:type="spellEnd"/>
            <w:r w:rsidRPr="00B86BD7">
              <w:rPr>
                <w:rFonts w:ascii="Times New Roman" w:eastAsia="SimSun" w:hAnsi="Times New Roman" w:cs="Times New Roman"/>
                <w:color w:val="000000"/>
                <w:lang w:eastAsia="en-GB"/>
              </w:rPr>
              <w:t xml:space="preserve"> (įskaitant padidėjusį trombocitų kiekį)</w:t>
            </w:r>
            <w:r w:rsidRPr="006C1D08">
              <w:rPr>
                <w:rFonts w:ascii="Times New Roman" w:eastAsia="SimSun" w:hAnsi="Times New Roman" w:cs="Times New Roman"/>
                <w:color w:val="000000"/>
                <w:sz w:val="21"/>
                <w:szCs w:val="21"/>
                <w:vertAlign w:val="superscript"/>
                <w:lang w:eastAsia="en-GB"/>
              </w:rPr>
              <w:t>A</w:t>
            </w:r>
            <w:r w:rsidRPr="00B86BD7">
              <w:rPr>
                <w:rFonts w:ascii="Times New Roman" w:eastAsia="SimSun" w:hAnsi="Times New Roman" w:cs="Times New Roman"/>
                <w:color w:val="000000"/>
                <w:lang w:eastAsia="en-GB"/>
              </w:rPr>
              <w:t xml:space="preserve">, </w:t>
            </w:r>
            <w:proofErr w:type="spellStart"/>
            <w:r w:rsidRPr="00B86BD7">
              <w:rPr>
                <w:rFonts w:ascii="Times New Roman" w:eastAsia="SimSun" w:hAnsi="Times New Roman" w:cs="Times New Roman"/>
                <w:color w:val="000000"/>
                <w:lang w:eastAsia="en-GB"/>
              </w:rPr>
              <w:t>trombocitopenija</w:t>
            </w:r>
            <w:proofErr w:type="spellEnd"/>
            <w:r w:rsidRPr="00B86BD7">
              <w:rPr>
                <w:rFonts w:ascii="Times New Roman" w:eastAsia="SimSun" w:hAnsi="Times New Roman" w:cs="Times New Roman"/>
                <w:color w:val="000000"/>
                <w:lang w:eastAsia="en-GB"/>
              </w:rPr>
              <w:t xml:space="preserve"> </w:t>
            </w:r>
          </w:p>
          <w:p w14:paraId="3CADE598"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7" w:type="dxa"/>
            <w:shd w:val="clear" w:color="auto" w:fill="auto"/>
          </w:tcPr>
          <w:p w14:paraId="764DD859"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2371D04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604F4C9D"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67030570" w14:textId="77777777" w:rsidTr="004215B0">
        <w:tc>
          <w:tcPr>
            <w:tcW w:w="9072" w:type="dxa"/>
            <w:gridSpan w:val="5"/>
            <w:shd w:val="clear" w:color="auto" w:fill="auto"/>
          </w:tcPr>
          <w:p w14:paraId="401454B9"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 xml:space="preserve">Imuninės sistemos sutrikimai </w:t>
            </w:r>
          </w:p>
        </w:tc>
      </w:tr>
      <w:tr w:rsidR="00B86BD7" w:rsidRPr="00B86BD7" w14:paraId="7D1FF64A" w14:textId="77777777" w:rsidTr="004215B0">
        <w:tc>
          <w:tcPr>
            <w:tcW w:w="1710" w:type="dxa"/>
            <w:shd w:val="clear" w:color="auto" w:fill="auto"/>
          </w:tcPr>
          <w:p w14:paraId="79F4776B"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17" w:type="dxa"/>
            <w:shd w:val="clear" w:color="auto" w:fill="auto"/>
          </w:tcPr>
          <w:p w14:paraId="32964CFE"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Alerginė reakcija,</w:t>
            </w:r>
          </w:p>
          <w:p w14:paraId="4B146F55"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alerginis dermatitas, </w:t>
            </w:r>
            <w:proofErr w:type="spellStart"/>
            <w:r w:rsidRPr="00B86BD7">
              <w:rPr>
                <w:rFonts w:ascii="Times New Roman" w:eastAsia="SimSun" w:hAnsi="Times New Roman" w:cs="Times New Roman"/>
                <w:lang w:eastAsia="en-GB"/>
              </w:rPr>
              <w:t>angioneurozinė</w:t>
            </w:r>
            <w:proofErr w:type="spellEnd"/>
            <w:r w:rsidRPr="00B86BD7">
              <w:rPr>
                <w:rFonts w:ascii="Times New Roman" w:eastAsia="SimSun" w:hAnsi="Times New Roman" w:cs="Times New Roman"/>
                <w:lang w:eastAsia="en-GB"/>
              </w:rPr>
              <w:t xml:space="preserve"> edema ir alerginė edema </w:t>
            </w:r>
          </w:p>
        </w:tc>
        <w:tc>
          <w:tcPr>
            <w:tcW w:w="1847" w:type="dxa"/>
            <w:shd w:val="clear" w:color="auto" w:fill="auto"/>
          </w:tcPr>
          <w:p w14:paraId="69FFFF8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1CFA83E2"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Anafilaksinės reakcijos, įskaitant anafilaksinį šoką</w:t>
            </w:r>
          </w:p>
          <w:p w14:paraId="51A24486"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592BB73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68E4C83C" w14:textId="77777777" w:rsidTr="004215B0">
        <w:tc>
          <w:tcPr>
            <w:tcW w:w="9072" w:type="dxa"/>
            <w:gridSpan w:val="5"/>
            <w:shd w:val="clear" w:color="auto" w:fill="auto"/>
          </w:tcPr>
          <w:p w14:paraId="4E38821F"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Nervų sistemos sutrikimai</w:t>
            </w:r>
          </w:p>
        </w:tc>
      </w:tr>
      <w:tr w:rsidR="00B86BD7" w:rsidRPr="00B86BD7" w14:paraId="69773EE5" w14:textId="77777777" w:rsidTr="004215B0">
        <w:tc>
          <w:tcPr>
            <w:tcW w:w="1710" w:type="dxa"/>
            <w:shd w:val="clear" w:color="auto" w:fill="auto"/>
          </w:tcPr>
          <w:p w14:paraId="2BE291F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color w:val="000000"/>
                <w:sz w:val="24"/>
                <w:lang w:eastAsia="en-GB"/>
              </w:rPr>
            </w:pPr>
            <w:r w:rsidRPr="00B86BD7">
              <w:rPr>
                <w:rFonts w:ascii="Times New Roman" w:eastAsia="SimSun" w:hAnsi="Times New Roman" w:cs="Times New Roman"/>
                <w:color w:val="000000"/>
                <w:szCs w:val="21"/>
                <w:lang w:eastAsia="en-GB"/>
              </w:rPr>
              <w:t>Svaigulys, galvos skausmas</w:t>
            </w:r>
          </w:p>
        </w:tc>
        <w:tc>
          <w:tcPr>
            <w:tcW w:w="1817" w:type="dxa"/>
            <w:shd w:val="clear" w:color="auto" w:fill="auto"/>
          </w:tcPr>
          <w:p w14:paraId="2E07A234"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roofErr w:type="spellStart"/>
            <w:r w:rsidRPr="00B86BD7">
              <w:rPr>
                <w:rFonts w:ascii="Times New Roman" w:eastAsia="SimSun" w:hAnsi="Times New Roman" w:cs="Times New Roman"/>
                <w:lang w:eastAsia="en-GB"/>
              </w:rPr>
              <w:t>Intracerebrinis</w:t>
            </w:r>
            <w:proofErr w:type="spellEnd"/>
            <w:r w:rsidRPr="00B86BD7">
              <w:rPr>
                <w:rFonts w:ascii="Times New Roman" w:eastAsia="SimSun" w:hAnsi="Times New Roman" w:cs="Times New Roman"/>
                <w:lang w:eastAsia="en-GB"/>
              </w:rPr>
              <w:t xml:space="preserve"> ir </w:t>
            </w:r>
            <w:proofErr w:type="spellStart"/>
            <w:r w:rsidRPr="00B86BD7">
              <w:rPr>
                <w:rFonts w:ascii="Times New Roman" w:eastAsia="SimSun" w:hAnsi="Times New Roman" w:cs="Times New Roman"/>
                <w:lang w:eastAsia="en-GB"/>
              </w:rPr>
              <w:t>intrakranijinis</w:t>
            </w:r>
            <w:proofErr w:type="spellEnd"/>
            <w:r w:rsidRPr="00B86BD7">
              <w:rPr>
                <w:rFonts w:ascii="Times New Roman" w:eastAsia="SimSun" w:hAnsi="Times New Roman" w:cs="Times New Roman"/>
                <w:lang w:eastAsia="en-GB"/>
              </w:rPr>
              <w:t xml:space="preserve"> kraujavimas,</w:t>
            </w:r>
          </w:p>
          <w:p w14:paraId="75E67210"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sinkopė </w:t>
            </w:r>
          </w:p>
        </w:tc>
        <w:tc>
          <w:tcPr>
            <w:tcW w:w="1847" w:type="dxa"/>
            <w:shd w:val="clear" w:color="auto" w:fill="auto"/>
          </w:tcPr>
          <w:p w14:paraId="24B2D377"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7B67353F"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4172BADB"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176255C7" w14:textId="77777777" w:rsidTr="004215B0">
        <w:tc>
          <w:tcPr>
            <w:tcW w:w="9072" w:type="dxa"/>
            <w:gridSpan w:val="5"/>
            <w:shd w:val="clear" w:color="auto" w:fill="auto"/>
          </w:tcPr>
          <w:p w14:paraId="1EB4C124"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Akių sutrikimai</w:t>
            </w:r>
          </w:p>
        </w:tc>
      </w:tr>
      <w:tr w:rsidR="00B86BD7" w:rsidRPr="00B86BD7" w14:paraId="778E6587" w14:textId="77777777" w:rsidTr="004215B0">
        <w:tc>
          <w:tcPr>
            <w:tcW w:w="1710" w:type="dxa"/>
            <w:shd w:val="clear" w:color="auto" w:fill="auto"/>
          </w:tcPr>
          <w:p w14:paraId="328162A6"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Akies kraujavimas (įskaitant junginės kraujavimą)</w:t>
            </w:r>
          </w:p>
        </w:tc>
        <w:tc>
          <w:tcPr>
            <w:tcW w:w="1817" w:type="dxa"/>
            <w:shd w:val="clear" w:color="auto" w:fill="auto"/>
          </w:tcPr>
          <w:p w14:paraId="28B24C5A"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7" w:type="dxa"/>
            <w:shd w:val="clear" w:color="auto" w:fill="auto"/>
          </w:tcPr>
          <w:p w14:paraId="5B27EE90"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25F7EA4C"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32E4333C"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3C663FF2" w14:textId="77777777" w:rsidTr="004215B0">
        <w:tc>
          <w:tcPr>
            <w:tcW w:w="9072" w:type="dxa"/>
            <w:gridSpan w:val="5"/>
            <w:shd w:val="clear" w:color="auto" w:fill="auto"/>
          </w:tcPr>
          <w:p w14:paraId="2CD9D8FD"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Širdies sutrikimai</w:t>
            </w:r>
          </w:p>
        </w:tc>
      </w:tr>
      <w:tr w:rsidR="00B86BD7" w:rsidRPr="00B86BD7" w14:paraId="19A4E6A6" w14:textId="77777777" w:rsidTr="004215B0">
        <w:tc>
          <w:tcPr>
            <w:tcW w:w="1710" w:type="dxa"/>
            <w:shd w:val="clear" w:color="auto" w:fill="auto"/>
          </w:tcPr>
          <w:p w14:paraId="39AFFF2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17" w:type="dxa"/>
            <w:shd w:val="clear" w:color="auto" w:fill="auto"/>
          </w:tcPr>
          <w:p w14:paraId="2FDD6081"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proofErr w:type="spellStart"/>
            <w:r w:rsidRPr="00B86BD7">
              <w:rPr>
                <w:rFonts w:ascii="Times New Roman" w:eastAsia="Times New Roman" w:hAnsi="Times New Roman" w:cs="Times New Roman"/>
                <w:lang w:eastAsia="lt-LT"/>
              </w:rPr>
              <w:t>Tachikardija</w:t>
            </w:r>
            <w:proofErr w:type="spellEnd"/>
          </w:p>
        </w:tc>
        <w:tc>
          <w:tcPr>
            <w:tcW w:w="1847" w:type="dxa"/>
            <w:shd w:val="clear" w:color="auto" w:fill="auto"/>
          </w:tcPr>
          <w:p w14:paraId="5ACBF1B4"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5D04731C"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0EC0E88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06D29CDB" w14:textId="77777777" w:rsidTr="004215B0">
        <w:tc>
          <w:tcPr>
            <w:tcW w:w="9072" w:type="dxa"/>
            <w:gridSpan w:val="5"/>
            <w:shd w:val="clear" w:color="auto" w:fill="auto"/>
          </w:tcPr>
          <w:p w14:paraId="663127D9"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lastRenderedPageBreak/>
              <w:t xml:space="preserve">Kraujagyslių sutrikimai </w:t>
            </w:r>
          </w:p>
        </w:tc>
      </w:tr>
      <w:tr w:rsidR="00B86BD7" w:rsidRPr="00B86BD7" w14:paraId="535E78E7" w14:textId="77777777" w:rsidTr="004215B0">
        <w:tc>
          <w:tcPr>
            <w:tcW w:w="1710" w:type="dxa"/>
            <w:shd w:val="clear" w:color="auto" w:fill="auto"/>
          </w:tcPr>
          <w:p w14:paraId="58D83C0C"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Hipotenzija,</w:t>
            </w:r>
          </w:p>
          <w:p w14:paraId="7A8484ED"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roofErr w:type="spellStart"/>
            <w:r w:rsidRPr="00B86BD7">
              <w:rPr>
                <w:rFonts w:ascii="Times New Roman" w:eastAsia="SimSun" w:hAnsi="Times New Roman" w:cs="Times New Roman"/>
                <w:lang w:eastAsia="en-GB"/>
              </w:rPr>
              <w:t>hematoma</w:t>
            </w:r>
            <w:proofErr w:type="spellEnd"/>
          </w:p>
        </w:tc>
        <w:tc>
          <w:tcPr>
            <w:tcW w:w="1817" w:type="dxa"/>
            <w:shd w:val="clear" w:color="auto" w:fill="auto"/>
          </w:tcPr>
          <w:p w14:paraId="48EC7FD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7" w:type="dxa"/>
            <w:shd w:val="clear" w:color="auto" w:fill="auto"/>
          </w:tcPr>
          <w:p w14:paraId="33F2469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708AA149"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115A6196"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46209142" w14:textId="77777777" w:rsidTr="004215B0">
        <w:tc>
          <w:tcPr>
            <w:tcW w:w="9072" w:type="dxa"/>
            <w:gridSpan w:val="5"/>
            <w:shd w:val="clear" w:color="auto" w:fill="auto"/>
          </w:tcPr>
          <w:p w14:paraId="6A5125B5"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b/>
                <w:bCs/>
                <w:lang w:eastAsia="en-GB"/>
              </w:rPr>
              <w:t xml:space="preserve">Kvėpavimo sistemos, krūtinės ląstos ir tarpuplaučio sutrikimai </w:t>
            </w:r>
          </w:p>
        </w:tc>
      </w:tr>
      <w:tr w:rsidR="00B86BD7" w:rsidRPr="00B86BD7" w14:paraId="726440C9" w14:textId="77777777" w:rsidTr="004215B0">
        <w:tc>
          <w:tcPr>
            <w:tcW w:w="1710" w:type="dxa"/>
            <w:shd w:val="clear" w:color="auto" w:fill="auto"/>
          </w:tcPr>
          <w:p w14:paraId="6A715828"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Kraujavimas iš nosies, atsikosėjimas krauju</w:t>
            </w:r>
          </w:p>
        </w:tc>
        <w:tc>
          <w:tcPr>
            <w:tcW w:w="1817" w:type="dxa"/>
            <w:shd w:val="clear" w:color="auto" w:fill="auto"/>
          </w:tcPr>
          <w:p w14:paraId="194FE5CD"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7" w:type="dxa"/>
            <w:shd w:val="clear" w:color="auto" w:fill="auto"/>
          </w:tcPr>
          <w:p w14:paraId="292FB93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26E09732" w14:textId="3552E517" w:rsidR="00B86BD7" w:rsidRPr="00CD7C96" w:rsidRDefault="001A67D8"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Cs/>
                <w:lang w:eastAsia="lt-LT"/>
              </w:rPr>
            </w:pPr>
            <w:proofErr w:type="spellStart"/>
            <w:r w:rsidRPr="00CD7C96">
              <w:rPr>
                <w:rFonts w:ascii="Times New Roman" w:eastAsia="Times New Roman" w:hAnsi="Times New Roman" w:cs="Times New Roman"/>
                <w:bCs/>
                <w:lang w:eastAsia="lt-LT"/>
              </w:rPr>
              <w:t>Eozinofilinė</w:t>
            </w:r>
            <w:proofErr w:type="spellEnd"/>
            <w:r w:rsidRPr="00CD7C96">
              <w:rPr>
                <w:rFonts w:ascii="Times New Roman" w:eastAsia="Times New Roman" w:hAnsi="Times New Roman" w:cs="Times New Roman"/>
                <w:bCs/>
                <w:lang w:eastAsia="lt-LT"/>
              </w:rPr>
              <w:t xml:space="preserve"> pneumonija</w:t>
            </w:r>
          </w:p>
        </w:tc>
        <w:tc>
          <w:tcPr>
            <w:tcW w:w="1850" w:type="dxa"/>
            <w:shd w:val="clear" w:color="auto" w:fill="auto"/>
          </w:tcPr>
          <w:p w14:paraId="11151F7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74753DB2" w14:textId="77777777" w:rsidTr="004215B0">
        <w:tc>
          <w:tcPr>
            <w:tcW w:w="9072" w:type="dxa"/>
            <w:gridSpan w:val="5"/>
            <w:shd w:val="clear" w:color="auto" w:fill="auto"/>
          </w:tcPr>
          <w:p w14:paraId="0B16603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Virškinimo trakto sutrikimai</w:t>
            </w:r>
          </w:p>
        </w:tc>
      </w:tr>
      <w:tr w:rsidR="00B86BD7" w:rsidRPr="00B86BD7" w14:paraId="44B60AD2" w14:textId="77777777" w:rsidTr="004215B0">
        <w:tc>
          <w:tcPr>
            <w:tcW w:w="1710" w:type="dxa"/>
            <w:shd w:val="clear" w:color="auto" w:fill="auto"/>
          </w:tcPr>
          <w:p w14:paraId="50CCC635"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Kraujavimas iš dantenų, kraujavimas iš virškinimo trakto (įskaitant kraujavimą iš tiesiosios žarnos), virškinimo trakto ir pilvo skausmai, dispepsija, pykinimas, vidurių </w:t>
            </w:r>
            <w:proofErr w:type="spellStart"/>
            <w:r w:rsidRPr="00B86BD7">
              <w:rPr>
                <w:rFonts w:ascii="Times New Roman" w:eastAsia="SimSun" w:hAnsi="Times New Roman" w:cs="Times New Roman"/>
                <w:lang w:eastAsia="en-GB"/>
              </w:rPr>
              <w:t>užkietėjimas</w:t>
            </w:r>
            <w:r w:rsidRPr="00B86BD7">
              <w:rPr>
                <w:rFonts w:ascii="Times New Roman" w:eastAsia="SimSun" w:hAnsi="Times New Roman" w:cs="Times New Roman"/>
                <w:vertAlign w:val="superscript"/>
                <w:lang w:eastAsia="en-GB"/>
              </w:rPr>
              <w:t>A</w:t>
            </w:r>
            <w:proofErr w:type="spellEnd"/>
            <w:r w:rsidRPr="00B86BD7">
              <w:rPr>
                <w:rFonts w:ascii="Times New Roman" w:eastAsia="SimSun" w:hAnsi="Times New Roman" w:cs="Times New Roman"/>
                <w:lang w:eastAsia="en-GB"/>
              </w:rPr>
              <w:t xml:space="preserve">, viduriavimas, </w:t>
            </w:r>
            <w:proofErr w:type="spellStart"/>
            <w:r w:rsidRPr="00B86BD7">
              <w:rPr>
                <w:rFonts w:ascii="Times New Roman" w:eastAsia="SimSun" w:hAnsi="Times New Roman" w:cs="Times New Roman"/>
                <w:lang w:eastAsia="en-GB"/>
              </w:rPr>
              <w:t>vėmimas</w:t>
            </w:r>
            <w:r w:rsidRPr="00B86BD7">
              <w:rPr>
                <w:rFonts w:ascii="Times New Roman" w:eastAsia="SimSun" w:hAnsi="Times New Roman" w:cs="Times New Roman"/>
                <w:vertAlign w:val="superscript"/>
                <w:lang w:eastAsia="en-GB"/>
              </w:rPr>
              <w:t>A</w:t>
            </w:r>
            <w:proofErr w:type="spellEnd"/>
          </w:p>
        </w:tc>
        <w:tc>
          <w:tcPr>
            <w:tcW w:w="1817" w:type="dxa"/>
            <w:shd w:val="clear" w:color="auto" w:fill="auto"/>
          </w:tcPr>
          <w:p w14:paraId="5ADCB27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Burnos džiūvimas</w:t>
            </w:r>
          </w:p>
        </w:tc>
        <w:tc>
          <w:tcPr>
            <w:tcW w:w="1847" w:type="dxa"/>
            <w:shd w:val="clear" w:color="auto" w:fill="auto"/>
          </w:tcPr>
          <w:p w14:paraId="5FB8AAC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48" w:type="dxa"/>
            <w:shd w:val="clear" w:color="auto" w:fill="auto"/>
          </w:tcPr>
          <w:p w14:paraId="4A7C3257"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19A4073A"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5C1A8DFF" w14:textId="77777777" w:rsidTr="004215B0">
        <w:tc>
          <w:tcPr>
            <w:tcW w:w="9072" w:type="dxa"/>
            <w:gridSpan w:val="5"/>
            <w:shd w:val="clear" w:color="auto" w:fill="auto"/>
          </w:tcPr>
          <w:p w14:paraId="16C9F076"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b/>
                <w:bCs/>
                <w:lang w:eastAsia="en-GB"/>
              </w:rPr>
              <w:t>Kepenų, tulžies pūslės ir latakų sutrikimai</w:t>
            </w:r>
          </w:p>
        </w:tc>
      </w:tr>
      <w:tr w:rsidR="00B86BD7" w:rsidRPr="00B86BD7" w14:paraId="60F31DFE" w14:textId="77777777" w:rsidTr="004215B0">
        <w:tc>
          <w:tcPr>
            <w:tcW w:w="1710" w:type="dxa"/>
            <w:shd w:val="clear" w:color="auto" w:fill="auto"/>
          </w:tcPr>
          <w:p w14:paraId="01C65325"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Padidėjęs transaminazių aktyvumas </w:t>
            </w:r>
          </w:p>
        </w:tc>
        <w:tc>
          <w:tcPr>
            <w:tcW w:w="1817" w:type="dxa"/>
            <w:shd w:val="clear" w:color="auto" w:fill="auto"/>
          </w:tcPr>
          <w:p w14:paraId="30706E4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Sutrikusi kepenų funkcija,</w:t>
            </w:r>
          </w:p>
          <w:p w14:paraId="6444AB8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padidėjęs </w:t>
            </w:r>
            <w:proofErr w:type="spellStart"/>
            <w:r w:rsidRPr="00B86BD7">
              <w:rPr>
                <w:rFonts w:ascii="Times New Roman" w:eastAsia="SimSun" w:hAnsi="Times New Roman" w:cs="Times New Roman"/>
                <w:lang w:eastAsia="en-GB"/>
              </w:rPr>
              <w:t>bilirubino</w:t>
            </w:r>
            <w:proofErr w:type="spellEnd"/>
            <w:r w:rsidRPr="00B86BD7">
              <w:rPr>
                <w:rFonts w:ascii="Times New Roman" w:eastAsia="SimSun" w:hAnsi="Times New Roman" w:cs="Times New Roman"/>
                <w:lang w:eastAsia="en-GB"/>
              </w:rPr>
              <w:t xml:space="preserve"> kiekis, padidėjęs šarminės </w:t>
            </w:r>
            <w:proofErr w:type="spellStart"/>
            <w:r w:rsidRPr="00B86BD7">
              <w:rPr>
                <w:rFonts w:ascii="Times New Roman" w:eastAsia="SimSun" w:hAnsi="Times New Roman" w:cs="Times New Roman"/>
                <w:lang w:eastAsia="en-GB"/>
              </w:rPr>
              <w:t>fosfatazės</w:t>
            </w:r>
            <w:r w:rsidRPr="00B86BD7">
              <w:rPr>
                <w:rFonts w:ascii="Times New Roman" w:eastAsia="SimSun" w:hAnsi="Times New Roman" w:cs="Times New Roman"/>
                <w:vertAlign w:val="superscript"/>
                <w:lang w:eastAsia="en-GB"/>
              </w:rPr>
              <w:t>A</w:t>
            </w:r>
            <w:proofErr w:type="spellEnd"/>
            <w:r w:rsidRPr="00B86BD7">
              <w:rPr>
                <w:rFonts w:ascii="Times New Roman" w:eastAsia="SimSun" w:hAnsi="Times New Roman" w:cs="Times New Roman"/>
                <w:lang w:eastAsia="en-GB"/>
              </w:rPr>
              <w:t xml:space="preserve"> aktyvumas kraujyje,</w:t>
            </w:r>
          </w:p>
          <w:p w14:paraId="39767C25"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padidėjęs GGT</w:t>
            </w:r>
            <w:r w:rsidRPr="00B86BD7">
              <w:rPr>
                <w:rFonts w:ascii="Times New Roman" w:eastAsia="SimSun" w:hAnsi="Times New Roman" w:cs="Times New Roman"/>
                <w:vertAlign w:val="superscript"/>
                <w:lang w:eastAsia="en-GB"/>
              </w:rPr>
              <w:t>A**</w:t>
            </w:r>
            <w:r w:rsidRPr="00B86BD7">
              <w:rPr>
                <w:rFonts w:ascii="Times New Roman" w:eastAsia="SimSun" w:hAnsi="Times New Roman" w:cs="Times New Roman"/>
                <w:lang w:eastAsia="en-GB"/>
              </w:rPr>
              <w:t xml:space="preserve"> aktyvumas</w:t>
            </w:r>
          </w:p>
        </w:tc>
        <w:tc>
          <w:tcPr>
            <w:tcW w:w="1847" w:type="dxa"/>
            <w:shd w:val="clear" w:color="auto" w:fill="auto"/>
          </w:tcPr>
          <w:p w14:paraId="1185603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r w:rsidRPr="00B86BD7">
              <w:rPr>
                <w:rFonts w:ascii="Times New Roman" w:eastAsia="Times New Roman" w:hAnsi="Times New Roman" w:cs="Times New Roman"/>
                <w:lang w:eastAsia="lt-LT"/>
              </w:rPr>
              <w:t xml:space="preserve">Gelta, padidėjęs </w:t>
            </w:r>
            <w:proofErr w:type="spellStart"/>
            <w:r w:rsidRPr="00B86BD7">
              <w:rPr>
                <w:rFonts w:ascii="Times New Roman" w:eastAsia="Times New Roman" w:hAnsi="Times New Roman" w:cs="Times New Roman"/>
                <w:lang w:eastAsia="lt-LT"/>
              </w:rPr>
              <w:t>konjuguoto</w:t>
            </w:r>
            <w:proofErr w:type="spellEnd"/>
            <w:r w:rsidRPr="00B86BD7">
              <w:rPr>
                <w:rFonts w:ascii="Times New Roman" w:eastAsia="Times New Roman" w:hAnsi="Times New Roman" w:cs="Times New Roman"/>
                <w:lang w:eastAsia="lt-LT"/>
              </w:rPr>
              <w:t xml:space="preserve"> </w:t>
            </w:r>
            <w:proofErr w:type="spellStart"/>
            <w:r w:rsidRPr="00B86BD7">
              <w:rPr>
                <w:rFonts w:ascii="Times New Roman" w:eastAsia="Times New Roman" w:hAnsi="Times New Roman" w:cs="Times New Roman"/>
                <w:lang w:eastAsia="lt-LT"/>
              </w:rPr>
              <w:t>bilirubino</w:t>
            </w:r>
            <w:proofErr w:type="spellEnd"/>
            <w:r w:rsidRPr="00B86BD7">
              <w:rPr>
                <w:rFonts w:ascii="Times New Roman" w:eastAsia="Times New Roman" w:hAnsi="Times New Roman" w:cs="Times New Roman"/>
                <w:lang w:eastAsia="lt-LT"/>
              </w:rPr>
              <w:t xml:space="preserve"> kiekis (kartu gali padidėti arba nepadidėti ALT</w:t>
            </w:r>
            <w:r w:rsidRPr="00B86BD7">
              <w:rPr>
                <w:rFonts w:ascii="Times New Roman" w:eastAsia="Times New Roman" w:hAnsi="Times New Roman" w:cs="Times New Roman"/>
                <w:vertAlign w:val="superscript"/>
                <w:lang w:eastAsia="lt-LT"/>
              </w:rPr>
              <w:t>**</w:t>
            </w:r>
            <w:r w:rsidRPr="00B86BD7">
              <w:rPr>
                <w:rFonts w:ascii="Times New Roman" w:eastAsia="Times New Roman" w:hAnsi="Times New Roman" w:cs="Times New Roman"/>
                <w:lang w:eastAsia="lt-LT"/>
              </w:rPr>
              <w:t>),</w:t>
            </w:r>
          </w:p>
          <w:p w14:paraId="44C84650"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lang w:eastAsia="lt-LT"/>
              </w:rPr>
            </w:pPr>
            <w:proofErr w:type="spellStart"/>
            <w:r w:rsidRPr="00B86BD7">
              <w:rPr>
                <w:rFonts w:ascii="Times New Roman" w:eastAsia="Times New Roman" w:hAnsi="Times New Roman" w:cs="Times New Roman"/>
                <w:lang w:eastAsia="lt-LT"/>
              </w:rPr>
              <w:t>cholestazė</w:t>
            </w:r>
            <w:proofErr w:type="spellEnd"/>
            <w:r w:rsidRPr="00B86BD7">
              <w:rPr>
                <w:rFonts w:ascii="Times New Roman" w:eastAsia="Times New Roman" w:hAnsi="Times New Roman" w:cs="Times New Roman"/>
                <w:lang w:eastAsia="lt-LT"/>
              </w:rPr>
              <w:t>,</w:t>
            </w:r>
          </w:p>
          <w:p w14:paraId="523E575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lang w:eastAsia="lt-LT"/>
              </w:rPr>
              <w:t xml:space="preserve">hepatitas (įskaitant kepenų ląstelių pažeidimą) </w:t>
            </w:r>
          </w:p>
        </w:tc>
        <w:tc>
          <w:tcPr>
            <w:tcW w:w="1848" w:type="dxa"/>
            <w:shd w:val="clear" w:color="auto" w:fill="auto"/>
          </w:tcPr>
          <w:p w14:paraId="3CA943C7"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4499F259"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49E1ADD8" w14:textId="77777777" w:rsidTr="004215B0">
        <w:tc>
          <w:tcPr>
            <w:tcW w:w="9072" w:type="dxa"/>
            <w:gridSpan w:val="5"/>
            <w:shd w:val="clear" w:color="auto" w:fill="auto"/>
          </w:tcPr>
          <w:p w14:paraId="69D2750F"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b/>
                <w:bCs/>
                <w:lang w:eastAsia="en-GB"/>
              </w:rPr>
              <w:t>Odos ir poodinio audinio sutrikimai</w:t>
            </w:r>
          </w:p>
        </w:tc>
      </w:tr>
      <w:tr w:rsidR="00B86BD7" w:rsidRPr="00B86BD7" w14:paraId="1B4BA726" w14:textId="77777777" w:rsidTr="004215B0">
        <w:tc>
          <w:tcPr>
            <w:tcW w:w="1710" w:type="dxa"/>
            <w:shd w:val="clear" w:color="auto" w:fill="auto"/>
          </w:tcPr>
          <w:p w14:paraId="71D718CC"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Niežėjimas (įskaitant nedažnus </w:t>
            </w:r>
            <w:proofErr w:type="spellStart"/>
            <w:r w:rsidRPr="00B86BD7">
              <w:rPr>
                <w:rFonts w:ascii="Times New Roman" w:eastAsia="SimSun" w:hAnsi="Times New Roman" w:cs="Times New Roman"/>
                <w:lang w:eastAsia="en-GB"/>
              </w:rPr>
              <w:t>generalizuoto</w:t>
            </w:r>
            <w:proofErr w:type="spellEnd"/>
            <w:r w:rsidRPr="00B86BD7">
              <w:rPr>
                <w:rFonts w:ascii="Times New Roman" w:eastAsia="SimSun" w:hAnsi="Times New Roman" w:cs="Times New Roman"/>
                <w:lang w:eastAsia="en-GB"/>
              </w:rPr>
              <w:t xml:space="preserve"> niežėjimo atvejus), išbėrimas, </w:t>
            </w:r>
            <w:proofErr w:type="spellStart"/>
            <w:r w:rsidRPr="00B86BD7">
              <w:rPr>
                <w:rFonts w:ascii="Times New Roman" w:eastAsia="SimSun" w:hAnsi="Times New Roman" w:cs="Times New Roman"/>
                <w:lang w:eastAsia="en-GB"/>
              </w:rPr>
              <w:t>ekchimozė</w:t>
            </w:r>
            <w:proofErr w:type="spellEnd"/>
            <w:r w:rsidRPr="00B86BD7">
              <w:rPr>
                <w:rFonts w:ascii="Times New Roman" w:eastAsia="SimSun" w:hAnsi="Times New Roman" w:cs="Times New Roman"/>
                <w:lang w:eastAsia="en-GB"/>
              </w:rPr>
              <w:t>, kraujavimas į odą ir po oda</w:t>
            </w:r>
          </w:p>
        </w:tc>
        <w:tc>
          <w:tcPr>
            <w:tcW w:w="1817" w:type="dxa"/>
            <w:shd w:val="clear" w:color="auto" w:fill="auto"/>
          </w:tcPr>
          <w:p w14:paraId="63DF4870"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Dilgėlinė</w:t>
            </w:r>
          </w:p>
          <w:p w14:paraId="07EAD41F"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7" w:type="dxa"/>
            <w:shd w:val="clear" w:color="auto" w:fill="auto"/>
          </w:tcPr>
          <w:p w14:paraId="56D85E29"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8" w:type="dxa"/>
            <w:shd w:val="clear" w:color="auto" w:fill="auto"/>
          </w:tcPr>
          <w:p w14:paraId="45A12DE0" w14:textId="77777777" w:rsidR="00B86BD7" w:rsidRPr="00B86BD7" w:rsidRDefault="00B86BD7" w:rsidP="00B86BD7">
            <w:pPr>
              <w:keepNext/>
              <w:tabs>
                <w:tab w:val="left" w:pos="9072"/>
              </w:tabs>
              <w:autoSpaceDE w:val="0"/>
              <w:autoSpaceDN w:val="0"/>
              <w:adjustRightInd w:val="0"/>
              <w:spacing w:after="0" w:line="240" w:lineRule="auto"/>
              <w:rPr>
                <w:rFonts w:ascii="Times New Roman" w:eastAsia="SimSun" w:hAnsi="Times New Roman" w:cs="Times New Roman"/>
                <w:bCs/>
                <w:color w:val="000000"/>
                <w:sz w:val="24"/>
                <w:lang w:eastAsia="en-GB"/>
              </w:rPr>
            </w:pPr>
            <w:proofErr w:type="spellStart"/>
            <w:r w:rsidRPr="00B86BD7">
              <w:rPr>
                <w:rFonts w:ascii="Times New Roman" w:eastAsia="SimSun" w:hAnsi="Times New Roman" w:cs="Times New Roman"/>
                <w:bCs/>
                <w:color w:val="000000"/>
                <w:szCs w:val="21"/>
                <w:lang w:eastAsia="en-GB"/>
              </w:rPr>
              <w:t>Stivenso</w:t>
            </w:r>
            <w:proofErr w:type="spellEnd"/>
            <w:r w:rsidRPr="00B86BD7">
              <w:rPr>
                <w:rFonts w:ascii="Times New Roman" w:eastAsia="SimSun" w:hAnsi="Times New Roman" w:cs="Times New Roman"/>
                <w:bCs/>
                <w:color w:val="000000"/>
                <w:szCs w:val="21"/>
                <w:lang w:eastAsia="en-GB"/>
              </w:rPr>
              <w:t>-Džonsono (</w:t>
            </w:r>
            <w:proofErr w:type="spellStart"/>
            <w:r w:rsidRPr="00B86BD7">
              <w:rPr>
                <w:rFonts w:ascii="Times New Roman" w:eastAsia="SimSun" w:hAnsi="Times New Roman" w:cs="Times New Roman"/>
                <w:bCs/>
                <w:i/>
                <w:iCs/>
                <w:color w:val="000000"/>
                <w:szCs w:val="21"/>
                <w:lang w:eastAsia="en-GB"/>
              </w:rPr>
              <w:t>Stevens-Johnson</w:t>
            </w:r>
            <w:proofErr w:type="spellEnd"/>
            <w:r w:rsidRPr="00B86BD7">
              <w:rPr>
                <w:rFonts w:ascii="Times New Roman" w:eastAsia="SimSun" w:hAnsi="Times New Roman" w:cs="Times New Roman"/>
                <w:bCs/>
                <w:color w:val="000000"/>
                <w:szCs w:val="21"/>
                <w:lang w:eastAsia="en-GB"/>
              </w:rPr>
              <w:t xml:space="preserve">) sindromas ir (arba) toksinė epidermio </w:t>
            </w:r>
            <w:proofErr w:type="spellStart"/>
            <w:r w:rsidRPr="00B86BD7">
              <w:rPr>
                <w:rFonts w:ascii="Times New Roman" w:eastAsia="SimSun" w:hAnsi="Times New Roman" w:cs="Times New Roman"/>
                <w:bCs/>
                <w:color w:val="000000"/>
                <w:szCs w:val="21"/>
                <w:lang w:eastAsia="en-GB"/>
              </w:rPr>
              <w:t>nekrolizė</w:t>
            </w:r>
            <w:proofErr w:type="spellEnd"/>
            <w:r w:rsidRPr="00B86BD7">
              <w:rPr>
                <w:rFonts w:ascii="Times New Roman" w:eastAsia="SimSun" w:hAnsi="Times New Roman" w:cs="Times New Roman"/>
                <w:bCs/>
                <w:color w:val="000000"/>
                <w:szCs w:val="21"/>
                <w:lang w:eastAsia="en-GB"/>
              </w:rPr>
              <w:t xml:space="preserve">, </w:t>
            </w:r>
            <w:r w:rsidRPr="00B86BD7">
              <w:rPr>
                <w:rFonts w:ascii="Times New Roman" w:eastAsia="SimSun" w:hAnsi="Times New Roman" w:cs="Times New Roman"/>
                <w:bCs/>
                <w:i/>
                <w:iCs/>
                <w:color w:val="000000"/>
                <w:szCs w:val="21"/>
                <w:lang w:eastAsia="en-GB"/>
              </w:rPr>
              <w:t>DRESS</w:t>
            </w:r>
            <w:r w:rsidRPr="00B86BD7">
              <w:rPr>
                <w:rFonts w:ascii="Times New Roman" w:eastAsia="SimSun" w:hAnsi="Times New Roman" w:cs="Times New Roman"/>
                <w:bCs/>
                <w:color w:val="000000"/>
                <w:szCs w:val="21"/>
                <w:lang w:eastAsia="en-GB"/>
              </w:rPr>
              <w:t xml:space="preserve"> sindromas</w:t>
            </w:r>
          </w:p>
        </w:tc>
        <w:tc>
          <w:tcPr>
            <w:tcW w:w="1850" w:type="dxa"/>
            <w:shd w:val="clear" w:color="auto" w:fill="auto"/>
          </w:tcPr>
          <w:p w14:paraId="5369C231"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0CD19334" w14:textId="77777777" w:rsidTr="004215B0">
        <w:tc>
          <w:tcPr>
            <w:tcW w:w="9072" w:type="dxa"/>
            <w:gridSpan w:val="5"/>
            <w:shd w:val="clear" w:color="auto" w:fill="auto"/>
          </w:tcPr>
          <w:p w14:paraId="40580C03"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b/>
                <w:bCs/>
                <w:lang w:eastAsia="en-GB"/>
              </w:rPr>
            </w:pPr>
            <w:r w:rsidRPr="00B86BD7">
              <w:rPr>
                <w:rFonts w:ascii="Times New Roman" w:eastAsia="SimSun" w:hAnsi="Times New Roman" w:cs="Times New Roman"/>
                <w:b/>
                <w:bCs/>
                <w:lang w:eastAsia="en-GB"/>
              </w:rPr>
              <w:t>Skeleto, raumenų ir jungiamojo audinio sutrikimai</w:t>
            </w:r>
          </w:p>
        </w:tc>
      </w:tr>
      <w:tr w:rsidR="00B86BD7" w:rsidRPr="00B86BD7" w14:paraId="203F0E7B" w14:textId="77777777" w:rsidTr="004215B0">
        <w:tc>
          <w:tcPr>
            <w:tcW w:w="1710" w:type="dxa"/>
            <w:shd w:val="clear" w:color="auto" w:fill="auto"/>
          </w:tcPr>
          <w:p w14:paraId="5F08E9A3"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Galūnių </w:t>
            </w:r>
            <w:proofErr w:type="spellStart"/>
            <w:r w:rsidRPr="00B86BD7">
              <w:rPr>
                <w:rFonts w:ascii="Times New Roman" w:eastAsia="SimSun" w:hAnsi="Times New Roman" w:cs="Times New Roman"/>
                <w:lang w:eastAsia="en-GB"/>
              </w:rPr>
              <w:t>skausmas</w:t>
            </w:r>
            <w:r w:rsidRPr="00B86BD7">
              <w:rPr>
                <w:rFonts w:ascii="Times New Roman" w:eastAsia="SimSun" w:hAnsi="Times New Roman" w:cs="Times New Roman"/>
                <w:vertAlign w:val="superscript"/>
                <w:lang w:eastAsia="en-GB"/>
              </w:rPr>
              <w:t>A</w:t>
            </w:r>
            <w:proofErr w:type="spellEnd"/>
          </w:p>
        </w:tc>
        <w:tc>
          <w:tcPr>
            <w:tcW w:w="1817" w:type="dxa"/>
            <w:shd w:val="clear" w:color="auto" w:fill="auto"/>
          </w:tcPr>
          <w:p w14:paraId="73F7F172"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roofErr w:type="spellStart"/>
            <w:r w:rsidRPr="00B86BD7">
              <w:rPr>
                <w:rFonts w:ascii="Times New Roman" w:eastAsia="SimSun" w:hAnsi="Times New Roman" w:cs="Times New Roman"/>
                <w:lang w:eastAsia="en-GB"/>
              </w:rPr>
              <w:t>Hemartrozė</w:t>
            </w:r>
            <w:proofErr w:type="spellEnd"/>
          </w:p>
        </w:tc>
        <w:tc>
          <w:tcPr>
            <w:tcW w:w="1847" w:type="dxa"/>
            <w:shd w:val="clear" w:color="auto" w:fill="auto"/>
          </w:tcPr>
          <w:p w14:paraId="09F69D73"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Kraujavimas į raumenis</w:t>
            </w:r>
          </w:p>
        </w:tc>
        <w:tc>
          <w:tcPr>
            <w:tcW w:w="1848" w:type="dxa"/>
            <w:shd w:val="clear" w:color="auto" w:fill="auto"/>
          </w:tcPr>
          <w:p w14:paraId="5503022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6F761636"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Suspaudimo sindromas dėl kraujavimo </w:t>
            </w:r>
          </w:p>
        </w:tc>
      </w:tr>
      <w:tr w:rsidR="00B86BD7" w:rsidRPr="00B86BD7" w14:paraId="65350F57" w14:textId="77777777" w:rsidTr="004215B0">
        <w:tc>
          <w:tcPr>
            <w:tcW w:w="9072" w:type="dxa"/>
            <w:gridSpan w:val="5"/>
            <w:shd w:val="clear" w:color="auto" w:fill="auto"/>
          </w:tcPr>
          <w:p w14:paraId="2E1B37B6"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b/>
                <w:bCs/>
                <w:lang w:eastAsia="en-GB"/>
              </w:rPr>
              <w:t>Inkstų ir šlapimo takų sutrikimai</w:t>
            </w:r>
          </w:p>
        </w:tc>
      </w:tr>
      <w:tr w:rsidR="00B86BD7" w:rsidRPr="00B86BD7" w14:paraId="6BA2793B" w14:textId="77777777" w:rsidTr="004215B0">
        <w:tc>
          <w:tcPr>
            <w:tcW w:w="1710" w:type="dxa"/>
            <w:shd w:val="clear" w:color="auto" w:fill="auto"/>
          </w:tcPr>
          <w:p w14:paraId="3F9A6EB9"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lastRenderedPageBreak/>
              <w:t xml:space="preserve">Kraujavimas iš </w:t>
            </w:r>
            <w:proofErr w:type="spellStart"/>
            <w:r w:rsidRPr="00B86BD7">
              <w:rPr>
                <w:rFonts w:ascii="Times New Roman" w:eastAsia="SimSun" w:hAnsi="Times New Roman" w:cs="Times New Roman"/>
                <w:lang w:eastAsia="en-GB"/>
              </w:rPr>
              <w:t>urogenitalinio</w:t>
            </w:r>
            <w:proofErr w:type="spellEnd"/>
            <w:r w:rsidRPr="00B86BD7">
              <w:rPr>
                <w:rFonts w:ascii="Times New Roman" w:eastAsia="SimSun" w:hAnsi="Times New Roman" w:cs="Times New Roman"/>
                <w:lang w:eastAsia="en-GB"/>
              </w:rPr>
              <w:t xml:space="preserve"> trakto (įskaitant </w:t>
            </w:r>
            <w:proofErr w:type="spellStart"/>
            <w:r w:rsidRPr="00B86BD7">
              <w:rPr>
                <w:rFonts w:ascii="Times New Roman" w:eastAsia="SimSun" w:hAnsi="Times New Roman" w:cs="Times New Roman"/>
                <w:lang w:eastAsia="en-GB"/>
              </w:rPr>
              <w:t>hematuriją</w:t>
            </w:r>
            <w:proofErr w:type="spellEnd"/>
            <w:r w:rsidRPr="00B86BD7">
              <w:rPr>
                <w:rFonts w:ascii="Times New Roman" w:eastAsia="SimSun" w:hAnsi="Times New Roman" w:cs="Times New Roman"/>
                <w:lang w:eastAsia="en-GB"/>
              </w:rPr>
              <w:t xml:space="preserve"> ir </w:t>
            </w:r>
            <w:proofErr w:type="spellStart"/>
            <w:r w:rsidRPr="00B86BD7">
              <w:rPr>
                <w:rFonts w:ascii="Times New Roman" w:eastAsia="SimSun" w:hAnsi="Times New Roman" w:cs="Times New Roman"/>
                <w:lang w:eastAsia="en-GB"/>
              </w:rPr>
              <w:t>menoragiją</w:t>
            </w:r>
            <w:r w:rsidRPr="00B86BD7">
              <w:rPr>
                <w:rFonts w:ascii="Times New Roman" w:eastAsia="SimSun" w:hAnsi="Times New Roman" w:cs="Times New Roman"/>
                <w:vertAlign w:val="superscript"/>
                <w:lang w:eastAsia="en-GB"/>
              </w:rPr>
              <w:t>B</w:t>
            </w:r>
            <w:proofErr w:type="spellEnd"/>
            <w:r w:rsidRPr="00B86BD7">
              <w:rPr>
                <w:rFonts w:ascii="Times New Roman" w:eastAsia="SimSun" w:hAnsi="Times New Roman" w:cs="Times New Roman"/>
                <w:lang w:eastAsia="en-GB"/>
              </w:rPr>
              <w:t>), sutrikusi inkstų funkcija (įskaitant padidėjusį kreatinino kiekį kraujyje, padidėjusį šlapalo kiekį kraujyje)</w:t>
            </w:r>
          </w:p>
        </w:tc>
        <w:tc>
          <w:tcPr>
            <w:tcW w:w="1817" w:type="dxa"/>
            <w:shd w:val="clear" w:color="auto" w:fill="auto"/>
          </w:tcPr>
          <w:p w14:paraId="22967B30"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7" w:type="dxa"/>
            <w:shd w:val="clear" w:color="auto" w:fill="auto"/>
          </w:tcPr>
          <w:p w14:paraId="02009AF6"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8" w:type="dxa"/>
            <w:shd w:val="clear" w:color="auto" w:fill="auto"/>
          </w:tcPr>
          <w:p w14:paraId="6C457D85"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4E3604E9" w14:textId="032B01E0" w:rsid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color w:val="000000"/>
                <w:szCs w:val="21"/>
                <w:lang w:eastAsia="en-GB"/>
              </w:rPr>
            </w:pPr>
            <w:r w:rsidRPr="00B86BD7">
              <w:rPr>
                <w:rFonts w:ascii="Times New Roman" w:eastAsia="SimSun" w:hAnsi="Times New Roman" w:cs="Times New Roman"/>
                <w:color w:val="000000"/>
                <w:szCs w:val="21"/>
                <w:lang w:eastAsia="en-GB"/>
              </w:rPr>
              <w:t xml:space="preserve">Inkstų nepakankamumas ir (arba) ūminis inkstų nepakankamumas dėl kraujavimo, kurio užtenka </w:t>
            </w:r>
            <w:proofErr w:type="spellStart"/>
            <w:r w:rsidRPr="00B86BD7">
              <w:rPr>
                <w:rFonts w:ascii="Times New Roman" w:eastAsia="SimSun" w:hAnsi="Times New Roman" w:cs="Times New Roman"/>
                <w:color w:val="000000"/>
                <w:szCs w:val="21"/>
                <w:lang w:eastAsia="en-GB"/>
              </w:rPr>
              <w:t>hipoperfuzijai</w:t>
            </w:r>
            <w:proofErr w:type="spellEnd"/>
            <w:r w:rsidRPr="00B86BD7">
              <w:rPr>
                <w:rFonts w:ascii="Times New Roman" w:eastAsia="SimSun" w:hAnsi="Times New Roman" w:cs="Times New Roman"/>
                <w:color w:val="000000"/>
                <w:szCs w:val="21"/>
                <w:lang w:eastAsia="en-GB"/>
              </w:rPr>
              <w:t xml:space="preserve"> sukelti</w:t>
            </w:r>
            <w:r w:rsidR="006E15A2">
              <w:rPr>
                <w:rFonts w:ascii="Times New Roman" w:eastAsia="SimSun" w:hAnsi="Times New Roman" w:cs="Times New Roman"/>
                <w:color w:val="000000"/>
                <w:szCs w:val="21"/>
                <w:lang w:eastAsia="en-GB"/>
              </w:rPr>
              <w:t xml:space="preserve">, </w:t>
            </w:r>
            <w:r w:rsidR="006E15A2" w:rsidRPr="002D5409">
              <w:rPr>
                <w:rFonts w:ascii="Times New Roman" w:hAnsi="Times New Roman" w:cs="Times New Roman"/>
              </w:rPr>
              <w:t xml:space="preserve">su antikoaguliantais susijusi </w:t>
            </w:r>
            <w:proofErr w:type="spellStart"/>
            <w:r w:rsidR="006E15A2" w:rsidRPr="002D5409">
              <w:rPr>
                <w:rFonts w:ascii="Times New Roman" w:hAnsi="Times New Roman" w:cs="Times New Roman"/>
              </w:rPr>
              <w:t>nefropatija</w:t>
            </w:r>
            <w:proofErr w:type="spellEnd"/>
            <w:r w:rsidR="006E15A2">
              <w:t xml:space="preserve"> </w:t>
            </w:r>
          </w:p>
          <w:p w14:paraId="40ED5353" w14:textId="6D95EC76" w:rsidR="006E15A2" w:rsidRPr="00B86BD7" w:rsidRDefault="006E15A2" w:rsidP="00B86BD7">
            <w:pPr>
              <w:tabs>
                <w:tab w:val="left" w:pos="9072"/>
              </w:tabs>
              <w:autoSpaceDE w:val="0"/>
              <w:autoSpaceDN w:val="0"/>
              <w:adjustRightInd w:val="0"/>
              <w:spacing w:after="0" w:line="240" w:lineRule="auto"/>
              <w:rPr>
                <w:rFonts w:ascii="Times New Roman" w:eastAsia="SimSun" w:hAnsi="Times New Roman" w:cs="Times New Roman"/>
                <w:color w:val="000000"/>
                <w:sz w:val="24"/>
                <w:lang w:eastAsia="en-GB"/>
              </w:rPr>
            </w:pPr>
          </w:p>
        </w:tc>
      </w:tr>
      <w:tr w:rsidR="00B86BD7" w:rsidRPr="00B86BD7" w14:paraId="6B8E4A46" w14:textId="77777777" w:rsidTr="004215B0">
        <w:tc>
          <w:tcPr>
            <w:tcW w:w="9072" w:type="dxa"/>
            <w:gridSpan w:val="5"/>
            <w:shd w:val="clear" w:color="auto" w:fill="auto"/>
          </w:tcPr>
          <w:p w14:paraId="5311C3B8"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b/>
                <w:bCs/>
                <w:lang w:eastAsia="en-GB"/>
              </w:rPr>
              <w:t>Bendrieji sutrikimai ir vartojimo vietos pažeidimai</w:t>
            </w:r>
          </w:p>
        </w:tc>
      </w:tr>
      <w:tr w:rsidR="00B86BD7" w:rsidRPr="00B86BD7" w14:paraId="3E0490AB" w14:textId="77777777" w:rsidTr="004215B0">
        <w:tc>
          <w:tcPr>
            <w:tcW w:w="1710" w:type="dxa"/>
            <w:shd w:val="clear" w:color="auto" w:fill="auto"/>
          </w:tcPr>
          <w:p w14:paraId="4CC456DD"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roofErr w:type="spellStart"/>
            <w:r w:rsidRPr="00B86BD7">
              <w:rPr>
                <w:rFonts w:ascii="Times New Roman" w:eastAsia="SimSun" w:hAnsi="Times New Roman" w:cs="Times New Roman"/>
                <w:lang w:eastAsia="en-GB"/>
              </w:rPr>
              <w:t>Karščiavimas</w:t>
            </w:r>
            <w:r w:rsidRPr="00B86BD7">
              <w:rPr>
                <w:rFonts w:ascii="Times New Roman" w:eastAsia="SimSun" w:hAnsi="Times New Roman" w:cs="Times New Roman"/>
                <w:vertAlign w:val="superscript"/>
                <w:lang w:eastAsia="en-GB"/>
              </w:rPr>
              <w:t>A</w:t>
            </w:r>
            <w:proofErr w:type="spellEnd"/>
            <w:r w:rsidRPr="00B86BD7">
              <w:rPr>
                <w:rFonts w:ascii="Times New Roman" w:eastAsia="SimSun" w:hAnsi="Times New Roman" w:cs="Times New Roman"/>
                <w:lang w:eastAsia="en-GB"/>
              </w:rPr>
              <w:t xml:space="preserve">, periferinė edema, sumažėjusi bendra jėga ir energija (įskaitant nuovargį, </w:t>
            </w:r>
            <w:proofErr w:type="spellStart"/>
            <w:r w:rsidRPr="00B86BD7">
              <w:rPr>
                <w:rFonts w:ascii="Times New Roman" w:eastAsia="SimSun" w:hAnsi="Times New Roman" w:cs="Times New Roman"/>
                <w:lang w:eastAsia="en-GB"/>
              </w:rPr>
              <w:t>asteniją</w:t>
            </w:r>
            <w:proofErr w:type="spellEnd"/>
            <w:r w:rsidRPr="00B86BD7">
              <w:rPr>
                <w:rFonts w:ascii="Times New Roman" w:eastAsia="SimSun" w:hAnsi="Times New Roman" w:cs="Times New Roman"/>
                <w:lang w:eastAsia="en-GB"/>
              </w:rPr>
              <w:t xml:space="preserve">) </w:t>
            </w:r>
          </w:p>
        </w:tc>
        <w:tc>
          <w:tcPr>
            <w:tcW w:w="1817" w:type="dxa"/>
            <w:shd w:val="clear" w:color="auto" w:fill="auto"/>
          </w:tcPr>
          <w:p w14:paraId="23454ACE"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Bloga savijauta (įskaitant negalavimą)</w:t>
            </w:r>
          </w:p>
        </w:tc>
        <w:tc>
          <w:tcPr>
            <w:tcW w:w="1847" w:type="dxa"/>
            <w:shd w:val="clear" w:color="auto" w:fill="auto"/>
          </w:tcPr>
          <w:p w14:paraId="3453979B"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Vietinė </w:t>
            </w:r>
            <w:proofErr w:type="spellStart"/>
            <w:r w:rsidRPr="00B86BD7">
              <w:rPr>
                <w:rFonts w:ascii="Times New Roman" w:eastAsia="SimSun" w:hAnsi="Times New Roman" w:cs="Times New Roman"/>
                <w:lang w:eastAsia="en-GB"/>
              </w:rPr>
              <w:t>edema</w:t>
            </w:r>
            <w:r w:rsidRPr="00B86BD7">
              <w:rPr>
                <w:rFonts w:ascii="Times New Roman" w:eastAsia="SimSun" w:hAnsi="Times New Roman" w:cs="Times New Roman"/>
                <w:vertAlign w:val="superscript"/>
                <w:lang w:eastAsia="en-GB"/>
              </w:rPr>
              <w:t>A</w:t>
            </w:r>
            <w:proofErr w:type="spellEnd"/>
          </w:p>
        </w:tc>
        <w:tc>
          <w:tcPr>
            <w:tcW w:w="1848" w:type="dxa"/>
            <w:shd w:val="clear" w:color="auto" w:fill="auto"/>
          </w:tcPr>
          <w:p w14:paraId="05EBD5D3"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4376C230"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2A8E7C01" w14:textId="77777777" w:rsidTr="004215B0">
        <w:tc>
          <w:tcPr>
            <w:tcW w:w="9072" w:type="dxa"/>
            <w:gridSpan w:val="5"/>
            <w:shd w:val="clear" w:color="auto" w:fill="auto"/>
          </w:tcPr>
          <w:p w14:paraId="502EB2C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r w:rsidRPr="00B86BD7">
              <w:rPr>
                <w:rFonts w:ascii="Times New Roman" w:eastAsia="Times New Roman" w:hAnsi="Times New Roman" w:cs="Times New Roman"/>
                <w:b/>
                <w:lang w:eastAsia="lt-LT"/>
              </w:rPr>
              <w:t xml:space="preserve">Tyrimai </w:t>
            </w:r>
          </w:p>
        </w:tc>
      </w:tr>
      <w:tr w:rsidR="00B86BD7" w:rsidRPr="00B86BD7" w14:paraId="01BAC322" w14:textId="77777777" w:rsidTr="004215B0">
        <w:tc>
          <w:tcPr>
            <w:tcW w:w="1710" w:type="dxa"/>
            <w:shd w:val="clear" w:color="auto" w:fill="auto"/>
          </w:tcPr>
          <w:p w14:paraId="3737ECC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17" w:type="dxa"/>
            <w:shd w:val="clear" w:color="auto" w:fill="auto"/>
          </w:tcPr>
          <w:p w14:paraId="77848EBF"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Padidėjęs LDH</w:t>
            </w:r>
            <w:r w:rsidRPr="00B86BD7">
              <w:rPr>
                <w:rFonts w:ascii="Times New Roman" w:eastAsia="SimSun" w:hAnsi="Times New Roman" w:cs="Times New Roman"/>
                <w:vertAlign w:val="superscript"/>
                <w:lang w:eastAsia="en-GB"/>
              </w:rPr>
              <w:t>A**</w:t>
            </w:r>
            <w:r w:rsidRPr="00B86BD7">
              <w:rPr>
                <w:rFonts w:ascii="Times New Roman" w:eastAsia="SimSun" w:hAnsi="Times New Roman" w:cs="Times New Roman"/>
                <w:lang w:eastAsia="en-GB"/>
              </w:rPr>
              <w:t xml:space="preserve"> aktyvumas, padidėjęs </w:t>
            </w:r>
            <w:proofErr w:type="spellStart"/>
            <w:r w:rsidRPr="00B86BD7">
              <w:rPr>
                <w:rFonts w:ascii="Times New Roman" w:eastAsia="SimSun" w:hAnsi="Times New Roman" w:cs="Times New Roman"/>
                <w:lang w:eastAsia="en-GB"/>
              </w:rPr>
              <w:t>lipazės</w:t>
            </w:r>
            <w:r w:rsidRPr="00B86BD7">
              <w:rPr>
                <w:rFonts w:ascii="Times New Roman" w:eastAsia="SimSun" w:hAnsi="Times New Roman" w:cs="Times New Roman"/>
                <w:vertAlign w:val="superscript"/>
                <w:lang w:eastAsia="en-GB"/>
              </w:rPr>
              <w:t>A</w:t>
            </w:r>
            <w:proofErr w:type="spellEnd"/>
            <w:r w:rsidRPr="00B86BD7">
              <w:rPr>
                <w:rFonts w:ascii="Times New Roman" w:eastAsia="SimSun" w:hAnsi="Times New Roman" w:cs="Times New Roman"/>
                <w:lang w:eastAsia="en-GB"/>
              </w:rPr>
              <w:t xml:space="preserve"> aktyvumas, padidėjęs </w:t>
            </w:r>
            <w:proofErr w:type="spellStart"/>
            <w:r w:rsidRPr="00B86BD7">
              <w:rPr>
                <w:rFonts w:ascii="Times New Roman" w:eastAsia="SimSun" w:hAnsi="Times New Roman" w:cs="Times New Roman"/>
                <w:lang w:eastAsia="en-GB"/>
              </w:rPr>
              <w:t>amilazės</w:t>
            </w:r>
            <w:r w:rsidRPr="00B86BD7">
              <w:rPr>
                <w:rFonts w:ascii="Times New Roman" w:eastAsia="SimSun" w:hAnsi="Times New Roman" w:cs="Times New Roman"/>
                <w:vertAlign w:val="superscript"/>
                <w:lang w:eastAsia="en-GB"/>
              </w:rPr>
              <w:t>A</w:t>
            </w:r>
            <w:proofErr w:type="spellEnd"/>
            <w:r w:rsidRPr="00B86BD7">
              <w:rPr>
                <w:rFonts w:ascii="Times New Roman" w:eastAsia="SimSun" w:hAnsi="Times New Roman" w:cs="Times New Roman"/>
                <w:vertAlign w:val="superscript"/>
                <w:lang w:eastAsia="en-GB"/>
              </w:rPr>
              <w:t xml:space="preserve"> </w:t>
            </w:r>
            <w:r w:rsidRPr="00B86BD7">
              <w:rPr>
                <w:rFonts w:ascii="Times New Roman" w:eastAsia="SimSun" w:hAnsi="Times New Roman" w:cs="Times New Roman"/>
                <w:lang w:eastAsia="en-GB"/>
              </w:rPr>
              <w:t>aktyvumas</w:t>
            </w:r>
          </w:p>
        </w:tc>
        <w:tc>
          <w:tcPr>
            <w:tcW w:w="1847" w:type="dxa"/>
            <w:shd w:val="clear" w:color="auto" w:fill="auto"/>
          </w:tcPr>
          <w:p w14:paraId="33653584"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8" w:type="dxa"/>
            <w:shd w:val="clear" w:color="auto" w:fill="auto"/>
          </w:tcPr>
          <w:p w14:paraId="4CC2D3C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69447148"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r w:rsidR="00B86BD7" w:rsidRPr="00B86BD7" w14:paraId="4DE6E1A2" w14:textId="77777777" w:rsidTr="004215B0">
        <w:tc>
          <w:tcPr>
            <w:tcW w:w="9072" w:type="dxa"/>
            <w:gridSpan w:val="5"/>
            <w:shd w:val="clear" w:color="auto" w:fill="auto"/>
          </w:tcPr>
          <w:p w14:paraId="74DC9902"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b/>
                <w:bCs/>
                <w:lang w:eastAsia="en-GB"/>
              </w:rPr>
            </w:pPr>
            <w:r w:rsidRPr="00B86BD7">
              <w:rPr>
                <w:rFonts w:ascii="Times New Roman" w:eastAsia="SimSun" w:hAnsi="Times New Roman" w:cs="Times New Roman"/>
                <w:b/>
                <w:bCs/>
                <w:lang w:eastAsia="en-GB"/>
              </w:rPr>
              <w:t>Sužalojimai, apsinuodijimai ir procedūrų komplikacijos</w:t>
            </w:r>
          </w:p>
        </w:tc>
      </w:tr>
      <w:tr w:rsidR="00B86BD7" w:rsidRPr="00B86BD7" w14:paraId="038EF39A" w14:textId="77777777" w:rsidTr="004215B0">
        <w:tc>
          <w:tcPr>
            <w:tcW w:w="1710" w:type="dxa"/>
            <w:shd w:val="clear" w:color="auto" w:fill="auto"/>
          </w:tcPr>
          <w:p w14:paraId="2D6AD0A8"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r w:rsidRPr="00B86BD7">
              <w:rPr>
                <w:rFonts w:ascii="Times New Roman" w:eastAsia="SimSun" w:hAnsi="Times New Roman" w:cs="Times New Roman"/>
                <w:lang w:eastAsia="en-GB"/>
              </w:rPr>
              <w:t xml:space="preserve">Kraujavimas po procedūros (įskaitant pooperacinę anemiją ir kraujavimą iš žaizdos), kontūzija, sekrecija iš </w:t>
            </w:r>
            <w:proofErr w:type="spellStart"/>
            <w:r w:rsidRPr="00B86BD7">
              <w:rPr>
                <w:rFonts w:ascii="Times New Roman" w:eastAsia="SimSun" w:hAnsi="Times New Roman" w:cs="Times New Roman"/>
                <w:lang w:eastAsia="en-GB"/>
              </w:rPr>
              <w:t>žaizdos</w:t>
            </w:r>
            <w:r w:rsidRPr="00B86BD7">
              <w:rPr>
                <w:rFonts w:ascii="Times New Roman" w:eastAsia="SimSun" w:hAnsi="Times New Roman" w:cs="Times New Roman"/>
                <w:vertAlign w:val="superscript"/>
                <w:lang w:eastAsia="en-GB"/>
              </w:rPr>
              <w:t>A</w:t>
            </w:r>
            <w:proofErr w:type="spellEnd"/>
          </w:p>
        </w:tc>
        <w:tc>
          <w:tcPr>
            <w:tcW w:w="1817" w:type="dxa"/>
            <w:shd w:val="clear" w:color="auto" w:fill="auto"/>
          </w:tcPr>
          <w:p w14:paraId="75D37779"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lang w:eastAsia="en-GB"/>
              </w:rPr>
            </w:pPr>
          </w:p>
        </w:tc>
        <w:tc>
          <w:tcPr>
            <w:tcW w:w="1847" w:type="dxa"/>
            <w:shd w:val="clear" w:color="auto" w:fill="auto"/>
          </w:tcPr>
          <w:p w14:paraId="4C9B50DF" w14:textId="77777777" w:rsidR="00B86BD7" w:rsidRPr="00B86BD7" w:rsidRDefault="00B86BD7" w:rsidP="00B86BD7">
            <w:pPr>
              <w:autoSpaceDE w:val="0"/>
              <w:autoSpaceDN w:val="0"/>
              <w:adjustRightInd w:val="0"/>
              <w:spacing w:after="0" w:line="240" w:lineRule="auto"/>
              <w:rPr>
                <w:rFonts w:ascii="Times New Roman" w:eastAsia="SimSun" w:hAnsi="Times New Roman" w:cs="Times New Roman"/>
                <w:color w:val="000000"/>
                <w:sz w:val="14"/>
                <w:szCs w:val="14"/>
                <w:lang w:eastAsia="en-GB"/>
              </w:rPr>
            </w:pPr>
            <w:r w:rsidRPr="00B86BD7">
              <w:rPr>
                <w:rFonts w:ascii="Times New Roman" w:eastAsia="SimSun" w:hAnsi="Times New Roman" w:cs="Times New Roman"/>
                <w:color w:val="000000"/>
                <w:lang w:eastAsia="en-GB"/>
              </w:rPr>
              <w:t xml:space="preserve">Kraujagyslių </w:t>
            </w:r>
            <w:proofErr w:type="spellStart"/>
            <w:r w:rsidRPr="00B86BD7">
              <w:rPr>
                <w:rFonts w:ascii="Times New Roman" w:eastAsia="SimSun" w:hAnsi="Times New Roman" w:cs="Times New Roman"/>
                <w:color w:val="000000"/>
                <w:lang w:eastAsia="en-GB"/>
              </w:rPr>
              <w:t>pseudoaneurizma</w:t>
            </w:r>
            <w:r w:rsidRPr="00B86BD7">
              <w:rPr>
                <w:rFonts w:ascii="Times New Roman" w:eastAsia="SimSun" w:hAnsi="Times New Roman" w:cs="Times New Roman"/>
                <w:color w:val="000000"/>
                <w:sz w:val="14"/>
                <w:szCs w:val="14"/>
                <w:vertAlign w:val="superscript"/>
                <w:lang w:eastAsia="en-GB"/>
              </w:rPr>
              <w:t>C</w:t>
            </w:r>
            <w:proofErr w:type="spellEnd"/>
            <w:r w:rsidRPr="00B86BD7">
              <w:rPr>
                <w:rFonts w:ascii="Times New Roman" w:eastAsia="SimSun" w:hAnsi="Times New Roman" w:cs="Times New Roman"/>
                <w:color w:val="000000"/>
                <w:sz w:val="14"/>
                <w:szCs w:val="14"/>
                <w:lang w:eastAsia="en-GB"/>
              </w:rPr>
              <w:t xml:space="preserve"> </w:t>
            </w:r>
          </w:p>
          <w:p w14:paraId="7D7A54D9" w14:textId="77777777" w:rsidR="00B86BD7" w:rsidRPr="00B86BD7" w:rsidRDefault="00B86BD7" w:rsidP="00B86BD7">
            <w:pPr>
              <w:tabs>
                <w:tab w:val="left" w:pos="9072"/>
              </w:tabs>
              <w:autoSpaceDE w:val="0"/>
              <w:autoSpaceDN w:val="0"/>
              <w:adjustRightInd w:val="0"/>
              <w:spacing w:after="0" w:line="240" w:lineRule="auto"/>
              <w:rPr>
                <w:rFonts w:ascii="Times New Roman" w:eastAsia="SimSun" w:hAnsi="Times New Roman" w:cs="Times New Roman"/>
                <w:vertAlign w:val="superscript"/>
                <w:lang w:eastAsia="en-GB"/>
              </w:rPr>
            </w:pPr>
          </w:p>
        </w:tc>
        <w:tc>
          <w:tcPr>
            <w:tcW w:w="1848" w:type="dxa"/>
            <w:shd w:val="clear" w:color="auto" w:fill="auto"/>
          </w:tcPr>
          <w:p w14:paraId="591600DE"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c>
          <w:tcPr>
            <w:tcW w:w="1850" w:type="dxa"/>
            <w:shd w:val="clear" w:color="auto" w:fill="auto"/>
          </w:tcPr>
          <w:p w14:paraId="3C2C1E30" w14:textId="77777777" w:rsidR="00B86BD7" w:rsidRPr="00B86BD7" w:rsidRDefault="00B86BD7" w:rsidP="00B86BD7">
            <w:pPr>
              <w:tabs>
                <w:tab w:val="left" w:pos="567"/>
                <w:tab w:val="left" w:pos="9072"/>
              </w:tabs>
              <w:autoSpaceDE w:val="0"/>
              <w:autoSpaceDN w:val="0"/>
              <w:adjustRightInd w:val="0"/>
              <w:spacing w:after="0" w:line="240" w:lineRule="auto"/>
              <w:rPr>
                <w:rFonts w:ascii="Times New Roman" w:eastAsia="Times New Roman" w:hAnsi="Times New Roman" w:cs="Times New Roman"/>
                <w:b/>
                <w:lang w:eastAsia="lt-LT"/>
              </w:rPr>
            </w:pPr>
          </w:p>
        </w:tc>
      </w:tr>
    </w:tbl>
    <w:p w14:paraId="607B434F" w14:textId="77777777" w:rsidR="00D61A12" w:rsidRPr="007F2054" w:rsidRDefault="00D61A12" w:rsidP="00B86BD7">
      <w:pPr>
        <w:widowControl w:val="0"/>
        <w:autoSpaceDE w:val="0"/>
        <w:autoSpaceDN w:val="0"/>
        <w:spacing w:after="0" w:line="240" w:lineRule="auto"/>
        <w:ind w:left="142"/>
        <w:rPr>
          <w:rFonts w:ascii="Times New Roman" w:eastAsia="Times New Roman" w:hAnsi="Times New Roman" w:cs="Times New Roman"/>
          <w:sz w:val="20"/>
          <w:szCs w:val="20"/>
        </w:rPr>
      </w:pPr>
      <w:r w:rsidRPr="007F2054">
        <w:rPr>
          <w:rFonts w:ascii="Times New Roman" w:eastAsia="Times New Roman" w:hAnsi="Times New Roman" w:cs="Times New Roman"/>
          <w:sz w:val="20"/>
          <w:szCs w:val="20"/>
        </w:rPr>
        <w:t xml:space="preserve">A: stebėta taikant VTE profilaktiką suaugusiems pacientams, atliekant planines klubo arba kelio sąnario pakeitimo operacijas; </w:t>
      </w:r>
    </w:p>
    <w:p w14:paraId="73D21805" w14:textId="77777777" w:rsidR="00D61A12" w:rsidRPr="007F2054" w:rsidRDefault="00D61A12" w:rsidP="00B86BD7">
      <w:pPr>
        <w:widowControl w:val="0"/>
        <w:autoSpaceDE w:val="0"/>
        <w:autoSpaceDN w:val="0"/>
        <w:spacing w:after="0" w:line="240" w:lineRule="auto"/>
        <w:ind w:left="142"/>
        <w:rPr>
          <w:rFonts w:ascii="Times New Roman" w:eastAsia="Times New Roman" w:hAnsi="Times New Roman" w:cs="Times New Roman"/>
          <w:sz w:val="20"/>
          <w:szCs w:val="20"/>
        </w:rPr>
      </w:pPr>
      <w:r w:rsidRPr="007F2054">
        <w:rPr>
          <w:rFonts w:ascii="Times New Roman" w:eastAsia="Times New Roman" w:hAnsi="Times New Roman" w:cs="Times New Roman"/>
          <w:sz w:val="20"/>
          <w:szCs w:val="20"/>
        </w:rPr>
        <w:t xml:space="preserve">B: stebėtas kaip labai dažnas nepageidaujamas poveikis, gydant nuo GVT, PE ir taikant šių sutrikimų pasikartojimo profilaktiką jaunesnėms nei 55 metų amžiaus moterims; </w:t>
      </w:r>
    </w:p>
    <w:p w14:paraId="5DF06E5A" w14:textId="77777777" w:rsidR="00D61A12" w:rsidRPr="007F2054" w:rsidRDefault="00D61A12" w:rsidP="00B86BD7">
      <w:pPr>
        <w:widowControl w:val="0"/>
        <w:autoSpaceDE w:val="0"/>
        <w:autoSpaceDN w:val="0"/>
        <w:spacing w:after="0" w:line="240" w:lineRule="auto"/>
        <w:ind w:left="142"/>
        <w:rPr>
          <w:rFonts w:ascii="Times New Roman" w:eastAsia="Times New Roman" w:hAnsi="Times New Roman" w:cs="Times New Roman"/>
          <w:sz w:val="20"/>
          <w:szCs w:val="20"/>
        </w:rPr>
      </w:pPr>
      <w:r w:rsidRPr="007F2054">
        <w:rPr>
          <w:rFonts w:ascii="Times New Roman" w:eastAsia="Times New Roman" w:hAnsi="Times New Roman" w:cs="Times New Roman"/>
          <w:sz w:val="20"/>
          <w:szCs w:val="20"/>
        </w:rPr>
        <w:t xml:space="preserve">C: stebėtas kaip nedažnas nepageidaujamas poveikis, taikant </w:t>
      </w:r>
      <w:proofErr w:type="spellStart"/>
      <w:r w:rsidRPr="007F2054">
        <w:rPr>
          <w:rFonts w:ascii="Times New Roman" w:eastAsia="Times New Roman" w:hAnsi="Times New Roman" w:cs="Times New Roman"/>
          <w:sz w:val="20"/>
          <w:szCs w:val="20"/>
        </w:rPr>
        <w:t>aterotrombozinių</w:t>
      </w:r>
      <w:proofErr w:type="spellEnd"/>
      <w:r w:rsidRPr="007F2054">
        <w:rPr>
          <w:rFonts w:ascii="Times New Roman" w:eastAsia="Times New Roman" w:hAnsi="Times New Roman" w:cs="Times New Roman"/>
          <w:sz w:val="20"/>
          <w:szCs w:val="20"/>
        </w:rPr>
        <w:t xml:space="preserve"> reiškinių profilaktiką pacientams, patyrusiems ŪKS (po </w:t>
      </w:r>
      <w:proofErr w:type="spellStart"/>
      <w:r w:rsidRPr="007F2054">
        <w:rPr>
          <w:rFonts w:ascii="Times New Roman" w:eastAsia="Times New Roman" w:hAnsi="Times New Roman" w:cs="Times New Roman"/>
          <w:sz w:val="20"/>
          <w:szCs w:val="20"/>
        </w:rPr>
        <w:t>perkutaninės</w:t>
      </w:r>
      <w:proofErr w:type="spellEnd"/>
      <w:r w:rsidRPr="007F2054">
        <w:rPr>
          <w:rFonts w:ascii="Times New Roman" w:eastAsia="Times New Roman" w:hAnsi="Times New Roman" w:cs="Times New Roman"/>
          <w:sz w:val="20"/>
          <w:szCs w:val="20"/>
        </w:rPr>
        <w:t xml:space="preserve"> koronarinės intervencijos). </w:t>
      </w:r>
    </w:p>
    <w:p w14:paraId="6BC65A52" w14:textId="77777777" w:rsidR="00D61A12" w:rsidRPr="007F2054" w:rsidRDefault="00D61A12" w:rsidP="00B86BD7">
      <w:pPr>
        <w:widowControl w:val="0"/>
        <w:autoSpaceDE w:val="0"/>
        <w:autoSpaceDN w:val="0"/>
        <w:spacing w:after="0" w:line="240" w:lineRule="auto"/>
        <w:ind w:left="142"/>
        <w:rPr>
          <w:rFonts w:ascii="Times New Roman" w:eastAsia="Times New Roman" w:hAnsi="Times New Roman" w:cs="Times New Roman"/>
          <w:sz w:val="20"/>
          <w:szCs w:val="20"/>
        </w:rPr>
      </w:pPr>
      <w:r w:rsidRPr="007F2054">
        <w:rPr>
          <w:rFonts w:ascii="Times New Roman" w:eastAsia="Times New Roman" w:hAnsi="Times New Roman" w:cs="Times New Roman"/>
          <w:sz w:val="20"/>
          <w:szCs w:val="20"/>
        </w:rPr>
        <w:t xml:space="preserve">* pasirinktų III fazės tyrimų metu buvo taikomas iš anksto numatytas selektyvus nepageidaujamų reiškinių duomenų rinkimo metodas. Remiantis šių tyrimų analize, nepageidaujamų reakcijų dažnis nepadidėjo ir nebuvo nustatyta nė vienos naujos nepageidaujamos reakcijos. </w:t>
      </w:r>
    </w:p>
    <w:p w14:paraId="3383DDA6" w14:textId="77777777" w:rsidR="00D61A12" w:rsidRPr="007F2054" w:rsidRDefault="00D61A12" w:rsidP="00B86BD7">
      <w:pPr>
        <w:widowControl w:val="0"/>
        <w:autoSpaceDE w:val="0"/>
        <w:autoSpaceDN w:val="0"/>
        <w:spacing w:after="0" w:line="240" w:lineRule="auto"/>
        <w:ind w:left="142"/>
        <w:rPr>
          <w:rFonts w:ascii="Times New Roman" w:eastAsia="Times New Roman" w:hAnsi="Times New Roman" w:cs="Times New Roman"/>
          <w:sz w:val="20"/>
          <w:szCs w:val="20"/>
        </w:rPr>
      </w:pPr>
      <w:r w:rsidRPr="007F2054">
        <w:rPr>
          <w:rFonts w:ascii="Times New Roman" w:eastAsia="Times New Roman" w:hAnsi="Times New Roman" w:cs="Times New Roman"/>
          <w:sz w:val="20"/>
          <w:szCs w:val="20"/>
        </w:rPr>
        <w:t xml:space="preserve">**AST – aspartataminotransferazė, GGT – </w:t>
      </w:r>
      <w:proofErr w:type="spellStart"/>
      <w:r w:rsidRPr="007F2054">
        <w:rPr>
          <w:rFonts w:ascii="Times New Roman" w:eastAsia="Times New Roman" w:hAnsi="Times New Roman" w:cs="Times New Roman"/>
          <w:sz w:val="20"/>
          <w:szCs w:val="20"/>
        </w:rPr>
        <w:t>gamaglutamiltransferazė</w:t>
      </w:r>
      <w:proofErr w:type="spellEnd"/>
      <w:r w:rsidRPr="007F2054">
        <w:rPr>
          <w:rFonts w:ascii="Times New Roman" w:eastAsia="Times New Roman" w:hAnsi="Times New Roman" w:cs="Times New Roman"/>
          <w:sz w:val="20"/>
          <w:szCs w:val="20"/>
        </w:rPr>
        <w:t xml:space="preserve">, LDH – </w:t>
      </w:r>
      <w:proofErr w:type="spellStart"/>
      <w:r w:rsidRPr="007F2054">
        <w:rPr>
          <w:rFonts w:ascii="Times New Roman" w:eastAsia="Times New Roman" w:hAnsi="Times New Roman" w:cs="Times New Roman"/>
          <w:sz w:val="20"/>
          <w:szCs w:val="20"/>
        </w:rPr>
        <w:t>laktatdehidrogenazė</w:t>
      </w:r>
      <w:proofErr w:type="spellEnd"/>
    </w:p>
    <w:p w14:paraId="64DAE57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CA2275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Atrinktų nepageidaujamų reakcijų apibūdinimas </w:t>
      </w:r>
    </w:p>
    <w:p w14:paraId="697397F7" w14:textId="77777777" w:rsidR="006E15A2"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Dėl farmakologinio veikimo mechanizmo rivaroksabano vartojimas gali būti susijęs su padidėjusia </w:t>
      </w:r>
      <w:r w:rsidRPr="007F2054">
        <w:rPr>
          <w:rFonts w:ascii="Times New Roman" w:eastAsia="Times New Roman" w:hAnsi="Times New Roman" w:cs="Times New Roman"/>
        </w:rPr>
        <w:lastRenderedPageBreak/>
        <w:t xml:space="preserve">slapto ar akivaizdaus kraujavimo rizika iš bet kurio audinio ar organo, todėl gali pasireikšti </w:t>
      </w:r>
      <w:proofErr w:type="spellStart"/>
      <w:r w:rsidRPr="007F2054">
        <w:rPr>
          <w:rFonts w:ascii="Times New Roman" w:eastAsia="Times New Roman" w:hAnsi="Times New Roman" w:cs="Times New Roman"/>
        </w:rPr>
        <w:t>pohemoraginė</w:t>
      </w:r>
      <w:proofErr w:type="spellEnd"/>
      <w:r w:rsidRPr="007F2054">
        <w:rPr>
          <w:rFonts w:ascii="Times New Roman" w:eastAsia="Times New Roman" w:hAnsi="Times New Roman" w:cs="Times New Roman"/>
        </w:rP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w:t>
      </w:r>
      <w:proofErr w:type="spellStart"/>
      <w:r w:rsidRPr="007F2054">
        <w:rPr>
          <w:rFonts w:ascii="Times New Roman" w:eastAsia="Times New Roman" w:hAnsi="Times New Roman" w:cs="Times New Roman"/>
        </w:rPr>
        <w:t>hematokrito</w:t>
      </w:r>
      <w:proofErr w:type="spellEnd"/>
      <w:r w:rsidRPr="007F2054">
        <w:rPr>
          <w:rFonts w:ascii="Times New Roman" w:eastAsia="Times New Roman" w:hAnsi="Times New Roman" w:cs="Times New Roman"/>
        </w:rPr>
        <w:t xml:space="preserve">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w:t>
      </w:r>
      <w:proofErr w:type="spellStart"/>
      <w:r w:rsidRPr="007F2054">
        <w:rPr>
          <w:rFonts w:ascii="Times New Roman" w:eastAsia="Times New Roman" w:hAnsi="Times New Roman" w:cs="Times New Roman"/>
        </w:rPr>
        <w:t>Hemoragijos</w:t>
      </w:r>
      <w:proofErr w:type="spellEnd"/>
      <w:r w:rsidRPr="007F2054">
        <w:rPr>
          <w:rFonts w:ascii="Times New Roman" w:eastAsia="Times New Roman" w:hAnsi="Times New Roman" w:cs="Times New Roman"/>
        </w:rPr>
        <w:t xml:space="preserve"> rizika“). Menstruacinis kraujavimas gali būti intensyvesnis ir (arba) trukti ilgiau. </w:t>
      </w:r>
    </w:p>
    <w:p w14:paraId="33CB8939" w14:textId="4D9F0AF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Hemoraginės komplikacijos gali pasireikšti silpnumu, blyškumu, svaiguliu, galvos skausmu ar nepaaiškinamu tinimu, dusuliu ir nepaaiškinamu šoku. Kai kuriais atvejais, kaip anemijos pasekmė, stebėta širdies išemijos simptomų, pvz., krūtinės skausmas arba krūtinės angina. </w:t>
      </w:r>
    </w:p>
    <w:p w14:paraId="225C2308" w14:textId="255520A9"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Pranešta apie žinomas antrines sunkaus kraujavimo komplikacijas, pvz., suspaudimo sindromą ir inkstų nepakankamumą dėl </w:t>
      </w:r>
      <w:proofErr w:type="spellStart"/>
      <w:r w:rsidRPr="007F2054">
        <w:rPr>
          <w:rFonts w:ascii="Times New Roman" w:eastAsia="Times New Roman" w:hAnsi="Times New Roman" w:cs="Times New Roman"/>
        </w:rPr>
        <w:t>hipoperfuzijos</w:t>
      </w:r>
      <w:proofErr w:type="spellEnd"/>
      <w:r w:rsidRPr="007F2054">
        <w:rPr>
          <w:rFonts w:ascii="Times New Roman" w:eastAsia="Times New Roman" w:hAnsi="Times New Roman" w:cs="Times New Roman"/>
        </w:rPr>
        <w:t xml:space="preserve"> </w:t>
      </w:r>
      <w:r w:rsidR="006E15A2" w:rsidRPr="006E15A2">
        <w:rPr>
          <w:rFonts w:ascii="Times New Roman" w:eastAsia="Times New Roman" w:hAnsi="Times New Roman" w:cs="Times New Roman"/>
        </w:rPr>
        <w:t xml:space="preserve">ar su antikoaguliantais susijusią </w:t>
      </w:r>
      <w:proofErr w:type="spellStart"/>
      <w:r w:rsidR="006E15A2" w:rsidRPr="006E15A2">
        <w:rPr>
          <w:rFonts w:ascii="Times New Roman" w:eastAsia="Times New Roman" w:hAnsi="Times New Roman" w:cs="Times New Roman"/>
        </w:rPr>
        <w:t>nefropatiją</w:t>
      </w:r>
      <w:proofErr w:type="spellEnd"/>
      <w:r w:rsidR="006E15A2">
        <w:rPr>
          <w:rFonts w:ascii="Times New Roman" w:eastAsia="Times New Roman" w:hAnsi="Times New Roman" w:cs="Times New Roman"/>
        </w:rPr>
        <w:t xml:space="preserve"> </w:t>
      </w:r>
      <w:r w:rsidRPr="007F2054">
        <w:rPr>
          <w:rFonts w:ascii="Times New Roman" w:eastAsia="Times New Roman" w:hAnsi="Times New Roman" w:cs="Times New Roman"/>
        </w:rPr>
        <w:t xml:space="preserve">vartojant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Todėl reikia apsvarstyti kraujavimo galimybę, įvertinant bet kokiais antikoaguliantais gydomo paciento būklę.</w:t>
      </w:r>
    </w:p>
    <w:p w14:paraId="43B89CC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C638B4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Pranešimas apie įtariamas nepageidaujamas reakcijas</w:t>
      </w:r>
    </w:p>
    <w:p w14:paraId="31E429B2" w14:textId="606D436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7F2054">
          <w:rPr>
            <w:rStyle w:val="Hipersaitas"/>
            <w:rFonts w:ascii="Times New Roman" w:eastAsia="Times New Roman" w:hAnsi="Times New Roman" w:cs="Times New Roman"/>
          </w:rPr>
          <w:t>https://vapris.vvkt.lt/vvkt–web/public/nrvSpecialist</w:t>
        </w:r>
      </w:hyperlink>
      <w:r w:rsidRPr="007F2054">
        <w:rPr>
          <w:rFonts w:ascii="Times New Roman" w:eastAsia="Times New Roman" w:hAnsi="Times New Roman" w:cs="Times New Roman"/>
        </w:rPr>
        <w:t xml:space="preserve"> arba užpildę Sveikatos priežiūros ar farmacijos specialisto pranešimo apie įtariamą nepageidaujamą reakciją (ĮNR) formą, kuri skelbiama </w:t>
      </w:r>
      <w:hyperlink r:id="rId13" w:history="1">
        <w:r w:rsidRPr="007F2054">
          <w:rPr>
            <w:rStyle w:val="Hipersaitas"/>
            <w:rFonts w:ascii="Times New Roman" w:eastAsia="Times New Roman" w:hAnsi="Times New Roman" w:cs="Times New Roman"/>
          </w:rPr>
          <w:t>https://www.vvkt.lt/index.php?1399030386</w:t>
        </w:r>
      </w:hyperlink>
      <w:r w:rsidRPr="007F2054">
        <w:rPr>
          <w:rFonts w:ascii="Times New Roman" w:eastAsia="Times New Roman" w:hAnsi="Times New Roman" w:cs="Times New Roman"/>
        </w:rPr>
        <w:t xml:space="preserve">, ir atsiųsti elektroniniu paštu (adresu </w:t>
      </w:r>
      <w:hyperlink r:id="rId14" w:history="1">
        <w:r w:rsidRPr="007F2054">
          <w:rPr>
            <w:rStyle w:val="Hipersaitas"/>
            <w:rFonts w:ascii="Times New Roman" w:eastAsia="Times New Roman" w:hAnsi="Times New Roman" w:cs="Times New Roman"/>
          </w:rPr>
          <w:t>NepageidaujamaR@vvkt.lt</w:t>
        </w:r>
      </w:hyperlink>
      <w:r w:rsidRPr="007F2054">
        <w:rPr>
          <w:rFonts w:ascii="Times New Roman" w:eastAsia="Times New Roman" w:hAnsi="Times New Roman" w:cs="Times New Roman"/>
        </w:rPr>
        <w:t>).</w:t>
      </w:r>
    </w:p>
    <w:p w14:paraId="19205CE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9987EC2" w14:textId="38CE9471" w:rsidR="00D61A12" w:rsidRPr="007F2054" w:rsidRDefault="00D61A12" w:rsidP="000A618E">
      <w:pPr>
        <w:widowControl w:val="0"/>
        <w:numPr>
          <w:ilvl w:val="1"/>
          <w:numId w:val="9"/>
        </w:numPr>
        <w:tabs>
          <w:tab w:val="left" w:pos="1584"/>
          <w:tab w:val="left" w:pos="1585"/>
        </w:tabs>
        <w:autoSpaceDE w:val="0"/>
        <w:autoSpaceDN w:val="0"/>
        <w:spacing w:after="0" w:line="240" w:lineRule="auto"/>
        <w:ind w:left="630" w:hanging="630"/>
        <w:outlineLvl w:val="0"/>
        <w:rPr>
          <w:rFonts w:ascii="Times New Roman" w:eastAsia="Times New Roman" w:hAnsi="Times New Roman" w:cs="Times New Roman"/>
          <w:b/>
          <w:bCs/>
        </w:rPr>
      </w:pPr>
      <w:r w:rsidRPr="007F2054">
        <w:rPr>
          <w:rFonts w:ascii="Times New Roman" w:eastAsia="Times New Roman" w:hAnsi="Times New Roman" w:cs="Times New Roman"/>
          <w:b/>
          <w:bCs/>
        </w:rPr>
        <w:t>Perdozavimas</w:t>
      </w:r>
    </w:p>
    <w:p w14:paraId="3A43897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BFE0594" w14:textId="7A161BE4"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Pranešta apie retus perdozavimo iki 1960 mg atvejus. Perdozavimo atveju, pacientas turi būti atidžiai stebimas dėl kraujavimo komplikacijų arba kitų nepageidaujamų reakcijų (žr. skyrių „Gydymas esant kraujavimui“). Tikėtina, kad dėl ribotos absorbcijos, vartojant 50 mg ir didesnių rivaroksabano dozių, pasiekiama maksimali vidutinė plazmos koncentracija, kuri, toliau didinant dozę, nebedidėja.</w:t>
      </w:r>
    </w:p>
    <w:p w14:paraId="6B28ED0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Yra specifinis neutralizuojantis vaistinis preparatas (</w:t>
      </w:r>
      <w:proofErr w:type="spellStart"/>
      <w:r w:rsidRPr="007F2054">
        <w:rPr>
          <w:rFonts w:ascii="Times New Roman" w:eastAsia="Times New Roman" w:hAnsi="Times New Roman" w:cs="Times New Roman"/>
        </w:rPr>
        <w:t>andeksanetas</w:t>
      </w:r>
      <w:proofErr w:type="spellEnd"/>
      <w:r w:rsidRPr="007F2054">
        <w:rPr>
          <w:rFonts w:ascii="Times New Roman" w:eastAsia="Times New Roman" w:hAnsi="Times New Roman" w:cs="Times New Roman"/>
        </w:rPr>
        <w:t xml:space="preserve"> alfa),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farmakodinaminio</w:t>
      </w:r>
      <w:proofErr w:type="spellEnd"/>
      <w:r w:rsidRPr="007F2054">
        <w:rPr>
          <w:rFonts w:ascii="Times New Roman" w:eastAsia="Times New Roman" w:hAnsi="Times New Roman" w:cs="Times New Roman"/>
        </w:rPr>
        <w:t xml:space="preserve"> poveikio antagonistas (žiūrėti </w:t>
      </w:r>
      <w:proofErr w:type="spellStart"/>
      <w:r w:rsidRPr="007F2054">
        <w:rPr>
          <w:rFonts w:ascii="Times New Roman" w:eastAsia="Times New Roman" w:hAnsi="Times New Roman" w:cs="Times New Roman"/>
        </w:rPr>
        <w:t>andeksaneto</w:t>
      </w:r>
      <w:proofErr w:type="spellEnd"/>
      <w:r w:rsidRPr="007F2054">
        <w:rPr>
          <w:rFonts w:ascii="Times New Roman" w:eastAsia="Times New Roman" w:hAnsi="Times New Roman" w:cs="Times New Roman"/>
        </w:rPr>
        <w:t xml:space="preserve"> alfa preparato charakteristikų santrauką).</w:t>
      </w:r>
    </w:p>
    <w:p w14:paraId="1C1B40A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Galima apsvarstyti galimybę skirti aktyvintosios anglies, taip sumažinant absorbciją po rivaroksabano perdozavimo.</w:t>
      </w:r>
    </w:p>
    <w:p w14:paraId="5C8CF9C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757F5DB" w14:textId="77777777" w:rsidR="00D61A12" w:rsidRPr="006C1D08" w:rsidRDefault="00D61A12" w:rsidP="00D61A12">
      <w:pPr>
        <w:widowControl w:val="0"/>
        <w:autoSpaceDE w:val="0"/>
        <w:autoSpaceDN w:val="0"/>
        <w:spacing w:after="0" w:line="240" w:lineRule="auto"/>
        <w:rPr>
          <w:rFonts w:ascii="Times New Roman" w:eastAsia="Times New Roman" w:hAnsi="Times New Roman" w:cs="Times New Roman"/>
          <w:u w:val="single"/>
        </w:rPr>
      </w:pPr>
      <w:r w:rsidRPr="006C1D08">
        <w:rPr>
          <w:rFonts w:ascii="Times New Roman" w:eastAsia="Times New Roman" w:hAnsi="Times New Roman" w:cs="Times New Roman"/>
          <w:u w:val="single"/>
        </w:rPr>
        <w:t>Gydymas esant kraujavimui</w:t>
      </w:r>
    </w:p>
    <w:p w14:paraId="747F97D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w:t>
      </w:r>
      <w:proofErr w:type="spellStart"/>
      <w:r w:rsidRPr="007F2054">
        <w:rPr>
          <w:rFonts w:ascii="Times New Roman" w:eastAsia="Times New Roman" w:hAnsi="Times New Roman" w:cs="Times New Roman"/>
        </w:rPr>
        <w:t>hemodinamikos</w:t>
      </w:r>
      <w:proofErr w:type="spellEnd"/>
      <w:r w:rsidRPr="007F2054">
        <w:rPr>
          <w:rFonts w:ascii="Times New Roman" w:eastAsia="Times New Roman" w:hAnsi="Times New Roman" w:cs="Times New Roman"/>
        </w:rPr>
        <w:t xml:space="preserve"> palaikymą, kraujo preparatų (raudonųjų kraujo ląstelių ar šviežiai šaldytos plazmos, atsižvelgiant į tai, ar su kraujavimu yra susijusi anemija, ar </w:t>
      </w:r>
      <w:proofErr w:type="spellStart"/>
      <w:r w:rsidRPr="007F2054">
        <w:rPr>
          <w:rFonts w:ascii="Times New Roman" w:eastAsia="Times New Roman" w:hAnsi="Times New Roman" w:cs="Times New Roman"/>
        </w:rPr>
        <w:t>koagulopatija</w:t>
      </w:r>
      <w:proofErr w:type="spellEnd"/>
      <w:r w:rsidRPr="007F2054">
        <w:rPr>
          <w:rFonts w:ascii="Times New Roman" w:eastAsia="Times New Roman" w:hAnsi="Times New Roman" w:cs="Times New Roman"/>
        </w:rPr>
        <w:t>) ar trombocitų transfuziją.</w:t>
      </w:r>
    </w:p>
    <w:p w14:paraId="5DF1FA29" w14:textId="269567DD"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Jei kraujavimo negalima sustabdyti anksčiau paminėtomis priemonėmis, reikia spręsti dėl specifinio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inhibitoriaus neutralizuojančio vaistinio preparato (</w:t>
      </w:r>
      <w:proofErr w:type="spellStart"/>
      <w:r w:rsidRPr="007F2054">
        <w:rPr>
          <w:rFonts w:ascii="Times New Roman" w:eastAsia="Times New Roman" w:hAnsi="Times New Roman" w:cs="Times New Roman"/>
        </w:rPr>
        <w:t>andeksaneto</w:t>
      </w:r>
      <w:proofErr w:type="spellEnd"/>
      <w:r w:rsidRPr="007F2054">
        <w:rPr>
          <w:rFonts w:ascii="Times New Roman" w:eastAsia="Times New Roman" w:hAnsi="Times New Roman" w:cs="Times New Roman"/>
        </w:rPr>
        <w:t xml:space="preserve"> alfa), kuris yra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farmakodinaminio</w:t>
      </w:r>
      <w:proofErr w:type="spellEnd"/>
      <w:r w:rsidRPr="007F2054">
        <w:rPr>
          <w:rFonts w:ascii="Times New Roman" w:eastAsia="Times New Roman" w:hAnsi="Times New Roman" w:cs="Times New Roman"/>
        </w:rPr>
        <w:t xml:space="preserve"> poveikio antagonistas, ar specifinio </w:t>
      </w:r>
      <w:proofErr w:type="spellStart"/>
      <w:r w:rsidRPr="007F2054">
        <w:rPr>
          <w:rFonts w:ascii="Times New Roman" w:eastAsia="Times New Roman" w:hAnsi="Times New Roman" w:cs="Times New Roman"/>
        </w:rPr>
        <w:t>prokoaguliacinio</w:t>
      </w:r>
      <w:proofErr w:type="spellEnd"/>
      <w:r w:rsidRPr="007F2054">
        <w:rPr>
          <w:rFonts w:ascii="Times New Roman" w:eastAsia="Times New Roman" w:hAnsi="Times New Roman" w:cs="Times New Roman"/>
        </w:rPr>
        <w:t xml:space="preserve"> preparato, pvz.,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komplekso koncentrato (PKK), aktyvuoto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komplekso koncentrato (APKK) ar </w:t>
      </w:r>
      <w:proofErr w:type="spellStart"/>
      <w:r w:rsidRPr="007F2054">
        <w:rPr>
          <w:rFonts w:ascii="Times New Roman" w:eastAsia="Times New Roman" w:hAnsi="Times New Roman" w:cs="Times New Roman"/>
        </w:rPr>
        <w:t>rekombinantinio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VIIa</w:t>
      </w:r>
      <w:proofErr w:type="spellEnd"/>
      <w:r w:rsidRPr="007F2054">
        <w:rPr>
          <w:rFonts w:ascii="Times New Roman" w:eastAsia="Times New Roman" w:hAnsi="Times New Roman" w:cs="Times New Roman"/>
        </w:rPr>
        <w:t xml:space="preserve"> faktoriaus (r</w:t>
      </w:r>
      <w:r w:rsidR="00E22B24"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FVIIa</w:t>
      </w:r>
      <w:proofErr w:type="spellEnd"/>
      <w:r w:rsidRPr="007F2054">
        <w:rPr>
          <w:rFonts w:ascii="Times New Roman" w:eastAsia="Times New Roman" w:hAnsi="Times New Roman" w:cs="Times New Roman"/>
        </w:rPr>
        <w:t xml:space="preserve">) skyrimo. Tačiau klinikinė patirtis skiriant šių vaistinių </w:t>
      </w:r>
      <w:r w:rsidRPr="007F2054">
        <w:rPr>
          <w:rFonts w:ascii="Times New Roman" w:eastAsia="Times New Roman" w:hAnsi="Times New Roman" w:cs="Times New Roman"/>
        </w:rPr>
        <w:lastRenderedPageBreak/>
        <w:t xml:space="preserve">preparatų rivaroksabanu gydomiems pacientams yra labai ribota. Ši rekomendacija taip pat yra paremta ribotais </w:t>
      </w:r>
      <w:proofErr w:type="spellStart"/>
      <w:r w:rsidRPr="007F2054">
        <w:rPr>
          <w:rFonts w:ascii="Times New Roman" w:eastAsia="Times New Roman" w:hAnsi="Times New Roman" w:cs="Times New Roman"/>
        </w:rPr>
        <w:t>ikiklinikiniais</w:t>
      </w:r>
      <w:proofErr w:type="spellEnd"/>
      <w:r w:rsidRPr="007F2054">
        <w:rPr>
          <w:rFonts w:ascii="Times New Roman" w:eastAsia="Times New Roman" w:hAnsi="Times New Roman" w:cs="Times New Roman"/>
        </w:rPr>
        <w:t xml:space="preserve"> duomenimis. Reikia iš naujo apsvarstyti </w:t>
      </w:r>
      <w:proofErr w:type="spellStart"/>
      <w:r w:rsidRPr="007F2054">
        <w:rPr>
          <w:rFonts w:ascii="Times New Roman" w:eastAsia="Times New Roman" w:hAnsi="Times New Roman" w:cs="Times New Roman"/>
        </w:rPr>
        <w:t>rekombinantinio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VIIa</w:t>
      </w:r>
      <w:proofErr w:type="spellEnd"/>
      <w:r w:rsidRPr="007F2054">
        <w:rPr>
          <w:rFonts w:ascii="Times New Roman" w:eastAsia="Times New Roman" w:hAnsi="Times New Roman" w:cs="Times New Roman"/>
        </w:rPr>
        <w:t xml:space="preserve"> faktoriaus dozės parinkimą ir titruoti, atsižvelgiant į tai, kaip gerės kraujavimo rodikliai. Atsižvelgiant į vietines galimybes, didžiojo kraujavimo atvejais reikia spręsti dėl kraujo krešėjimo specialisto konsultacijos poreikio (žr. 5.1 skyrių).</w:t>
      </w:r>
    </w:p>
    <w:p w14:paraId="2716E0E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3BF720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Nemanoma, kad </w:t>
      </w:r>
      <w:proofErr w:type="spellStart"/>
      <w:r w:rsidRPr="007F2054">
        <w:rPr>
          <w:rFonts w:ascii="Times New Roman" w:eastAsia="Times New Roman" w:hAnsi="Times New Roman" w:cs="Times New Roman"/>
        </w:rPr>
        <w:t>protamino</w:t>
      </w:r>
      <w:proofErr w:type="spellEnd"/>
      <w:r w:rsidRPr="007F2054">
        <w:rPr>
          <w:rFonts w:ascii="Times New Roman" w:eastAsia="Times New Roman" w:hAnsi="Times New Roman" w:cs="Times New Roman"/>
        </w:rPr>
        <w:t xml:space="preserve"> sulfatas ir vitaminas K turėtų poveikį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antikoaguliaciniam</w:t>
      </w:r>
      <w:proofErr w:type="spellEnd"/>
      <w:r w:rsidRPr="007F2054">
        <w:rPr>
          <w:rFonts w:ascii="Times New Roman" w:eastAsia="Times New Roman" w:hAnsi="Times New Roman" w:cs="Times New Roman"/>
        </w:rPr>
        <w:t xml:space="preserve"> aktyvumui. Patirtis, skiriant </w:t>
      </w:r>
      <w:proofErr w:type="spellStart"/>
      <w:r w:rsidRPr="007F2054">
        <w:rPr>
          <w:rFonts w:ascii="Times New Roman" w:eastAsia="Times New Roman" w:hAnsi="Times New Roman" w:cs="Times New Roman"/>
        </w:rPr>
        <w:t>traneksamo</w:t>
      </w:r>
      <w:proofErr w:type="spellEnd"/>
      <w:r w:rsidRPr="007F2054">
        <w:rPr>
          <w:rFonts w:ascii="Times New Roman" w:eastAsia="Times New Roman" w:hAnsi="Times New Roman" w:cs="Times New Roman"/>
        </w:rPr>
        <w:t xml:space="preserve"> rūgšties, yra ribota, o patirties, skiriant </w:t>
      </w:r>
      <w:proofErr w:type="spellStart"/>
      <w:r w:rsidRPr="007F2054">
        <w:rPr>
          <w:rFonts w:ascii="Times New Roman" w:eastAsia="Times New Roman" w:hAnsi="Times New Roman" w:cs="Times New Roman"/>
        </w:rPr>
        <w:t>aminokaprono</w:t>
      </w:r>
      <w:proofErr w:type="spellEnd"/>
      <w:r w:rsidRPr="007F2054">
        <w:rPr>
          <w:rFonts w:ascii="Times New Roman" w:eastAsia="Times New Roman" w:hAnsi="Times New Roman" w:cs="Times New Roman"/>
        </w:rPr>
        <w:t xml:space="preserve"> rūgšties ir </w:t>
      </w:r>
      <w:proofErr w:type="spellStart"/>
      <w:r w:rsidRPr="007F2054">
        <w:rPr>
          <w:rFonts w:ascii="Times New Roman" w:eastAsia="Times New Roman" w:hAnsi="Times New Roman" w:cs="Times New Roman"/>
        </w:rPr>
        <w:t>aprotinino</w:t>
      </w:r>
      <w:proofErr w:type="spellEnd"/>
      <w:r w:rsidRPr="007F2054">
        <w:rPr>
          <w:rFonts w:ascii="Times New Roman" w:eastAsia="Times New Roman" w:hAnsi="Times New Roman" w:cs="Times New Roman"/>
        </w:rPr>
        <w:t xml:space="preserve"> rivaroksabano vartojantiems asmenims, nėra. Nei mokslinio naudos patvirtinimo, nei patirties, skiriant sisteminio </w:t>
      </w:r>
      <w:proofErr w:type="spellStart"/>
      <w:r w:rsidRPr="007F2054">
        <w:rPr>
          <w:rFonts w:ascii="Times New Roman" w:eastAsia="Times New Roman" w:hAnsi="Times New Roman" w:cs="Times New Roman"/>
        </w:rPr>
        <w:t>hemostatiko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desmopresino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rivaroksabanu</w:t>
      </w:r>
      <w:proofErr w:type="spellEnd"/>
      <w:r w:rsidRPr="007F2054">
        <w:rPr>
          <w:rFonts w:ascii="Times New Roman" w:eastAsia="Times New Roman" w:hAnsi="Times New Roman" w:cs="Times New Roman"/>
        </w:rPr>
        <w:t xml:space="preserve"> gydomiems pacientams, nėra. Daug rivaroksabano prisijungia prie plazmos baltymų, todėl manoma, kad dializės metu jo nepasišalina.</w:t>
      </w:r>
    </w:p>
    <w:p w14:paraId="528694D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2C9636F" w14:textId="77777777" w:rsidR="00E22B24" w:rsidRPr="00E22B24" w:rsidRDefault="00E22B24" w:rsidP="00E22B24">
      <w:pPr>
        <w:tabs>
          <w:tab w:val="left" w:pos="567"/>
        </w:tabs>
        <w:spacing w:after="0" w:line="240" w:lineRule="auto"/>
        <w:rPr>
          <w:rFonts w:ascii="Times New Roman" w:eastAsia="Times New Roman" w:hAnsi="Times New Roman" w:cs="Times New Roman"/>
          <w:szCs w:val="20"/>
          <w:lang w:eastAsia="lt-LT"/>
        </w:rPr>
      </w:pPr>
    </w:p>
    <w:p w14:paraId="32F87D81" w14:textId="77777777" w:rsidR="00E22B24" w:rsidRPr="00E22B24" w:rsidRDefault="00E22B24" w:rsidP="00E22B24">
      <w:pPr>
        <w:keepNext/>
        <w:numPr>
          <w:ilvl w:val="0"/>
          <w:numId w:val="14"/>
        </w:numPr>
        <w:tabs>
          <w:tab w:val="left" w:pos="567"/>
        </w:tabs>
        <w:suppressAutoHyphens/>
        <w:spacing w:after="0" w:line="240" w:lineRule="auto"/>
        <w:ind w:left="567" w:hanging="567"/>
        <w:rPr>
          <w:rFonts w:ascii="Times New Roman" w:eastAsia="Times New Roman" w:hAnsi="Times New Roman" w:cs="Times New Roman"/>
          <w:szCs w:val="20"/>
          <w:lang w:eastAsia="lt-LT"/>
        </w:rPr>
      </w:pPr>
      <w:r w:rsidRPr="00E22B24">
        <w:rPr>
          <w:rFonts w:ascii="Times New Roman" w:eastAsia="Times New Roman" w:hAnsi="Times New Roman" w:cs="Times New Roman"/>
          <w:b/>
          <w:szCs w:val="20"/>
          <w:lang w:eastAsia="lt-LT"/>
        </w:rPr>
        <w:t>FARMAKOLOGINĖS SAVYBĖS</w:t>
      </w:r>
    </w:p>
    <w:p w14:paraId="01F39229" w14:textId="77777777" w:rsidR="00E22B24" w:rsidRPr="00E22B24" w:rsidRDefault="00E22B24" w:rsidP="00E22B24">
      <w:pPr>
        <w:keepNext/>
        <w:tabs>
          <w:tab w:val="left" w:pos="567"/>
        </w:tabs>
        <w:spacing w:after="0" w:line="240" w:lineRule="auto"/>
        <w:rPr>
          <w:rFonts w:ascii="Times New Roman" w:eastAsia="Times New Roman" w:hAnsi="Times New Roman" w:cs="Times New Roman"/>
          <w:szCs w:val="20"/>
          <w:lang w:eastAsia="lt-LT"/>
        </w:rPr>
      </w:pPr>
    </w:p>
    <w:p w14:paraId="783AEFA1" w14:textId="77777777" w:rsidR="00E22B24" w:rsidRPr="00E22B24" w:rsidRDefault="00E22B24" w:rsidP="00E22B24">
      <w:pPr>
        <w:keepNext/>
        <w:numPr>
          <w:ilvl w:val="1"/>
          <w:numId w:val="14"/>
        </w:numPr>
        <w:tabs>
          <w:tab w:val="left" w:pos="567"/>
        </w:tabs>
        <w:spacing w:after="0" w:line="240" w:lineRule="auto"/>
        <w:ind w:left="567" w:hanging="567"/>
        <w:outlineLvl w:val="0"/>
        <w:rPr>
          <w:rFonts w:ascii="Times New Roman" w:eastAsia="Times New Roman" w:hAnsi="Times New Roman" w:cs="Times New Roman"/>
          <w:szCs w:val="20"/>
          <w:lang w:eastAsia="lt-LT"/>
        </w:rPr>
      </w:pPr>
      <w:proofErr w:type="spellStart"/>
      <w:r w:rsidRPr="00E22B24">
        <w:rPr>
          <w:rFonts w:ascii="Times New Roman" w:eastAsia="Times New Roman" w:hAnsi="Times New Roman" w:cs="Times New Roman"/>
          <w:b/>
          <w:szCs w:val="20"/>
          <w:lang w:eastAsia="lt-LT"/>
        </w:rPr>
        <w:t>Farmakodinaminės</w:t>
      </w:r>
      <w:proofErr w:type="spellEnd"/>
      <w:r w:rsidRPr="00E22B24">
        <w:rPr>
          <w:rFonts w:ascii="Times New Roman" w:eastAsia="Times New Roman" w:hAnsi="Times New Roman" w:cs="Times New Roman"/>
          <w:b/>
          <w:szCs w:val="20"/>
          <w:lang w:eastAsia="lt-LT"/>
        </w:rPr>
        <w:t xml:space="preserve"> savybės</w:t>
      </w:r>
    </w:p>
    <w:p w14:paraId="0807F14D" w14:textId="77777777" w:rsidR="00E22B24" w:rsidRPr="00E22B24" w:rsidRDefault="00E22B24" w:rsidP="00E22B24">
      <w:pPr>
        <w:keepNext/>
        <w:tabs>
          <w:tab w:val="left" w:pos="567"/>
        </w:tabs>
        <w:spacing w:after="0" w:line="240" w:lineRule="auto"/>
        <w:rPr>
          <w:rFonts w:ascii="Times New Roman" w:eastAsia="Times New Roman" w:hAnsi="Times New Roman" w:cs="Times New Roman"/>
          <w:szCs w:val="20"/>
          <w:lang w:eastAsia="lt-LT"/>
        </w:rPr>
      </w:pPr>
    </w:p>
    <w:p w14:paraId="27409A7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rPr>
        <w:t>Farmakoterapinė</w:t>
      </w:r>
      <w:proofErr w:type="spellEnd"/>
      <w:r w:rsidRPr="007F2054">
        <w:rPr>
          <w:rFonts w:ascii="Times New Roman" w:eastAsia="Times New Roman" w:hAnsi="Times New Roman" w:cs="Times New Roman"/>
        </w:rPr>
        <w:t xml:space="preserve"> grupė – </w:t>
      </w:r>
      <w:proofErr w:type="spellStart"/>
      <w:r w:rsidRPr="007F2054">
        <w:rPr>
          <w:rFonts w:ascii="Times New Roman" w:eastAsia="Times New Roman" w:hAnsi="Times New Roman" w:cs="Times New Roman"/>
        </w:rPr>
        <w:t>antitromboziniai</w:t>
      </w:r>
      <w:proofErr w:type="spellEnd"/>
      <w:r w:rsidRPr="007F2054">
        <w:rPr>
          <w:rFonts w:ascii="Times New Roman" w:eastAsia="Times New Roman" w:hAnsi="Times New Roman" w:cs="Times New Roman"/>
        </w:rPr>
        <w:t xml:space="preserve"> vaistiniai preparatai, tiesioginiai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inhibitoriai, ATC kodas – B01AF01.</w:t>
      </w:r>
    </w:p>
    <w:p w14:paraId="7473A35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34E636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Veikimo mechanizmas</w:t>
      </w:r>
    </w:p>
    <w:p w14:paraId="41491B3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Rivaroksabanas yra labai selektyvus tiesioginis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inhibitorius, biologiškai įsisavinamas geriant.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slopinimas sutrikdo vidinius ir išorinius kelius kraujo </w:t>
      </w:r>
      <w:proofErr w:type="spellStart"/>
      <w:r w:rsidRPr="007F2054">
        <w:rPr>
          <w:rFonts w:ascii="Times New Roman" w:eastAsia="Times New Roman" w:hAnsi="Times New Roman" w:cs="Times New Roman"/>
        </w:rPr>
        <w:t>koaguliacijos</w:t>
      </w:r>
      <w:proofErr w:type="spellEnd"/>
      <w:r w:rsidRPr="007F2054">
        <w:rPr>
          <w:rFonts w:ascii="Times New Roman" w:eastAsia="Times New Roman" w:hAnsi="Times New Roman" w:cs="Times New Roman"/>
        </w:rPr>
        <w:t xml:space="preserve"> procese, slopindamas trombino gamybą ir </w:t>
      </w:r>
      <w:proofErr w:type="spellStart"/>
      <w:r w:rsidRPr="007F2054">
        <w:rPr>
          <w:rFonts w:ascii="Times New Roman" w:eastAsia="Times New Roman" w:hAnsi="Times New Roman" w:cs="Times New Roman"/>
        </w:rPr>
        <w:t>trombų</w:t>
      </w:r>
      <w:proofErr w:type="spellEnd"/>
      <w:r w:rsidRPr="007F2054">
        <w:rPr>
          <w:rFonts w:ascii="Times New Roman" w:eastAsia="Times New Roman" w:hAnsi="Times New Roman" w:cs="Times New Roman"/>
        </w:rPr>
        <w:t xml:space="preserve"> susidarymą. Rivaroksabanas neslopina trombino (aktyvuotas II faktorius), o jo sukeliamas poveikis trombocitams nebuvo nustatytas.</w:t>
      </w:r>
    </w:p>
    <w:p w14:paraId="2CA53BC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9F25F3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Farmakodinaminis poveikis</w:t>
      </w:r>
    </w:p>
    <w:p w14:paraId="423B7D5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Žmonėms buvo stebėtas nuo dozės priklausomas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slopinimas.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laiką (PL) </w:t>
      </w:r>
      <w:proofErr w:type="spellStart"/>
      <w:r w:rsidRPr="007F2054">
        <w:rPr>
          <w:rFonts w:ascii="Times New Roman" w:eastAsia="Times New Roman" w:hAnsi="Times New Roman" w:cs="Times New Roman"/>
        </w:rPr>
        <w:t>rivaroksabanas</w:t>
      </w:r>
      <w:proofErr w:type="spellEnd"/>
      <w:r w:rsidRPr="007F2054">
        <w:rPr>
          <w:rFonts w:ascii="Times New Roman" w:eastAsia="Times New Roman" w:hAnsi="Times New Roman" w:cs="Times New Roman"/>
        </w:rPr>
        <w:t xml:space="preserve"> veikia priklausomai nuo dozės, stipriai koreliuojant su plazmos koncentracija (r vertė lygi 0,98), jei tyrimui naudojamas </w:t>
      </w:r>
      <w:proofErr w:type="spellStart"/>
      <w:r w:rsidRPr="007F2054">
        <w:rPr>
          <w:rFonts w:ascii="Times New Roman" w:eastAsia="Times New Roman" w:hAnsi="Times New Roman" w:cs="Times New Roman"/>
        </w:rPr>
        <w:t>Neoplastin</w:t>
      </w:r>
      <w:proofErr w:type="spellEnd"/>
      <w:r w:rsidRPr="007F2054">
        <w:rPr>
          <w:rFonts w:ascii="Times New Roman" w:eastAsia="Times New Roman" w:hAnsi="Times New Roman" w:cs="Times New Roman"/>
        </w:rPr>
        <w:t>. Naudojant kitus reagentus, gaunami skirtingi rezultatai. PL nuskaitymas turi būti atliekamas per keletą sekundžių, nes TNS yra kalibruotas ir pritaikytas kumarinams ir jo negalima naudoti jokiems kitiems antikoaguliantams.</w:t>
      </w:r>
    </w:p>
    <w:p w14:paraId="7F458EC8" w14:textId="095B35DD"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Klinikinės farmakologijos tyrime, kuriame suaugusiems sveikiems tiriamiesiems (n</w:t>
      </w:r>
      <w:r w:rsidR="00292BF2">
        <w:rPr>
          <w:rFonts w:ascii="Times New Roman" w:eastAsia="Times New Roman" w:hAnsi="Times New Roman" w:cs="Times New Roman"/>
        </w:rPr>
        <w:t> </w:t>
      </w:r>
      <w:r w:rsidRPr="007F2054">
        <w:rPr>
          <w:rFonts w:ascii="Times New Roman" w:eastAsia="Times New Roman" w:hAnsi="Times New Roman" w:cs="Times New Roman"/>
        </w:rPr>
        <w:t>=</w:t>
      </w:r>
      <w:r w:rsidR="00292BF2">
        <w:rPr>
          <w:rFonts w:ascii="Times New Roman" w:eastAsia="Times New Roman" w:hAnsi="Times New Roman" w:cs="Times New Roman"/>
        </w:rPr>
        <w:t> </w:t>
      </w:r>
      <w:r w:rsidRPr="007F2054">
        <w:rPr>
          <w:rFonts w:ascii="Times New Roman" w:eastAsia="Times New Roman" w:hAnsi="Times New Roman" w:cs="Times New Roman"/>
        </w:rPr>
        <w:t xml:space="preserve">22) stebėtas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farmakodinaminio</w:t>
      </w:r>
      <w:proofErr w:type="spellEnd"/>
      <w:r w:rsidRPr="007F2054">
        <w:rPr>
          <w:rFonts w:ascii="Times New Roman" w:eastAsia="Times New Roman" w:hAnsi="Times New Roman" w:cs="Times New Roman"/>
        </w:rPr>
        <w:t xml:space="preserve"> poveikio panaikinimas, buvo įvertintas dviejų skirtingų PKK, t. y. 3 jų faktorių PKK (II, IX ir X faktorių) ir 4</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ių faktorių PKK (II, VII, IX ir X faktorių), vienkartinės dozės (50</w:t>
      </w:r>
      <w:r w:rsidR="00D651AA">
        <w:rPr>
          <w:rFonts w:ascii="Times New Roman" w:eastAsia="Times New Roman" w:hAnsi="Times New Roman" w:cs="Times New Roman"/>
        </w:rPr>
        <w:t> </w:t>
      </w:r>
      <w:r w:rsidRPr="007F2054">
        <w:rPr>
          <w:rFonts w:ascii="Times New Roman" w:eastAsia="Times New Roman" w:hAnsi="Times New Roman" w:cs="Times New Roman"/>
        </w:rPr>
        <w:t>TV/kg) poveikis. 3</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 xml:space="preserve">jų faktorių PKK sumažino </w:t>
      </w:r>
      <w:proofErr w:type="spellStart"/>
      <w:r w:rsidRPr="007F2054">
        <w:rPr>
          <w:rFonts w:ascii="Times New Roman" w:eastAsia="Times New Roman" w:hAnsi="Times New Roman" w:cs="Times New Roman"/>
        </w:rPr>
        <w:t>Neoplastin</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protrombino</w:t>
      </w:r>
      <w:proofErr w:type="spellEnd"/>
      <w:r w:rsidRPr="007F2054">
        <w:rPr>
          <w:rFonts w:ascii="Times New Roman" w:eastAsia="Times New Roman" w:hAnsi="Times New Roman" w:cs="Times New Roman"/>
        </w:rPr>
        <w:t xml:space="preserve"> laiko (PL) vidurkį apytikriai viena sekunde per 30 minučių, lyginant su 3,5</w:t>
      </w:r>
      <w:r w:rsidR="00D651AA">
        <w:rPr>
          <w:rFonts w:ascii="Times New Roman" w:eastAsia="Times New Roman" w:hAnsi="Times New Roman" w:cs="Times New Roman"/>
        </w:rPr>
        <w:t> </w:t>
      </w:r>
      <w:r w:rsidRPr="007F2054">
        <w:rPr>
          <w:rFonts w:ascii="Times New Roman" w:eastAsia="Times New Roman" w:hAnsi="Times New Roman" w:cs="Times New Roman"/>
        </w:rPr>
        <w:t>s sumažėjimu, stebėtu vartojant 4</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faktorių</w:t>
      </w:r>
    </w:p>
    <w:p w14:paraId="2A8396BA" w14:textId="1850EA1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PKK. Vis dėlto 3</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jų faktorių PKK pasižymėjo didesniu ir greitesniu poveikiu bendram atvirkštiniam endogeninio trombino susidarymui negu 4</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ių faktorių PKK (žr. 4.9 skyrių).</w:t>
      </w:r>
    </w:p>
    <w:p w14:paraId="153A3204" w14:textId="0B2E1443"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Dalinis aktyvintas </w:t>
      </w:r>
      <w:proofErr w:type="spellStart"/>
      <w:r w:rsidRPr="007F2054">
        <w:rPr>
          <w:rFonts w:ascii="Times New Roman" w:eastAsia="Times New Roman" w:hAnsi="Times New Roman" w:cs="Times New Roman"/>
        </w:rPr>
        <w:t>tromboplastino</w:t>
      </w:r>
      <w:proofErr w:type="spellEnd"/>
      <w:r w:rsidRPr="007F2054">
        <w:rPr>
          <w:rFonts w:ascii="Times New Roman" w:eastAsia="Times New Roman" w:hAnsi="Times New Roman" w:cs="Times New Roman"/>
        </w:rPr>
        <w:t xml:space="preserve"> laikas (DATL) ir </w:t>
      </w:r>
      <w:proofErr w:type="spellStart"/>
      <w:r w:rsidRPr="006C1D08">
        <w:rPr>
          <w:rFonts w:ascii="Times New Roman" w:eastAsia="Times New Roman" w:hAnsi="Times New Roman" w:cs="Times New Roman"/>
          <w:i/>
          <w:iCs/>
        </w:rPr>
        <w:t>Hep</w:t>
      </w:r>
      <w:r w:rsidR="00D651AA" w:rsidRPr="006C1D08">
        <w:rPr>
          <w:rFonts w:ascii="Times New Roman" w:eastAsia="Times New Roman" w:hAnsi="Times New Roman" w:cs="Times New Roman"/>
          <w:i/>
          <w:iCs/>
        </w:rPr>
        <w:t>t</w:t>
      </w:r>
      <w:r w:rsidRPr="006C1D08">
        <w:rPr>
          <w:rFonts w:ascii="Times New Roman" w:eastAsia="Times New Roman" w:hAnsi="Times New Roman" w:cs="Times New Roman"/>
          <w:i/>
          <w:iCs/>
        </w:rPr>
        <w:t>est</w:t>
      </w:r>
      <w:proofErr w:type="spellEnd"/>
      <w:r w:rsidRPr="007F2054">
        <w:rPr>
          <w:rFonts w:ascii="Times New Roman" w:eastAsia="Times New Roman" w:hAnsi="Times New Roman" w:cs="Times New Roman"/>
        </w:rPr>
        <w:t xml:space="preserve"> pailgėja taip pat priklausomai nuo dozės, tačiau jie nerekomenduojami vertinant rivaroksabano farmakodinamiką. Įprastinėmis klinikinėmis sąlygomis gydant </w:t>
      </w:r>
      <w:proofErr w:type="spellStart"/>
      <w:r w:rsidRPr="007F2054">
        <w:rPr>
          <w:rFonts w:ascii="Times New Roman" w:eastAsia="Times New Roman" w:hAnsi="Times New Roman" w:cs="Times New Roman"/>
        </w:rPr>
        <w:t>rivaroksabanu</w:t>
      </w:r>
      <w:proofErr w:type="spellEnd"/>
      <w:r w:rsidRPr="007F2054">
        <w:rPr>
          <w:rFonts w:ascii="Times New Roman" w:eastAsia="Times New Roman" w:hAnsi="Times New Roman" w:cs="Times New Roman"/>
        </w:rPr>
        <w:t xml:space="preserve"> nereikia stebėti </w:t>
      </w:r>
      <w:proofErr w:type="spellStart"/>
      <w:r w:rsidRPr="007F2054">
        <w:rPr>
          <w:rFonts w:ascii="Times New Roman" w:eastAsia="Times New Roman" w:hAnsi="Times New Roman" w:cs="Times New Roman"/>
        </w:rPr>
        <w:t>koaguliacijos</w:t>
      </w:r>
      <w:proofErr w:type="spellEnd"/>
      <w:r w:rsidRPr="007F2054">
        <w:rPr>
          <w:rFonts w:ascii="Times New Roman" w:eastAsia="Times New Roman" w:hAnsi="Times New Roman" w:cs="Times New Roman"/>
        </w:rPr>
        <w:t xml:space="preserve"> parametrų. Tačiau, esant klinikinėms indikacijoms, rivaroksabano koncentraciją galima įvertinti atlikus kalibruotą kiekybinį </w:t>
      </w:r>
      <w:proofErr w:type="spellStart"/>
      <w:r w:rsidRPr="007F2054">
        <w:rPr>
          <w:rFonts w:ascii="Times New Roman" w:eastAsia="Times New Roman" w:hAnsi="Times New Roman" w:cs="Times New Roman"/>
        </w:rPr>
        <w:t>anti</w:t>
      </w:r>
      <w:r w:rsidR="00E22B24" w:rsidRPr="007F2054">
        <w:rPr>
          <w:rFonts w:ascii="Times New Roman" w:eastAsia="Times New Roman" w:hAnsi="Times New Roman" w:cs="Times New Roman"/>
        </w:rPr>
        <w:t>-</w:t>
      </w:r>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tyrimą (žr. 5.2 skyrių).</w:t>
      </w:r>
    </w:p>
    <w:p w14:paraId="749D922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BFBCB3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Klinikinis veiksmingumas ir saugumas</w:t>
      </w:r>
    </w:p>
    <w:p w14:paraId="65AECA2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ŪKS</w:t>
      </w:r>
    </w:p>
    <w:p w14:paraId="7D8D17B8" w14:textId="7A10E8C3"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 TIMI 51 tyrimo metu 15526 pacientai buvo atsitiktinai suskirstyti santykiu 1:1:1, priskiriant juos vienai iš trijų gydymo grupių: kur rivaroksabano geriama po 2,5 mg 2 kartus per parą, po 5 mg 2 kartus per parą arba geriama placebo 2 kartus per parą, kartu vartojant ASR arba ASR su </w:t>
      </w:r>
      <w:proofErr w:type="spellStart"/>
      <w:r w:rsidRPr="007F2054">
        <w:rPr>
          <w:rFonts w:ascii="Times New Roman" w:eastAsia="Times New Roman" w:hAnsi="Times New Roman" w:cs="Times New Roman"/>
        </w:rPr>
        <w:t>tienopiridinu</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klopidogreliu</w:t>
      </w:r>
      <w:proofErr w:type="spellEnd"/>
      <w:r w:rsidRPr="007F2054">
        <w:rPr>
          <w:rFonts w:ascii="Times New Roman" w:eastAsia="Times New Roman" w:hAnsi="Times New Roman" w:cs="Times New Roman"/>
        </w:rPr>
        <w:t xml:space="preserve"> ar </w:t>
      </w:r>
      <w:proofErr w:type="spellStart"/>
      <w:r w:rsidRPr="007F2054">
        <w:rPr>
          <w:rFonts w:ascii="Times New Roman" w:eastAsia="Times New Roman" w:hAnsi="Times New Roman" w:cs="Times New Roman"/>
        </w:rPr>
        <w:t>tiklopidinu</w:t>
      </w:r>
      <w:proofErr w:type="spellEnd"/>
      <w:r w:rsidRPr="007F2054">
        <w:rPr>
          <w:rFonts w:ascii="Times New Roman" w:eastAsia="Times New Roman" w:hAnsi="Times New Roman" w:cs="Times New Roman"/>
        </w:rPr>
        <w:t xml:space="preserve">). ŪKS patyrę pacientai, jaunesni kaip 55 metų, arba sirgo cukriniu diabetu, arba buvo patyrę MI. Vidutinė gydymo trukmė buvo 13 mėnesių, bendra gydymo </w:t>
      </w:r>
      <w:r w:rsidRPr="007F2054">
        <w:rPr>
          <w:rFonts w:ascii="Times New Roman" w:eastAsia="Times New Roman" w:hAnsi="Times New Roman" w:cs="Times New Roman"/>
        </w:rPr>
        <w:lastRenderedPageBreak/>
        <w:t>trukmė – beveik 3 metai. 93,2</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pacientų kartu vartojo ASR ir </w:t>
      </w:r>
      <w:proofErr w:type="spellStart"/>
      <w:r w:rsidRPr="007F2054">
        <w:rPr>
          <w:rFonts w:ascii="Times New Roman" w:eastAsia="Times New Roman" w:hAnsi="Times New Roman" w:cs="Times New Roman"/>
        </w:rPr>
        <w:t>tienopiridino</w:t>
      </w:r>
      <w:proofErr w:type="spellEnd"/>
      <w:r w:rsidRPr="007F2054">
        <w:rPr>
          <w:rFonts w:ascii="Times New Roman" w:eastAsia="Times New Roman" w:hAnsi="Times New Roman" w:cs="Times New Roman"/>
        </w:rPr>
        <w:t>, o 6,8</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pacientų – tik ASR. Tarp pacientų, kuriems buvo skirtas dvigubas </w:t>
      </w:r>
      <w:proofErr w:type="spellStart"/>
      <w:r w:rsidRPr="007F2054">
        <w:rPr>
          <w:rFonts w:ascii="Times New Roman" w:eastAsia="Times New Roman" w:hAnsi="Times New Roman" w:cs="Times New Roman"/>
        </w:rPr>
        <w:t>antitrombozinis</w:t>
      </w:r>
      <w:proofErr w:type="spellEnd"/>
      <w:r w:rsidRPr="007F2054">
        <w:rPr>
          <w:rFonts w:ascii="Times New Roman" w:eastAsia="Times New Roman" w:hAnsi="Times New Roman" w:cs="Times New Roman"/>
        </w:rPr>
        <w:t xml:space="preserve"> gydymas, 98,8</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vartojo klopidogrelio, 0,9</w:t>
      </w:r>
      <w:r w:rsidR="00D651AA">
        <w:rPr>
          <w:rFonts w:ascii="Times New Roman" w:eastAsia="Times New Roman" w:hAnsi="Times New Roman" w:cs="Times New Roman"/>
        </w:rPr>
        <w:t> </w:t>
      </w:r>
      <w:r w:rsidRPr="007F2054">
        <w:rPr>
          <w:rFonts w:ascii="Times New Roman" w:eastAsia="Times New Roman" w:hAnsi="Times New Roman" w:cs="Times New Roman"/>
        </w:rPr>
        <w:t>% – tiklopidino ir 0,3</w:t>
      </w:r>
      <w:r w:rsidR="00D651AA">
        <w:rPr>
          <w:rFonts w:ascii="Times New Roman" w:eastAsia="Times New Roman" w:hAnsi="Times New Roman" w:cs="Times New Roman"/>
        </w:rPr>
        <w:t> </w:t>
      </w:r>
      <w:r w:rsidRPr="007F2054">
        <w:rPr>
          <w:rFonts w:ascii="Times New Roman" w:eastAsia="Times New Roman" w:hAnsi="Times New Roman" w:cs="Times New Roman"/>
        </w:rPr>
        <w:t xml:space="preserve">% – </w:t>
      </w:r>
      <w:proofErr w:type="spellStart"/>
      <w:r w:rsidRPr="007F2054">
        <w:rPr>
          <w:rFonts w:ascii="Times New Roman" w:eastAsia="Times New Roman" w:hAnsi="Times New Roman" w:cs="Times New Roman"/>
        </w:rPr>
        <w:t>prazugrelio</w:t>
      </w:r>
      <w:proofErr w:type="spellEnd"/>
      <w:r w:rsidRPr="007F2054">
        <w:rPr>
          <w:rFonts w:ascii="Times New Roman" w:eastAsia="Times New Roman" w:hAnsi="Times New Roman" w:cs="Times New Roman"/>
        </w:rPr>
        <w:t xml:space="preserve">. Pirmąją rivaroksabano dozę pacientai pavartojo praėjus mažiausiai 24 valandoms ir daugiausiai 7 paroms (vidutiniškai 4,7 paroms) po hospitalizavimo, tačiau, stabilizavus ŪKS reiškinius (įskaitant revaskuliarizacijos procedūras) ir kai įprastai nutraukiamas </w:t>
      </w:r>
      <w:proofErr w:type="spellStart"/>
      <w:r w:rsidRPr="007F2054">
        <w:rPr>
          <w:rFonts w:ascii="Times New Roman" w:eastAsia="Times New Roman" w:hAnsi="Times New Roman" w:cs="Times New Roman"/>
        </w:rPr>
        <w:t>parenterinis</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antokoaguliacinis</w:t>
      </w:r>
      <w:proofErr w:type="spellEnd"/>
      <w:r w:rsidRPr="007F2054">
        <w:rPr>
          <w:rFonts w:ascii="Times New Roman" w:eastAsia="Times New Roman" w:hAnsi="Times New Roman" w:cs="Times New Roman"/>
        </w:rPr>
        <w:t xml:space="preserve"> gydymas,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buvo skiriama kuo anksčiau.</w:t>
      </w:r>
    </w:p>
    <w:p w14:paraId="28D3F5D7" w14:textId="6ABD6FB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Abu dozavimo režimai – ir po 2,5 mg rivaroksabano du kartus per parą, ir po 5 mg du kartus parą – buvo veiksmingi mažinant širdies ir kraujagyslių reiškinių dažnį standartinio antitrombocitinio gydymo fone. Vartojant po 2,5 mg du kartus per parą, sumažėjo mirtingumas, ir buvo įrodyta, kad mažesnė dozė sukelia mažesnę kraujavimo riziką, todėl </w:t>
      </w:r>
      <w:proofErr w:type="spellStart"/>
      <w:r w:rsidRPr="007F2054">
        <w:rPr>
          <w:rFonts w:ascii="Times New Roman" w:eastAsia="Times New Roman" w:hAnsi="Times New Roman" w:cs="Times New Roman"/>
        </w:rPr>
        <w:t>aterotrombozinių</w:t>
      </w:r>
      <w:proofErr w:type="spellEnd"/>
      <w:r w:rsidRPr="007F2054">
        <w:rPr>
          <w:rFonts w:ascii="Times New Roman" w:eastAsia="Times New Roman" w:hAnsi="Times New Roman" w:cs="Times New Roman"/>
        </w:rPr>
        <w:t xml:space="preserve"> reiškinių profilaktikai suaugusiems pacientams, patyrusiems ūminį koronarinį sindromą (ŪKS) su padidėjusiais kardiologinių žymenų rodikliais, rekomenduojama vartoti po 2,5 mg rivaroksabano du kartus per parą kartu su acetilsalicilo rūgštimi (ASR) arba kartu su ASR ir </w:t>
      </w:r>
      <w:proofErr w:type="spellStart"/>
      <w:r w:rsidRPr="007F2054">
        <w:rPr>
          <w:rFonts w:ascii="Times New Roman" w:eastAsia="Times New Roman" w:hAnsi="Times New Roman" w:cs="Times New Roman"/>
        </w:rPr>
        <w:t>klopidogreliu</w:t>
      </w:r>
      <w:proofErr w:type="spellEnd"/>
      <w:r w:rsidRPr="007F2054">
        <w:rPr>
          <w:rFonts w:ascii="Times New Roman" w:eastAsia="Times New Roman" w:hAnsi="Times New Roman" w:cs="Times New Roman"/>
        </w:rPr>
        <w:t xml:space="preserve"> ar </w:t>
      </w:r>
      <w:proofErr w:type="spellStart"/>
      <w:r w:rsidRPr="007F2054">
        <w:rPr>
          <w:rFonts w:ascii="Times New Roman" w:eastAsia="Times New Roman" w:hAnsi="Times New Roman" w:cs="Times New Roman"/>
        </w:rPr>
        <w:t>tiklopidinu</w:t>
      </w:r>
      <w:proofErr w:type="spellEnd"/>
      <w:r w:rsidRPr="007F2054">
        <w:rPr>
          <w:rFonts w:ascii="Times New Roman" w:eastAsia="Times New Roman" w:hAnsi="Times New Roman" w:cs="Times New Roman"/>
        </w:rPr>
        <w:t>.</w:t>
      </w:r>
    </w:p>
    <w:p w14:paraId="668B06A7" w14:textId="262D7EC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Palyginti su placebu, rivaroksabanas reikšmingai sumažino pirminės sudėtinės vertinamosios baigties, kurią sudarė mirtys nuo širdies ir kraujagyslių ligų, MI arba insultai, dažnį. Naudingą poveikį lėmė mirčių nuo širdies ir kraujagyslių ligų ir MI skaičiaus sumažėjimas, šis poveikis pasireiškė anksti ir tęsėsi visą gydymo laikotarpį, esant pastoviam gydymo efektui (žr. 4 lentelę ir 1 paveikslą). Be to, reikšmingai sumažėjo pirmosios antrinės vertinamosios baigties dažnis (mirtys dėl bet kokios priežasties, MI ar insultas). Papildoma retrospektyvinė analizė parodė, kad, palyginti su placebu, nominaliai reikšmingai sumažėjo </w:t>
      </w:r>
      <w:proofErr w:type="spellStart"/>
      <w:r w:rsidRPr="007F2054">
        <w:rPr>
          <w:rFonts w:ascii="Times New Roman" w:eastAsia="Times New Roman" w:hAnsi="Times New Roman" w:cs="Times New Roman"/>
        </w:rPr>
        <w:t>stento</w:t>
      </w:r>
      <w:proofErr w:type="spellEnd"/>
      <w:r w:rsidRPr="007F2054">
        <w:rPr>
          <w:rFonts w:ascii="Times New Roman" w:eastAsia="Times New Roman" w:hAnsi="Times New Roman" w:cs="Times New Roman"/>
        </w:rPr>
        <w:t xml:space="preserve"> trombozių dažnio rodiklis (žr. 4 lentelę). Pagrindinių saugumo baigčių (didžiojo kraujavimo reiškinių, nesusijusių su vainikinės arterijos šuntavimo operacija, taikant </w:t>
      </w:r>
      <w:proofErr w:type="spellStart"/>
      <w:r w:rsidRPr="007F2054">
        <w:rPr>
          <w:rFonts w:ascii="Times New Roman" w:eastAsia="Times New Roman" w:hAnsi="Times New Roman" w:cs="Times New Roman"/>
        </w:rPr>
        <w:t>trombolizę</w:t>
      </w:r>
      <w:proofErr w:type="spellEnd"/>
      <w:r w:rsidRPr="007F2054">
        <w:rPr>
          <w:rFonts w:ascii="Times New Roman" w:eastAsia="Times New Roman" w:hAnsi="Times New Roman" w:cs="Times New Roman"/>
        </w:rPr>
        <w:t xml:space="preserve"> po miokardo infarkto [ne CABG (angl. </w:t>
      </w:r>
      <w:proofErr w:type="spellStart"/>
      <w:r w:rsidRPr="007F2054">
        <w:rPr>
          <w:rFonts w:ascii="Times New Roman" w:eastAsia="Times New Roman" w:hAnsi="Times New Roman" w:cs="Times New Roman"/>
          <w:i/>
          <w:iCs/>
        </w:rPr>
        <w:t>non</w:t>
      </w:r>
      <w:proofErr w:type="spellEnd"/>
      <w:r w:rsidRPr="007F2054">
        <w:rPr>
          <w:rFonts w:ascii="Times New Roman" w:eastAsia="Times New Roman" w:hAnsi="Times New Roman" w:cs="Times New Roman"/>
          <w:i/>
          <w:iCs/>
        </w:rPr>
        <w:t>–</w:t>
      </w:r>
      <w:proofErr w:type="spellStart"/>
      <w:r w:rsidRPr="007F2054">
        <w:rPr>
          <w:rFonts w:ascii="Times New Roman" w:eastAsia="Times New Roman" w:hAnsi="Times New Roman" w:cs="Times New Roman"/>
          <w:i/>
          <w:iCs/>
        </w:rPr>
        <w:t>coronary</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artery</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bypass</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graft</w:t>
      </w:r>
      <w:proofErr w:type="spellEnd"/>
      <w:r w:rsidRPr="007F2054">
        <w:rPr>
          <w:rFonts w:ascii="Times New Roman" w:eastAsia="Times New Roman" w:hAnsi="Times New Roman" w:cs="Times New Roman"/>
        </w:rPr>
        <w:t xml:space="preserve">) TIMI (angl. </w:t>
      </w:r>
      <w:proofErr w:type="spellStart"/>
      <w:r w:rsidRPr="007F2054">
        <w:rPr>
          <w:rFonts w:ascii="Times New Roman" w:eastAsia="Times New Roman" w:hAnsi="Times New Roman" w:cs="Times New Roman"/>
          <w:i/>
          <w:iCs/>
        </w:rPr>
        <w:t>Thrombolysis</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In</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Myocardial</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Infarction</w:t>
      </w:r>
      <w:proofErr w:type="spellEnd"/>
      <w:r w:rsidRPr="007F2054">
        <w:rPr>
          <w:rFonts w:ascii="Times New Roman" w:eastAsia="Times New Roman" w:hAnsi="Times New Roman" w:cs="Times New Roman"/>
        </w:rPr>
        <w:t xml:space="preserve">)]) dažnio rodiklis rivaroksabanu gydomiems pacientams buvo didesnis nei gavusiems placebo (žr. 6 lentelę). Vis tik mirtinų kraujavimo reiškinių, </w:t>
      </w:r>
      <w:proofErr w:type="spellStart"/>
      <w:r w:rsidRPr="007F2054">
        <w:rPr>
          <w:rFonts w:ascii="Times New Roman" w:eastAsia="Times New Roman" w:hAnsi="Times New Roman" w:cs="Times New Roman"/>
        </w:rPr>
        <w:t>hipotenzijos</w:t>
      </w:r>
      <w:proofErr w:type="spellEnd"/>
      <w:r w:rsidRPr="007F2054">
        <w:rPr>
          <w:rFonts w:ascii="Times New Roman" w:eastAsia="Times New Roman" w:hAnsi="Times New Roman" w:cs="Times New Roman"/>
        </w:rPr>
        <w:t xml:space="preserve">, kurią reikėjo gydyti intraveniniais </w:t>
      </w:r>
      <w:proofErr w:type="spellStart"/>
      <w:r w:rsidRPr="007F2054">
        <w:rPr>
          <w:rFonts w:ascii="Times New Roman" w:eastAsia="Times New Roman" w:hAnsi="Times New Roman" w:cs="Times New Roman"/>
        </w:rPr>
        <w:t>inotropiniais</w:t>
      </w:r>
      <w:proofErr w:type="spellEnd"/>
      <w:r w:rsidRPr="007F2054">
        <w:rPr>
          <w:rFonts w:ascii="Times New Roman" w:eastAsia="Times New Roman" w:hAnsi="Times New Roman" w:cs="Times New Roman"/>
        </w:rPr>
        <w:t xml:space="preserve"> preparatais, ir chirurginės intervencijos, kuri taikyta dėl besitęsiančio kraujavimo, dažnio rodikliai rivaroksabano ir placebo vartojusiems tiriamiesiems buvo panašūs.</w:t>
      </w:r>
    </w:p>
    <w:p w14:paraId="7E8B34C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5 lentelėje pateikti veiksmingumo rezultatai, gydant pacientus, kuriems atliekama </w:t>
      </w:r>
      <w:proofErr w:type="spellStart"/>
      <w:r w:rsidRPr="007F2054">
        <w:rPr>
          <w:rFonts w:ascii="Times New Roman" w:eastAsia="Times New Roman" w:hAnsi="Times New Roman" w:cs="Times New Roman"/>
        </w:rPr>
        <w:t>perkutaninė</w:t>
      </w:r>
      <w:proofErr w:type="spellEnd"/>
      <w:r w:rsidRPr="007F2054">
        <w:rPr>
          <w:rFonts w:ascii="Times New Roman" w:eastAsia="Times New Roman" w:hAnsi="Times New Roman" w:cs="Times New Roman"/>
        </w:rPr>
        <w:t xml:space="preserve"> koronarinė intervencija (PKI). Šiame PKI pacientų pogrupyje saugumo rezultatai buvo panašūs į bendrus saugumo rezultatus.</w:t>
      </w:r>
    </w:p>
    <w:p w14:paraId="3D7540D0" w14:textId="160A835D"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Insulto / PSIP anksčiau nepatyrę pacientai, kuriems buvo padidėję biologiniai žymenys (</w:t>
      </w:r>
      <w:proofErr w:type="spellStart"/>
      <w:r w:rsidRPr="007F2054">
        <w:rPr>
          <w:rFonts w:ascii="Times New Roman" w:eastAsia="Times New Roman" w:hAnsi="Times New Roman" w:cs="Times New Roman"/>
        </w:rPr>
        <w:t>troponinas</w:t>
      </w:r>
      <w:proofErr w:type="spellEnd"/>
      <w:r w:rsidRPr="007F2054">
        <w:rPr>
          <w:rFonts w:ascii="Times New Roman" w:eastAsia="Times New Roman" w:hAnsi="Times New Roman" w:cs="Times New Roman"/>
        </w:rPr>
        <w:t xml:space="preserve"> arba </w:t>
      </w:r>
      <w:proofErr w:type="spellStart"/>
      <w:r w:rsidRPr="007F2054">
        <w:rPr>
          <w:rFonts w:ascii="Times New Roman" w:eastAsia="Times New Roman" w:hAnsi="Times New Roman" w:cs="Times New Roman"/>
        </w:rPr>
        <w:t>kreatinkinazės</w:t>
      </w:r>
      <w:proofErr w:type="spellEnd"/>
      <w:r w:rsidRPr="007F2054">
        <w:rPr>
          <w:rFonts w:ascii="Times New Roman" w:eastAsia="Times New Roman" w:hAnsi="Times New Roman" w:cs="Times New Roman"/>
        </w:rPr>
        <w:t xml:space="preserve"> širdies </w:t>
      </w:r>
      <w:proofErr w:type="spellStart"/>
      <w:r w:rsidRPr="007F2054">
        <w:rPr>
          <w:rFonts w:ascii="Times New Roman" w:eastAsia="Times New Roman" w:hAnsi="Times New Roman" w:cs="Times New Roman"/>
        </w:rPr>
        <w:t>izofermentas</w:t>
      </w:r>
      <w:proofErr w:type="spellEnd"/>
      <w:r w:rsidRPr="007F2054">
        <w:rPr>
          <w:rFonts w:ascii="Times New Roman" w:eastAsia="Times New Roman" w:hAnsi="Times New Roman" w:cs="Times New Roman"/>
        </w:rPr>
        <w:t>, CK–MB), sudarė 80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tyrimo populiacijos. Šios pacientų grupės rezultatai irgi atitiko bendrus veiksmingumo ir saugumo rezultatus.</w:t>
      </w:r>
    </w:p>
    <w:p w14:paraId="70B6A9F7" w14:textId="77777777" w:rsidR="00B06B20" w:rsidRPr="007F2054" w:rsidRDefault="00B06B20" w:rsidP="00D61A12">
      <w:pPr>
        <w:widowControl w:val="0"/>
        <w:autoSpaceDE w:val="0"/>
        <w:autoSpaceDN w:val="0"/>
        <w:spacing w:after="0" w:line="240" w:lineRule="auto"/>
        <w:rPr>
          <w:rFonts w:ascii="Times New Roman" w:eastAsia="Times New Roman" w:hAnsi="Times New Roman" w:cs="Times New Roman"/>
        </w:rPr>
      </w:pPr>
    </w:p>
    <w:p w14:paraId="6334179F" w14:textId="77777777" w:rsidR="00B06B20" w:rsidRPr="00B06B20" w:rsidRDefault="00B06B20" w:rsidP="00B06B20">
      <w:pPr>
        <w:widowControl w:val="0"/>
        <w:spacing w:after="0" w:line="240" w:lineRule="auto"/>
        <w:rPr>
          <w:rFonts w:ascii="Times New Roman" w:eastAsia="Times New Roman" w:hAnsi="Times New Roman" w:cs="Times New Roman"/>
          <w:b/>
          <w:bCs/>
          <w:lang w:eastAsia="pl-PL"/>
        </w:rPr>
      </w:pPr>
      <w:r w:rsidRPr="00B06B20">
        <w:rPr>
          <w:rFonts w:ascii="Times New Roman" w:eastAsia="Times New Roman" w:hAnsi="Times New Roman" w:cs="Times New Roman"/>
          <w:b/>
          <w:bCs/>
          <w:lang w:eastAsia="pl-PL"/>
        </w:rPr>
        <w:t xml:space="preserve">4 lentelė. Veiksmingumo rezultatai, gauti III fazės </w:t>
      </w:r>
      <w:r w:rsidRPr="00B06B20">
        <w:rPr>
          <w:rFonts w:ascii="Times New Roman" w:eastAsia="Calibri" w:hAnsi="Times New Roman" w:cs="Times New Roman"/>
          <w:b/>
          <w:lang w:eastAsia="pl-PL"/>
        </w:rPr>
        <w:t>ATLAS ŪKS 2 TIMI 51</w:t>
      </w:r>
      <w:r w:rsidRPr="00B06B20">
        <w:rPr>
          <w:rFonts w:ascii="Times New Roman" w:eastAsia="Times New Roman" w:hAnsi="Times New Roman" w:cs="Times New Roman"/>
          <w:b/>
          <w:bCs/>
          <w:lang w:eastAsia="pl-PL"/>
        </w:rPr>
        <w:t xml:space="preserve"> tyrimo metu</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4394"/>
        <w:gridCol w:w="2182"/>
      </w:tblGrid>
      <w:tr w:rsidR="00B06B20" w:rsidRPr="00B06B20" w14:paraId="4F0B3243" w14:textId="77777777" w:rsidTr="00B06B20">
        <w:trPr>
          <w:tblHeader/>
        </w:trPr>
        <w:tc>
          <w:tcPr>
            <w:tcW w:w="3080" w:type="dxa"/>
            <w:shd w:val="clear" w:color="auto" w:fill="auto"/>
          </w:tcPr>
          <w:p w14:paraId="54207D0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Tyrimo populiacija</w:t>
            </w:r>
          </w:p>
        </w:tc>
        <w:tc>
          <w:tcPr>
            <w:tcW w:w="6576" w:type="dxa"/>
            <w:gridSpan w:val="2"/>
            <w:shd w:val="clear" w:color="auto" w:fill="auto"/>
          </w:tcPr>
          <w:p w14:paraId="7D696316"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 xml:space="preserve">Pacientai, kurie neseniai patyrė ūminį koronarinį sindromą </w:t>
            </w:r>
            <w:r w:rsidRPr="00B06B20">
              <w:rPr>
                <w:rFonts w:ascii="Times New Roman" w:eastAsia="Times New Roman" w:hAnsi="Times New Roman" w:cs="Times New Roman"/>
                <w:b/>
                <w:iCs/>
                <w:vertAlign w:val="superscript"/>
                <w:lang w:eastAsia="lt-LT"/>
              </w:rPr>
              <w:t>a)</w:t>
            </w:r>
          </w:p>
        </w:tc>
      </w:tr>
      <w:tr w:rsidR="00B06B20" w:rsidRPr="00B06B20" w14:paraId="091D7768" w14:textId="77777777" w:rsidTr="00B06B20">
        <w:tc>
          <w:tcPr>
            <w:tcW w:w="3080" w:type="dxa"/>
            <w:shd w:val="clear" w:color="auto" w:fill="auto"/>
          </w:tcPr>
          <w:p w14:paraId="7B940423"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 xml:space="preserve">Vaistinių preparatų dozavimas </w:t>
            </w:r>
          </w:p>
        </w:tc>
        <w:tc>
          <w:tcPr>
            <w:tcW w:w="4394" w:type="dxa"/>
            <w:shd w:val="clear" w:color="auto" w:fill="auto"/>
          </w:tcPr>
          <w:p w14:paraId="4400A06B" w14:textId="77777777"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Rivaroksabanas po 2,5 mg du kartus per parą,</w:t>
            </w:r>
          </w:p>
          <w:p w14:paraId="207794F5" w14:textId="4C228190"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 5</w:t>
            </w:r>
            <w:r w:rsidR="00D651AA">
              <w:rPr>
                <w:rFonts w:ascii="Times New Roman" w:eastAsia="Times New Roman" w:hAnsi="Times New Roman" w:cs="Times New Roman"/>
                <w:b/>
                <w:iCs/>
                <w:lang w:eastAsia="lt-LT"/>
              </w:rPr>
              <w:t> </w:t>
            </w:r>
            <w:r w:rsidRPr="00B06B20">
              <w:rPr>
                <w:rFonts w:ascii="Times New Roman" w:eastAsia="Times New Roman" w:hAnsi="Times New Roman" w:cs="Times New Roman"/>
                <w:b/>
                <w:iCs/>
                <w:lang w:eastAsia="lt-LT"/>
              </w:rPr>
              <w:t>114</w:t>
            </w:r>
          </w:p>
          <w:p w14:paraId="2358CEE1" w14:textId="269A3899"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w:t>
            </w:r>
          </w:p>
          <w:p w14:paraId="786F9DB6" w14:textId="38E1EC0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Rizikos santykis (RS) (95</w:t>
            </w:r>
            <w:r w:rsidR="00C338A4" w:rsidRPr="007F2054">
              <w:rPr>
                <w:rFonts w:ascii="Times New Roman" w:eastAsia="Times New Roman" w:hAnsi="Times New Roman" w:cs="Times New Roman"/>
                <w:b/>
                <w:iCs/>
                <w:lang w:eastAsia="lt-LT"/>
              </w:rPr>
              <w:t> %</w:t>
            </w:r>
            <w:r w:rsidRPr="00B06B20">
              <w:rPr>
                <w:rFonts w:ascii="Times New Roman" w:eastAsia="Times New Roman" w:hAnsi="Times New Roman" w:cs="Times New Roman"/>
                <w:b/>
                <w:iCs/>
                <w:lang w:eastAsia="lt-LT"/>
              </w:rPr>
              <w:t> PI)</w:t>
            </w:r>
            <w:r w:rsidRPr="007F2054">
              <w:rPr>
                <w:rFonts w:ascii="Times New Roman" w:eastAsia="Times New Roman" w:hAnsi="Times New Roman" w:cs="Times New Roman"/>
                <w:b/>
                <w:iCs/>
                <w:lang w:eastAsia="lt-LT"/>
              </w:rPr>
              <w:t xml:space="preserve"> </w:t>
            </w:r>
            <w:r w:rsidRPr="00B06B20">
              <w:rPr>
                <w:rFonts w:ascii="Times New Roman" w:eastAsia="Times New Roman" w:hAnsi="Times New Roman" w:cs="Times New Roman"/>
                <w:b/>
                <w:iCs/>
                <w:lang w:eastAsia="lt-LT"/>
              </w:rPr>
              <w:t xml:space="preserve">p-reikšmė </w:t>
            </w:r>
            <w:r w:rsidRPr="00B06B20">
              <w:rPr>
                <w:rFonts w:ascii="Times New Roman" w:eastAsia="Times New Roman" w:hAnsi="Times New Roman" w:cs="Times New Roman"/>
                <w:b/>
                <w:iCs/>
                <w:vertAlign w:val="superscript"/>
                <w:lang w:eastAsia="lt-LT"/>
              </w:rPr>
              <w:t>b</w:t>
            </w:r>
            <w:r w:rsidRPr="00B06B20">
              <w:rPr>
                <w:rFonts w:ascii="Times New Roman" w:eastAsia="Times New Roman" w:hAnsi="Times New Roman" w:cs="Times New Roman"/>
                <w:b/>
                <w:iCs/>
                <w:lang w:eastAsia="lt-LT"/>
              </w:rPr>
              <w:t>)</w:t>
            </w:r>
          </w:p>
        </w:tc>
        <w:tc>
          <w:tcPr>
            <w:tcW w:w="2182" w:type="dxa"/>
            <w:shd w:val="clear" w:color="auto" w:fill="auto"/>
          </w:tcPr>
          <w:p w14:paraId="4B8C04BF" w14:textId="77777777"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Placebas</w:t>
            </w:r>
          </w:p>
          <w:p w14:paraId="6523031B" w14:textId="77777777"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p>
          <w:p w14:paraId="351AB1B0" w14:textId="01CC11EE" w:rsidR="00B06B20"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 5</w:t>
            </w:r>
            <w:r w:rsidR="00D651AA">
              <w:rPr>
                <w:rFonts w:ascii="Times New Roman" w:eastAsia="Times New Roman" w:hAnsi="Times New Roman" w:cs="Times New Roman"/>
                <w:b/>
                <w:iCs/>
                <w:lang w:eastAsia="lt-LT"/>
              </w:rPr>
              <w:t> </w:t>
            </w:r>
            <w:r w:rsidRPr="00B06B20">
              <w:rPr>
                <w:rFonts w:ascii="Times New Roman" w:eastAsia="Times New Roman" w:hAnsi="Times New Roman" w:cs="Times New Roman"/>
                <w:b/>
                <w:iCs/>
                <w:lang w:eastAsia="lt-LT"/>
              </w:rPr>
              <w:t xml:space="preserve">113 n </w:t>
            </w:r>
          </w:p>
          <w:p w14:paraId="6D0237A4" w14:textId="057A04E6"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w:t>
            </w:r>
          </w:p>
        </w:tc>
      </w:tr>
      <w:tr w:rsidR="00B06B20" w:rsidRPr="00B06B20" w14:paraId="208350B9" w14:textId="77777777" w:rsidTr="00B06B20">
        <w:tc>
          <w:tcPr>
            <w:tcW w:w="3080" w:type="dxa"/>
            <w:shd w:val="clear" w:color="auto" w:fill="auto"/>
          </w:tcPr>
          <w:p w14:paraId="4A7A88C1"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nuo širdies ir kraujagyslių ligų, miokardo infarktas arba insultas</w:t>
            </w:r>
          </w:p>
        </w:tc>
        <w:tc>
          <w:tcPr>
            <w:tcW w:w="4394" w:type="dxa"/>
            <w:shd w:val="clear" w:color="auto" w:fill="auto"/>
          </w:tcPr>
          <w:p w14:paraId="59DD21E3" w14:textId="5E281C3C"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313 (6</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1</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w:t>
            </w:r>
          </w:p>
          <w:p w14:paraId="1369F023" w14:textId="0CD884CC"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D651AA">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84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72, 0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97) p = 0</w:t>
            </w:r>
            <w:r w:rsidR="0022454A"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020* </w:t>
            </w:r>
          </w:p>
        </w:tc>
        <w:tc>
          <w:tcPr>
            <w:tcW w:w="2182" w:type="dxa"/>
            <w:shd w:val="clear" w:color="auto" w:fill="auto"/>
          </w:tcPr>
          <w:p w14:paraId="622E2D0E" w14:textId="20F9D56E"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376 (7</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4</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4452056D" w14:textId="77777777" w:rsidTr="00B06B20">
        <w:tc>
          <w:tcPr>
            <w:tcW w:w="3080" w:type="dxa"/>
            <w:shd w:val="clear" w:color="auto" w:fill="auto"/>
          </w:tcPr>
          <w:p w14:paraId="68BC8C7E"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dėl bet kokios priežasties, miokardo infarktas arba insultas</w:t>
            </w:r>
          </w:p>
        </w:tc>
        <w:tc>
          <w:tcPr>
            <w:tcW w:w="4394" w:type="dxa"/>
            <w:shd w:val="clear" w:color="auto" w:fill="auto"/>
          </w:tcPr>
          <w:p w14:paraId="24669BF6" w14:textId="0B4048AF"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320 (6</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0F79EC36" w14:textId="0CBE7E3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83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72, 0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97) p = 0</w:t>
            </w:r>
            <w:r w:rsidR="0022454A"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016* </w:t>
            </w:r>
          </w:p>
        </w:tc>
        <w:tc>
          <w:tcPr>
            <w:tcW w:w="2182" w:type="dxa"/>
            <w:shd w:val="clear" w:color="auto" w:fill="auto"/>
          </w:tcPr>
          <w:p w14:paraId="53677DCD" w14:textId="3FA8A06D"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386 (7</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201DA670" w14:textId="77777777" w:rsidTr="00B06B20">
        <w:tc>
          <w:tcPr>
            <w:tcW w:w="3080" w:type="dxa"/>
            <w:shd w:val="clear" w:color="auto" w:fill="auto"/>
          </w:tcPr>
          <w:p w14:paraId="19A70C4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nuo širdies ir kraujagyslių ligų</w:t>
            </w:r>
          </w:p>
        </w:tc>
        <w:tc>
          <w:tcPr>
            <w:tcW w:w="4394" w:type="dxa"/>
            <w:shd w:val="clear" w:color="auto" w:fill="auto"/>
          </w:tcPr>
          <w:p w14:paraId="388EC5ED" w14:textId="1FFE527A"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94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584BEF89" w14:textId="09B6944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66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51, 0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86) p = 0</w:t>
            </w:r>
            <w:r w:rsidR="0022454A"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002** </w:t>
            </w:r>
          </w:p>
        </w:tc>
        <w:tc>
          <w:tcPr>
            <w:tcW w:w="2182" w:type="dxa"/>
            <w:shd w:val="clear" w:color="auto" w:fill="auto"/>
          </w:tcPr>
          <w:p w14:paraId="74313DD2" w14:textId="229B5E99"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143 (2</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4E0515D9" w14:textId="77777777" w:rsidTr="00B06B20">
        <w:tc>
          <w:tcPr>
            <w:tcW w:w="3080" w:type="dxa"/>
            <w:shd w:val="clear" w:color="auto" w:fill="auto"/>
          </w:tcPr>
          <w:p w14:paraId="2C86E7FC"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dėl bet kokios priežasties</w:t>
            </w:r>
          </w:p>
        </w:tc>
        <w:tc>
          <w:tcPr>
            <w:tcW w:w="4394" w:type="dxa"/>
            <w:shd w:val="clear" w:color="auto" w:fill="auto"/>
          </w:tcPr>
          <w:p w14:paraId="4E7E8B75" w14:textId="432C9D6A"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103 (2</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67B8EA55" w14:textId="178121D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68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53, 0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87) p = 0</w:t>
            </w:r>
            <w:r w:rsidR="0022454A"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002** </w:t>
            </w:r>
          </w:p>
        </w:tc>
        <w:tc>
          <w:tcPr>
            <w:tcW w:w="2182" w:type="dxa"/>
            <w:shd w:val="clear" w:color="auto" w:fill="auto"/>
          </w:tcPr>
          <w:p w14:paraId="3C02AF1F" w14:textId="09BEB4DE"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153 (3</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5CFDE065" w14:textId="77777777" w:rsidTr="00B06B20">
        <w:tc>
          <w:tcPr>
            <w:tcW w:w="3080" w:type="dxa"/>
            <w:shd w:val="clear" w:color="auto" w:fill="auto"/>
          </w:tcPr>
          <w:p w14:paraId="3423FAA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 xml:space="preserve">Miokardo infarktas </w:t>
            </w:r>
          </w:p>
        </w:tc>
        <w:tc>
          <w:tcPr>
            <w:tcW w:w="4394" w:type="dxa"/>
            <w:shd w:val="clear" w:color="auto" w:fill="auto"/>
          </w:tcPr>
          <w:p w14:paraId="6353A3D2" w14:textId="0E5EA4D5"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205 (4</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1AC09040" w14:textId="0DBA71F1"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90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.75,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09) p = 0</w:t>
            </w:r>
            <w:r w:rsidR="0022454A"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270 </w:t>
            </w:r>
          </w:p>
        </w:tc>
        <w:tc>
          <w:tcPr>
            <w:tcW w:w="2182" w:type="dxa"/>
            <w:shd w:val="clear" w:color="auto" w:fill="auto"/>
          </w:tcPr>
          <w:p w14:paraId="686A9C5F" w14:textId="1B796168"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229 (4</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2A5DC7CF" w14:textId="77777777" w:rsidTr="00B06B20">
        <w:tc>
          <w:tcPr>
            <w:tcW w:w="3080" w:type="dxa"/>
            <w:shd w:val="clear" w:color="auto" w:fill="auto"/>
          </w:tcPr>
          <w:p w14:paraId="12967483"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Insultas</w:t>
            </w:r>
          </w:p>
        </w:tc>
        <w:tc>
          <w:tcPr>
            <w:tcW w:w="4394" w:type="dxa"/>
            <w:shd w:val="clear" w:color="auto" w:fill="auto"/>
          </w:tcPr>
          <w:p w14:paraId="310075B2" w14:textId="3967723F"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46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79AFF8AA" w14:textId="143B4946"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13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74, 1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73)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562 </w:t>
            </w:r>
          </w:p>
        </w:tc>
        <w:tc>
          <w:tcPr>
            <w:tcW w:w="2182" w:type="dxa"/>
            <w:shd w:val="clear" w:color="auto" w:fill="auto"/>
          </w:tcPr>
          <w:p w14:paraId="6EE38B24" w14:textId="405B1859"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41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6642663B" w14:textId="77777777" w:rsidTr="00B06B20">
        <w:tc>
          <w:tcPr>
            <w:tcW w:w="3080" w:type="dxa"/>
            <w:shd w:val="clear" w:color="auto" w:fill="auto"/>
          </w:tcPr>
          <w:p w14:paraId="6AC7210B"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proofErr w:type="spellStart"/>
            <w:r w:rsidRPr="00B06B20">
              <w:rPr>
                <w:rFonts w:ascii="Times New Roman" w:eastAsia="Times New Roman" w:hAnsi="Times New Roman" w:cs="Times New Roman"/>
                <w:iCs/>
                <w:lang w:eastAsia="lt-LT"/>
              </w:rPr>
              <w:t>Stento</w:t>
            </w:r>
            <w:proofErr w:type="spellEnd"/>
            <w:r w:rsidRPr="00B06B20">
              <w:rPr>
                <w:rFonts w:ascii="Times New Roman" w:eastAsia="Times New Roman" w:hAnsi="Times New Roman" w:cs="Times New Roman"/>
                <w:iCs/>
                <w:lang w:eastAsia="lt-LT"/>
              </w:rPr>
              <w:t xml:space="preserve"> trombozė </w:t>
            </w:r>
          </w:p>
        </w:tc>
        <w:tc>
          <w:tcPr>
            <w:tcW w:w="4394" w:type="dxa"/>
            <w:shd w:val="clear" w:color="auto" w:fill="auto"/>
          </w:tcPr>
          <w:p w14:paraId="744BA2D2" w14:textId="04768E5F"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61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2</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14B24E00" w14:textId="303F6068"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70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51, 0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97)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033** </w:t>
            </w:r>
          </w:p>
        </w:tc>
        <w:tc>
          <w:tcPr>
            <w:tcW w:w="2182" w:type="dxa"/>
            <w:shd w:val="clear" w:color="auto" w:fill="auto"/>
          </w:tcPr>
          <w:p w14:paraId="17670548" w14:textId="6C6FAE7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87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bl>
    <w:p w14:paraId="28E04AB3"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sz w:val="20"/>
          <w:szCs w:val="20"/>
          <w:lang w:eastAsia="lt-LT"/>
        </w:rPr>
      </w:pPr>
      <w:r w:rsidRPr="00B06B20">
        <w:rPr>
          <w:rFonts w:ascii="Times New Roman" w:eastAsia="Times New Roman" w:hAnsi="Times New Roman" w:cs="Times New Roman"/>
          <w:iCs/>
          <w:sz w:val="20"/>
          <w:szCs w:val="20"/>
          <w:lang w:eastAsia="lt-LT"/>
        </w:rPr>
        <w:lastRenderedPageBreak/>
        <w:t xml:space="preserve">a) modifikuota ketinimo gydyti tiriamoji grupė (visa ketinimo gydyti nuo </w:t>
      </w:r>
      <w:proofErr w:type="spellStart"/>
      <w:r w:rsidRPr="00B06B20">
        <w:rPr>
          <w:rFonts w:ascii="Times New Roman" w:eastAsia="Times New Roman" w:hAnsi="Times New Roman" w:cs="Times New Roman"/>
          <w:iCs/>
          <w:sz w:val="20"/>
          <w:szCs w:val="20"/>
          <w:lang w:eastAsia="lt-LT"/>
        </w:rPr>
        <w:t>stento</w:t>
      </w:r>
      <w:proofErr w:type="spellEnd"/>
      <w:r w:rsidRPr="00B06B20">
        <w:rPr>
          <w:rFonts w:ascii="Times New Roman" w:eastAsia="Times New Roman" w:hAnsi="Times New Roman" w:cs="Times New Roman"/>
          <w:iCs/>
          <w:sz w:val="20"/>
          <w:szCs w:val="20"/>
          <w:lang w:eastAsia="lt-LT"/>
        </w:rPr>
        <w:t xml:space="preserve"> trombozės tiriamoji grupė)</w:t>
      </w:r>
    </w:p>
    <w:p w14:paraId="3F9E73BE"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sz w:val="20"/>
          <w:szCs w:val="20"/>
          <w:lang w:eastAsia="lt-LT"/>
        </w:rPr>
      </w:pPr>
      <w:r w:rsidRPr="00B06B20">
        <w:rPr>
          <w:rFonts w:ascii="Times New Roman" w:eastAsia="Times New Roman" w:hAnsi="Times New Roman" w:cs="Times New Roman"/>
          <w:iCs/>
          <w:sz w:val="20"/>
          <w:szCs w:val="20"/>
          <w:lang w:eastAsia="lt-LT"/>
        </w:rPr>
        <w:t xml:space="preserve">b) palyginti su </w:t>
      </w:r>
      <w:proofErr w:type="spellStart"/>
      <w:r w:rsidRPr="00B06B20">
        <w:rPr>
          <w:rFonts w:ascii="Times New Roman" w:eastAsia="Times New Roman" w:hAnsi="Times New Roman" w:cs="Times New Roman"/>
          <w:iCs/>
          <w:sz w:val="20"/>
          <w:szCs w:val="20"/>
          <w:lang w:eastAsia="lt-LT"/>
        </w:rPr>
        <w:t>placebu</w:t>
      </w:r>
      <w:proofErr w:type="spellEnd"/>
      <w:r w:rsidRPr="00B06B20">
        <w:rPr>
          <w:rFonts w:ascii="Times New Roman" w:eastAsia="Times New Roman" w:hAnsi="Times New Roman" w:cs="Times New Roman"/>
          <w:iCs/>
          <w:sz w:val="20"/>
          <w:szCs w:val="20"/>
          <w:lang w:eastAsia="lt-LT"/>
        </w:rPr>
        <w:t xml:space="preserve">; </w:t>
      </w:r>
      <w:proofErr w:type="spellStart"/>
      <w:r w:rsidRPr="00B06B20">
        <w:rPr>
          <w:rFonts w:ascii="Times New Roman" w:eastAsia="Times New Roman" w:hAnsi="Times New Roman" w:cs="Times New Roman"/>
          <w:iCs/>
          <w:sz w:val="20"/>
          <w:szCs w:val="20"/>
          <w:lang w:eastAsia="lt-LT"/>
        </w:rPr>
        <w:t>Log-Rank</w:t>
      </w:r>
      <w:proofErr w:type="spellEnd"/>
      <w:r w:rsidRPr="00B06B20">
        <w:rPr>
          <w:rFonts w:ascii="Times New Roman" w:eastAsia="Times New Roman" w:hAnsi="Times New Roman" w:cs="Times New Roman"/>
          <w:iCs/>
          <w:sz w:val="20"/>
          <w:szCs w:val="20"/>
          <w:lang w:eastAsia="lt-LT"/>
        </w:rPr>
        <w:t xml:space="preserve"> p vertė</w:t>
      </w:r>
    </w:p>
    <w:p w14:paraId="3CCB1B23"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sz w:val="20"/>
          <w:szCs w:val="20"/>
          <w:lang w:eastAsia="lt-LT"/>
        </w:rPr>
      </w:pPr>
      <w:r w:rsidRPr="00B06B20">
        <w:rPr>
          <w:rFonts w:ascii="Times New Roman" w:eastAsia="Times New Roman" w:hAnsi="Times New Roman" w:cs="Times New Roman"/>
          <w:iCs/>
          <w:sz w:val="20"/>
          <w:szCs w:val="20"/>
          <w:lang w:eastAsia="lt-LT"/>
        </w:rPr>
        <w:t>* statistiškai viršijantis</w:t>
      </w:r>
    </w:p>
    <w:p w14:paraId="56DCE2C2"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sz w:val="20"/>
          <w:szCs w:val="20"/>
          <w:lang w:eastAsia="lt-LT"/>
        </w:rPr>
      </w:pPr>
      <w:r w:rsidRPr="00B06B20">
        <w:rPr>
          <w:rFonts w:ascii="Times New Roman" w:eastAsia="Times New Roman" w:hAnsi="Times New Roman" w:cs="Times New Roman"/>
          <w:iCs/>
          <w:sz w:val="20"/>
          <w:szCs w:val="20"/>
          <w:lang w:eastAsia="lt-LT"/>
        </w:rPr>
        <w:t>** nominaliai reikšmingas</w:t>
      </w:r>
    </w:p>
    <w:p w14:paraId="335EF36E" w14:textId="40DE1951" w:rsidR="00B06B20" w:rsidRPr="007F2054" w:rsidRDefault="00B06B20"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35815888"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5 lentelė. Veiksmingumo rezultatai, gauti III fazės ATLAS ŪKS 2 TIMI 51 tyrimo metu pacientams, kuriems atliekama PKI</w:t>
      </w:r>
    </w:p>
    <w:p w14:paraId="237E0B39" w14:textId="395E8192" w:rsidR="00B06B20" w:rsidRPr="007F2054" w:rsidRDefault="00B06B20"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199"/>
        <w:gridCol w:w="2270"/>
      </w:tblGrid>
      <w:tr w:rsidR="00B06B20" w:rsidRPr="00B06B20" w14:paraId="13C24912" w14:textId="77777777" w:rsidTr="00117DC2">
        <w:tc>
          <w:tcPr>
            <w:tcW w:w="2439" w:type="dxa"/>
            <w:shd w:val="clear" w:color="auto" w:fill="auto"/>
          </w:tcPr>
          <w:p w14:paraId="196250F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Tyrimo populiacija</w:t>
            </w:r>
          </w:p>
        </w:tc>
        <w:tc>
          <w:tcPr>
            <w:tcW w:w="6469" w:type="dxa"/>
            <w:gridSpan w:val="2"/>
            <w:shd w:val="clear" w:color="auto" w:fill="auto"/>
          </w:tcPr>
          <w:p w14:paraId="6BC8DC8F"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 xml:space="preserve">Neseniai ūminį koronarinį sindromą patyrę pacientai, kuriems taikoma PKI </w:t>
            </w:r>
            <w:r w:rsidRPr="00B06B20">
              <w:rPr>
                <w:rFonts w:ascii="Times New Roman" w:eastAsia="Times New Roman" w:hAnsi="Times New Roman" w:cs="Times New Roman"/>
                <w:b/>
                <w:iCs/>
                <w:vertAlign w:val="superscript"/>
                <w:lang w:eastAsia="lt-LT"/>
              </w:rPr>
              <w:t>a)</w:t>
            </w:r>
          </w:p>
        </w:tc>
      </w:tr>
      <w:tr w:rsidR="00B06B20" w:rsidRPr="00B06B20" w14:paraId="173BA5BF" w14:textId="77777777" w:rsidTr="00117DC2">
        <w:tc>
          <w:tcPr>
            <w:tcW w:w="2439" w:type="dxa"/>
            <w:shd w:val="clear" w:color="auto" w:fill="auto"/>
          </w:tcPr>
          <w:p w14:paraId="1F79F96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 xml:space="preserve">Vaistinių preparatų dozavimas </w:t>
            </w:r>
          </w:p>
        </w:tc>
        <w:tc>
          <w:tcPr>
            <w:tcW w:w="4199" w:type="dxa"/>
            <w:shd w:val="clear" w:color="auto" w:fill="auto"/>
          </w:tcPr>
          <w:p w14:paraId="325B6457" w14:textId="77777777" w:rsidR="00117DC2"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Rivaroksabanas po 2,5 mg du kartus per parą</w:t>
            </w:r>
          </w:p>
          <w:p w14:paraId="05A4B88A" w14:textId="77777777" w:rsidR="00117DC2"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 3114</w:t>
            </w:r>
          </w:p>
          <w:p w14:paraId="412D5BF6" w14:textId="77777777" w:rsidR="00117DC2" w:rsidRPr="007F2054"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w:t>
            </w:r>
          </w:p>
          <w:p w14:paraId="2561B14C" w14:textId="46414BC1"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RS (95</w:t>
            </w:r>
            <w:r w:rsidR="00C338A4" w:rsidRPr="007F2054">
              <w:rPr>
                <w:rFonts w:ascii="Times New Roman" w:eastAsia="Times New Roman" w:hAnsi="Times New Roman" w:cs="Times New Roman"/>
                <w:b/>
                <w:iCs/>
                <w:lang w:eastAsia="lt-LT"/>
              </w:rPr>
              <w:t> %</w:t>
            </w:r>
            <w:r w:rsidRPr="00B06B20">
              <w:rPr>
                <w:rFonts w:ascii="Times New Roman" w:eastAsia="Times New Roman" w:hAnsi="Times New Roman" w:cs="Times New Roman"/>
                <w:b/>
                <w:iCs/>
                <w:lang w:eastAsia="lt-LT"/>
              </w:rPr>
              <w:t> PI) p-reikšmė</w:t>
            </w:r>
            <w:r w:rsidRPr="00B06B20">
              <w:rPr>
                <w:rFonts w:ascii="Times New Roman" w:eastAsia="Times New Roman" w:hAnsi="Times New Roman" w:cs="Times New Roman"/>
                <w:b/>
                <w:iCs/>
                <w:vertAlign w:val="superscript"/>
                <w:lang w:eastAsia="lt-LT"/>
              </w:rPr>
              <w:t>b</w:t>
            </w:r>
            <w:r w:rsidRPr="00B06B20">
              <w:rPr>
                <w:rFonts w:ascii="Times New Roman" w:eastAsia="Times New Roman" w:hAnsi="Times New Roman" w:cs="Times New Roman"/>
                <w:b/>
                <w:iCs/>
                <w:lang w:eastAsia="lt-LT"/>
              </w:rPr>
              <w:t>)</w:t>
            </w:r>
          </w:p>
        </w:tc>
        <w:tc>
          <w:tcPr>
            <w:tcW w:w="2270" w:type="dxa"/>
            <w:shd w:val="clear" w:color="auto" w:fill="auto"/>
          </w:tcPr>
          <w:p w14:paraId="2FDB7206"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Placebas</w:t>
            </w:r>
          </w:p>
          <w:p w14:paraId="653FC67D" w14:textId="77777777" w:rsidR="00117DC2" w:rsidRPr="007F2054" w:rsidRDefault="00117DC2"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p>
          <w:p w14:paraId="10B2199D" w14:textId="6BD1A8A6"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 xml:space="preserve">N = 3096 </w:t>
            </w:r>
          </w:p>
          <w:p w14:paraId="1B8D4FD0"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B06B20">
              <w:rPr>
                <w:rFonts w:ascii="Times New Roman" w:eastAsia="Times New Roman" w:hAnsi="Times New Roman" w:cs="Times New Roman"/>
                <w:b/>
                <w:iCs/>
                <w:lang w:eastAsia="lt-LT"/>
              </w:rPr>
              <w:t>n (%)</w:t>
            </w:r>
          </w:p>
        </w:tc>
      </w:tr>
      <w:tr w:rsidR="00B06B20" w:rsidRPr="00B06B20" w14:paraId="4C9C4B06" w14:textId="77777777" w:rsidTr="00117DC2">
        <w:tc>
          <w:tcPr>
            <w:tcW w:w="2439" w:type="dxa"/>
            <w:shd w:val="clear" w:color="auto" w:fill="auto"/>
          </w:tcPr>
          <w:p w14:paraId="6652594A"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nuo širdies ir kraujagyslių ligų, miokardo infarktas arba insultas</w:t>
            </w:r>
          </w:p>
        </w:tc>
        <w:tc>
          <w:tcPr>
            <w:tcW w:w="4199" w:type="dxa"/>
            <w:shd w:val="clear" w:color="auto" w:fill="auto"/>
          </w:tcPr>
          <w:p w14:paraId="003861F9" w14:textId="00B7656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153 (4</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0E134B20" w14:textId="6791841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94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75, 1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17) p = 0.572 </w:t>
            </w:r>
          </w:p>
        </w:tc>
        <w:tc>
          <w:tcPr>
            <w:tcW w:w="2270" w:type="dxa"/>
            <w:shd w:val="clear" w:color="auto" w:fill="auto"/>
          </w:tcPr>
          <w:p w14:paraId="1535D0EA" w14:textId="4948FEEE"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165 (5</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2CCDD0EA" w14:textId="77777777" w:rsidTr="00117DC2">
        <w:tc>
          <w:tcPr>
            <w:tcW w:w="2439" w:type="dxa"/>
            <w:shd w:val="clear" w:color="auto" w:fill="auto"/>
          </w:tcPr>
          <w:p w14:paraId="22F7030C"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nuo širdies ir kraujagyslių ligų</w:t>
            </w:r>
          </w:p>
        </w:tc>
        <w:tc>
          <w:tcPr>
            <w:tcW w:w="4199" w:type="dxa"/>
            <w:shd w:val="clear" w:color="auto" w:fill="auto"/>
          </w:tcPr>
          <w:p w14:paraId="793CB58D" w14:textId="1E9D33C1"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24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290DEC64" w14:textId="658F58B3"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54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33, 0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89)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013** </w:t>
            </w:r>
          </w:p>
        </w:tc>
        <w:tc>
          <w:tcPr>
            <w:tcW w:w="2270" w:type="dxa"/>
            <w:shd w:val="clear" w:color="auto" w:fill="auto"/>
          </w:tcPr>
          <w:p w14:paraId="16329012" w14:textId="4BF0408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45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2B983A1F" w14:textId="77777777" w:rsidTr="00117DC2">
        <w:tc>
          <w:tcPr>
            <w:tcW w:w="2439" w:type="dxa"/>
            <w:shd w:val="clear" w:color="auto" w:fill="auto"/>
          </w:tcPr>
          <w:p w14:paraId="6ED47AB2"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Mirtis dėl bet kokios priežasties</w:t>
            </w:r>
          </w:p>
        </w:tc>
        <w:tc>
          <w:tcPr>
            <w:tcW w:w="4199" w:type="dxa"/>
            <w:shd w:val="clear" w:color="auto" w:fill="auto"/>
          </w:tcPr>
          <w:p w14:paraId="6873E8C3" w14:textId="1DFBF48D"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31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41B56279" w14:textId="7B8B1AF5"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64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41, 1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01)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053 </w:t>
            </w:r>
          </w:p>
        </w:tc>
        <w:tc>
          <w:tcPr>
            <w:tcW w:w="2270" w:type="dxa"/>
            <w:shd w:val="clear" w:color="auto" w:fill="auto"/>
          </w:tcPr>
          <w:p w14:paraId="668F896E" w14:textId="198392CD"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49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68304F6C" w14:textId="77777777" w:rsidTr="00117DC2">
        <w:tc>
          <w:tcPr>
            <w:tcW w:w="2439" w:type="dxa"/>
            <w:shd w:val="clear" w:color="auto" w:fill="auto"/>
          </w:tcPr>
          <w:p w14:paraId="09FA8617"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Miokardo infarktas</w:t>
            </w:r>
          </w:p>
        </w:tc>
        <w:tc>
          <w:tcPr>
            <w:tcW w:w="4199" w:type="dxa"/>
            <w:shd w:val="clear" w:color="auto" w:fill="auto"/>
          </w:tcPr>
          <w:p w14:paraId="6AF6D720" w14:textId="05FEF0CC"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115 (3</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1AA7DE5D" w14:textId="2156B570"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03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79, 1.33)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829 </w:t>
            </w:r>
          </w:p>
        </w:tc>
        <w:tc>
          <w:tcPr>
            <w:tcW w:w="2270" w:type="dxa"/>
            <w:shd w:val="clear" w:color="auto" w:fill="auto"/>
          </w:tcPr>
          <w:p w14:paraId="350A5374" w14:textId="61D2D468"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113 (3</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0C2FB4CC" w14:textId="77777777" w:rsidTr="00117DC2">
        <w:tc>
          <w:tcPr>
            <w:tcW w:w="2439" w:type="dxa"/>
            <w:shd w:val="clear" w:color="auto" w:fill="auto"/>
          </w:tcPr>
          <w:p w14:paraId="2063CA9D"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Insultas</w:t>
            </w:r>
          </w:p>
        </w:tc>
        <w:tc>
          <w:tcPr>
            <w:tcW w:w="4199" w:type="dxa"/>
            <w:shd w:val="clear" w:color="auto" w:fill="auto"/>
          </w:tcPr>
          <w:p w14:paraId="2F609D7C" w14:textId="4E052C2D"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27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28867D95" w14:textId="3830A42B"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30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74, 2</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31)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360 </w:t>
            </w:r>
          </w:p>
        </w:tc>
        <w:tc>
          <w:tcPr>
            <w:tcW w:w="2270" w:type="dxa"/>
            <w:shd w:val="clear" w:color="auto" w:fill="auto"/>
          </w:tcPr>
          <w:p w14:paraId="4A8C874F" w14:textId="4000561D"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21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7</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r w:rsidR="00B06B20" w:rsidRPr="00B06B20" w14:paraId="412425ED" w14:textId="77777777" w:rsidTr="00117DC2">
        <w:tc>
          <w:tcPr>
            <w:tcW w:w="2439" w:type="dxa"/>
            <w:shd w:val="clear" w:color="auto" w:fill="auto"/>
          </w:tcPr>
          <w:p w14:paraId="1D37BA72" w14:textId="7777777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proofErr w:type="spellStart"/>
            <w:r w:rsidRPr="00B06B20">
              <w:rPr>
                <w:rFonts w:ascii="Times New Roman" w:eastAsia="Times New Roman" w:hAnsi="Times New Roman" w:cs="Times New Roman"/>
                <w:iCs/>
                <w:lang w:eastAsia="lt-LT"/>
              </w:rPr>
              <w:t>Stento</w:t>
            </w:r>
            <w:proofErr w:type="spellEnd"/>
            <w:r w:rsidRPr="00B06B20">
              <w:rPr>
                <w:rFonts w:ascii="Times New Roman" w:eastAsia="Times New Roman" w:hAnsi="Times New Roman" w:cs="Times New Roman"/>
                <w:iCs/>
                <w:lang w:eastAsia="lt-LT"/>
              </w:rPr>
              <w:t xml:space="preserve"> trombozė</w:t>
            </w:r>
          </w:p>
        </w:tc>
        <w:tc>
          <w:tcPr>
            <w:tcW w:w="4199" w:type="dxa"/>
            <w:shd w:val="clear" w:color="auto" w:fill="auto"/>
          </w:tcPr>
          <w:p w14:paraId="7DF87410" w14:textId="76EE2FD3"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47 (1</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5%</w:t>
            </w:r>
            <w:r w:rsidRPr="00B06B20">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p w14:paraId="3F89830C" w14:textId="752DF727"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66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46, 0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95) p = 0</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 xml:space="preserve">026** </w:t>
            </w:r>
          </w:p>
        </w:tc>
        <w:tc>
          <w:tcPr>
            <w:tcW w:w="2270" w:type="dxa"/>
            <w:shd w:val="clear" w:color="auto" w:fill="auto"/>
          </w:tcPr>
          <w:p w14:paraId="1975394E" w14:textId="245D4905" w:rsidR="00B06B20" w:rsidRPr="00B06B20" w:rsidRDefault="00B06B20" w:rsidP="00B06B20">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B06B20">
              <w:rPr>
                <w:rFonts w:ascii="Times New Roman" w:eastAsia="Times New Roman" w:hAnsi="Times New Roman" w:cs="Times New Roman"/>
                <w:iCs/>
                <w:lang w:eastAsia="lt-LT"/>
              </w:rPr>
              <w:t>71 (2</w:t>
            </w:r>
            <w:r w:rsidR="00E622CD" w:rsidRPr="007F2054">
              <w:rPr>
                <w:rFonts w:ascii="Times New Roman" w:eastAsia="Times New Roman" w:hAnsi="Times New Roman" w:cs="Times New Roman"/>
                <w:iCs/>
                <w:lang w:eastAsia="lt-LT"/>
              </w:rPr>
              <w:t>,</w:t>
            </w:r>
            <w:r w:rsidRPr="00B06B20">
              <w:rPr>
                <w:rFonts w:ascii="Times New Roman" w:eastAsia="Times New Roman" w:hAnsi="Times New Roman" w:cs="Times New Roman"/>
                <w:iCs/>
                <w:lang w:eastAsia="lt-LT"/>
              </w:rPr>
              <w:t>3</w:t>
            </w:r>
            <w:r w:rsidR="00C338A4" w:rsidRPr="007F2054">
              <w:rPr>
                <w:rFonts w:ascii="Times New Roman" w:eastAsia="Times New Roman" w:hAnsi="Times New Roman" w:cs="Times New Roman"/>
                <w:snapToGrid w:val="0"/>
                <w:szCs w:val="20"/>
                <w:lang w:eastAsia="lt-LT"/>
              </w:rPr>
              <w:t> %</w:t>
            </w:r>
            <w:r w:rsidRPr="00B06B20">
              <w:rPr>
                <w:rFonts w:ascii="Times New Roman" w:eastAsia="Times New Roman" w:hAnsi="Times New Roman" w:cs="Times New Roman"/>
                <w:iCs/>
                <w:lang w:eastAsia="lt-LT"/>
              </w:rPr>
              <w:t xml:space="preserve">) </w:t>
            </w:r>
          </w:p>
        </w:tc>
      </w:tr>
    </w:tbl>
    <w:p w14:paraId="435BCD96"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 xml:space="preserve">a) modifikuota ketinimo gydyti tiriamoji grupė (visa ketinimo gydyti nuo </w:t>
      </w:r>
      <w:proofErr w:type="spellStart"/>
      <w:r w:rsidRPr="00117DC2">
        <w:rPr>
          <w:rFonts w:ascii="Times New Roman" w:eastAsia="Times New Roman" w:hAnsi="Times New Roman" w:cs="Times New Roman"/>
          <w:iCs/>
          <w:sz w:val="20"/>
          <w:szCs w:val="20"/>
          <w:lang w:eastAsia="lt-LT"/>
        </w:rPr>
        <w:t>stento</w:t>
      </w:r>
      <w:proofErr w:type="spellEnd"/>
      <w:r w:rsidRPr="00117DC2">
        <w:rPr>
          <w:rFonts w:ascii="Times New Roman" w:eastAsia="Times New Roman" w:hAnsi="Times New Roman" w:cs="Times New Roman"/>
          <w:iCs/>
          <w:sz w:val="20"/>
          <w:szCs w:val="20"/>
          <w:lang w:eastAsia="lt-LT"/>
        </w:rPr>
        <w:t xml:space="preserve"> trombozės tiriamoji grupė)</w:t>
      </w:r>
    </w:p>
    <w:p w14:paraId="33EABD13"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 xml:space="preserve">b) palyginti su </w:t>
      </w:r>
      <w:proofErr w:type="spellStart"/>
      <w:r w:rsidRPr="00117DC2">
        <w:rPr>
          <w:rFonts w:ascii="Times New Roman" w:eastAsia="Times New Roman" w:hAnsi="Times New Roman" w:cs="Times New Roman"/>
          <w:iCs/>
          <w:sz w:val="20"/>
          <w:szCs w:val="20"/>
          <w:lang w:eastAsia="lt-LT"/>
        </w:rPr>
        <w:t>placebu</w:t>
      </w:r>
      <w:proofErr w:type="spellEnd"/>
      <w:r w:rsidRPr="00117DC2">
        <w:rPr>
          <w:rFonts w:ascii="Times New Roman" w:eastAsia="Times New Roman" w:hAnsi="Times New Roman" w:cs="Times New Roman"/>
          <w:iCs/>
          <w:sz w:val="20"/>
          <w:szCs w:val="20"/>
          <w:lang w:eastAsia="lt-LT"/>
        </w:rPr>
        <w:t xml:space="preserve">; </w:t>
      </w:r>
      <w:proofErr w:type="spellStart"/>
      <w:r w:rsidRPr="00117DC2">
        <w:rPr>
          <w:rFonts w:ascii="Times New Roman" w:eastAsia="Times New Roman" w:hAnsi="Times New Roman" w:cs="Times New Roman"/>
          <w:iCs/>
          <w:sz w:val="20"/>
          <w:szCs w:val="20"/>
          <w:lang w:eastAsia="lt-LT"/>
        </w:rPr>
        <w:t>Log-Rank</w:t>
      </w:r>
      <w:proofErr w:type="spellEnd"/>
      <w:r w:rsidRPr="00117DC2">
        <w:rPr>
          <w:rFonts w:ascii="Times New Roman" w:eastAsia="Times New Roman" w:hAnsi="Times New Roman" w:cs="Times New Roman"/>
          <w:iCs/>
          <w:sz w:val="20"/>
          <w:szCs w:val="20"/>
          <w:lang w:eastAsia="lt-LT"/>
        </w:rPr>
        <w:t xml:space="preserve"> p vertė</w:t>
      </w:r>
    </w:p>
    <w:p w14:paraId="4F64439D" w14:textId="305A52CC" w:rsidR="00117DC2" w:rsidRPr="007F2054"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 nominaliai reikšmingas</w:t>
      </w:r>
    </w:p>
    <w:p w14:paraId="142734AD"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p>
    <w:p w14:paraId="51582AA5" w14:textId="74AD78CD" w:rsidR="00117DC2" w:rsidRPr="007F2054" w:rsidRDefault="00117DC2" w:rsidP="00117DC2">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117DC2">
        <w:rPr>
          <w:rFonts w:ascii="Times New Roman" w:eastAsia="Times New Roman" w:hAnsi="Times New Roman" w:cs="Times New Roman"/>
          <w:b/>
          <w:iCs/>
          <w:lang w:eastAsia="lt-LT"/>
        </w:rPr>
        <w:t>6 lentelė. Saugumo rezultatai, gauti III fazės ATLAS ŪKS 2 TIMI 51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739"/>
        <w:gridCol w:w="2267"/>
      </w:tblGrid>
      <w:tr w:rsidR="00117DC2" w:rsidRPr="00117DC2" w14:paraId="516BFF28" w14:textId="77777777" w:rsidTr="00117DC2">
        <w:tc>
          <w:tcPr>
            <w:tcW w:w="2902" w:type="dxa"/>
            <w:shd w:val="clear" w:color="auto" w:fill="auto"/>
          </w:tcPr>
          <w:p w14:paraId="60E62EA2"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color w:val="000000"/>
                <w:sz w:val="24"/>
                <w:lang w:eastAsia="en-GB"/>
              </w:rPr>
            </w:pPr>
            <w:r w:rsidRPr="00117DC2">
              <w:rPr>
                <w:rFonts w:ascii="Times New Roman" w:eastAsia="SimSun" w:hAnsi="Times New Roman" w:cs="Times New Roman"/>
                <w:b/>
                <w:bCs/>
                <w:color w:val="000000"/>
                <w:lang w:eastAsia="en-GB"/>
              </w:rPr>
              <w:t xml:space="preserve">Tyrimo populiacija </w:t>
            </w:r>
          </w:p>
          <w:p w14:paraId="7997F808" w14:textId="77777777"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tc>
        <w:tc>
          <w:tcPr>
            <w:tcW w:w="6006" w:type="dxa"/>
            <w:gridSpan w:val="2"/>
            <w:shd w:val="clear" w:color="auto" w:fill="auto"/>
          </w:tcPr>
          <w:p w14:paraId="56133C6C"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color w:val="000000"/>
                <w:sz w:val="24"/>
                <w:lang w:eastAsia="en-GB"/>
              </w:rPr>
            </w:pPr>
            <w:r w:rsidRPr="00117DC2">
              <w:rPr>
                <w:rFonts w:ascii="Times New Roman" w:eastAsia="SimSun" w:hAnsi="Times New Roman" w:cs="Times New Roman"/>
                <w:b/>
                <w:bCs/>
                <w:color w:val="000000"/>
                <w:lang w:eastAsia="en-GB"/>
              </w:rPr>
              <w:t xml:space="preserve">Neseniai ūminį koronarinį sindromą patyrę pacientai </w:t>
            </w:r>
            <w:r w:rsidRPr="00117DC2">
              <w:rPr>
                <w:rFonts w:ascii="Times New Roman" w:eastAsia="SimSun" w:hAnsi="Times New Roman" w:cs="Times New Roman"/>
                <w:b/>
                <w:bCs/>
                <w:color w:val="000000"/>
                <w:vertAlign w:val="superscript"/>
                <w:lang w:eastAsia="en-GB"/>
              </w:rPr>
              <w:t>a)</w:t>
            </w:r>
            <w:r w:rsidRPr="00117DC2">
              <w:rPr>
                <w:rFonts w:ascii="Times New Roman" w:eastAsia="SimSun" w:hAnsi="Times New Roman" w:cs="Times New Roman"/>
                <w:b/>
                <w:bCs/>
                <w:color w:val="000000"/>
                <w:lang w:eastAsia="en-GB"/>
              </w:rPr>
              <w:t xml:space="preserve"> </w:t>
            </w:r>
          </w:p>
          <w:p w14:paraId="3B01DC44"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p>
        </w:tc>
      </w:tr>
      <w:tr w:rsidR="00117DC2" w:rsidRPr="00117DC2" w14:paraId="75F7CDE5" w14:textId="77777777" w:rsidTr="00117DC2">
        <w:tc>
          <w:tcPr>
            <w:tcW w:w="2902" w:type="dxa"/>
            <w:shd w:val="clear" w:color="auto" w:fill="auto"/>
          </w:tcPr>
          <w:p w14:paraId="3728954C" w14:textId="77777777"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Vaistinių preparatų dozavimas</w:t>
            </w:r>
          </w:p>
        </w:tc>
        <w:tc>
          <w:tcPr>
            <w:tcW w:w="3739" w:type="dxa"/>
            <w:shd w:val="clear" w:color="auto" w:fill="auto"/>
          </w:tcPr>
          <w:p w14:paraId="31CDC54B" w14:textId="77777777" w:rsidR="00117DC2" w:rsidRPr="007F2054"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117DC2">
              <w:rPr>
                <w:rFonts w:ascii="Times New Roman" w:eastAsia="Times New Roman" w:hAnsi="Times New Roman" w:cs="Times New Roman"/>
                <w:b/>
                <w:bCs/>
                <w:lang w:eastAsia="lt-LT"/>
              </w:rPr>
              <w:t>Rivaroksabanas po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b/>
                <w:bCs/>
                <w:lang w:eastAsia="lt-LT"/>
              </w:rPr>
              <w:t>mg du kartus per parą,</w:t>
            </w:r>
          </w:p>
          <w:p w14:paraId="22E48E8A" w14:textId="77777777" w:rsidR="00117DC2" w:rsidRPr="007F2054"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117DC2">
              <w:rPr>
                <w:rFonts w:ascii="Times New Roman" w:eastAsia="Times New Roman" w:hAnsi="Times New Roman" w:cs="Times New Roman"/>
                <w:b/>
                <w:bCs/>
                <w:lang w:eastAsia="lt-LT"/>
              </w:rPr>
              <w:t>N = 5115</w:t>
            </w:r>
          </w:p>
          <w:p w14:paraId="2AF45070" w14:textId="353D19ED"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117DC2">
              <w:rPr>
                <w:rFonts w:ascii="Times New Roman" w:eastAsia="Times New Roman" w:hAnsi="Times New Roman" w:cs="Times New Roman"/>
                <w:b/>
                <w:bCs/>
                <w:lang w:eastAsia="lt-LT"/>
              </w:rPr>
              <w:t>n (%)</w:t>
            </w:r>
          </w:p>
          <w:p w14:paraId="79BEABA1" w14:textId="52CE144B"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vertAlign w:val="superscript"/>
                <w:lang w:eastAsia="lt-LT"/>
              </w:rPr>
            </w:pPr>
            <w:r w:rsidRPr="00117DC2">
              <w:rPr>
                <w:rFonts w:ascii="Times New Roman" w:eastAsia="Times New Roman" w:hAnsi="Times New Roman" w:cs="Times New Roman"/>
                <w:b/>
                <w:bCs/>
                <w:lang w:eastAsia="lt-LT"/>
              </w:rPr>
              <w:t>RS (95</w:t>
            </w:r>
            <w:r w:rsidR="00C338A4" w:rsidRPr="007F2054">
              <w:rPr>
                <w:rFonts w:ascii="Times New Roman" w:eastAsia="Times New Roman" w:hAnsi="Times New Roman" w:cs="Times New Roman"/>
                <w:b/>
                <w:bCs/>
                <w:lang w:eastAsia="lt-LT"/>
              </w:rPr>
              <w:t> %</w:t>
            </w:r>
            <w:r w:rsidRPr="00117DC2">
              <w:rPr>
                <w:rFonts w:ascii="Times New Roman" w:eastAsia="Times New Roman" w:hAnsi="Times New Roman" w:cs="Times New Roman"/>
                <w:b/>
                <w:bCs/>
                <w:lang w:eastAsia="lt-LT"/>
              </w:rPr>
              <w:t> PI) p-reikšmė</w:t>
            </w:r>
            <w:r w:rsidRPr="00117DC2">
              <w:rPr>
                <w:rFonts w:ascii="Times New Roman" w:eastAsia="Times New Roman" w:hAnsi="Times New Roman" w:cs="Times New Roman"/>
                <w:b/>
                <w:bCs/>
                <w:vertAlign w:val="superscript"/>
                <w:lang w:eastAsia="lt-LT"/>
              </w:rPr>
              <w:t>b)</w:t>
            </w:r>
          </w:p>
        </w:tc>
        <w:tc>
          <w:tcPr>
            <w:tcW w:w="2267" w:type="dxa"/>
            <w:shd w:val="clear" w:color="auto" w:fill="auto"/>
          </w:tcPr>
          <w:p w14:paraId="22CB429D"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b/>
                <w:bCs/>
                <w:lang w:eastAsia="en-GB"/>
              </w:rPr>
            </w:pPr>
            <w:r w:rsidRPr="00117DC2">
              <w:rPr>
                <w:rFonts w:ascii="Times New Roman" w:eastAsia="SimSun" w:hAnsi="Times New Roman" w:cs="Times New Roman"/>
                <w:b/>
                <w:bCs/>
                <w:lang w:eastAsia="en-GB"/>
              </w:rPr>
              <w:t xml:space="preserve">Placebo </w:t>
            </w:r>
          </w:p>
          <w:p w14:paraId="1EA45100" w14:textId="77777777" w:rsidR="00117DC2" w:rsidRPr="007F2054" w:rsidRDefault="00117DC2" w:rsidP="00117DC2">
            <w:pPr>
              <w:keepNext/>
              <w:autoSpaceDE w:val="0"/>
              <w:autoSpaceDN w:val="0"/>
              <w:adjustRightInd w:val="0"/>
              <w:spacing w:after="0" w:line="240" w:lineRule="auto"/>
              <w:rPr>
                <w:rFonts w:ascii="Times New Roman" w:eastAsia="SimSun" w:hAnsi="Times New Roman" w:cs="Times New Roman"/>
                <w:b/>
                <w:bCs/>
                <w:lang w:eastAsia="en-GB"/>
              </w:rPr>
            </w:pPr>
          </w:p>
          <w:p w14:paraId="6AC75614" w14:textId="03E260B2" w:rsidR="00117DC2" w:rsidRPr="00117DC2" w:rsidRDefault="00117DC2" w:rsidP="00117DC2">
            <w:pPr>
              <w:keepNext/>
              <w:autoSpaceDE w:val="0"/>
              <w:autoSpaceDN w:val="0"/>
              <w:adjustRightInd w:val="0"/>
              <w:spacing w:after="0" w:line="240" w:lineRule="auto"/>
              <w:rPr>
                <w:rFonts w:ascii="Times New Roman" w:eastAsia="SimSun" w:hAnsi="Times New Roman" w:cs="Times New Roman"/>
                <w:b/>
                <w:bCs/>
                <w:lang w:eastAsia="en-GB"/>
              </w:rPr>
            </w:pPr>
            <w:r w:rsidRPr="00117DC2">
              <w:rPr>
                <w:rFonts w:ascii="Times New Roman" w:eastAsia="SimSun" w:hAnsi="Times New Roman" w:cs="Times New Roman"/>
                <w:b/>
                <w:bCs/>
                <w:lang w:eastAsia="en-GB"/>
              </w:rPr>
              <w:t xml:space="preserve">N = 5125 </w:t>
            </w:r>
          </w:p>
          <w:p w14:paraId="7C3E1D52"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b/>
                <w:bCs/>
                <w:lang w:eastAsia="en-GB"/>
              </w:rPr>
              <w:t xml:space="preserve">n (%) </w:t>
            </w:r>
          </w:p>
        </w:tc>
      </w:tr>
      <w:tr w:rsidR="00117DC2" w:rsidRPr="00117DC2" w14:paraId="48244B17" w14:textId="77777777" w:rsidTr="00117DC2">
        <w:tc>
          <w:tcPr>
            <w:tcW w:w="2902" w:type="dxa"/>
            <w:shd w:val="clear" w:color="auto" w:fill="auto"/>
          </w:tcPr>
          <w:p w14:paraId="3EA2B4D1"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Ne CABG TIMI didžiojo kraujavimo reiškinys</w:t>
            </w:r>
          </w:p>
        </w:tc>
        <w:tc>
          <w:tcPr>
            <w:tcW w:w="3739" w:type="dxa"/>
            <w:shd w:val="clear" w:color="auto" w:fill="auto"/>
          </w:tcPr>
          <w:p w14:paraId="02FF7BB0" w14:textId="1DC8CA44"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65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w:t>
            </w:r>
          </w:p>
          <w:p w14:paraId="1E38C689" w14:textId="696B35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46 (2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08, 5</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77) p = &lt;0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001* </w:t>
            </w:r>
          </w:p>
        </w:tc>
        <w:tc>
          <w:tcPr>
            <w:tcW w:w="2267" w:type="dxa"/>
            <w:shd w:val="clear" w:color="auto" w:fill="auto"/>
          </w:tcPr>
          <w:p w14:paraId="03254713" w14:textId="50EEFF45"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19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r>
      <w:tr w:rsidR="00117DC2" w:rsidRPr="00117DC2" w14:paraId="6F1B6765" w14:textId="77777777" w:rsidTr="00117DC2">
        <w:tc>
          <w:tcPr>
            <w:tcW w:w="2902" w:type="dxa"/>
            <w:shd w:val="clear" w:color="auto" w:fill="auto"/>
          </w:tcPr>
          <w:p w14:paraId="33618B1F"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Mirtį sukėlęs kraujavimas</w:t>
            </w:r>
          </w:p>
        </w:tc>
        <w:tc>
          <w:tcPr>
            <w:tcW w:w="3739" w:type="dxa"/>
            <w:shd w:val="clear" w:color="auto" w:fill="auto"/>
          </w:tcPr>
          <w:p w14:paraId="402305F8" w14:textId="63BEFAC0"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6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1%) </w:t>
            </w:r>
          </w:p>
          <w:p w14:paraId="1AA8CF8A" w14:textId="1BB9A7AB"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0.67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24, 1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89) p =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450 </w:t>
            </w:r>
          </w:p>
        </w:tc>
        <w:tc>
          <w:tcPr>
            <w:tcW w:w="2267" w:type="dxa"/>
            <w:shd w:val="clear" w:color="auto" w:fill="auto"/>
          </w:tcPr>
          <w:p w14:paraId="592EAFCE" w14:textId="7BC3DDF1"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9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r>
      <w:tr w:rsidR="00117DC2" w:rsidRPr="00117DC2" w14:paraId="459C834A" w14:textId="77777777" w:rsidTr="00117DC2">
        <w:tc>
          <w:tcPr>
            <w:tcW w:w="2902" w:type="dxa"/>
            <w:shd w:val="clear" w:color="auto" w:fill="auto"/>
          </w:tcPr>
          <w:p w14:paraId="095A8DAC"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 xml:space="preserve">Simptominė </w:t>
            </w:r>
            <w:proofErr w:type="spellStart"/>
            <w:r w:rsidRPr="00117DC2">
              <w:rPr>
                <w:rFonts w:ascii="Times New Roman" w:eastAsia="SimSun" w:hAnsi="Times New Roman" w:cs="Times New Roman"/>
                <w:lang w:eastAsia="en-GB"/>
              </w:rPr>
              <w:t>intrakranijinė</w:t>
            </w:r>
            <w:proofErr w:type="spellEnd"/>
            <w:r w:rsidRPr="00117DC2">
              <w:rPr>
                <w:rFonts w:ascii="Times New Roman" w:eastAsia="SimSun" w:hAnsi="Times New Roman" w:cs="Times New Roman"/>
                <w:lang w:eastAsia="en-GB"/>
              </w:rPr>
              <w:t xml:space="preserve"> </w:t>
            </w:r>
            <w:proofErr w:type="spellStart"/>
            <w:r w:rsidRPr="00117DC2">
              <w:rPr>
                <w:rFonts w:ascii="Times New Roman" w:eastAsia="SimSun" w:hAnsi="Times New Roman" w:cs="Times New Roman"/>
                <w:lang w:eastAsia="en-GB"/>
              </w:rPr>
              <w:t>hemoragija</w:t>
            </w:r>
            <w:proofErr w:type="spellEnd"/>
          </w:p>
        </w:tc>
        <w:tc>
          <w:tcPr>
            <w:tcW w:w="3739" w:type="dxa"/>
            <w:shd w:val="clear" w:color="auto" w:fill="auto"/>
          </w:tcPr>
          <w:p w14:paraId="71F9BC40" w14:textId="79CE1DC1"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14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14B7C901" w14:textId="1FDAD15C"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83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02, 7</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86) p =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037 </w:t>
            </w:r>
          </w:p>
        </w:tc>
        <w:tc>
          <w:tcPr>
            <w:tcW w:w="2267" w:type="dxa"/>
            <w:shd w:val="clear" w:color="auto" w:fill="auto"/>
          </w:tcPr>
          <w:p w14:paraId="69A6F89D" w14:textId="24266BA0"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5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r>
      <w:tr w:rsidR="00117DC2" w:rsidRPr="00117DC2" w14:paraId="0FC59040" w14:textId="77777777" w:rsidTr="00117DC2">
        <w:tc>
          <w:tcPr>
            <w:tcW w:w="2902" w:type="dxa"/>
            <w:shd w:val="clear" w:color="auto" w:fill="auto"/>
          </w:tcPr>
          <w:p w14:paraId="20658913"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 xml:space="preserve">Hipotenzija, kurią reikėjo gydyti intraveniniais </w:t>
            </w:r>
            <w:proofErr w:type="spellStart"/>
            <w:r w:rsidRPr="00117DC2">
              <w:rPr>
                <w:rFonts w:ascii="Times New Roman" w:eastAsia="SimSun" w:hAnsi="Times New Roman" w:cs="Times New Roman"/>
                <w:lang w:eastAsia="en-GB"/>
              </w:rPr>
              <w:t>inotropiniais</w:t>
            </w:r>
            <w:proofErr w:type="spellEnd"/>
            <w:r w:rsidRPr="00117DC2">
              <w:rPr>
                <w:rFonts w:ascii="Times New Roman" w:eastAsia="SimSun" w:hAnsi="Times New Roman" w:cs="Times New Roman"/>
                <w:lang w:eastAsia="en-GB"/>
              </w:rPr>
              <w:t xml:space="preserve"> preparatais</w:t>
            </w:r>
          </w:p>
        </w:tc>
        <w:tc>
          <w:tcPr>
            <w:tcW w:w="3739" w:type="dxa"/>
            <w:shd w:val="clear" w:color="auto" w:fill="auto"/>
          </w:tcPr>
          <w:p w14:paraId="7248538C" w14:textId="70FBA360"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1%) </w:t>
            </w:r>
          </w:p>
        </w:tc>
        <w:tc>
          <w:tcPr>
            <w:tcW w:w="2267" w:type="dxa"/>
            <w:shd w:val="clear" w:color="auto" w:fill="auto"/>
          </w:tcPr>
          <w:p w14:paraId="5BBA2429" w14:textId="00B79A4E"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0F0A0DF1" w14:textId="77777777"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tc>
      </w:tr>
      <w:tr w:rsidR="00117DC2" w:rsidRPr="00117DC2" w14:paraId="19867298" w14:textId="77777777" w:rsidTr="00117DC2">
        <w:tc>
          <w:tcPr>
            <w:tcW w:w="2902" w:type="dxa"/>
            <w:shd w:val="clear" w:color="auto" w:fill="auto"/>
          </w:tcPr>
          <w:p w14:paraId="293B957C"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Chirurginė intervencija dėl besitęsiančio kraujavimo</w:t>
            </w:r>
          </w:p>
        </w:tc>
        <w:tc>
          <w:tcPr>
            <w:tcW w:w="3739" w:type="dxa"/>
            <w:shd w:val="clear" w:color="auto" w:fill="auto"/>
          </w:tcPr>
          <w:p w14:paraId="6DE26C4B" w14:textId="1EA762B4"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7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2267" w:type="dxa"/>
            <w:shd w:val="clear" w:color="auto" w:fill="auto"/>
          </w:tcPr>
          <w:p w14:paraId="22616692" w14:textId="168247FF"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9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0DA8A31E" w14:textId="77777777"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tc>
      </w:tr>
      <w:tr w:rsidR="00117DC2" w:rsidRPr="00117DC2" w14:paraId="7C90285E" w14:textId="77777777" w:rsidTr="00117DC2">
        <w:tc>
          <w:tcPr>
            <w:tcW w:w="2902" w:type="dxa"/>
            <w:shd w:val="clear" w:color="auto" w:fill="auto"/>
          </w:tcPr>
          <w:p w14:paraId="55E6E9A4" w14:textId="77777777"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 xml:space="preserve">4 ar daugiau kraujo vienetų perpylimas per 48 valandas </w:t>
            </w:r>
          </w:p>
        </w:tc>
        <w:tc>
          <w:tcPr>
            <w:tcW w:w="3739" w:type="dxa"/>
            <w:shd w:val="clear" w:color="auto" w:fill="auto"/>
          </w:tcPr>
          <w:p w14:paraId="169E09CE" w14:textId="1F10ADE2"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19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2267" w:type="dxa"/>
            <w:shd w:val="clear" w:color="auto" w:fill="auto"/>
          </w:tcPr>
          <w:p w14:paraId="47EAD36A" w14:textId="5DEB87AF" w:rsidR="00117DC2" w:rsidRPr="00117DC2" w:rsidRDefault="00117DC2" w:rsidP="00117DC2">
            <w:pPr>
              <w:keepNext/>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6 (0</w:t>
            </w:r>
            <w:r w:rsidR="00E803B8">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16BD7076" w14:textId="77777777" w:rsidR="00117DC2" w:rsidRPr="00117DC2" w:rsidRDefault="00117DC2" w:rsidP="00117DC2">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tc>
      </w:tr>
    </w:tbl>
    <w:p w14:paraId="5BFB880E"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a) saugumo populiacija, taikytas gydymas</w:t>
      </w:r>
    </w:p>
    <w:p w14:paraId="5B9F7393"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 xml:space="preserve">b) palyginti su </w:t>
      </w:r>
      <w:proofErr w:type="spellStart"/>
      <w:r w:rsidRPr="00117DC2">
        <w:rPr>
          <w:rFonts w:ascii="Times New Roman" w:eastAsia="Times New Roman" w:hAnsi="Times New Roman" w:cs="Times New Roman"/>
          <w:iCs/>
          <w:sz w:val="20"/>
          <w:szCs w:val="20"/>
          <w:lang w:eastAsia="lt-LT"/>
        </w:rPr>
        <w:t>placebu</w:t>
      </w:r>
      <w:proofErr w:type="spellEnd"/>
      <w:r w:rsidRPr="00117DC2">
        <w:rPr>
          <w:rFonts w:ascii="Times New Roman" w:eastAsia="Times New Roman" w:hAnsi="Times New Roman" w:cs="Times New Roman"/>
          <w:iCs/>
          <w:sz w:val="20"/>
          <w:szCs w:val="20"/>
          <w:lang w:eastAsia="lt-LT"/>
        </w:rPr>
        <w:t xml:space="preserve">; </w:t>
      </w:r>
      <w:proofErr w:type="spellStart"/>
      <w:r w:rsidRPr="00117DC2">
        <w:rPr>
          <w:rFonts w:ascii="Times New Roman" w:eastAsia="Times New Roman" w:hAnsi="Times New Roman" w:cs="Times New Roman"/>
          <w:iCs/>
          <w:sz w:val="20"/>
          <w:szCs w:val="20"/>
          <w:lang w:eastAsia="lt-LT"/>
        </w:rPr>
        <w:t>Log-Rank</w:t>
      </w:r>
      <w:proofErr w:type="spellEnd"/>
      <w:r w:rsidRPr="00117DC2">
        <w:rPr>
          <w:rFonts w:ascii="Times New Roman" w:eastAsia="Times New Roman" w:hAnsi="Times New Roman" w:cs="Times New Roman"/>
          <w:iCs/>
          <w:sz w:val="20"/>
          <w:szCs w:val="20"/>
          <w:lang w:eastAsia="lt-LT"/>
        </w:rPr>
        <w:t xml:space="preserve"> p vertė</w:t>
      </w:r>
    </w:p>
    <w:p w14:paraId="0F21BD39" w14:textId="77777777" w:rsidR="00117DC2" w:rsidRPr="00117DC2" w:rsidRDefault="00117DC2" w:rsidP="00117DC2">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117DC2">
        <w:rPr>
          <w:rFonts w:ascii="Times New Roman" w:eastAsia="Times New Roman" w:hAnsi="Times New Roman" w:cs="Times New Roman"/>
          <w:iCs/>
          <w:sz w:val="20"/>
          <w:szCs w:val="20"/>
          <w:lang w:eastAsia="lt-LT"/>
        </w:rPr>
        <w:t>* statistiškai reikšmingas</w:t>
      </w:r>
    </w:p>
    <w:p w14:paraId="3E003E2B" w14:textId="51344F67" w:rsidR="00117DC2" w:rsidRPr="007F2054" w:rsidRDefault="00117DC2">
      <w:pPr>
        <w:rPr>
          <w:rFonts w:ascii="Times New Roman" w:eastAsia="Times New Roman" w:hAnsi="Times New Roman" w:cs="Times New Roman"/>
          <w:b/>
          <w:iCs/>
          <w:lang w:eastAsia="lt-LT"/>
        </w:rPr>
      </w:pPr>
      <w:r w:rsidRPr="007F2054">
        <w:rPr>
          <w:rFonts w:ascii="Times New Roman" w:eastAsia="Times New Roman" w:hAnsi="Times New Roman" w:cs="Times New Roman"/>
          <w:b/>
          <w:iCs/>
          <w:lang w:eastAsia="lt-LT"/>
        </w:rPr>
        <w:br w:type="page"/>
      </w:r>
    </w:p>
    <w:p w14:paraId="5ED70C11" w14:textId="77777777" w:rsidR="00117DC2" w:rsidRPr="007F2054" w:rsidRDefault="00117DC2" w:rsidP="00117DC2">
      <w:pPr>
        <w:numPr>
          <w:ilvl w:val="12"/>
          <w:numId w:val="0"/>
        </w:numPr>
        <w:tabs>
          <w:tab w:val="left" w:pos="567"/>
        </w:tabs>
        <w:spacing w:after="0" w:line="240" w:lineRule="auto"/>
        <w:ind w:right="-2"/>
        <w:rPr>
          <w:rFonts w:ascii="Times New Roman" w:eastAsia="Times New Roman" w:hAnsi="Times New Roman" w:cs="Times New Roman"/>
          <w:b/>
          <w:iCs/>
          <w:lang w:eastAsia="lt-LT"/>
        </w:rPr>
      </w:pPr>
    </w:p>
    <w:p w14:paraId="78E3534E"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117DC2">
        <w:rPr>
          <w:rFonts w:ascii="Times New Roman" w:eastAsia="Times New Roman" w:hAnsi="Times New Roman" w:cs="Times New Roman"/>
          <w:b/>
          <w:iCs/>
          <w:lang w:eastAsia="lt-LT"/>
        </w:rPr>
        <w:t>1 paveikslas. Laikas iki pirminių vertinamųjų baigčių (mirties nuo širdies ir kraujagyslių ligų, miokardo infarkto arba insulto) pirmojo pasireiškimo</w:t>
      </w:r>
    </w:p>
    <w:p w14:paraId="3647BB25"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b/>
          <w:iCs/>
          <w:lang w:eastAsia="lt-LT"/>
        </w:rPr>
      </w:pPr>
    </w:p>
    <w:p w14:paraId="799D81FF" w14:textId="3C6EB837" w:rsidR="00B06B20"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r w:rsidRPr="007F2054">
        <w:rPr>
          <w:rFonts w:ascii="Times New Roman" w:eastAsia="Times New Roman" w:hAnsi="Times New Roman" w:cs="Times New Roman"/>
          <w:noProof/>
          <w:szCs w:val="20"/>
          <w:lang w:eastAsia="lt-LT"/>
        </w:rPr>
        <w:drawing>
          <wp:inline distT="0" distB="0" distL="0" distR="0" wp14:anchorId="7E9DE434" wp14:editId="66CB59D9">
            <wp:extent cx="5731510" cy="3124498"/>
            <wp:effectExtent l="0" t="0" r="254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15"/>
                    <a:stretch>
                      <a:fillRect/>
                    </a:stretch>
                  </pic:blipFill>
                  <pic:spPr>
                    <a:xfrm>
                      <a:off x="0" y="0"/>
                      <a:ext cx="5731510" cy="3124498"/>
                    </a:xfrm>
                    <a:prstGeom prst="rect">
                      <a:avLst/>
                    </a:prstGeom>
                  </pic:spPr>
                </pic:pic>
              </a:graphicData>
            </a:graphic>
          </wp:inline>
        </w:drawing>
      </w:r>
    </w:p>
    <w:p w14:paraId="0A70E124" w14:textId="77777777" w:rsidR="00B06B20" w:rsidRPr="007F2054" w:rsidRDefault="00B06B20"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08B1D25F" w14:textId="175E974E" w:rsidR="00B06B20"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r w:rsidRPr="007F2054">
        <w:rPr>
          <w:rFonts w:ascii="Times New Roman" w:eastAsia="Times New Roman" w:hAnsi="Times New Roman" w:cs="Times New Roman"/>
          <w:noProof/>
          <w:szCs w:val="20"/>
          <w:lang w:eastAsia="lt-LT"/>
        </w:rPr>
        <w:drawing>
          <wp:inline distT="0" distB="0" distL="0" distR="0" wp14:anchorId="22DF5119" wp14:editId="71C7ADD1">
            <wp:extent cx="5729068" cy="854529"/>
            <wp:effectExtent l="0" t="0" r="5080" b="3175"/>
            <wp:docPr id="8" name="Picture 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Word&#10;&#10;Description automatically generated"/>
                    <pic:cNvPicPr/>
                  </pic:nvPicPr>
                  <pic:blipFill>
                    <a:blip r:embed="rId16"/>
                    <a:stretch>
                      <a:fillRect/>
                    </a:stretch>
                  </pic:blipFill>
                  <pic:spPr>
                    <a:xfrm>
                      <a:off x="0" y="0"/>
                      <a:ext cx="5779250" cy="862014"/>
                    </a:xfrm>
                    <a:prstGeom prst="rect">
                      <a:avLst/>
                    </a:prstGeom>
                  </pic:spPr>
                </pic:pic>
              </a:graphicData>
            </a:graphic>
          </wp:inline>
        </w:drawing>
      </w:r>
    </w:p>
    <w:p w14:paraId="68249D9F" w14:textId="77777777" w:rsidR="00117DC2"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12672C6F"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u w:val="single"/>
          <w:lang w:eastAsia="lt-LT"/>
        </w:rPr>
      </w:pPr>
      <w:r w:rsidRPr="00117DC2">
        <w:rPr>
          <w:rFonts w:ascii="Times New Roman" w:eastAsia="Times New Roman" w:hAnsi="Times New Roman" w:cs="Times New Roman"/>
          <w:iCs/>
          <w:u w:val="single"/>
          <w:lang w:eastAsia="lt-LT"/>
        </w:rPr>
        <w:t xml:space="preserve">VAL ir (arba) PAL </w:t>
      </w:r>
    </w:p>
    <w:p w14:paraId="1B2046B7" w14:textId="54F91106"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III fazės tyrimas COMPASS (27 395 pacientai, 78,0</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vyrų, 22,0</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moterų) parodė rivaroksabano veiksmingumą ir saugumą, vaistinio preparato vartojant VAL arba simptomine PAL sergančių pacientų, kuriems buvo didelė išeminių reiškinių rizika, sudėtinei mirties nuo širdies ir kraujagyslių ligų, MI arba insulto profilaktikai. Pacientų stebėjimo trukmės mediana buvo 23 mėnesiai, ne ilgiau kaip 3,9 metų. </w:t>
      </w:r>
    </w:p>
    <w:p w14:paraId="40458A49"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46D6E803" w14:textId="626E53EA"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 xml:space="preserve">Tiriamieji, kuriems nereikėjo nuolatinio gydymo protonų siurblio inhibitoriumi, atsitiktinių imčių būdu buvo atrinkti vartoti </w:t>
      </w:r>
      <w:proofErr w:type="spellStart"/>
      <w:r w:rsidRPr="00117DC2">
        <w:rPr>
          <w:rFonts w:ascii="Times New Roman" w:eastAsia="Times New Roman" w:hAnsi="Times New Roman" w:cs="Times New Roman"/>
          <w:iCs/>
          <w:lang w:eastAsia="lt-LT"/>
        </w:rPr>
        <w:t>pantoprazolo</w:t>
      </w:r>
      <w:proofErr w:type="spellEnd"/>
      <w:r w:rsidRPr="00117DC2">
        <w:rPr>
          <w:rFonts w:ascii="Times New Roman" w:eastAsia="Times New Roman" w:hAnsi="Times New Roman" w:cs="Times New Roman"/>
          <w:iCs/>
          <w:lang w:eastAsia="lt-LT"/>
        </w:rPr>
        <w:t xml:space="preserve"> arba </w:t>
      </w:r>
      <w:proofErr w:type="spellStart"/>
      <w:r w:rsidRPr="00117DC2">
        <w:rPr>
          <w:rFonts w:ascii="Times New Roman" w:eastAsia="Times New Roman" w:hAnsi="Times New Roman" w:cs="Times New Roman"/>
          <w:iCs/>
          <w:lang w:eastAsia="lt-LT"/>
        </w:rPr>
        <w:t>placebo</w:t>
      </w:r>
      <w:proofErr w:type="spellEnd"/>
      <w:r w:rsidRPr="00117DC2">
        <w:rPr>
          <w:rFonts w:ascii="Times New Roman" w:eastAsia="Times New Roman" w:hAnsi="Times New Roman" w:cs="Times New Roman"/>
          <w:iCs/>
          <w:lang w:eastAsia="lt-LT"/>
        </w:rPr>
        <w:t>. Po to visi pacientai atsitiktinių imčių būdu santykiu 1:1:1 buvo atrinkti vartoti po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rivaroksabano du kartus per parą / ASR 100</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vieną kartą per parą, po 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rivaroksabano du kartus per parą arba vien tik ASR 100</w:t>
      </w:r>
      <w:r w:rsidR="00E622CD" w:rsidRPr="007F2054">
        <w:rPr>
          <w:rFonts w:ascii="Times New Roman" w:eastAsia="Times New Roman" w:hAnsi="Times New Roman" w:cs="Times New Roman"/>
          <w:iCs/>
          <w:lang w:eastAsia="lt-LT"/>
        </w:rPr>
        <w:t> </w:t>
      </w:r>
      <w:r w:rsidRPr="00117DC2">
        <w:rPr>
          <w:rFonts w:ascii="Times New Roman" w:eastAsia="Times New Roman" w:hAnsi="Times New Roman" w:cs="Times New Roman"/>
          <w:iCs/>
          <w:lang w:eastAsia="lt-LT"/>
        </w:rPr>
        <w:t xml:space="preserve">mg vieną kartą per parą ir juos atitinkančio placebo. </w:t>
      </w:r>
    </w:p>
    <w:p w14:paraId="3D8F9E98"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49C40F73"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 xml:space="preserve">VAL sergantiems pacientams buvo nustatyta kelias kraujagysles pažeidžianti VAL ir (arba) anksčiau buvo MI. Jaunesniems kaip 65 metų pacientams turėjo būti nustatyta aterosklerozė, apimanti bent du kraujagyslių baseinus, arba bent du papildomi širdies ir kraujagyslių sutrikimų rizikos veiksniai. </w:t>
      </w:r>
    </w:p>
    <w:p w14:paraId="01918DA4"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47F37E68" w14:textId="41572E1C"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 xml:space="preserve">PAL sergantiems pacientams anksčiau buvo atliktos intervencijos, pvz., šuntavimo operacija arba </w:t>
      </w:r>
      <w:proofErr w:type="spellStart"/>
      <w:r w:rsidRPr="00117DC2">
        <w:rPr>
          <w:rFonts w:ascii="Times New Roman" w:eastAsia="Times New Roman" w:hAnsi="Times New Roman" w:cs="Times New Roman"/>
          <w:iCs/>
          <w:lang w:eastAsia="lt-LT"/>
        </w:rPr>
        <w:t>perkutaninė</w:t>
      </w:r>
      <w:proofErr w:type="spellEnd"/>
      <w:r w:rsidRPr="00117DC2">
        <w:rPr>
          <w:rFonts w:ascii="Times New Roman" w:eastAsia="Times New Roman" w:hAnsi="Times New Roman" w:cs="Times New Roman"/>
          <w:iCs/>
          <w:lang w:eastAsia="lt-LT"/>
        </w:rPr>
        <w:t xml:space="preserve"> </w:t>
      </w:r>
      <w:proofErr w:type="spellStart"/>
      <w:r w:rsidRPr="00117DC2">
        <w:rPr>
          <w:rFonts w:ascii="Times New Roman" w:eastAsia="Times New Roman" w:hAnsi="Times New Roman" w:cs="Times New Roman"/>
          <w:iCs/>
          <w:lang w:eastAsia="lt-LT"/>
        </w:rPr>
        <w:t>transluminalinė</w:t>
      </w:r>
      <w:proofErr w:type="spellEnd"/>
      <w:r w:rsidRPr="00117DC2">
        <w:rPr>
          <w:rFonts w:ascii="Times New Roman" w:eastAsia="Times New Roman" w:hAnsi="Times New Roman" w:cs="Times New Roman"/>
          <w:iCs/>
          <w:lang w:eastAsia="lt-LT"/>
        </w:rPr>
        <w:t xml:space="preserve"> angioplastika, arba galūnės ar pėdos amputacija dėl arterinių kraujagyslių ligos, arba protarpinio šlubavimo su &lt;</w:t>
      </w:r>
      <w:r w:rsidR="00E622CD" w:rsidRPr="007F2054">
        <w:rPr>
          <w:rFonts w:ascii="Times New Roman" w:eastAsia="Times New Roman" w:hAnsi="Times New Roman" w:cs="Times New Roman"/>
          <w:iCs/>
          <w:lang w:eastAsia="lt-LT"/>
        </w:rPr>
        <w:t> </w:t>
      </w:r>
      <w:r w:rsidRPr="00117DC2">
        <w:rPr>
          <w:rFonts w:ascii="Times New Roman" w:eastAsia="Times New Roman" w:hAnsi="Times New Roman" w:cs="Times New Roman"/>
          <w:iCs/>
          <w:lang w:eastAsia="lt-LT"/>
        </w:rPr>
        <w:t>0,90 kulkšnies / rankos kraujospūdžio santykiu ir (arba) reikšmingos periferinių arterijų stenozės ar ankstesnės miego arterijos revaskuliarizacijos, ar ≥ 50</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w:t>
      </w:r>
      <w:proofErr w:type="spellStart"/>
      <w:r w:rsidRPr="00117DC2">
        <w:rPr>
          <w:rFonts w:ascii="Times New Roman" w:eastAsia="Times New Roman" w:hAnsi="Times New Roman" w:cs="Times New Roman"/>
          <w:iCs/>
          <w:lang w:eastAsia="lt-LT"/>
        </w:rPr>
        <w:t>besimptomės</w:t>
      </w:r>
      <w:proofErr w:type="spellEnd"/>
      <w:r w:rsidRPr="00117DC2">
        <w:rPr>
          <w:rFonts w:ascii="Times New Roman" w:eastAsia="Times New Roman" w:hAnsi="Times New Roman" w:cs="Times New Roman"/>
          <w:iCs/>
          <w:lang w:eastAsia="lt-LT"/>
        </w:rPr>
        <w:t xml:space="preserve"> miego arterijos stenozės. </w:t>
      </w:r>
    </w:p>
    <w:p w14:paraId="63452D9A"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6FF35FBC" w14:textId="746FBEC2"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roofErr w:type="spellStart"/>
      <w:r w:rsidRPr="00117DC2">
        <w:rPr>
          <w:rFonts w:ascii="Times New Roman" w:eastAsia="Times New Roman" w:hAnsi="Times New Roman" w:cs="Times New Roman"/>
          <w:iCs/>
          <w:lang w:eastAsia="lt-LT"/>
        </w:rPr>
        <w:t>Neįtraukimo</w:t>
      </w:r>
      <w:proofErr w:type="spellEnd"/>
      <w:r w:rsidRPr="00117DC2">
        <w:rPr>
          <w:rFonts w:ascii="Times New Roman" w:eastAsia="Times New Roman" w:hAnsi="Times New Roman" w:cs="Times New Roman"/>
          <w:iCs/>
          <w:lang w:eastAsia="lt-LT"/>
        </w:rPr>
        <w:t xml:space="preserve"> į tyrimą kriterijai buvo šie: gydymo dviem antitrombocitiniais vaistiniais preparatais arba gydymo ne ASR antitrombocitiniais preparatais ar geriamaisiais antikoaguliantais poreikis ir pacientai, kuriems yra didelė kraujavimo rizika, arba sergantys širdies nepakankamumu su &lt; 30</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išstūmimo </w:t>
      </w:r>
      <w:r w:rsidRPr="00117DC2">
        <w:rPr>
          <w:rFonts w:ascii="Times New Roman" w:eastAsia="Times New Roman" w:hAnsi="Times New Roman" w:cs="Times New Roman"/>
          <w:iCs/>
          <w:lang w:eastAsia="lt-LT"/>
        </w:rPr>
        <w:lastRenderedPageBreak/>
        <w:t xml:space="preserve">frakcija arba III ar IV klasės širdies nepakankamumas pagal Niujorko širdies asociacijos (angl. </w:t>
      </w:r>
      <w:proofErr w:type="spellStart"/>
      <w:r w:rsidRPr="00117DC2">
        <w:rPr>
          <w:rFonts w:ascii="Times New Roman" w:eastAsia="Times New Roman" w:hAnsi="Times New Roman" w:cs="Times New Roman"/>
          <w:i/>
          <w:lang w:eastAsia="lt-LT"/>
        </w:rPr>
        <w:t>New</w:t>
      </w:r>
      <w:proofErr w:type="spellEnd"/>
      <w:r w:rsidRPr="00117DC2">
        <w:rPr>
          <w:rFonts w:ascii="Times New Roman" w:eastAsia="Times New Roman" w:hAnsi="Times New Roman" w:cs="Times New Roman"/>
          <w:i/>
          <w:lang w:eastAsia="lt-LT"/>
        </w:rPr>
        <w:t xml:space="preserve"> York </w:t>
      </w:r>
      <w:proofErr w:type="spellStart"/>
      <w:r w:rsidRPr="00117DC2">
        <w:rPr>
          <w:rFonts w:ascii="Times New Roman" w:eastAsia="Times New Roman" w:hAnsi="Times New Roman" w:cs="Times New Roman"/>
          <w:i/>
          <w:lang w:eastAsia="lt-LT"/>
        </w:rPr>
        <w:t>Heart</w:t>
      </w:r>
      <w:proofErr w:type="spellEnd"/>
      <w:r w:rsidRPr="00117DC2">
        <w:rPr>
          <w:rFonts w:ascii="Times New Roman" w:eastAsia="Times New Roman" w:hAnsi="Times New Roman" w:cs="Times New Roman"/>
          <w:i/>
          <w:lang w:eastAsia="lt-LT"/>
        </w:rPr>
        <w:t xml:space="preserve"> </w:t>
      </w:r>
      <w:proofErr w:type="spellStart"/>
      <w:r w:rsidRPr="00117DC2">
        <w:rPr>
          <w:rFonts w:ascii="Times New Roman" w:eastAsia="Times New Roman" w:hAnsi="Times New Roman" w:cs="Times New Roman"/>
          <w:i/>
          <w:lang w:eastAsia="lt-LT"/>
        </w:rPr>
        <w:t>Association</w:t>
      </w:r>
      <w:proofErr w:type="spellEnd"/>
      <w:r w:rsidRPr="00117DC2">
        <w:rPr>
          <w:rFonts w:ascii="Times New Roman" w:eastAsia="Times New Roman" w:hAnsi="Times New Roman" w:cs="Times New Roman"/>
          <w:iCs/>
          <w:lang w:eastAsia="lt-LT"/>
        </w:rPr>
        <w:t xml:space="preserve">, </w:t>
      </w:r>
      <w:r w:rsidRPr="00117DC2">
        <w:rPr>
          <w:rFonts w:ascii="Times New Roman" w:eastAsia="Times New Roman" w:hAnsi="Times New Roman" w:cs="Times New Roman"/>
          <w:i/>
          <w:lang w:eastAsia="lt-LT"/>
        </w:rPr>
        <w:t>NYHA</w:t>
      </w:r>
      <w:r w:rsidRPr="00117DC2">
        <w:rPr>
          <w:rFonts w:ascii="Times New Roman" w:eastAsia="Times New Roman" w:hAnsi="Times New Roman" w:cs="Times New Roman"/>
          <w:iCs/>
          <w:lang w:eastAsia="lt-LT"/>
        </w:rPr>
        <w:t xml:space="preserve">) klasifikaciją arba bet koks išeminis, </w:t>
      </w:r>
      <w:proofErr w:type="spellStart"/>
      <w:r w:rsidRPr="00117DC2">
        <w:rPr>
          <w:rFonts w:ascii="Times New Roman" w:eastAsia="Times New Roman" w:hAnsi="Times New Roman" w:cs="Times New Roman"/>
          <w:iCs/>
          <w:lang w:eastAsia="lt-LT"/>
        </w:rPr>
        <w:t>nelakūninis</w:t>
      </w:r>
      <w:proofErr w:type="spellEnd"/>
      <w:r w:rsidRPr="00117DC2">
        <w:rPr>
          <w:rFonts w:ascii="Times New Roman" w:eastAsia="Times New Roman" w:hAnsi="Times New Roman" w:cs="Times New Roman"/>
          <w:iCs/>
          <w:lang w:eastAsia="lt-LT"/>
        </w:rPr>
        <w:t xml:space="preserve"> insultas, įvykęs per 1 pastarąjį mėnesį, arba bet koks buvęs hemoraginis ar </w:t>
      </w:r>
      <w:proofErr w:type="spellStart"/>
      <w:r w:rsidRPr="00117DC2">
        <w:rPr>
          <w:rFonts w:ascii="Times New Roman" w:eastAsia="Times New Roman" w:hAnsi="Times New Roman" w:cs="Times New Roman"/>
          <w:iCs/>
          <w:lang w:eastAsia="lt-LT"/>
        </w:rPr>
        <w:t>lakūninis</w:t>
      </w:r>
      <w:proofErr w:type="spellEnd"/>
      <w:r w:rsidRPr="00117DC2">
        <w:rPr>
          <w:rFonts w:ascii="Times New Roman" w:eastAsia="Times New Roman" w:hAnsi="Times New Roman" w:cs="Times New Roman"/>
          <w:iCs/>
          <w:lang w:eastAsia="lt-LT"/>
        </w:rPr>
        <w:t xml:space="preserve"> insultas. </w:t>
      </w:r>
    </w:p>
    <w:p w14:paraId="66AC93A0"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05A8435C" w14:textId="7AE49D75"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Rivaroksabanas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vartojamas 2 kartus per parą derinant su ASR 100</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vieną kartą per parą, buvo pranašesnis už ASR 100</w:t>
      </w:r>
      <w:r w:rsidR="00E622CD" w:rsidRPr="007F2054">
        <w:rPr>
          <w:rFonts w:ascii="Times New Roman" w:eastAsia="Times New Roman" w:hAnsi="Times New Roman" w:cs="Times New Roman"/>
          <w:iCs/>
          <w:lang w:eastAsia="lt-LT"/>
        </w:rPr>
        <w:t> </w:t>
      </w:r>
      <w:r w:rsidRPr="00117DC2">
        <w:rPr>
          <w:rFonts w:ascii="Times New Roman" w:eastAsia="Times New Roman" w:hAnsi="Times New Roman" w:cs="Times New Roman"/>
          <w:iCs/>
          <w:lang w:eastAsia="lt-LT"/>
        </w:rPr>
        <w:t>mg mažinant pirminės sudėtinės vertinamosios baigties, kurią sudarė mirtis nuo širdies ir kraujagyslių ligų, MI ir insultas, atvejų skaičių (žr. 7 lentelę ir 2 paveikslą).</w:t>
      </w:r>
    </w:p>
    <w:p w14:paraId="232CD8EB"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Pacientams, gydytiems rivaroksabanu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du kartus per parą derinant su ASR 100</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mg vieną kartą per parą, reikšmingai padažnėjo pirminės saugumo vertinamosios baigties (didžiojo kraujavimo reiškinių pagal modifikuotą </w:t>
      </w:r>
      <w:r w:rsidRPr="00117DC2">
        <w:rPr>
          <w:rFonts w:ascii="Times New Roman" w:eastAsia="Times New Roman" w:hAnsi="Times New Roman" w:cs="Times New Roman"/>
          <w:i/>
          <w:lang w:eastAsia="lt-LT"/>
        </w:rPr>
        <w:t>ISTH</w:t>
      </w:r>
      <w:r w:rsidRPr="00117DC2">
        <w:rPr>
          <w:rFonts w:ascii="Times New Roman" w:eastAsia="Times New Roman" w:hAnsi="Times New Roman" w:cs="Times New Roman"/>
          <w:iCs/>
          <w:lang w:eastAsia="lt-LT"/>
        </w:rPr>
        <w:t xml:space="preserve"> (tarptautinę trombozės ir hemostazės asociaciją – angl. </w:t>
      </w:r>
      <w:r w:rsidRPr="00117DC2">
        <w:rPr>
          <w:rFonts w:ascii="Times New Roman" w:eastAsia="Times New Roman" w:hAnsi="Times New Roman" w:cs="Times New Roman"/>
          <w:i/>
          <w:lang w:eastAsia="lt-LT"/>
        </w:rPr>
        <w:t xml:space="preserve">International </w:t>
      </w:r>
      <w:proofErr w:type="spellStart"/>
      <w:r w:rsidRPr="00117DC2">
        <w:rPr>
          <w:rFonts w:ascii="Times New Roman" w:eastAsia="Times New Roman" w:hAnsi="Times New Roman" w:cs="Times New Roman"/>
          <w:i/>
          <w:lang w:eastAsia="lt-LT"/>
        </w:rPr>
        <w:t>Society</w:t>
      </w:r>
      <w:proofErr w:type="spellEnd"/>
      <w:r w:rsidRPr="00117DC2">
        <w:rPr>
          <w:rFonts w:ascii="Times New Roman" w:eastAsia="Times New Roman" w:hAnsi="Times New Roman" w:cs="Times New Roman"/>
          <w:i/>
          <w:lang w:eastAsia="lt-LT"/>
        </w:rPr>
        <w:t xml:space="preserve"> </w:t>
      </w:r>
      <w:proofErr w:type="spellStart"/>
      <w:r w:rsidRPr="00117DC2">
        <w:rPr>
          <w:rFonts w:ascii="Times New Roman" w:eastAsia="Times New Roman" w:hAnsi="Times New Roman" w:cs="Times New Roman"/>
          <w:i/>
          <w:lang w:eastAsia="lt-LT"/>
        </w:rPr>
        <w:t>on</w:t>
      </w:r>
      <w:proofErr w:type="spellEnd"/>
      <w:r w:rsidRPr="00117DC2">
        <w:rPr>
          <w:rFonts w:ascii="Times New Roman" w:eastAsia="Times New Roman" w:hAnsi="Times New Roman" w:cs="Times New Roman"/>
          <w:i/>
          <w:lang w:eastAsia="lt-LT"/>
        </w:rPr>
        <w:t xml:space="preserve"> </w:t>
      </w:r>
      <w:proofErr w:type="spellStart"/>
      <w:r w:rsidRPr="00117DC2">
        <w:rPr>
          <w:rFonts w:ascii="Times New Roman" w:eastAsia="Times New Roman" w:hAnsi="Times New Roman" w:cs="Times New Roman"/>
          <w:i/>
          <w:lang w:eastAsia="lt-LT"/>
        </w:rPr>
        <w:t>Thrombosis</w:t>
      </w:r>
      <w:proofErr w:type="spellEnd"/>
      <w:r w:rsidRPr="00117DC2">
        <w:rPr>
          <w:rFonts w:ascii="Times New Roman" w:eastAsia="Times New Roman" w:hAnsi="Times New Roman" w:cs="Times New Roman"/>
          <w:i/>
          <w:lang w:eastAsia="lt-LT"/>
        </w:rPr>
        <w:t xml:space="preserve"> </w:t>
      </w:r>
      <w:proofErr w:type="spellStart"/>
      <w:r w:rsidRPr="00117DC2">
        <w:rPr>
          <w:rFonts w:ascii="Times New Roman" w:eastAsia="Times New Roman" w:hAnsi="Times New Roman" w:cs="Times New Roman"/>
          <w:i/>
          <w:lang w:eastAsia="lt-LT"/>
        </w:rPr>
        <w:t>and</w:t>
      </w:r>
      <w:proofErr w:type="spellEnd"/>
      <w:r w:rsidRPr="00117DC2">
        <w:rPr>
          <w:rFonts w:ascii="Times New Roman" w:eastAsia="Times New Roman" w:hAnsi="Times New Roman" w:cs="Times New Roman"/>
          <w:i/>
          <w:lang w:eastAsia="lt-LT"/>
        </w:rPr>
        <w:t xml:space="preserve"> </w:t>
      </w:r>
      <w:proofErr w:type="spellStart"/>
      <w:r w:rsidRPr="00117DC2">
        <w:rPr>
          <w:rFonts w:ascii="Times New Roman" w:eastAsia="Times New Roman" w:hAnsi="Times New Roman" w:cs="Times New Roman"/>
          <w:i/>
          <w:lang w:eastAsia="lt-LT"/>
        </w:rPr>
        <w:t>Haemostasis</w:t>
      </w:r>
      <w:proofErr w:type="spellEnd"/>
      <w:r w:rsidRPr="00117DC2">
        <w:rPr>
          <w:rFonts w:ascii="Times New Roman" w:eastAsia="Times New Roman" w:hAnsi="Times New Roman" w:cs="Times New Roman"/>
          <w:iCs/>
          <w:lang w:eastAsia="lt-LT"/>
        </w:rPr>
        <w:t>) skalę) atvejų, palyginti su pacientais, kurie vartojo ASR 100 mg vieną kartą per parą (žr. 8 lentelę).</w:t>
      </w:r>
    </w:p>
    <w:p w14:paraId="0A8A8791" w14:textId="77777777"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7F7F7121" w14:textId="70E283C6" w:rsidR="00117DC2" w:rsidRPr="00117DC2" w:rsidRDefault="00117DC2" w:rsidP="00117DC2">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117DC2">
        <w:rPr>
          <w:rFonts w:ascii="Times New Roman" w:eastAsia="Times New Roman" w:hAnsi="Times New Roman" w:cs="Times New Roman"/>
          <w:iCs/>
          <w:lang w:eastAsia="lt-LT"/>
        </w:rPr>
        <w:t>Pirminės veiksmingumo vertinamosios baigties atžvilgiu rivaroksabanas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mg du kartus per parą kartu su ASR 100</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mg vieną kartą per parą vartojimo nauda, palyginti su ASR 100 </w:t>
      </w:r>
      <w:r w:rsidR="00E622CD" w:rsidRPr="007F2054">
        <w:rPr>
          <w:rFonts w:ascii="Times New Roman" w:eastAsia="Times New Roman" w:hAnsi="Times New Roman" w:cs="Times New Roman"/>
          <w:iCs/>
          <w:lang w:eastAsia="lt-LT"/>
        </w:rPr>
        <w:t> </w:t>
      </w:r>
      <w:r w:rsidRPr="00117DC2">
        <w:rPr>
          <w:rFonts w:ascii="Times New Roman" w:eastAsia="Times New Roman" w:hAnsi="Times New Roman" w:cs="Times New Roman"/>
          <w:iCs/>
          <w:lang w:eastAsia="lt-LT"/>
        </w:rPr>
        <w:t>mg vieną kartą per parą vartojimo nauda, buvo RS = 0,89 (95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PI 0,7–1,1) ≥ 75 metų pacientams (dažnis atitinkamai 6,3</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lyginant su 7,0</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ir RS = 0,70 (95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PI 0,6–0,8) &lt; 75 metų pacientams (dažnis 3,6</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lyginant su 5,0</w:t>
      </w:r>
      <w:r w:rsidR="00C338A4" w:rsidRPr="007F2054">
        <w:rPr>
          <w:rFonts w:ascii="Times New Roman" w:eastAsia="Times New Roman" w:hAnsi="Times New Roman" w:cs="Times New Roman"/>
          <w:iCs/>
          <w:lang w:eastAsia="lt-LT"/>
        </w:rPr>
        <w:t> %</w:t>
      </w:r>
      <w:r w:rsidRPr="00117DC2">
        <w:rPr>
          <w:rFonts w:ascii="Times New Roman" w:eastAsia="Times New Roman" w:hAnsi="Times New Roman" w:cs="Times New Roman"/>
          <w:iCs/>
          <w:lang w:eastAsia="lt-LT"/>
        </w:rPr>
        <w:t xml:space="preserve">). Vertinant didįjį kraujavimą pagal modifikuotą </w:t>
      </w:r>
      <w:r w:rsidRPr="00117DC2">
        <w:rPr>
          <w:rFonts w:ascii="Times New Roman" w:eastAsia="Times New Roman" w:hAnsi="Times New Roman" w:cs="Times New Roman"/>
          <w:i/>
          <w:lang w:eastAsia="lt-LT"/>
        </w:rPr>
        <w:t>ISTH</w:t>
      </w:r>
      <w:r w:rsidRPr="00117DC2">
        <w:rPr>
          <w:rFonts w:ascii="Times New Roman" w:eastAsia="Times New Roman" w:hAnsi="Times New Roman" w:cs="Times New Roman"/>
          <w:iCs/>
          <w:lang w:eastAsia="lt-LT"/>
        </w:rPr>
        <w:t xml:space="preserve"> skalę, pastebėtas rizikos padidėjimas, kurį rodė RS 2,12 (95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PI 1,5–3,0) ≥ 75 metų pacientams (5,2</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lyginant su 2,5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ir RS = 1,53 (95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PI 1,2–1,9) &lt; 75 metų pacientams (2,6</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 xml:space="preserve"> lyginant su 1,7</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iCs/>
          <w:lang w:eastAsia="lt-LT"/>
        </w:rPr>
        <w:t>).</w:t>
      </w:r>
    </w:p>
    <w:p w14:paraId="5D285170" w14:textId="2FC13F32" w:rsidR="00117DC2" w:rsidRPr="007F2054" w:rsidRDefault="00117DC2" w:rsidP="00117DC2">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r w:rsidRPr="007F2054">
        <w:rPr>
          <w:rFonts w:ascii="Times New Roman" w:eastAsia="Times New Roman" w:hAnsi="Times New Roman" w:cs="Times New Roman"/>
          <w:iCs/>
          <w:lang w:eastAsia="lt-LT"/>
        </w:rPr>
        <w:t xml:space="preserve">40 mg </w:t>
      </w:r>
      <w:proofErr w:type="spellStart"/>
      <w:r w:rsidRPr="007F2054">
        <w:rPr>
          <w:rFonts w:ascii="Times New Roman" w:eastAsia="Times New Roman" w:hAnsi="Times New Roman" w:cs="Times New Roman"/>
          <w:iCs/>
          <w:lang w:eastAsia="lt-LT"/>
        </w:rPr>
        <w:t>pantoprazolo</w:t>
      </w:r>
      <w:proofErr w:type="spellEnd"/>
      <w:r w:rsidRPr="007F2054">
        <w:rPr>
          <w:rFonts w:ascii="Times New Roman" w:eastAsia="Times New Roman" w:hAnsi="Times New Roman" w:cs="Times New Roman"/>
          <w:iCs/>
          <w:lang w:eastAsia="lt-LT"/>
        </w:rPr>
        <w:t xml:space="preserve"> vartojimas vieną kartą per parą kartu su </w:t>
      </w:r>
      <w:proofErr w:type="spellStart"/>
      <w:r w:rsidRPr="007F2054">
        <w:rPr>
          <w:rFonts w:ascii="Times New Roman" w:eastAsia="Times New Roman" w:hAnsi="Times New Roman" w:cs="Times New Roman"/>
          <w:iCs/>
          <w:lang w:eastAsia="lt-LT"/>
        </w:rPr>
        <w:t>antitromboziniu</w:t>
      </w:r>
      <w:proofErr w:type="spellEnd"/>
      <w:r w:rsidRPr="007F2054">
        <w:rPr>
          <w:rFonts w:ascii="Times New Roman" w:eastAsia="Times New Roman" w:hAnsi="Times New Roman" w:cs="Times New Roman"/>
          <w:iCs/>
          <w:lang w:eastAsia="lt-LT"/>
        </w:rPr>
        <w:t xml:space="preserve">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w:t>
      </w:r>
      <w:r w:rsidRPr="007F2054">
        <w:rPr>
          <w:rFonts w:ascii="Times New Roman" w:eastAsia="Times New Roman" w:hAnsi="Times New Roman" w:cs="Times New Roman"/>
          <w:snapToGrid w:val="0"/>
          <w:szCs w:val="20"/>
          <w:lang w:eastAsia="lt-LT"/>
        </w:rPr>
        <w:t> </w:t>
      </w:r>
      <w:r w:rsidRPr="007F2054">
        <w:rPr>
          <w:rFonts w:ascii="Times New Roman" w:eastAsia="Times New Roman" w:hAnsi="Times New Roman" w:cs="Times New Roman"/>
          <w:iCs/>
          <w:lang w:eastAsia="lt-LT"/>
        </w:rPr>
        <w:t xml:space="preserve">mg </w:t>
      </w:r>
      <w:proofErr w:type="spellStart"/>
      <w:r w:rsidRPr="007F2054">
        <w:rPr>
          <w:rFonts w:ascii="Times New Roman" w:eastAsia="Times New Roman" w:hAnsi="Times New Roman" w:cs="Times New Roman"/>
          <w:iCs/>
          <w:lang w:eastAsia="lt-LT"/>
        </w:rPr>
        <w:t>pantoprazolo</w:t>
      </w:r>
      <w:proofErr w:type="spellEnd"/>
      <w:r w:rsidRPr="007F2054">
        <w:rPr>
          <w:rFonts w:ascii="Times New Roman" w:eastAsia="Times New Roman" w:hAnsi="Times New Roman" w:cs="Times New Roman"/>
          <w:iCs/>
          <w:lang w:eastAsia="lt-LT"/>
        </w:rPr>
        <w:t xml:space="preserve"> vieną kartą per parą, viršutinio virškinimo trakto reiškinių dažnis buvo 0,39 atvejo 100-ui pacientų metų, o grupėje, kuri vartojo placebo vieną kartą per parą – 0,44 atvejo 100-ui pacientų metų.</w:t>
      </w:r>
    </w:p>
    <w:p w14:paraId="342BAB48" w14:textId="77777777" w:rsidR="00117DC2"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1D944149" w14:textId="7CC86004" w:rsidR="00117DC2" w:rsidRPr="007F2054" w:rsidRDefault="00117DC2" w:rsidP="00117DC2">
      <w:pPr>
        <w:numPr>
          <w:ilvl w:val="12"/>
          <w:numId w:val="0"/>
        </w:numPr>
        <w:tabs>
          <w:tab w:val="left" w:pos="567"/>
        </w:tabs>
        <w:spacing w:after="0" w:line="240" w:lineRule="auto"/>
        <w:ind w:right="-2"/>
        <w:rPr>
          <w:rFonts w:ascii="Times New Roman" w:eastAsia="Times New Roman" w:hAnsi="Times New Roman" w:cs="Times New Roman"/>
          <w:b/>
          <w:bCs/>
          <w:lang w:eastAsia="lt-LT"/>
        </w:rPr>
      </w:pPr>
      <w:r w:rsidRPr="00117DC2">
        <w:rPr>
          <w:rFonts w:ascii="Times New Roman" w:eastAsia="Times New Roman" w:hAnsi="Times New Roman" w:cs="Times New Roman"/>
          <w:b/>
          <w:bCs/>
          <w:lang w:eastAsia="lt-LT"/>
        </w:rPr>
        <w:t>7 lentelė. III fazės tyrime COMPASS gauti veiksmingumo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7"/>
        <w:gridCol w:w="1225"/>
        <w:gridCol w:w="1288"/>
        <w:gridCol w:w="915"/>
        <w:gridCol w:w="1609"/>
        <w:gridCol w:w="1316"/>
      </w:tblGrid>
      <w:tr w:rsidR="00117DC2" w:rsidRPr="00117DC2" w14:paraId="417863FE" w14:textId="77777777" w:rsidTr="00117DC2">
        <w:tc>
          <w:tcPr>
            <w:tcW w:w="1268" w:type="dxa"/>
            <w:shd w:val="clear" w:color="auto" w:fill="auto"/>
          </w:tcPr>
          <w:p w14:paraId="4DCBE7B0"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Tyrimo populiacija</w:t>
            </w:r>
          </w:p>
        </w:tc>
        <w:tc>
          <w:tcPr>
            <w:tcW w:w="7640" w:type="dxa"/>
            <w:gridSpan w:val="6"/>
            <w:shd w:val="clear" w:color="auto" w:fill="auto"/>
          </w:tcPr>
          <w:p w14:paraId="22841DCF" w14:textId="77777777" w:rsidR="00117DC2" w:rsidRPr="00117DC2" w:rsidRDefault="00117DC2" w:rsidP="00117DC2">
            <w:pPr>
              <w:tabs>
                <w:tab w:val="left" w:pos="567"/>
              </w:tabs>
              <w:spacing w:after="0" w:line="240" w:lineRule="auto"/>
              <w:rPr>
                <w:rFonts w:ascii="Times New Roman" w:eastAsia="Times New Roman" w:hAnsi="Times New Roman" w:cs="Times New Roman"/>
                <w:b/>
                <w:vertAlign w:val="superscript"/>
                <w:lang w:eastAsia="lt-LT"/>
              </w:rPr>
            </w:pPr>
            <w:r w:rsidRPr="00117DC2">
              <w:rPr>
                <w:rFonts w:ascii="Times New Roman" w:eastAsia="Times New Roman" w:hAnsi="Times New Roman" w:cs="Times New Roman"/>
                <w:b/>
                <w:lang w:eastAsia="lt-LT"/>
              </w:rPr>
              <w:t xml:space="preserve">Pacientai, sergantys VAL ir (arba) </w:t>
            </w:r>
            <w:proofErr w:type="spellStart"/>
            <w:r w:rsidRPr="00117DC2">
              <w:rPr>
                <w:rFonts w:ascii="Times New Roman" w:eastAsia="Times New Roman" w:hAnsi="Times New Roman" w:cs="Times New Roman"/>
                <w:b/>
                <w:lang w:eastAsia="lt-LT"/>
              </w:rPr>
              <w:t>PAL</w:t>
            </w:r>
            <w:r w:rsidRPr="00117DC2">
              <w:rPr>
                <w:rFonts w:ascii="Times New Roman" w:eastAsia="Times New Roman" w:hAnsi="Times New Roman" w:cs="Times New Roman"/>
                <w:b/>
                <w:vertAlign w:val="superscript"/>
                <w:lang w:eastAsia="lt-LT"/>
              </w:rPr>
              <w:t>a</w:t>
            </w:r>
            <w:proofErr w:type="spellEnd"/>
            <w:r w:rsidRPr="00117DC2">
              <w:rPr>
                <w:rFonts w:ascii="Times New Roman" w:eastAsia="Times New Roman" w:hAnsi="Times New Roman" w:cs="Times New Roman"/>
                <w:b/>
                <w:vertAlign w:val="superscript"/>
                <w:lang w:eastAsia="lt-LT"/>
              </w:rPr>
              <w:t>)</w:t>
            </w:r>
          </w:p>
        </w:tc>
      </w:tr>
      <w:tr w:rsidR="00117DC2" w:rsidRPr="00117DC2" w14:paraId="2A9D5261" w14:textId="77777777" w:rsidTr="00117DC2">
        <w:tc>
          <w:tcPr>
            <w:tcW w:w="1268" w:type="dxa"/>
            <w:shd w:val="clear" w:color="auto" w:fill="auto"/>
          </w:tcPr>
          <w:p w14:paraId="42A0E04A"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Vaistinių preparatų dozavimas</w:t>
            </w:r>
          </w:p>
        </w:tc>
        <w:tc>
          <w:tcPr>
            <w:tcW w:w="2512" w:type="dxa"/>
            <w:gridSpan w:val="2"/>
            <w:shd w:val="clear" w:color="auto" w:fill="auto"/>
          </w:tcPr>
          <w:p w14:paraId="30C948A1" w14:textId="77777777" w:rsidR="00117DC2" w:rsidRPr="00117DC2" w:rsidRDefault="00117DC2" w:rsidP="00117DC2">
            <w:pPr>
              <w:tabs>
                <w:tab w:val="left" w:pos="567"/>
              </w:tabs>
              <w:spacing w:after="0" w:line="240" w:lineRule="auto"/>
              <w:rPr>
                <w:rFonts w:ascii="Times New Roman" w:eastAsia="Times New Roman" w:hAnsi="Times New Roman" w:cs="Times New Roman"/>
                <w:b/>
                <w:bCs/>
                <w:lang w:eastAsia="lt-LT"/>
              </w:rPr>
            </w:pPr>
            <w:r w:rsidRPr="00117DC2">
              <w:rPr>
                <w:rFonts w:ascii="Times New Roman" w:eastAsia="Times New Roman" w:hAnsi="Times New Roman" w:cs="Times New Roman"/>
                <w:b/>
                <w:bCs/>
                <w:lang w:eastAsia="lt-LT"/>
              </w:rPr>
              <w:t xml:space="preserve"> Rivaroksabanas po 2,5</w:t>
            </w:r>
            <w:r w:rsidRPr="00117DC2">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b/>
                <w:bCs/>
                <w:lang w:eastAsia="lt-LT"/>
              </w:rPr>
              <w:t>mg DKP kartu su ASR 100 mg VKP</w:t>
            </w:r>
          </w:p>
          <w:p w14:paraId="34F428D9"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bCs/>
                <w:lang w:eastAsia="lt-LT"/>
              </w:rPr>
              <w:t>N = 9152</w:t>
            </w:r>
          </w:p>
        </w:tc>
        <w:tc>
          <w:tcPr>
            <w:tcW w:w="2203" w:type="dxa"/>
            <w:gridSpan w:val="2"/>
            <w:shd w:val="clear" w:color="auto" w:fill="auto"/>
          </w:tcPr>
          <w:p w14:paraId="15CFD6F0"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color w:val="000000"/>
                <w:lang w:eastAsia="en-GB"/>
              </w:rPr>
            </w:pPr>
            <w:r w:rsidRPr="00117DC2">
              <w:rPr>
                <w:rFonts w:ascii="Times New Roman" w:eastAsia="SimSun" w:hAnsi="Times New Roman" w:cs="Times New Roman"/>
                <w:b/>
                <w:bCs/>
                <w:color w:val="000000"/>
                <w:lang w:eastAsia="en-GB"/>
              </w:rPr>
              <w:t>ASR 100</w:t>
            </w:r>
            <w:r w:rsidRPr="00117DC2">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b/>
                <w:bCs/>
                <w:color w:val="000000"/>
                <w:lang w:eastAsia="en-GB"/>
              </w:rPr>
              <w:t xml:space="preserve">mg VKP </w:t>
            </w:r>
          </w:p>
          <w:p w14:paraId="61758150"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 xml:space="preserve">N = 9126 </w:t>
            </w:r>
          </w:p>
        </w:tc>
        <w:tc>
          <w:tcPr>
            <w:tcW w:w="2925" w:type="dxa"/>
            <w:gridSpan w:val="2"/>
            <w:shd w:val="clear" w:color="auto" w:fill="auto"/>
          </w:tcPr>
          <w:p w14:paraId="73EEC8E1"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r>
      <w:tr w:rsidR="00117DC2" w:rsidRPr="00117DC2" w14:paraId="7AFDD93D" w14:textId="77777777" w:rsidTr="00117DC2">
        <w:tc>
          <w:tcPr>
            <w:tcW w:w="1268" w:type="dxa"/>
            <w:shd w:val="clear" w:color="auto" w:fill="auto"/>
          </w:tcPr>
          <w:p w14:paraId="706E29C7"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c>
          <w:tcPr>
            <w:tcW w:w="1287" w:type="dxa"/>
            <w:shd w:val="clear" w:color="auto" w:fill="auto"/>
          </w:tcPr>
          <w:p w14:paraId="4D45AFA1"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Pacientai, kuriems buvo reiškinių</w:t>
            </w:r>
          </w:p>
        </w:tc>
        <w:tc>
          <w:tcPr>
            <w:tcW w:w="1225" w:type="dxa"/>
            <w:shd w:val="clear" w:color="auto" w:fill="auto"/>
          </w:tcPr>
          <w:p w14:paraId="056F828B"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KM%</w:t>
            </w:r>
          </w:p>
        </w:tc>
        <w:tc>
          <w:tcPr>
            <w:tcW w:w="1288" w:type="dxa"/>
            <w:shd w:val="clear" w:color="auto" w:fill="auto"/>
          </w:tcPr>
          <w:p w14:paraId="21EFB3D0"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Pacientai, kuriems buvo reiškinių</w:t>
            </w:r>
          </w:p>
        </w:tc>
        <w:tc>
          <w:tcPr>
            <w:tcW w:w="915" w:type="dxa"/>
            <w:shd w:val="clear" w:color="auto" w:fill="auto"/>
          </w:tcPr>
          <w:p w14:paraId="03D1F793"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KM%</w:t>
            </w:r>
          </w:p>
        </w:tc>
        <w:tc>
          <w:tcPr>
            <w:tcW w:w="1609" w:type="dxa"/>
            <w:shd w:val="clear" w:color="auto" w:fill="auto"/>
          </w:tcPr>
          <w:p w14:paraId="2913810B" w14:textId="670973EC"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r w:rsidRPr="00117DC2">
              <w:rPr>
                <w:rFonts w:ascii="Times New Roman" w:eastAsia="Times New Roman" w:hAnsi="Times New Roman" w:cs="Times New Roman"/>
                <w:b/>
                <w:lang w:eastAsia="lt-LT"/>
              </w:rPr>
              <w:t>RS (95</w:t>
            </w:r>
            <w:r w:rsidR="00C338A4" w:rsidRPr="007F2054">
              <w:rPr>
                <w:rFonts w:ascii="Times New Roman" w:eastAsia="Times New Roman" w:hAnsi="Times New Roman" w:cs="Times New Roman"/>
                <w:snapToGrid w:val="0"/>
                <w:szCs w:val="20"/>
                <w:lang w:eastAsia="lt-LT"/>
              </w:rPr>
              <w:t> %</w:t>
            </w:r>
            <w:r w:rsidRPr="00117DC2">
              <w:rPr>
                <w:rFonts w:ascii="Times New Roman" w:eastAsia="Times New Roman" w:hAnsi="Times New Roman" w:cs="Times New Roman"/>
                <w:b/>
                <w:lang w:eastAsia="lt-LT"/>
              </w:rPr>
              <w:t xml:space="preserve"> PI)</w:t>
            </w:r>
          </w:p>
        </w:tc>
        <w:tc>
          <w:tcPr>
            <w:tcW w:w="1316" w:type="dxa"/>
            <w:shd w:val="clear" w:color="auto" w:fill="auto"/>
          </w:tcPr>
          <w:p w14:paraId="6C4A5723" w14:textId="77777777" w:rsidR="00117DC2" w:rsidRPr="00117DC2" w:rsidRDefault="00117DC2" w:rsidP="00117DC2">
            <w:pPr>
              <w:tabs>
                <w:tab w:val="left" w:pos="567"/>
              </w:tabs>
              <w:spacing w:after="0" w:line="240" w:lineRule="auto"/>
              <w:rPr>
                <w:rFonts w:ascii="Times New Roman" w:eastAsia="Times New Roman" w:hAnsi="Times New Roman" w:cs="Times New Roman"/>
                <w:b/>
                <w:vertAlign w:val="superscript"/>
                <w:lang w:eastAsia="lt-LT"/>
              </w:rPr>
            </w:pPr>
            <w:r w:rsidRPr="00117DC2">
              <w:rPr>
                <w:rFonts w:ascii="Times New Roman" w:eastAsia="Times New Roman" w:hAnsi="Times New Roman" w:cs="Times New Roman"/>
                <w:b/>
                <w:lang w:eastAsia="lt-LT"/>
              </w:rPr>
              <w:t>p-</w:t>
            </w:r>
            <w:proofErr w:type="spellStart"/>
            <w:r w:rsidRPr="00117DC2">
              <w:rPr>
                <w:rFonts w:ascii="Times New Roman" w:eastAsia="Times New Roman" w:hAnsi="Times New Roman" w:cs="Times New Roman"/>
                <w:b/>
                <w:lang w:eastAsia="lt-LT"/>
              </w:rPr>
              <w:t>vertė</w:t>
            </w:r>
            <w:r w:rsidRPr="00117DC2">
              <w:rPr>
                <w:rFonts w:ascii="Times New Roman" w:eastAsia="Times New Roman" w:hAnsi="Times New Roman" w:cs="Times New Roman"/>
                <w:b/>
                <w:vertAlign w:val="superscript"/>
                <w:lang w:eastAsia="lt-LT"/>
              </w:rPr>
              <w:t>b</w:t>
            </w:r>
            <w:proofErr w:type="spellEnd"/>
            <w:r w:rsidRPr="00117DC2">
              <w:rPr>
                <w:rFonts w:ascii="Times New Roman" w:eastAsia="Times New Roman" w:hAnsi="Times New Roman" w:cs="Times New Roman"/>
                <w:b/>
                <w:vertAlign w:val="superscript"/>
                <w:lang w:eastAsia="lt-LT"/>
              </w:rPr>
              <w:t>)</w:t>
            </w:r>
          </w:p>
        </w:tc>
      </w:tr>
      <w:tr w:rsidR="00117DC2" w:rsidRPr="00117DC2" w14:paraId="241DDC0E" w14:textId="77777777" w:rsidTr="00117DC2">
        <w:tc>
          <w:tcPr>
            <w:tcW w:w="1268" w:type="dxa"/>
            <w:shd w:val="clear" w:color="auto" w:fill="auto"/>
          </w:tcPr>
          <w:p w14:paraId="6EF3F717"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Insultas, MI arba KV mirtis</w:t>
            </w:r>
          </w:p>
        </w:tc>
        <w:tc>
          <w:tcPr>
            <w:tcW w:w="1287" w:type="dxa"/>
            <w:shd w:val="clear" w:color="auto" w:fill="auto"/>
          </w:tcPr>
          <w:p w14:paraId="205B1C67" w14:textId="567881A5"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379 (4</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625D5663"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c>
          <w:tcPr>
            <w:tcW w:w="1225" w:type="dxa"/>
            <w:shd w:val="clear" w:color="auto" w:fill="auto"/>
          </w:tcPr>
          <w:p w14:paraId="31C7EBEF" w14:textId="2649BCA8"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5</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20</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5DB2ECBD" w14:textId="60200BDB"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496 (5</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3431025A" w14:textId="1A06499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7</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17</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5733FB8E" w14:textId="23A231A4"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600D41">
              <w:rPr>
                <w:rFonts w:ascii="Times New Roman" w:eastAsia="SimSun" w:hAnsi="Times New Roman" w:cs="Times New Roman"/>
                <w:lang w:eastAsia="en-GB"/>
              </w:rPr>
              <w:t>,</w:t>
            </w:r>
            <w:r w:rsidRPr="00117DC2">
              <w:rPr>
                <w:rFonts w:ascii="Times New Roman" w:eastAsia="SimSun" w:hAnsi="Times New Roman" w:cs="Times New Roman"/>
                <w:lang w:eastAsia="en-GB"/>
              </w:rPr>
              <w:t>76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66;</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86) </w:t>
            </w:r>
          </w:p>
        </w:tc>
        <w:tc>
          <w:tcPr>
            <w:tcW w:w="1316" w:type="dxa"/>
            <w:shd w:val="clear" w:color="auto" w:fill="auto"/>
          </w:tcPr>
          <w:p w14:paraId="00464DA8" w14:textId="4A96A4F0"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p=0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00004* </w:t>
            </w:r>
          </w:p>
        </w:tc>
      </w:tr>
      <w:tr w:rsidR="00117DC2" w:rsidRPr="00117DC2" w14:paraId="3C6EE1F7" w14:textId="77777777" w:rsidTr="00117DC2">
        <w:tc>
          <w:tcPr>
            <w:tcW w:w="1268" w:type="dxa"/>
            <w:shd w:val="clear" w:color="auto" w:fill="auto"/>
          </w:tcPr>
          <w:p w14:paraId="288FDD81" w14:textId="77777777" w:rsidR="00117DC2" w:rsidRPr="00117DC2" w:rsidRDefault="00117DC2" w:rsidP="00117DC2">
            <w:pPr>
              <w:tabs>
                <w:tab w:val="left" w:pos="567"/>
              </w:tabs>
              <w:spacing w:after="0" w:line="240" w:lineRule="auto"/>
              <w:rPr>
                <w:rFonts w:ascii="Times New Roman" w:eastAsia="Times New Roman" w:hAnsi="Times New Roman" w:cs="Times New Roman"/>
                <w:lang w:eastAsia="lt-LT"/>
              </w:rPr>
            </w:pPr>
            <w:r w:rsidRPr="00117DC2">
              <w:rPr>
                <w:rFonts w:ascii="Times New Roman" w:eastAsia="Times New Roman" w:hAnsi="Times New Roman" w:cs="Times New Roman"/>
                <w:lang w:eastAsia="lt-LT"/>
              </w:rPr>
              <w:t>-   Insultas</w:t>
            </w:r>
          </w:p>
        </w:tc>
        <w:tc>
          <w:tcPr>
            <w:tcW w:w="1287" w:type="dxa"/>
            <w:shd w:val="clear" w:color="auto" w:fill="auto"/>
          </w:tcPr>
          <w:p w14:paraId="32316C9D" w14:textId="1E87CD0F"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83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9%) </w:t>
            </w:r>
          </w:p>
        </w:tc>
        <w:tc>
          <w:tcPr>
            <w:tcW w:w="1225" w:type="dxa"/>
            <w:shd w:val="clear" w:color="auto" w:fill="auto"/>
          </w:tcPr>
          <w:p w14:paraId="2D209934" w14:textId="3FBF9D9A"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17</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56A23562" w14:textId="74064B96"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142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6</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27E6D41C" w14:textId="6B129A7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23</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5D63F20A" w14:textId="20571734"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600D41">
              <w:rPr>
                <w:rFonts w:ascii="Times New Roman" w:eastAsia="SimSun" w:hAnsi="Times New Roman" w:cs="Times New Roman"/>
                <w:lang w:eastAsia="en-GB"/>
              </w:rPr>
              <w:t>,</w:t>
            </w:r>
            <w:r w:rsidRPr="00117DC2">
              <w:rPr>
                <w:rFonts w:ascii="Times New Roman" w:eastAsia="SimSun" w:hAnsi="Times New Roman" w:cs="Times New Roman"/>
                <w:lang w:eastAsia="en-GB"/>
              </w:rPr>
              <w:t>58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44;</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76) </w:t>
            </w:r>
          </w:p>
        </w:tc>
        <w:tc>
          <w:tcPr>
            <w:tcW w:w="1316" w:type="dxa"/>
            <w:shd w:val="clear" w:color="auto" w:fill="auto"/>
          </w:tcPr>
          <w:p w14:paraId="5E49487E" w14:textId="5DF9B169"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p=0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00006 </w:t>
            </w:r>
          </w:p>
        </w:tc>
      </w:tr>
      <w:tr w:rsidR="00117DC2" w:rsidRPr="00117DC2" w14:paraId="0C6DA2C3" w14:textId="77777777" w:rsidTr="00117DC2">
        <w:tc>
          <w:tcPr>
            <w:tcW w:w="1268" w:type="dxa"/>
            <w:shd w:val="clear" w:color="auto" w:fill="auto"/>
          </w:tcPr>
          <w:p w14:paraId="04DF928E" w14:textId="77777777" w:rsidR="00117DC2" w:rsidRPr="00117DC2" w:rsidRDefault="00117DC2" w:rsidP="00117DC2">
            <w:pPr>
              <w:tabs>
                <w:tab w:val="left" w:pos="567"/>
              </w:tabs>
              <w:spacing w:after="0" w:line="240" w:lineRule="auto"/>
              <w:rPr>
                <w:rFonts w:ascii="Times New Roman" w:eastAsia="Times New Roman" w:hAnsi="Times New Roman" w:cs="Times New Roman"/>
                <w:lang w:eastAsia="lt-LT"/>
              </w:rPr>
            </w:pPr>
            <w:r w:rsidRPr="00117DC2">
              <w:rPr>
                <w:rFonts w:ascii="Times New Roman" w:eastAsia="Times New Roman" w:hAnsi="Times New Roman" w:cs="Times New Roman"/>
                <w:lang w:eastAsia="lt-LT"/>
              </w:rPr>
              <w:t>-   MI</w:t>
            </w:r>
          </w:p>
        </w:tc>
        <w:tc>
          <w:tcPr>
            <w:tcW w:w="1287" w:type="dxa"/>
            <w:shd w:val="clear" w:color="auto" w:fill="auto"/>
          </w:tcPr>
          <w:p w14:paraId="1006128D" w14:textId="39FFB8BC"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178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9</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25" w:type="dxa"/>
            <w:shd w:val="clear" w:color="auto" w:fill="auto"/>
          </w:tcPr>
          <w:p w14:paraId="54027134" w14:textId="28D6806B"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46</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7CBDCAC1" w14:textId="2A8A1863"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205 (2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1818396A" w14:textId="4F485ED0"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94</w:t>
            </w:r>
            <w:r w:rsidR="00C338A4" w:rsidRPr="007F2054">
              <w:rPr>
                <w:rFonts w:ascii="Times New Roman" w:eastAsia="SimSun" w:hAnsi="Times New Roman" w:cs="Times New Roman"/>
                <w:lang w:eastAsia="en-GB"/>
              </w:rPr>
              <w:t> %</w:t>
            </w:r>
            <w:r w:rsidRPr="00117DC2">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745F4F2D" w14:textId="4821E953"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600D41">
              <w:rPr>
                <w:rFonts w:ascii="Times New Roman" w:eastAsia="SimSun" w:hAnsi="Times New Roman" w:cs="Times New Roman"/>
                <w:lang w:eastAsia="en-GB"/>
              </w:rPr>
              <w:t>,</w:t>
            </w:r>
            <w:r w:rsidRPr="00117DC2">
              <w:rPr>
                <w:rFonts w:ascii="Times New Roman" w:eastAsia="SimSun" w:hAnsi="Times New Roman" w:cs="Times New Roman"/>
                <w:lang w:eastAsia="en-GB"/>
              </w:rPr>
              <w:t>86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70;</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05) </w:t>
            </w:r>
          </w:p>
        </w:tc>
        <w:tc>
          <w:tcPr>
            <w:tcW w:w="1316" w:type="dxa"/>
            <w:shd w:val="clear" w:color="auto" w:fill="auto"/>
          </w:tcPr>
          <w:p w14:paraId="076D6FFB" w14:textId="671A594A"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p=0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14458 </w:t>
            </w:r>
          </w:p>
        </w:tc>
      </w:tr>
      <w:tr w:rsidR="00117DC2" w:rsidRPr="00117DC2" w14:paraId="797B8422" w14:textId="77777777" w:rsidTr="00117DC2">
        <w:tc>
          <w:tcPr>
            <w:tcW w:w="1268" w:type="dxa"/>
            <w:shd w:val="clear" w:color="auto" w:fill="auto"/>
          </w:tcPr>
          <w:p w14:paraId="6509DD9E" w14:textId="77777777" w:rsidR="00117DC2" w:rsidRPr="00117DC2" w:rsidRDefault="00117DC2" w:rsidP="00117DC2">
            <w:pPr>
              <w:tabs>
                <w:tab w:val="left" w:pos="567"/>
              </w:tabs>
              <w:spacing w:after="0" w:line="240" w:lineRule="auto"/>
              <w:rPr>
                <w:rFonts w:ascii="Times New Roman" w:eastAsia="Times New Roman" w:hAnsi="Times New Roman" w:cs="Times New Roman"/>
                <w:lang w:eastAsia="lt-LT"/>
              </w:rPr>
            </w:pPr>
            <w:r w:rsidRPr="00117DC2">
              <w:rPr>
                <w:rFonts w:ascii="Times New Roman" w:eastAsia="Times New Roman" w:hAnsi="Times New Roman" w:cs="Times New Roman"/>
                <w:lang w:eastAsia="lt-LT"/>
              </w:rPr>
              <w:t>-   KV mirtis</w:t>
            </w:r>
          </w:p>
        </w:tc>
        <w:tc>
          <w:tcPr>
            <w:tcW w:w="1287" w:type="dxa"/>
            <w:shd w:val="clear" w:color="auto" w:fill="auto"/>
          </w:tcPr>
          <w:p w14:paraId="4687DAE1" w14:textId="53DEAB44"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160 (1</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7</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25" w:type="dxa"/>
            <w:shd w:val="clear" w:color="auto" w:fill="auto"/>
          </w:tcPr>
          <w:p w14:paraId="64E4B377" w14:textId="350BFD42"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19</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34C5D23E" w14:textId="14D7DB4D"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203 (2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241F7196" w14:textId="2B66467A"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88</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655551E5" w14:textId="58010146"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600D41">
              <w:rPr>
                <w:rFonts w:ascii="Times New Roman" w:eastAsia="SimSun" w:hAnsi="Times New Roman" w:cs="Times New Roman"/>
                <w:lang w:eastAsia="en-GB"/>
              </w:rPr>
              <w:t>,</w:t>
            </w:r>
            <w:r w:rsidRPr="00117DC2">
              <w:rPr>
                <w:rFonts w:ascii="Times New Roman" w:eastAsia="SimSun" w:hAnsi="Times New Roman" w:cs="Times New Roman"/>
                <w:lang w:eastAsia="en-GB"/>
              </w:rPr>
              <w:t>78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64;</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96) </w:t>
            </w:r>
          </w:p>
        </w:tc>
        <w:tc>
          <w:tcPr>
            <w:tcW w:w="1316" w:type="dxa"/>
            <w:shd w:val="clear" w:color="auto" w:fill="auto"/>
          </w:tcPr>
          <w:p w14:paraId="1533A632" w14:textId="4FFC2F13"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p=0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02053 </w:t>
            </w:r>
          </w:p>
        </w:tc>
      </w:tr>
      <w:tr w:rsidR="00117DC2" w:rsidRPr="00117DC2" w14:paraId="2480DA0B" w14:textId="77777777" w:rsidTr="00117DC2">
        <w:tc>
          <w:tcPr>
            <w:tcW w:w="1268" w:type="dxa"/>
            <w:shd w:val="clear" w:color="auto" w:fill="auto"/>
          </w:tcPr>
          <w:p w14:paraId="5B6365B6"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Mirtis dėl bet kokios priežasties</w:t>
            </w:r>
          </w:p>
        </w:tc>
        <w:tc>
          <w:tcPr>
            <w:tcW w:w="1287" w:type="dxa"/>
            <w:shd w:val="clear" w:color="auto" w:fill="auto"/>
          </w:tcPr>
          <w:p w14:paraId="0F41CD83" w14:textId="60A34682"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313 (3</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p w14:paraId="6A75DE9F"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c>
          <w:tcPr>
            <w:tcW w:w="1225" w:type="dxa"/>
            <w:shd w:val="clear" w:color="auto" w:fill="auto"/>
          </w:tcPr>
          <w:p w14:paraId="46EA7744" w14:textId="6A4BB251"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4</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50</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2BEE4F0F" w14:textId="5057D8F1"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378 (4</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705BC6BE" w14:textId="58171FF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5</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57</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0BE44E21" w14:textId="399AB864"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600D41">
              <w:rPr>
                <w:rFonts w:ascii="Times New Roman" w:eastAsia="SimSun" w:hAnsi="Times New Roman" w:cs="Times New Roman"/>
                <w:lang w:eastAsia="en-GB"/>
              </w:rPr>
              <w:t>,</w:t>
            </w:r>
            <w:r w:rsidRPr="00117DC2">
              <w:rPr>
                <w:rFonts w:ascii="Times New Roman" w:eastAsia="SimSun" w:hAnsi="Times New Roman" w:cs="Times New Roman"/>
                <w:lang w:eastAsia="en-GB"/>
              </w:rPr>
              <w:t>82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71;</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96) </w:t>
            </w:r>
          </w:p>
        </w:tc>
        <w:tc>
          <w:tcPr>
            <w:tcW w:w="1316" w:type="dxa"/>
            <w:shd w:val="clear" w:color="auto" w:fill="auto"/>
          </w:tcPr>
          <w:p w14:paraId="5095F911"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r>
      <w:tr w:rsidR="00117DC2" w:rsidRPr="00117DC2" w14:paraId="741344AF" w14:textId="77777777" w:rsidTr="00117DC2">
        <w:tc>
          <w:tcPr>
            <w:tcW w:w="1268" w:type="dxa"/>
            <w:shd w:val="clear" w:color="auto" w:fill="auto"/>
          </w:tcPr>
          <w:p w14:paraId="7E399BCD" w14:textId="77777777"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Ūminė galūnių išemija</w:t>
            </w:r>
          </w:p>
        </w:tc>
        <w:tc>
          <w:tcPr>
            <w:tcW w:w="1287" w:type="dxa"/>
            <w:shd w:val="clear" w:color="auto" w:fill="auto"/>
          </w:tcPr>
          <w:p w14:paraId="031B1671" w14:textId="40D60A2D"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22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25" w:type="dxa"/>
            <w:shd w:val="clear" w:color="auto" w:fill="auto"/>
          </w:tcPr>
          <w:p w14:paraId="4138900B" w14:textId="3C9C9BD6"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27</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288" w:type="dxa"/>
            <w:shd w:val="clear" w:color="auto" w:fill="auto"/>
          </w:tcPr>
          <w:p w14:paraId="31FAC92C" w14:textId="7D4E53BB"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40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915" w:type="dxa"/>
            <w:shd w:val="clear" w:color="auto" w:fill="auto"/>
          </w:tcPr>
          <w:p w14:paraId="7D0458EC" w14:textId="33BD1CCA"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60</w:t>
            </w:r>
            <w:r w:rsidR="00C338A4" w:rsidRPr="007F2054">
              <w:rPr>
                <w:rFonts w:ascii="Times New Roman" w:eastAsia="SimSun" w:hAnsi="Times New Roman" w:cs="Times New Roman"/>
                <w:snapToGrid w:val="0"/>
                <w:color w:val="000000"/>
                <w:szCs w:val="24"/>
                <w:lang w:eastAsia="en-GB"/>
              </w:rPr>
              <w:t> %</w:t>
            </w:r>
            <w:r w:rsidRPr="00117DC2">
              <w:rPr>
                <w:rFonts w:ascii="Times New Roman" w:eastAsia="SimSun" w:hAnsi="Times New Roman" w:cs="Times New Roman"/>
                <w:lang w:eastAsia="en-GB"/>
              </w:rPr>
              <w:t xml:space="preserve"> </w:t>
            </w:r>
          </w:p>
        </w:tc>
        <w:tc>
          <w:tcPr>
            <w:tcW w:w="1609" w:type="dxa"/>
            <w:shd w:val="clear" w:color="auto" w:fill="auto"/>
          </w:tcPr>
          <w:p w14:paraId="2AD461ED" w14:textId="7EBD5E8B" w:rsidR="00117DC2" w:rsidRPr="00117DC2" w:rsidRDefault="00117DC2" w:rsidP="00117DC2">
            <w:pPr>
              <w:autoSpaceDE w:val="0"/>
              <w:autoSpaceDN w:val="0"/>
              <w:adjustRightInd w:val="0"/>
              <w:spacing w:after="0" w:line="240" w:lineRule="auto"/>
              <w:rPr>
                <w:rFonts w:ascii="Times New Roman" w:eastAsia="SimSun" w:hAnsi="Times New Roman" w:cs="Times New Roman"/>
                <w:lang w:eastAsia="en-GB"/>
              </w:rPr>
            </w:pP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55 (0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32;</w:t>
            </w:r>
            <w:r w:rsidR="00E622CD" w:rsidRPr="007F2054">
              <w:rPr>
                <w:rFonts w:ascii="Times New Roman" w:eastAsia="SimSun" w:hAnsi="Times New Roman" w:cs="Times New Roman"/>
                <w:lang w:eastAsia="en-GB"/>
              </w:rPr>
              <w:t xml:space="preserve"> </w:t>
            </w:r>
            <w:r w:rsidRPr="00117DC2">
              <w:rPr>
                <w:rFonts w:ascii="Times New Roman" w:eastAsia="SimSun" w:hAnsi="Times New Roman" w:cs="Times New Roman"/>
                <w:lang w:eastAsia="en-GB"/>
              </w:rPr>
              <w:t>0</w:t>
            </w:r>
            <w:r w:rsidR="00E622CD" w:rsidRPr="007F2054">
              <w:rPr>
                <w:rFonts w:ascii="Times New Roman" w:eastAsia="SimSun" w:hAnsi="Times New Roman" w:cs="Times New Roman"/>
                <w:lang w:eastAsia="en-GB"/>
              </w:rPr>
              <w:t>,</w:t>
            </w:r>
            <w:r w:rsidRPr="00117DC2">
              <w:rPr>
                <w:rFonts w:ascii="Times New Roman" w:eastAsia="SimSun" w:hAnsi="Times New Roman" w:cs="Times New Roman"/>
                <w:lang w:eastAsia="en-GB"/>
              </w:rPr>
              <w:t xml:space="preserve">92) </w:t>
            </w:r>
          </w:p>
        </w:tc>
        <w:tc>
          <w:tcPr>
            <w:tcW w:w="1316" w:type="dxa"/>
            <w:shd w:val="clear" w:color="auto" w:fill="auto"/>
          </w:tcPr>
          <w:p w14:paraId="30BD953E" w14:textId="77777777" w:rsidR="00117DC2" w:rsidRPr="00117DC2" w:rsidRDefault="00117DC2" w:rsidP="00117DC2">
            <w:pPr>
              <w:tabs>
                <w:tab w:val="left" w:pos="567"/>
              </w:tabs>
              <w:spacing w:after="0" w:line="240" w:lineRule="auto"/>
              <w:rPr>
                <w:rFonts w:ascii="Times New Roman" w:eastAsia="Times New Roman" w:hAnsi="Times New Roman" w:cs="Times New Roman"/>
                <w:b/>
                <w:lang w:eastAsia="lt-LT"/>
              </w:rPr>
            </w:pPr>
          </w:p>
        </w:tc>
      </w:tr>
    </w:tbl>
    <w:p w14:paraId="18F54329" w14:textId="77777777"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 xml:space="preserve">a) ketinimo gydyti (angl. </w:t>
      </w:r>
      <w:proofErr w:type="spellStart"/>
      <w:r w:rsidRPr="00327484">
        <w:rPr>
          <w:rFonts w:ascii="Times New Roman" w:eastAsia="Times New Roman" w:hAnsi="Times New Roman" w:cs="Times New Roman"/>
          <w:i/>
          <w:sz w:val="20"/>
          <w:szCs w:val="20"/>
          <w:lang w:eastAsia="lt-LT"/>
        </w:rPr>
        <w:t>intention</w:t>
      </w:r>
      <w:proofErr w:type="spellEnd"/>
      <w:r w:rsidRPr="00327484">
        <w:rPr>
          <w:rFonts w:ascii="Times New Roman" w:eastAsia="Times New Roman" w:hAnsi="Times New Roman" w:cs="Times New Roman"/>
          <w:i/>
          <w:sz w:val="20"/>
          <w:szCs w:val="20"/>
          <w:lang w:eastAsia="lt-LT"/>
        </w:rPr>
        <w:t xml:space="preserve"> to </w:t>
      </w:r>
      <w:proofErr w:type="spellStart"/>
      <w:r w:rsidRPr="00327484">
        <w:rPr>
          <w:rFonts w:ascii="Times New Roman" w:eastAsia="Times New Roman" w:hAnsi="Times New Roman" w:cs="Times New Roman"/>
          <w:i/>
          <w:sz w:val="20"/>
          <w:szCs w:val="20"/>
          <w:lang w:eastAsia="lt-LT"/>
        </w:rPr>
        <w:t>treat</w:t>
      </w:r>
      <w:proofErr w:type="spellEnd"/>
      <w:r w:rsidRPr="00327484">
        <w:rPr>
          <w:rFonts w:ascii="Times New Roman" w:eastAsia="Times New Roman" w:hAnsi="Times New Roman" w:cs="Times New Roman"/>
          <w:iCs/>
          <w:sz w:val="20"/>
          <w:szCs w:val="20"/>
          <w:lang w:eastAsia="lt-LT"/>
        </w:rPr>
        <w:t>) tiriamoji grupė, pirminė analizė</w:t>
      </w:r>
    </w:p>
    <w:p w14:paraId="141E44CE" w14:textId="77777777"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 xml:space="preserve">b) palyginti su ASR 100 mg; </w:t>
      </w:r>
      <w:proofErr w:type="spellStart"/>
      <w:r w:rsidRPr="00327484">
        <w:rPr>
          <w:rFonts w:ascii="Times New Roman" w:eastAsia="Times New Roman" w:hAnsi="Times New Roman" w:cs="Times New Roman"/>
          <w:iCs/>
          <w:sz w:val="20"/>
          <w:szCs w:val="20"/>
          <w:lang w:eastAsia="lt-LT"/>
        </w:rPr>
        <w:t>Log-Rank</w:t>
      </w:r>
      <w:proofErr w:type="spellEnd"/>
      <w:r w:rsidRPr="00327484">
        <w:rPr>
          <w:rFonts w:ascii="Times New Roman" w:eastAsia="Times New Roman" w:hAnsi="Times New Roman" w:cs="Times New Roman"/>
          <w:iCs/>
          <w:sz w:val="20"/>
          <w:szCs w:val="20"/>
          <w:lang w:eastAsia="lt-LT"/>
        </w:rPr>
        <w:t xml:space="preserve"> p vertė</w:t>
      </w:r>
    </w:p>
    <w:p w14:paraId="68423C32" w14:textId="77777777"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 Pirminės veiksmingumo vertinamosios baigties sumažėjimas buvo statistiškai pranašesnis.</w:t>
      </w:r>
    </w:p>
    <w:p w14:paraId="500C2E31" w14:textId="7F72930B" w:rsidR="00327484" w:rsidRPr="007F205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lastRenderedPageBreak/>
        <w:t xml:space="preserve">DKP: du kartus per parą; PI: </w:t>
      </w:r>
      <w:proofErr w:type="spellStart"/>
      <w:r w:rsidRPr="00327484">
        <w:rPr>
          <w:rFonts w:ascii="Times New Roman" w:eastAsia="Times New Roman" w:hAnsi="Times New Roman" w:cs="Times New Roman"/>
          <w:iCs/>
          <w:sz w:val="20"/>
          <w:szCs w:val="20"/>
          <w:lang w:eastAsia="lt-LT"/>
        </w:rPr>
        <w:t>pasikliautinasis</w:t>
      </w:r>
      <w:proofErr w:type="spellEnd"/>
      <w:r w:rsidRPr="00327484">
        <w:rPr>
          <w:rFonts w:ascii="Times New Roman" w:eastAsia="Times New Roman" w:hAnsi="Times New Roman" w:cs="Times New Roman"/>
          <w:iCs/>
          <w:sz w:val="20"/>
          <w:szCs w:val="20"/>
          <w:lang w:eastAsia="lt-LT"/>
        </w:rPr>
        <w:t xml:space="preserve"> intervalas; KM</w:t>
      </w:r>
      <w:r w:rsidR="00C338A4" w:rsidRPr="007F2054">
        <w:rPr>
          <w:rFonts w:ascii="Times New Roman" w:eastAsia="Times New Roman" w:hAnsi="Times New Roman" w:cs="Times New Roman"/>
          <w:iCs/>
          <w:sz w:val="20"/>
          <w:szCs w:val="20"/>
          <w:lang w:eastAsia="lt-LT"/>
        </w:rPr>
        <w:t> %</w:t>
      </w:r>
      <w:r w:rsidRPr="00327484">
        <w:rPr>
          <w:rFonts w:ascii="Times New Roman" w:eastAsia="Times New Roman" w:hAnsi="Times New Roman" w:cs="Times New Roman"/>
          <w:iCs/>
          <w:sz w:val="20"/>
          <w:szCs w:val="20"/>
          <w:lang w:eastAsia="lt-LT"/>
        </w:rPr>
        <w:t>: bendros dažnio rizikos įverčiai pagal Kaplano-</w:t>
      </w:r>
      <w:proofErr w:type="spellStart"/>
      <w:r w:rsidRPr="00327484">
        <w:rPr>
          <w:rFonts w:ascii="Times New Roman" w:eastAsia="Times New Roman" w:hAnsi="Times New Roman" w:cs="Times New Roman"/>
          <w:iCs/>
          <w:sz w:val="20"/>
          <w:szCs w:val="20"/>
          <w:lang w:eastAsia="lt-LT"/>
        </w:rPr>
        <w:t>Mejerio</w:t>
      </w:r>
      <w:proofErr w:type="spellEnd"/>
      <w:r w:rsidRPr="00327484">
        <w:rPr>
          <w:rFonts w:ascii="Times New Roman" w:eastAsia="Times New Roman" w:hAnsi="Times New Roman" w:cs="Times New Roman"/>
          <w:iCs/>
          <w:sz w:val="20"/>
          <w:szCs w:val="20"/>
          <w:lang w:eastAsia="lt-LT"/>
        </w:rPr>
        <w:t xml:space="preserve"> metodą, apskaičiuoti po 900 dienų; KV: kardiovaskulinė; MI: miokardo infarktas; VKP: vieną kartą per parą</w:t>
      </w:r>
      <w:r w:rsidRPr="007F2054">
        <w:rPr>
          <w:rFonts w:ascii="Times New Roman" w:eastAsia="Times New Roman" w:hAnsi="Times New Roman" w:cs="Times New Roman"/>
          <w:iCs/>
          <w:sz w:val="20"/>
          <w:szCs w:val="20"/>
          <w:lang w:eastAsia="lt-LT"/>
        </w:rPr>
        <w:t>.</w:t>
      </w:r>
    </w:p>
    <w:p w14:paraId="686F6BE3" w14:textId="62306599" w:rsidR="00327484" w:rsidRPr="007F205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p>
    <w:p w14:paraId="7792123C" w14:textId="77777777" w:rsidR="00327484" w:rsidRPr="00327484" w:rsidRDefault="00327484" w:rsidP="00327484">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327484">
        <w:rPr>
          <w:rFonts w:ascii="Times New Roman" w:eastAsia="Times New Roman" w:hAnsi="Times New Roman" w:cs="Times New Roman"/>
          <w:b/>
          <w:iCs/>
          <w:lang w:eastAsia="lt-LT"/>
        </w:rPr>
        <w:t>8 lentelė. III fazės tyrimo COMPASS saugumo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236"/>
        <w:gridCol w:w="2155"/>
        <w:gridCol w:w="1934"/>
      </w:tblGrid>
      <w:tr w:rsidR="00327484" w:rsidRPr="00327484" w14:paraId="2FFD56FE" w14:textId="77777777" w:rsidTr="004215B0">
        <w:trPr>
          <w:tblHeader/>
        </w:trPr>
        <w:tc>
          <w:tcPr>
            <w:tcW w:w="2628" w:type="dxa"/>
            <w:shd w:val="clear" w:color="auto" w:fill="auto"/>
          </w:tcPr>
          <w:p w14:paraId="3B4CCE28"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Tyrimo populiacija</w:t>
            </w:r>
          </w:p>
        </w:tc>
        <w:tc>
          <w:tcPr>
            <w:tcW w:w="6325" w:type="dxa"/>
            <w:gridSpan w:val="3"/>
            <w:shd w:val="clear" w:color="auto" w:fill="auto"/>
          </w:tcPr>
          <w:p w14:paraId="0C8D9E44"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vertAlign w:val="superscript"/>
                <w:lang w:eastAsia="lt-LT"/>
              </w:rPr>
            </w:pPr>
            <w:r w:rsidRPr="00327484">
              <w:rPr>
                <w:rFonts w:ascii="Times New Roman" w:eastAsia="Times New Roman" w:hAnsi="Times New Roman" w:cs="Times New Roman"/>
                <w:b/>
                <w:bCs/>
                <w:iCs/>
                <w:lang w:eastAsia="lt-LT"/>
              </w:rPr>
              <w:t xml:space="preserve">Pacientai, sergantys VAL ir (arba) </w:t>
            </w:r>
            <w:proofErr w:type="spellStart"/>
            <w:r w:rsidRPr="00327484">
              <w:rPr>
                <w:rFonts w:ascii="Times New Roman" w:eastAsia="Times New Roman" w:hAnsi="Times New Roman" w:cs="Times New Roman"/>
                <w:b/>
                <w:bCs/>
                <w:iCs/>
                <w:lang w:eastAsia="lt-LT"/>
              </w:rPr>
              <w:t>PAL</w:t>
            </w:r>
            <w:r w:rsidRPr="00327484">
              <w:rPr>
                <w:rFonts w:ascii="Times New Roman" w:eastAsia="Times New Roman" w:hAnsi="Times New Roman" w:cs="Times New Roman"/>
                <w:b/>
                <w:bCs/>
                <w:iCs/>
                <w:vertAlign w:val="superscript"/>
                <w:lang w:eastAsia="lt-LT"/>
              </w:rPr>
              <w:t>a</w:t>
            </w:r>
            <w:proofErr w:type="spellEnd"/>
            <w:r w:rsidRPr="00327484">
              <w:rPr>
                <w:rFonts w:ascii="Times New Roman" w:eastAsia="Times New Roman" w:hAnsi="Times New Roman" w:cs="Times New Roman"/>
                <w:b/>
                <w:bCs/>
                <w:iCs/>
                <w:vertAlign w:val="superscript"/>
                <w:lang w:eastAsia="lt-LT"/>
              </w:rPr>
              <w:t>)</w:t>
            </w:r>
          </w:p>
        </w:tc>
      </w:tr>
      <w:tr w:rsidR="00327484" w:rsidRPr="00327484" w14:paraId="10A19610" w14:textId="77777777" w:rsidTr="004215B0">
        <w:trPr>
          <w:tblHeader/>
        </w:trPr>
        <w:tc>
          <w:tcPr>
            <w:tcW w:w="2628" w:type="dxa"/>
            <w:shd w:val="clear" w:color="auto" w:fill="auto"/>
          </w:tcPr>
          <w:p w14:paraId="24FF2245"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Vaistinių preparatų dozavimas</w:t>
            </w:r>
          </w:p>
        </w:tc>
        <w:tc>
          <w:tcPr>
            <w:tcW w:w="2236" w:type="dxa"/>
            <w:shd w:val="clear" w:color="auto" w:fill="auto"/>
          </w:tcPr>
          <w:p w14:paraId="6AD27C4B"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Rivaroksabanas po 2,5</w:t>
            </w:r>
            <w:r w:rsidRPr="00327484">
              <w:rPr>
                <w:rFonts w:ascii="Times New Roman" w:eastAsia="Times New Roman" w:hAnsi="Times New Roman" w:cs="Times New Roman"/>
                <w:snapToGrid w:val="0"/>
                <w:szCs w:val="20"/>
                <w:lang w:eastAsia="lt-LT"/>
              </w:rPr>
              <w:t> </w:t>
            </w:r>
            <w:r w:rsidRPr="00327484">
              <w:rPr>
                <w:rFonts w:ascii="Times New Roman" w:eastAsia="Times New Roman" w:hAnsi="Times New Roman" w:cs="Times New Roman"/>
                <w:b/>
                <w:bCs/>
                <w:iCs/>
                <w:lang w:eastAsia="lt-LT"/>
              </w:rPr>
              <w:t xml:space="preserve">mg DKP kartu su ASR 100 mg VKP, N = 9152 </w:t>
            </w:r>
          </w:p>
          <w:p w14:paraId="27F7312C" w14:textId="6E81C68D"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n (NA rizikos</w:t>
            </w:r>
            <w:r w:rsidR="00C338A4" w:rsidRPr="007F2054">
              <w:rPr>
                <w:rFonts w:ascii="Times New Roman" w:eastAsia="Times New Roman" w:hAnsi="Times New Roman" w:cs="Times New Roman"/>
                <w:b/>
                <w:bCs/>
                <w:iCs/>
                <w:lang w:eastAsia="lt-LT"/>
              </w:rPr>
              <w:t> %</w:t>
            </w:r>
            <w:r w:rsidRPr="00327484">
              <w:rPr>
                <w:rFonts w:ascii="Times New Roman" w:eastAsia="Times New Roman" w:hAnsi="Times New Roman" w:cs="Times New Roman"/>
                <w:b/>
                <w:bCs/>
                <w:iCs/>
                <w:lang w:eastAsia="lt-LT"/>
              </w:rPr>
              <w:t>)</w:t>
            </w:r>
          </w:p>
        </w:tc>
        <w:tc>
          <w:tcPr>
            <w:tcW w:w="2155" w:type="dxa"/>
            <w:shd w:val="clear" w:color="auto" w:fill="auto"/>
          </w:tcPr>
          <w:p w14:paraId="51263C6D"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ASR 100</w:t>
            </w:r>
            <w:r w:rsidRPr="00327484">
              <w:rPr>
                <w:rFonts w:ascii="Times New Roman" w:eastAsia="Times New Roman" w:hAnsi="Times New Roman" w:cs="Times New Roman"/>
                <w:snapToGrid w:val="0"/>
                <w:szCs w:val="20"/>
                <w:lang w:eastAsia="lt-LT"/>
              </w:rPr>
              <w:t> </w:t>
            </w:r>
            <w:r w:rsidRPr="00327484">
              <w:rPr>
                <w:rFonts w:ascii="Times New Roman" w:eastAsia="Times New Roman" w:hAnsi="Times New Roman" w:cs="Times New Roman"/>
                <w:b/>
                <w:bCs/>
                <w:iCs/>
                <w:lang w:eastAsia="lt-LT"/>
              </w:rPr>
              <w:t xml:space="preserve">mg VKP N = 9126 </w:t>
            </w:r>
          </w:p>
          <w:p w14:paraId="42E8FA76"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p>
          <w:p w14:paraId="7EDD6B09" w14:textId="51A45B23"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n (NA rizikos</w:t>
            </w:r>
            <w:r w:rsidR="00C338A4" w:rsidRPr="007F2054">
              <w:rPr>
                <w:rFonts w:ascii="Times New Roman" w:eastAsia="Times New Roman" w:hAnsi="Times New Roman" w:cs="Times New Roman"/>
                <w:b/>
                <w:bCs/>
                <w:iCs/>
                <w:lang w:eastAsia="lt-LT"/>
              </w:rPr>
              <w:t> %</w:t>
            </w:r>
            <w:r w:rsidRPr="00327484">
              <w:rPr>
                <w:rFonts w:ascii="Times New Roman" w:eastAsia="Times New Roman" w:hAnsi="Times New Roman" w:cs="Times New Roman"/>
                <w:b/>
                <w:bCs/>
                <w:iCs/>
                <w:lang w:eastAsia="lt-LT"/>
              </w:rPr>
              <w:t>)</w:t>
            </w:r>
          </w:p>
        </w:tc>
        <w:tc>
          <w:tcPr>
            <w:tcW w:w="1934" w:type="dxa"/>
            <w:shd w:val="clear" w:color="auto" w:fill="auto"/>
          </w:tcPr>
          <w:p w14:paraId="0F60473C" w14:textId="798A4135"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r w:rsidRPr="00327484">
              <w:rPr>
                <w:rFonts w:ascii="Times New Roman" w:eastAsia="Times New Roman" w:hAnsi="Times New Roman" w:cs="Times New Roman"/>
                <w:b/>
                <w:bCs/>
                <w:iCs/>
                <w:lang w:eastAsia="lt-LT"/>
              </w:rPr>
              <w:t>Rizikos santykis (95</w:t>
            </w:r>
            <w:r w:rsidR="00C338A4" w:rsidRPr="007F2054">
              <w:rPr>
                <w:rFonts w:ascii="Times New Roman" w:eastAsia="Times New Roman" w:hAnsi="Times New Roman" w:cs="Times New Roman"/>
                <w:snapToGrid w:val="0"/>
                <w:szCs w:val="20"/>
                <w:lang w:eastAsia="lt-LT"/>
              </w:rPr>
              <w:t> %</w:t>
            </w:r>
            <w:r w:rsidRPr="00327484">
              <w:rPr>
                <w:rFonts w:ascii="Times New Roman" w:eastAsia="Times New Roman" w:hAnsi="Times New Roman" w:cs="Times New Roman"/>
                <w:b/>
                <w:bCs/>
                <w:iCs/>
                <w:lang w:eastAsia="lt-LT"/>
              </w:rPr>
              <w:t xml:space="preserve"> PI)</w:t>
            </w:r>
          </w:p>
          <w:p w14:paraId="7B999226"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p>
          <w:p w14:paraId="4D88B556"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vertAlign w:val="superscript"/>
                <w:lang w:eastAsia="lt-LT"/>
              </w:rPr>
            </w:pPr>
            <w:r w:rsidRPr="00327484">
              <w:rPr>
                <w:rFonts w:ascii="Times New Roman" w:eastAsia="Times New Roman" w:hAnsi="Times New Roman" w:cs="Times New Roman"/>
                <w:b/>
                <w:bCs/>
                <w:iCs/>
                <w:lang w:eastAsia="lt-LT"/>
              </w:rPr>
              <w:t xml:space="preserve"> p </w:t>
            </w:r>
            <w:proofErr w:type="spellStart"/>
            <w:r w:rsidRPr="00327484">
              <w:rPr>
                <w:rFonts w:ascii="Times New Roman" w:eastAsia="Times New Roman" w:hAnsi="Times New Roman" w:cs="Times New Roman"/>
                <w:b/>
                <w:bCs/>
                <w:iCs/>
                <w:lang w:eastAsia="lt-LT"/>
              </w:rPr>
              <w:t>vertė</w:t>
            </w:r>
            <w:r w:rsidRPr="00327484">
              <w:rPr>
                <w:rFonts w:ascii="Times New Roman" w:eastAsia="Times New Roman" w:hAnsi="Times New Roman" w:cs="Times New Roman"/>
                <w:b/>
                <w:bCs/>
                <w:iCs/>
                <w:vertAlign w:val="superscript"/>
                <w:lang w:eastAsia="lt-LT"/>
              </w:rPr>
              <w:t>b</w:t>
            </w:r>
            <w:proofErr w:type="spellEnd"/>
            <w:r w:rsidRPr="00327484">
              <w:rPr>
                <w:rFonts w:ascii="Times New Roman" w:eastAsia="Times New Roman" w:hAnsi="Times New Roman" w:cs="Times New Roman"/>
                <w:b/>
                <w:bCs/>
                <w:iCs/>
                <w:vertAlign w:val="superscript"/>
                <w:lang w:eastAsia="lt-LT"/>
              </w:rPr>
              <w:t>)</w:t>
            </w:r>
          </w:p>
        </w:tc>
      </w:tr>
      <w:tr w:rsidR="00327484" w:rsidRPr="00327484" w14:paraId="7A6906EF" w14:textId="77777777" w:rsidTr="004215B0">
        <w:tc>
          <w:tcPr>
            <w:tcW w:w="2628" w:type="dxa"/>
            <w:shd w:val="clear" w:color="auto" w:fill="auto"/>
          </w:tcPr>
          <w:p w14:paraId="220693EB" w14:textId="7777777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 xml:space="preserve">Didysis kraujavimas pagal modifikuotą </w:t>
            </w:r>
            <w:r w:rsidRPr="00327484">
              <w:rPr>
                <w:rFonts w:ascii="Times New Roman" w:eastAsia="SimSun" w:hAnsi="Times New Roman" w:cs="Times New Roman"/>
                <w:i/>
                <w:iCs/>
                <w:lang w:eastAsia="en-GB"/>
              </w:rPr>
              <w:t>ISTH</w:t>
            </w:r>
            <w:r w:rsidRPr="00327484">
              <w:rPr>
                <w:rFonts w:ascii="Times New Roman" w:eastAsia="SimSun" w:hAnsi="Times New Roman" w:cs="Times New Roman"/>
                <w:lang w:eastAsia="en-GB"/>
              </w:rPr>
              <w:t xml:space="preserve"> skalę</w:t>
            </w:r>
          </w:p>
        </w:tc>
        <w:tc>
          <w:tcPr>
            <w:tcW w:w="2236" w:type="dxa"/>
            <w:shd w:val="clear" w:color="auto" w:fill="auto"/>
          </w:tcPr>
          <w:p w14:paraId="7165695F" w14:textId="0B54D854"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288 (3</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p w14:paraId="5A885AE5"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p>
        </w:tc>
        <w:tc>
          <w:tcPr>
            <w:tcW w:w="2155" w:type="dxa"/>
            <w:shd w:val="clear" w:color="auto" w:fill="auto"/>
          </w:tcPr>
          <w:p w14:paraId="3C13E6EC" w14:textId="63E6AF1C"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170 (2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5</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p w14:paraId="628EBC81" w14:textId="77777777" w:rsidR="00327484" w:rsidRPr="00327484" w:rsidRDefault="00327484" w:rsidP="00327484">
            <w:pPr>
              <w:tabs>
                <w:tab w:val="left" w:pos="567"/>
              </w:tabs>
              <w:spacing w:after="0" w:line="240" w:lineRule="auto"/>
              <w:rPr>
                <w:rFonts w:ascii="Times New Roman" w:eastAsia="Times New Roman" w:hAnsi="Times New Roman" w:cs="Times New Roman"/>
                <w:b/>
                <w:bCs/>
                <w:iCs/>
                <w:lang w:eastAsia="lt-LT"/>
              </w:rPr>
            </w:pPr>
          </w:p>
        </w:tc>
        <w:tc>
          <w:tcPr>
            <w:tcW w:w="1934" w:type="dxa"/>
            <w:shd w:val="clear" w:color="auto" w:fill="auto"/>
          </w:tcPr>
          <w:p w14:paraId="18E299BA" w14:textId="59D7E1C0"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70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40;</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05)</w:t>
            </w:r>
          </w:p>
          <w:p w14:paraId="48302785" w14:textId="572D431D"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 &lt;0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00001 </w:t>
            </w:r>
          </w:p>
        </w:tc>
      </w:tr>
      <w:tr w:rsidR="00327484" w:rsidRPr="00327484" w14:paraId="14131EAB" w14:textId="77777777" w:rsidTr="004215B0">
        <w:tc>
          <w:tcPr>
            <w:tcW w:w="2628" w:type="dxa"/>
            <w:shd w:val="clear" w:color="auto" w:fill="auto"/>
          </w:tcPr>
          <w:p w14:paraId="2A3BF510" w14:textId="7777777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 xml:space="preserve">  -   Mirtinas kraujavimo reiškinys </w:t>
            </w:r>
          </w:p>
        </w:tc>
        <w:tc>
          <w:tcPr>
            <w:tcW w:w="2236" w:type="dxa"/>
            <w:shd w:val="clear" w:color="auto" w:fill="auto"/>
          </w:tcPr>
          <w:p w14:paraId="59353290" w14:textId="1F2EDD9D"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15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2%) </w:t>
            </w:r>
          </w:p>
        </w:tc>
        <w:tc>
          <w:tcPr>
            <w:tcW w:w="2155" w:type="dxa"/>
            <w:shd w:val="clear" w:color="auto" w:fill="auto"/>
          </w:tcPr>
          <w:p w14:paraId="68E1B0A7" w14:textId="4ABD4C3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10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2</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3542D78D" w14:textId="50FEC809"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49 (0</w:t>
            </w:r>
            <w:r w:rsidR="00600D41">
              <w:rPr>
                <w:rFonts w:ascii="Times New Roman" w:eastAsia="SimSun" w:hAnsi="Times New Roman" w:cs="Times New Roman"/>
                <w:lang w:eastAsia="en-GB"/>
              </w:rPr>
              <w:t>,</w:t>
            </w:r>
            <w:r w:rsidRPr="00327484">
              <w:rPr>
                <w:rFonts w:ascii="Times New Roman" w:eastAsia="SimSun" w:hAnsi="Times New Roman" w:cs="Times New Roman"/>
                <w:lang w:eastAsia="en-GB"/>
              </w:rPr>
              <w:t>67;</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3</w:t>
            </w:r>
            <w:r w:rsidR="00600D41">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33) </w:t>
            </w:r>
          </w:p>
          <w:p w14:paraId="605410BD" w14:textId="537A5A25"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32164 </w:t>
            </w:r>
          </w:p>
        </w:tc>
      </w:tr>
      <w:tr w:rsidR="00327484" w:rsidRPr="00327484" w14:paraId="7A4BF72D" w14:textId="77777777" w:rsidTr="004215B0">
        <w:tc>
          <w:tcPr>
            <w:tcW w:w="2628" w:type="dxa"/>
            <w:shd w:val="clear" w:color="auto" w:fill="auto"/>
          </w:tcPr>
          <w:p w14:paraId="3C8C5133" w14:textId="77777777" w:rsidR="00327484" w:rsidRPr="00327484" w:rsidRDefault="00327484" w:rsidP="00327484">
            <w:pPr>
              <w:tabs>
                <w:tab w:val="left" w:pos="317"/>
              </w:tabs>
              <w:spacing w:after="0" w:line="240" w:lineRule="auto"/>
              <w:rPr>
                <w:rFonts w:ascii="Times New Roman" w:eastAsia="Times New Roman" w:hAnsi="Times New Roman" w:cs="Times New Roman"/>
                <w:lang w:eastAsia="lt-LT"/>
              </w:rPr>
            </w:pPr>
            <w:r w:rsidRPr="00327484">
              <w:rPr>
                <w:rFonts w:ascii="Times New Roman" w:eastAsia="Times New Roman" w:hAnsi="Times New Roman" w:cs="Times New Roman"/>
                <w:bCs/>
                <w:iCs/>
                <w:lang w:eastAsia="lt-LT"/>
              </w:rPr>
              <w:t xml:space="preserve">  -   Simptominis kritinio organo kraujavimas (nemirtinas</w:t>
            </w:r>
            <w:r w:rsidRPr="00327484">
              <w:rPr>
                <w:rFonts w:ascii="Times New Roman" w:eastAsia="Times New Roman" w:hAnsi="Times New Roman" w:cs="Times New Roman"/>
                <w:b/>
                <w:bCs/>
                <w:iCs/>
                <w:lang w:eastAsia="lt-LT"/>
              </w:rPr>
              <w:t xml:space="preserve">) </w:t>
            </w:r>
          </w:p>
        </w:tc>
        <w:tc>
          <w:tcPr>
            <w:tcW w:w="2236" w:type="dxa"/>
            <w:shd w:val="clear" w:color="auto" w:fill="auto"/>
          </w:tcPr>
          <w:p w14:paraId="6E13EB84" w14:textId="379A69D9"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63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0D3F0691" w14:textId="35CD09DB"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49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7</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45EB9376" w14:textId="48B97108"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28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88;</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86)</w:t>
            </w:r>
          </w:p>
          <w:p w14:paraId="7984E4D7" w14:textId="5DCAB8C6"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19679 </w:t>
            </w:r>
          </w:p>
        </w:tc>
      </w:tr>
      <w:tr w:rsidR="00327484" w:rsidRPr="00327484" w14:paraId="7A76DAAD" w14:textId="77777777" w:rsidTr="004215B0">
        <w:tc>
          <w:tcPr>
            <w:tcW w:w="2628" w:type="dxa"/>
            <w:shd w:val="clear" w:color="auto" w:fill="auto"/>
          </w:tcPr>
          <w:p w14:paraId="4F5668EA" w14:textId="77777777" w:rsidR="00327484" w:rsidRPr="00327484" w:rsidRDefault="00327484" w:rsidP="00327484">
            <w:pPr>
              <w:tabs>
                <w:tab w:val="left" w:pos="317"/>
              </w:tabs>
              <w:spacing w:after="0" w:line="240" w:lineRule="auto"/>
              <w:rPr>
                <w:rFonts w:ascii="Times New Roman" w:eastAsia="Times New Roman" w:hAnsi="Times New Roman" w:cs="Times New Roman"/>
                <w:lang w:eastAsia="lt-LT"/>
              </w:rPr>
            </w:pPr>
            <w:r w:rsidRPr="00327484">
              <w:rPr>
                <w:rFonts w:ascii="Times New Roman" w:eastAsia="Times New Roman" w:hAnsi="Times New Roman" w:cs="Times New Roman"/>
                <w:bCs/>
                <w:iCs/>
                <w:lang w:eastAsia="lt-LT"/>
              </w:rPr>
              <w:t xml:space="preserve">  -   Operuotos vietos kraujavimas, dėl kurio prireikė pakartotinės operacijos (nemirtinas, ne kritinio organo) </w:t>
            </w:r>
          </w:p>
        </w:tc>
        <w:tc>
          <w:tcPr>
            <w:tcW w:w="2236" w:type="dxa"/>
            <w:shd w:val="clear" w:color="auto" w:fill="auto"/>
          </w:tcPr>
          <w:p w14:paraId="4103C4AE" w14:textId="1452064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10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489D21B9" w14:textId="658FE26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8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4F23A03B" w14:textId="0D321986"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24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49;</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3</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14)</w:t>
            </w:r>
          </w:p>
          <w:p w14:paraId="24C6D219" w14:textId="155EAA10"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65119 </w:t>
            </w:r>
          </w:p>
        </w:tc>
      </w:tr>
      <w:tr w:rsidR="00327484" w:rsidRPr="00327484" w14:paraId="4B80604D" w14:textId="77777777" w:rsidTr="004215B0">
        <w:tc>
          <w:tcPr>
            <w:tcW w:w="2628" w:type="dxa"/>
            <w:shd w:val="clear" w:color="auto" w:fill="auto"/>
          </w:tcPr>
          <w:p w14:paraId="3CB017A2" w14:textId="77777777" w:rsidR="00327484" w:rsidRPr="00327484" w:rsidRDefault="00327484" w:rsidP="00327484">
            <w:pPr>
              <w:tabs>
                <w:tab w:val="left" w:pos="317"/>
              </w:tabs>
              <w:spacing w:after="0" w:line="240" w:lineRule="auto"/>
              <w:rPr>
                <w:rFonts w:ascii="Times New Roman" w:eastAsia="Times New Roman" w:hAnsi="Times New Roman" w:cs="Times New Roman"/>
                <w:lang w:eastAsia="lt-LT"/>
              </w:rPr>
            </w:pPr>
            <w:r w:rsidRPr="00327484">
              <w:rPr>
                <w:rFonts w:ascii="Times New Roman" w:eastAsia="Times New Roman" w:hAnsi="Times New Roman" w:cs="Times New Roman"/>
                <w:bCs/>
                <w:iCs/>
                <w:lang w:eastAsia="lt-LT"/>
              </w:rPr>
              <w:t xml:space="preserve">  -   Kraujavimas, dėl kurio prireikė </w:t>
            </w:r>
            <w:proofErr w:type="spellStart"/>
            <w:r w:rsidRPr="00327484">
              <w:rPr>
                <w:rFonts w:ascii="Times New Roman" w:eastAsia="Times New Roman" w:hAnsi="Times New Roman" w:cs="Times New Roman"/>
                <w:bCs/>
                <w:iCs/>
                <w:lang w:eastAsia="lt-LT"/>
              </w:rPr>
              <w:t>hospitalizacijos</w:t>
            </w:r>
            <w:proofErr w:type="spellEnd"/>
            <w:r w:rsidRPr="00327484">
              <w:rPr>
                <w:rFonts w:ascii="Times New Roman" w:eastAsia="Times New Roman" w:hAnsi="Times New Roman" w:cs="Times New Roman"/>
                <w:bCs/>
                <w:iCs/>
                <w:lang w:eastAsia="lt-LT"/>
              </w:rPr>
              <w:t xml:space="preserve"> (nemirtinas, ne kritinio organo, kai neprireikė pakartotinės operacijos)</w:t>
            </w:r>
          </w:p>
        </w:tc>
        <w:tc>
          <w:tcPr>
            <w:tcW w:w="2236" w:type="dxa"/>
            <w:shd w:val="clear" w:color="auto" w:fill="auto"/>
          </w:tcPr>
          <w:p w14:paraId="4A877433" w14:textId="3E16C05D"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208 (2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498193E8" w14:textId="38137F2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109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6</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0B13FAC9" w14:textId="5609E672"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91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51;</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41)</w:t>
            </w:r>
          </w:p>
          <w:p w14:paraId="188899C9" w14:textId="6C86C42C"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 &lt;0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00001 </w:t>
            </w:r>
          </w:p>
        </w:tc>
      </w:tr>
      <w:tr w:rsidR="00327484" w:rsidRPr="00327484" w14:paraId="30A744D2" w14:textId="77777777" w:rsidTr="004215B0">
        <w:tc>
          <w:tcPr>
            <w:tcW w:w="2628" w:type="dxa"/>
            <w:shd w:val="clear" w:color="auto" w:fill="auto"/>
          </w:tcPr>
          <w:p w14:paraId="16FB513A" w14:textId="77777777" w:rsidR="00327484" w:rsidRPr="00327484" w:rsidRDefault="00327484" w:rsidP="00327484">
            <w:pPr>
              <w:tabs>
                <w:tab w:val="left" w:pos="567"/>
              </w:tabs>
              <w:spacing w:after="0" w:line="240" w:lineRule="auto"/>
              <w:rPr>
                <w:rFonts w:ascii="Times New Roman" w:eastAsia="Times New Roman" w:hAnsi="Times New Roman" w:cs="Times New Roman"/>
                <w:lang w:eastAsia="lt-LT"/>
              </w:rPr>
            </w:pPr>
            <w:r w:rsidRPr="00327484">
              <w:rPr>
                <w:rFonts w:ascii="Times New Roman" w:eastAsia="Times New Roman" w:hAnsi="Times New Roman" w:cs="Times New Roman"/>
                <w:bCs/>
                <w:iCs/>
                <w:lang w:eastAsia="lt-LT"/>
              </w:rPr>
              <w:t xml:space="preserve">      - Su nakvyne ligoninėje </w:t>
            </w:r>
          </w:p>
        </w:tc>
        <w:tc>
          <w:tcPr>
            <w:tcW w:w="2236" w:type="dxa"/>
            <w:shd w:val="clear" w:color="auto" w:fill="auto"/>
          </w:tcPr>
          <w:p w14:paraId="4267DD16" w14:textId="63D4253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172 (2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2599659E" w14:textId="33DBDB84"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90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08DC22F6" w14:textId="77F82B61"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91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48;</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46)</w:t>
            </w:r>
          </w:p>
          <w:p w14:paraId="0035F291" w14:textId="62AF45C4"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 xml:space="preserve"> p &lt;0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00001 </w:t>
            </w:r>
          </w:p>
        </w:tc>
      </w:tr>
      <w:tr w:rsidR="00327484" w:rsidRPr="00327484" w14:paraId="0E5206FC" w14:textId="77777777" w:rsidTr="004215B0">
        <w:tc>
          <w:tcPr>
            <w:tcW w:w="2628" w:type="dxa"/>
            <w:shd w:val="clear" w:color="auto" w:fill="auto"/>
          </w:tcPr>
          <w:p w14:paraId="1C080336" w14:textId="77777777" w:rsidR="00327484" w:rsidRPr="00327484" w:rsidRDefault="00327484" w:rsidP="00327484">
            <w:pPr>
              <w:tabs>
                <w:tab w:val="left" w:pos="567"/>
              </w:tabs>
              <w:spacing w:after="0" w:line="240" w:lineRule="auto"/>
              <w:rPr>
                <w:rFonts w:ascii="Times New Roman" w:eastAsia="Times New Roman" w:hAnsi="Times New Roman" w:cs="Times New Roman"/>
                <w:lang w:eastAsia="lt-LT"/>
              </w:rPr>
            </w:pPr>
            <w:r w:rsidRPr="00327484">
              <w:rPr>
                <w:rFonts w:ascii="Times New Roman" w:eastAsia="Times New Roman" w:hAnsi="Times New Roman" w:cs="Times New Roman"/>
                <w:b/>
                <w:bCs/>
                <w:iCs/>
                <w:lang w:eastAsia="lt-LT"/>
              </w:rPr>
              <w:t xml:space="preserve">      - </w:t>
            </w:r>
            <w:r w:rsidRPr="00327484">
              <w:rPr>
                <w:rFonts w:ascii="Times New Roman" w:eastAsia="Times New Roman" w:hAnsi="Times New Roman" w:cs="Times New Roman"/>
                <w:lang w:eastAsia="lt-LT"/>
              </w:rPr>
              <w:t xml:space="preserve">Be nakvynės ligoninėje </w:t>
            </w:r>
          </w:p>
        </w:tc>
        <w:tc>
          <w:tcPr>
            <w:tcW w:w="2236" w:type="dxa"/>
            <w:shd w:val="clear" w:color="auto" w:fill="auto"/>
          </w:tcPr>
          <w:p w14:paraId="7A6FE516" w14:textId="39DDDD11"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36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5</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31B47F38" w14:textId="5710DF0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21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7481557E" w14:textId="503763B0"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70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99;</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92)</w:t>
            </w:r>
          </w:p>
          <w:p w14:paraId="20B9ADEC" w14:textId="594CE419"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 xml:space="preserve"> p=0</w:t>
            </w:r>
            <w:r w:rsidR="00600D41">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04983 </w:t>
            </w:r>
          </w:p>
        </w:tc>
      </w:tr>
      <w:tr w:rsidR="00327484" w:rsidRPr="00327484" w14:paraId="78995308" w14:textId="77777777" w:rsidTr="004215B0">
        <w:tc>
          <w:tcPr>
            <w:tcW w:w="2628" w:type="dxa"/>
            <w:shd w:val="clear" w:color="auto" w:fill="auto"/>
          </w:tcPr>
          <w:p w14:paraId="7BE2B9A0" w14:textId="7777777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Didysis kraujavimas į virškinimo traktą</w:t>
            </w:r>
          </w:p>
        </w:tc>
        <w:tc>
          <w:tcPr>
            <w:tcW w:w="2236" w:type="dxa"/>
            <w:shd w:val="clear" w:color="auto" w:fill="auto"/>
          </w:tcPr>
          <w:p w14:paraId="43F82549" w14:textId="356F9543"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140 (2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0</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21BB4C98" w14:textId="54AF175D"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65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29762C5A" w14:textId="327F1438"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15 (1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60;</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89)</w:t>
            </w:r>
          </w:p>
          <w:p w14:paraId="359036F6" w14:textId="4F4FC19E"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 xml:space="preserve"> p &lt;0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00001 </w:t>
            </w:r>
          </w:p>
        </w:tc>
      </w:tr>
      <w:tr w:rsidR="00327484" w:rsidRPr="00327484" w14:paraId="1DD77D50" w14:textId="77777777" w:rsidTr="004215B0">
        <w:tc>
          <w:tcPr>
            <w:tcW w:w="2628" w:type="dxa"/>
            <w:shd w:val="clear" w:color="auto" w:fill="auto"/>
          </w:tcPr>
          <w:p w14:paraId="2D1347AD" w14:textId="77777777"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Didysis kraujavimas į kaukolės vidų</w:t>
            </w:r>
          </w:p>
        </w:tc>
        <w:tc>
          <w:tcPr>
            <w:tcW w:w="2236" w:type="dxa"/>
            <w:shd w:val="clear" w:color="auto" w:fill="auto"/>
          </w:tcPr>
          <w:p w14:paraId="57B195BB" w14:textId="57410A45"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28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4</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2155" w:type="dxa"/>
            <w:shd w:val="clear" w:color="auto" w:fill="auto"/>
          </w:tcPr>
          <w:p w14:paraId="52CA17A0" w14:textId="6425924D"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24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3</w:t>
            </w:r>
            <w:r w:rsidR="00C338A4" w:rsidRPr="007F2054">
              <w:rPr>
                <w:rFonts w:ascii="Times New Roman" w:eastAsia="SimSun" w:hAnsi="Times New Roman" w:cs="Times New Roman"/>
                <w:snapToGrid w:val="0"/>
                <w:color w:val="000000"/>
                <w:szCs w:val="24"/>
                <w:lang w:eastAsia="en-GB"/>
              </w:rPr>
              <w:t> %</w:t>
            </w:r>
            <w:r w:rsidRPr="00327484">
              <w:rPr>
                <w:rFonts w:ascii="Times New Roman" w:eastAsia="SimSun" w:hAnsi="Times New Roman" w:cs="Times New Roman"/>
                <w:lang w:eastAsia="en-GB"/>
              </w:rPr>
              <w:t xml:space="preserve">) </w:t>
            </w:r>
          </w:p>
        </w:tc>
        <w:tc>
          <w:tcPr>
            <w:tcW w:w="1934" w:type="dxa"/>
            <w:shd w:val="clear" w:color="auto" w:fill="auto"/>
          </w:tcPr>
          <w:p w14:paraId="2DF93629" w14:textId="06A51D48"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1</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16 (0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67;</w:t>
            </w:r>
            <w:r w:rsidRPr="007F2054">
              <w:rPr>
                <w:rFonts w:ascii="Times New Roman" w:eastAsia="SimSun" w:hAnsi="Times New Roman" w:cs="Times New Roman"/>
                <w:lang w:eastAsia="en-GB"/>
              </w:rPr>
              <w:t xml:space="preserve"> </w:t>
            </w:r>
            <w:r w:rsidRPr="00327484">
              <w:rPr>
                <w:rFonts w:ascii="Times New Roman" w:eastAsia="SimSun" w:hAnsi="Times New Roman" w:cs="Times New Roman"/>
                <w:lang w:eastAsia="en-GB"/>
              </w:rPr>
              <w:t>2</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00) </w:t>
            </w:r>
          </w:p>
          <w:p w14:paraId="4C9F7EFD" w14:textId="0C5D9452" w:rsidR="00327484" w:rsidRPr="00327484" w:rsidRDefault="00327484" w:rsidP="00327484">
            <w:pPr>
              <w:autoSpaceDE w:val="0"/>
              <w:autoSpaceDN w:val="0"/>
              <w:adjustRightInd w:val="0"/>
              <w:spacing w:after="0" w:line="240" w:lineRule="auto"/>
              <w:rPr>
                <w:rFonts w:ascii="Times New Roman" w:eastAsia="SimSun" w:hAnsi="Times New Roman" w:cs="Times New Roman"/>
                <w:lang w:eastAsia="en-GB"/>
              </w:rPr>
            </w:pPr>
            <w:r w:rsidRPr="00327484">
              <w:rPr>
                <w:rFonts w:ascii="Times New Roman" w:eastAsia="SimSun" w:hAnsi="Times New Roman" w:cs="Times New Roman"/>
                <w:lang w:eastAsia="en-GB"/>
              </w:rPr>
              <w:t>p=0</w:t>
            </w:r>
            <w:r w:rsidRPr="007F2054">
              <w:rPr>
                <w:rFonts w:ascii="Times New Roman" w:eastAsia="SimSun" w:hAnsi="Times New Roman" w:cs="Times New Roman"/>
                <w:lang w:eastAsia="en-GB"/>
              </w:rPr>
              <w:t>,</w:t>
            </w:r>
            <w:r w:rsidRPr="00327484">
              <w:rPr>
                <w:rFonts w:ascii="Times New Roman" w:eastAsia="SimSun" w:hAnsi="Times New Roman" w:cs="Times New Roman"/>
                <w:lang w:eastAsia="en-GB"/>
              </w:rPr>
              <w:t xml:space="preserve">59858 </w:t>
            </w:r>
          </w:p>
        </w:tc>
      </w:tr>
    </w:tbl>
    <w:p w14:paraId="0A0B1061" w14:textId="77777777"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a) ketinimo gydyti tiriamoji grupė, pirminė analizė</w:t>
      </w:r>
    </w:p>
    <w:p w14:paraId="65801F4B" w14:textId="77777777"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b) palyginti su ASR 100</w:t>
      </w:r>
      <w:r w:rsidRPr="00327484">
        <w:rPr>
          <w:rFonts w:ascii="Times New Roman" w:eastAsia="Times New Roman" w:hAnsi="Times New Roman" w:cs="Times New Roman"/>
          <w:snapToGrid w:val="0"/>
          <w:sz w:val="20"/>
          <w:szCs w:val="20"/>
          <w:lang w:eastAsia="lt-LT"/>
        </w:rPr>
        <w:t> </w:t>
      </w:r>
      <w:r w:rsidRPr="00327484">
        <w:rPr>
          <w:rFonts w:ascii="Times New Roman" w:eastAsia="Times New Roman" w:hAnsi="Times New Roman" w:cs="Times New Roman"/>
          <w:iCs/>
          <w:sz w:val="20"/>
          <w:szCs w:val="20"/>
          <w:lang w:eastAsia="lt-LT"/>
        </w:rPr>
        <w:t xml:space="preserve">mg; </w:t>
      </w:r>
      <w:proofErr w:type="spellStart"/>
      <w:r w:rsidRPr="00327484">
        <w:rPr>
          <w:rFonts w:ascii="Times New Roman" w:eastAsia="Times New Roman" w:hAnsi="Times New Roman" w:cs="Times New Roman"/>
          <w:iCs/>
          <w:sz w:val="20"/>
          <w:szCs w:val="20"/>
          <w:lang w:eastAsia="lt-LT"/>
        </w:rPr>
        <w:t>Log-Rank</w:t>
      </w:r>
      <w:proofErr w:type="spellEnd"/>
      <w:r w:rsidRPr="00327484">
        <w:rPr>
          <w:rFonts w:ascii="Times New Roman" w:eastAsia="Times New Roman" w:hAnsi="Times New Roman" w:cs="Times New Roman"/>
          <w:iCs/>
          <w:sz w:val="20"/>
          <w:szCs w:val="20"/>
          <w:lang w:eastAsia="lt-LT"/>
        </w:rPr>
        <w:t xml:space="preserve"> p vertė</w:t>
      </w:r>
    </w:p>
    <w:p w14:paraId="7F3D7A13" w14:textId="52F3E381" w:rsidR="00327484" w:rsidRPr="00327484" w:rsidRDefault="00327484" w:rsidP="00327484">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327484">
        <w:rPr>
          <w:rFonts w:ascii="Times New Roman" w:eastAsia="Times New Roman" w:hAnsi="Times New Roman" w:cs="Times New Roman"/>
          <w:iCs/>
          <w:sz w:val="20"/>
          <w:szCs w:val="20"/>
          <w:lang w:eastAsia="lt-LT"/>
        </w:rPr>
        <w:t xml:space="preserve">DKP: du kartus per parą; PI: </w:t>
      </w:r>
      <w:proofErr w:type="spellStart"/>
      <w:r w:rsidRPr="00327484">
        <w:rPr>
          <w:rFonts w:ascii="Times New Roman" w:eastAsia="Times New Roman" w:hAnsi="Times New Roman" w:cs="Times New Roman"/>
          <w:iCs/>
          <w:sz w:val="20"/>
          <w:szCs w:val="20"/>
          <w:lang w:eastAsia="lt-LT"/>
        </w:rPr>
        <w:t>pasikliautinasis</w:t>
      </w:r>
      <w:proofErr w:type="spellEnd"/>
      <w:r w:rsidRPr="00327484">
        <w:rPr>
          <w:rFonts w:ascii="Times New Roman" w:eastAsia="Times New Roman" w:hAnsi="Times New Roman" w:cs="Times New Roman"/>
          <w:iCs/>
          <w:sz w:val="20"/>
          <w:szCs w:val="20"/>
          <w:lang w:eastAsia="lt-LT"/>
        </w:rPr>
        <w:t xml:space="preserve"> intervalas; NA rizika: naujų atvejų rizika (angl. </w:t>
      </w:r>
      <w:proofErr w:type="spellStart"/>
      <w:r w:rsidRPr="00327484">
        <w:rPr>
          <w:rFonts w:ascii="Times New Roman" w:eastAsia="Times New Roman" w:hAnsi="Times New Roman" w:cs="Times New Roman"/>
          <w:i/>
          <w:sz w:val="20"/>
          <w:szCs w:val="20"/>
          <w:lang w:eastAsia="lt-LT"/>
        </w:rPr>
        <w:t>Cumulative</w:t>
      </w:r>
      <w:proofErr w:type="spellEnd"/>
      <w:r w:rsidRPr="00327484">
        <w:rPr>
          <w:rFonts w:ascii="Times New Roman" w:eastAsia="Times New Roman" w:hAnsi="Times New Roman" w:cs="Times New Roman"/>
          <w:i/>
          <w:sz w:val="20"/>
          <w:szCs w:val="20"/>
          <w:lang w:eastAsia="lt-LT"/>
        </w:rPr>
        <w:t xml:space="preserve"> </w:t>
      </w:r>
      <w:proofErr w:type="spellStart"/>
      <w:r w:rsidRPr="00327484">
        <w:rPr>
          <w:rFonts w:ascii="Times New Roman" w:eastAsia="Times New Roman" w:hAnsi="Times New Roman" w:cs="Times New Roman"/>
          <w:i/>
          <w:sz w:val="20"/>
          <w:szCs w:val="20"/>
          <w:lang w:eastAsia="lt-LT"/>
        </w:rPr>
        <w:t>incidence</w:t>
      </w:r>
      <w:proofErr w:type="spellEnd"/>
      <w:r w:rsidRPr="00327484">
        <w:rPr>
          <w:rFonts w:ascii="Times New Roman" w:eastAsia="Times New Roman" w:hAnsi="Times New Roman" w:cs="Times New Roman"/>
          <w:i/>
          <w:sz w:val="20"/>
          <w:szCs w:val="20"/>
          <w:lang w:eastAsia="lt-LT"/>
        </w:rPr>
        <w:t xml:space="preserve"> risk</w:t>
      </w:r>
      <w:r w:rsidRPr="00327484">
        <w:rPr>
          <w:rFonts w:ascii="Times New Roman" w:eastAsia="Times New Roman" w:hAnsi="Times New Roman" w:cs="Times New Roman"/>
          <w:iCs/>
          <w:sz w:val="20"/>
          <w:szCs w:val="20"/>
          <w:lang w:eastAsia="lt-LT"/>
        </w:rPr>
        <w:t>, įverčiai pagal Kaplano-</w:t>
      </w:r>
      <w:proofErr w:type="spellStart"/>
      <w:r w:rsidRPr="00327484">
        <w:rPr>
          <w:rFonts w:ascii="Times New Roman" w:eastAsia="Times New Roman" w:hAnsi="Times New Roman" w:cs="Times New Roman"/>
          <w:iCs/>
          <w:sz w:val="20"/>
          <w:szCs w:val="20"/>
          <w:lang w:eastAsia="lt-LT"/>
        </w:rPr>
        <w:t>Mejerio</w:t>
      </w:r>
      <w:proofErr w:type="spellEnd"/>
      <w:r w:rsidRPr="00327484">
        <w:rPr>
          <w:rFonts w:ascii="Times New Roman" w:eastAsia="Times New Roman" w:hAnsi="Times New Roman" w:cs="Times New Roman"/>
          <w:iCs/>
          <w:sz w:val="20"/>
          <w:szCs w:val="20"/>
          <w:lang w:eastAsia="lt-LT"/>
        </w:rPr>
        <w:t xml:space="preserve"> metodą) po 30 mėnesių; </w:t>
      </w:r>
      <w:r w:rsidRPr="00327484">
        <w:rPr>
          <w:rFonts w:ascii="Times New Roman" w:eastAsia="Times New Roman" w:hAnsi="Times New Roman" w:cs="Times New Roman"/>
          <w:i/>
          <w:sz w:val="20"/>
          <w:szCs w:val="20"/>
          <w:lang w:eastAsia="lt-LT"/>
        </w:rPr>
        <w:t>ISTH</w:t>
      </w:r>
      <w:r w:rsidRPr="00327484">
        <w:rPr>
          <w:rFonts w:ascii="Times New Roman" w:eastAsia="Times New Roman" w:hAnsi="Times New Roman" w:cs="Times New Roman"/>
          <w:iCs/>
          <w:sz w:val="20"/>
          <w:szCs w:val="20"/>
          <w:lang w:eastAsia="lt-LT"/>
        </w:rPr>
        <w:t xml:space="preserve">: Tarptautinė trombozės ir hemostazės bendrija (angl. </w:t>
      </w:r>
      <w:r w:rsidRPr="00327484">
        <w:rPr>
          <w:rFonts w:ascii="Times New Roman" w:eastAsia="Times New Roman" w:hAnsi="Times New Roman" w:cs="Times New Roman"/>
          <w:i/>
          <w:sz w:val="20"/>
          <w:szCs w:val="20"/>
          <w:lang w:eastAsia="lt-LT"/>
        </w:rPr>
        <w:t xml:space="preserve">International </w:t>
      </w:r>
      <w:proofErr w:type="spellStart"/>
      <w:r w:rsidRPr="00327484">
        <w:rPr>
          <w:rFonts w:ascii="Times New Roman" w:eastAsia="Times New Roman" w:hAnsi="Times New Roman" w:cs="Times New Roman"/>
          <w:i/>
          <w:sz w:val="20"/>
          <w:szCs w:val="20"/>
          <w:lang w:eastAsia="lt-LT"/>
        </w:rPr>
        <w:t>Society</w:t>
      </w:r>
      <w:proofErr w:type="spellEnd"/>
      <w:r w:rsidRPr="00327484">
        <w:rPr>
          <w:rFonts w:ascii="Times New Roman" w:eastAsia="Times New Roman" w:hAnsi="Times New Roman" w:cs="Times New Roman"/>
          <w:i/>
          <w:sz w:val="20"/>
          <w:szCs w:val="20"/>
          <w:lang w:eastAsia="lt-LT"/>
        </w:rPr>
        <w:t xml:space="preserve"> </w:t>
      </w:r>
      <w:proofErr w:type="spellStart"/>
      <w:r w:rsidRPr="00327484">
        <w:rPr>
          <w:rFonts w:ascii="Times New Roman" w:eastAsia="Times New Roman" w:hAnsi="Times New Roman" w:cs="Times New Roman"/>
          <w:i/>
          <w:sz w:val="20"/>
          <w:szCs w:val="20"/>
          <w:lang w:eastAsia="lt-LT"/>
        </w:rPr>
        <w:t>on</w:t>
      </w:r>
      <w:proofErr w:type="spellEnd"/>
      <w:r w:rsidRPr="00327484">
        <w:rPr>
          <w:rFonts w:ascii="Times New Roman" w:eastAsia="Times New Roman" w:hAnsi="Times New Roman" w:cs="Times New Roman"/>
          <w:i/>
          <w:sz w:val="20"/>
          <w:szCs w:val="20"/>
          <w:lang w:eastAsia="lt-LT"/>
        </w:rPr>
        <w:t xml:space="preserve"> </w:t>
      </w:r>
      <w:proofErr w:type="spellStart"/>
      <w:r w:rsidRPr="00327484">
        <w:rPr>
          <w:rFonts w:ascii="Times New Roman" w:eastAsia="Times New Roman" w:hAnsi="Times New Roman" w:cs="Times New Roman"/>
          <w:i/>
          <w:sz w:val="20"/>
          <w:szCs w:val="20"/>
          <w:lang w:eastAsia="lt-LT"/>
        </w:rPr>
        <w:t>Thrombosis</w:t>
      </w:r>
      <w:proofErr w:type="spellEnd"/>
      <w:r w:rsidRPr="00327484">
        <w:rPr>
          <w:rFonts w:ascii="Times New Roman" w:eastAsia="Times New Roman" w:hAnsi="Times New Roman" w:cs="Times New Roman"/>
          <w:i/>
          <w:sz w:val="20"/>
          <w:szCs w:val="20"/>
          <w:lang w:eastAsia="lt-LT"/>
        </w:rPr>
        <w:t xml:space="preserve"> </w:t>
      </w:r>
      <w:proofErr w:type="spellStart"/>
      <w:r w:rsidRPr="00327484">
        <w:rPr>
          <w:rFonts w:ascii="Times New Roman" w:eastAsia="Times New Roman" w:hAnsi="Times New Roman" w:cs="Times New Roman"/>
          <w:i/>
          <w:sz w:val="20"/>
          <w:szCs w:val="20"/>
          <w:lang w:eastAsia="lt-LT"/>
        </w:rPr>
        <w:t>and</w:t>
      </w:r>
      <w:proofErr w:type="spellEnd"/>
      <w:r w:rsidRPr="00327484">
        <w:rPr>
          <w:rFonts w:ascii="Times New Roman" w:eastAsia="Times New Roman" w:hAnsi="Times New Roman" w:cs="Times New Roman"/>
          <w:i/>
          <w:sz w:val="20"/>
          <w:szCs w:val="20"/>
          <w:lang w:eastAsia="lt-LT"/>
        </w:rPr>
        <w:t xml:space="preserve"> </w:t>
      </w:r>
      <w:proofErr w:type="spellStart"/>
      <w:r w:rsidRPr="00327484">
        <w:rPr>
          <w:rFonts w:ascii="Times New Roman" w:eastAsia="Times New Roman" w:hAnsi="Times New Roman" w:cs="Times New Roman"/>
          <w:i/>
          <w:sz w:val="20"/>
          <w:szCs w:val="20"/>
          <w:lang w:eastAsia="lt-LT"/>
        </w:rPr>
        <w:t>Haemostasis</w:t>
      </w:r>
      <w:proofErr w:type="spellEnd"/>
      <w:r w:rsidRPr="00327484">
        <w:rPr>
          <w:rFonts w:ascii="Times New Roman" w:eastAsia="Times New Roman" w:hAnsi="Times New Roman" w:cs="Times New Roman"/>
          <w:iCs/>
          <w:sz w:val="20"/>
          <w:szCs w:val="20"/>
          <w:lang w:eastAsia="lt-LT"/>
        </w:rPr>
        <w:t>); VKP: vieną kartą per parą</w:t>
      </w:r>
      <w:r w:rsidRPr="007F2054">
        <w:rPr>
          <w:rFonts w:ascii="Times New Roman" w:eastAsia="Times New Roman" w:hAnsi="Times New Roman" w:cs="Times New Roman"/>
          <w:iCs/>
          <w:sz w:val="20"/>
          <w:szCs w:val="20"/>
          <w:lang w:eastAsia="lt-LT"/>
        </w:rPr>
        <w:t>.</w:t>
      </w:r>
    </w:p>
    <w:p w14:paraId="2E1870F7" w14:textId="5654CF3D" w:rsidR="00327484" w:rsidRPr="007F2054" w:rsidRDefault="00327484">
      <w:pPr>
        <w:rPr>
          <w:rFonts w:ascii="Times New Roman" w:eastAsia="Times New Roman" w:hAnsi="Times New Roman" w:cs="Times New Roman"/>
          <w:iCs/>
          <w:lang w:eastAsia="lt-LT"/>
        </w:rPr>
      </w:pPr>
      <w:r w:rsidRPr="007F2054">
        <w:rPr>
          <w:rFonts w:ascii="Times New Roman" w:eastAsia="Times New Roman" w:hAnsi="Times New Roman" w:cs="Times New Roman"/>
          <w:iCs/>
          <w:lang w:eastAsia="lt-LT"/>
        </w:rPr>
        <w:br w:type="page"/>
      </w:r>
    </w:p>
    <w:p w14:paraId="0E9F4BD4" w14:textId="77777777" w:rsidR="00117DC2" w:rsidRPr="00117DC2" w:rsidRDefault="00117DC2" w:rsidP="00327484">
      <w:pPr>
        <w:numPr>
          <w:ilvl w:val="12"/>
          <w:numId w:val="0"/>
        </w:numPr>
        <w:tabs>
          <w:tab w:val="left" w:pos="567"/>
        </w:tabs>
        <w:spacing w:after="0" w:line="240" w:lineRule="auto"/>
        <w:ind w:left="142" w:right="-2" w:hanging="142"/>
        <w:rPr>
          <w:rFonts w:ascii="Times New Roman" w:eastAsia="Times New Roman" w:hAnsi="Times New Roman" w:cs="Times New Roman"/>
          <w:iCs/>
          <w:lang w:eastAsia="lt-LT"/>
        </w:rPr>
      </w:pPr>
    </w:p>
    <w:p w14:paraId="48482D01" w14:textId="77777777" w:rsidR="00327484" w:rsidRPr="00327484" w:rsidRDefault="00327484" w:rsidP="00327484">
      <w:pPr>
        <w:numPr>
          <w:ilvl w:val="12"/>
          <w:numId w:val="0"/>
        </w:numPr>
        <w:tabs>
          <w:tab w:val="left" w:pos="567"/>
        </w:tabs>
        <w:spacing w:after="0" w:line="240" w:lineRule="auto"/>
        <w:ind w:right="-2"/>
        <w:rPr>
          <w:rFonts w:ascii="Times New Roman" w:eastAsia="Times New Roman" w:hAnsi="Times New Roman" w:cs="Times New Roman"/>
          <w:b/>
          <w:iCs/>
          <w:lang w:eastAsia="lt-LT"/>
        </w:rPr>
      </w:pPr>
      <w:r w:rsidRPr="00327484">
        <w:rPr>
          <w:rFonts w:ascii="Times New Roman" w:eastAsia="Times New Roman" w:hAnsi="Times New Roman" w:cs="Times New Roman"/>
          <w:b/>
          <w:iCs/>
          <w:lang w:eastAsia="lt-LT"/>
        </w:rPr>
        <w:t>2 paveikslas. Laikas iki pirmojo pirminės vertinamosios baigties (insulto, miokardo infarkto, mirties nuo širdies ir kraujagyslių ligų) pasireiškimo, nustatytas COMPASS tyrime</w:t>
      </w:r>
    </w:p>
    <w:p w14:paraId="3D9A8146" w14:textId="77777777" w:rsidR="00117DC2"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18C5C435" w14:textId="11855FCB" w:rsidR="00117DC2" w:rsidRPr="007F2054" w:rsidRDefault="00327484"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r w:rsidRPr="007F2054">
        <w:rPr>
          <w:rFonts w:ascii="Times New Roman" w:eastAsia="Times New Roman" w:hAnsi="Times New Roman" w:cs="Times New Roman"/>
          <w:noProof/>
          <w:szCs w:val="20"/>
          <w:lang w:eastAsia="lt-LT"/>
        </w:rPr>
        <w:drawing>
          <wp:inline distT="0" distB="0" distL="0" distR="0" wp14:anchorId="44B8B22E" wp14:editId="11894300">
            <wp:extent cx="5052073" cy="2476190"/>
            <wp:effectExtent l="0" t="0" r="0" b="635"/>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7"/>
                    <a:stretch>
                      <a:fillRect/>
                    </a:stretch>
                  </pic:blipFill>
                  <pic:spPr>
                    <a:xfrm>
                      <a:off x="0" y="0"/>
                      <a:ext cx="5063508" cy="2481795"/>
                    </a:xfrm>
                    <a:prstGeom prst="rect">
                      <a:avLst/>
                    </a:prstGeom>
                  </pic:spPr>
                </pic:pic>
              </a:graphicData>
            </a:graphic>
          </wp:inline>
        </w:drawing>
      </w:r>
    </w:p>
    <w:p w14:paraId="3265D655" w14:textId="77777777" w:rsidR="00117DC2"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283E0474" w14:textId="77777777" w:rsidR="00117DC2" w:rsidRPr="007F2054" w:rsidRDefault="00117DC2" w:rsidP="00BC76CE">
      <w:pPr>
        <w:autoSpaceDE w:val="0"/>
        <w:autoSpaceDN w:val="0"/>
        <w:adjustRightInd w:val="0"/>
        <w:spacing w:after="0" w:line="240" w:lineRule="auto"/>
        <w:rPr>
          <w:rFonts w:ascii="Times New Roman" w:eastAsia="Times New Roman" w:hAnsi="Times New Roman" w:cs="Times New Roman"/>
          <w:color w:val="000000"/>
          <w:sz w:val="20"/>
          <w:szCs w:val="20"/>
          <w:lang w:eastAsia="lt-LT"/>
        </w:rPr>
      </w:pPr>
    </w:p>
    <w:p w14:paraId="2AB675A8"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u w:val="single"/>
          <w:lang w:eastAsia="en-GB"/>
        </w:rPr>
      </w:pPr>
      <w:r w:rsidRPr="007029D5">
        <w:rPr>
          <w:rFonts w:ascii="Times New Roman" w:eastAsia="SimSun" w:hAnsi="Times New Roman" w:cs="Times New Roman"/>
          <w:color w:val="000000"/>
          <w:u w:val="single"/>
          <w:lang w:eastAsia="en-GB"/>
        </w:rPr>
        <w:t xml:space="preserve">Pacientai, kuriems dėl simptominės PAL neseniai atlikta apatinės galūnės revaskuliarizacijos procedūra </w:t>
      </w:r>
    </w:p>
    <w:p w14:paraId="34CC743D" w14:textId="77777777" w:rsidR="007029D5" w:rsidRPr="007029D5"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lang w:eastAsia="lt-LT"/>
        </w:rPr>
        <w:t xml:space="preserve">Pagrindinio III fazės dvigubai koduoto tyrimo </w:t>
      </w:r>
      <w:r w:rsidRPr="007029D5">
        <w:rPr>
          <w:rFonts w:ascii="Times New Roman" w:eastAsia="Times New Roman" w:hAnsi="Times New Roman" w:cs="Times New Roman"/>
          <w:b/>
          <w:bCs/>
          <w:lang w:eastAsia="lt-LT"/>
        </w:rPr>
        <w:t xml:space="preserve">VOYAGER PAD </w:t>
      </w:r>
      <w:r w:rsidRPr="007029D5">
        <w:rPr>
          <w:rFonts w:ascii="Times New Roman" w:eastAsia="Times New Roman" w:hAnsi="Times New Roman" w:cs="Times New Roman"/>
          <w:lang w:eastAsia="lt-LT"/>
        </w:rPr>
        <w:t xml:space="preserve">metu 6564 pacientai, kuriems dėl simptominės PAL neseniai sėkmingai atlikta apatinės galūnės revaskuliarizacijos procedūra (chirurginė arba </w:t>
      </w:r>
      <w:proofErr w:type="spellStart"/>
      <w:r w:rsidRPr="007029D5">
        <w:rPr>
          <w:rFonts w:ascii="Times New Roman" w:eastAsia="Times New Roman" w:hAnsi="Times New Roman" w:cs="Times New Roman"/>
          <w:lang w:eastAsia="lt-LT"/>
        </w:rPr>
        <w:t>endovaskulinė</w:t>
      </w:r>
      <w:proofErr w:type="spellEnd"/>
      <w:r w:rsidRPr="007029D5">
        <w:rPr>
          <w:rFonts w:ascii="Times New Roman" w:eastAsia="Times New Roman" w:hAnsi="Times New Roman" w:cs="Times New Roman"/>
          <w:lang w:eastAsia="lt-LT"/>
        </w:rPr>
        <w:t xml:space="preserve">, įskaitant hibridines procedūras), buvo atsitiktinės atrankos būdu santykiu 1:1 priskirti vienai iš dviejų </w:t>
      </w:r>
      <w:proofErr w:type="spellStart"/>
      <w:r w:rsidRPr="007029D5">
        <w:rPr>
          <w:rFonts w:ascii="Times New Roman" w:eastAsia="Times New Roman" w:hAnsi="Times New Roman" w:cs="Times New Roman"/>
          <w:lang w:eastAsia="lt-LT"/>
        </w:rPr>
        <w:t>antitrombozinio</w:t>
      </w:r>
      <w:proofErr w:type="spellEnd"/>
      <w:r w:rsidRPr="007029D5">
        <w:rPr>
          <w:rFonts w:ascii="Times New Roman" w:eastAsia="Times New Roman" w:hAnsi="Times New Roman" w:cs="Times New Roman"/>
          <w:lang w:eastAsia="lt-LT"/>
        </w:rPr>
        <w:t xml:space="preserve"> gydymo grupių: jiems buvo skiriama po 2,5</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lang w:eastAsia="lt-LT"/>
        </w:rPr>
        <w:t>mg rivaroksabano du kartus per parą kartu su ASR 100 mg vieną kartą per parą arba tik ASR 100</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lang w:eastAsia="lt-LT"/>
        </w:rPr>
        <w:t>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w:t>
      </w:r>
      <w:r w:rsidRPr="007029D5">
        <w:rPr>
          <w:rFonts w:ascii="Times New Roman" w:eastAsia="Times New Roman" w:hAnsi="Times New Roman" w:cs="Times New Roman"/>
          <w:iCs/>
          <w:lang w:eastAsia="lt-LT"/>
        </w:rPr>
        <w:t xml:space="preserve"> patvirtinta vidutinio sunkumo arba sunki simptominė apatinės galūnės aterosklerozinė PAL, pagrįsta visais šiais požymiais: klinikiniais (t. y. ribota funkcija), anatominiais (t. y. </w:t>
      </w:r>
      <w:proofErr w:type="spellStart"/>
      <w:r w:rsidRPr="007029D5">
        <w:rPr>
          <w:rFonts w:ascii="Times New Roman" w:eastAsia="Times New Roman" w:hAnsi="Times New Roman" w:cs="Times New Roman"/>
          <w:iCs/>
          <w:lang w:eastAsia="lt-LT"/>
        </w:rPr>
        <w:t>distaliau</w:t>
      </w:r>
      <w:proofErr w:type="spellEnd"/>
      <w:r w:rsidRPr="007029D5">
        <w:rPr>
          <w:rFonts w:ascii="Times New Roman" w:eastAsia="Times New Roman" w:hAnsi="Times New Roman" w:cs="Times New Roman"/>
          <w:iCs/>
          <w:lang w:eastAsia="lt-LT"/>
        </w:rPr>
        <w:t xml:space="preserve"> nuo išorinės klubinės arterijos vaizdo tyrimais patvirtinta PAL) ir </w:t>
      </w:r>
      <w:proofErr w:type="spellStart"/>
      <w:r w:rsidRPr="007029D5">
        <w:rPr>
          <w:rFonts w:ascii="Times New Roman" w:eastAsia="Times New Roman" w:hAnsi="Times New Roman" w:cs="Times New Roman"/>
          <w:iCs/>
          <w:lang w:eastAsia="lt-LT"/>
        </w:rPr>
        <w:t>hemodinaminiais</w:t>
      </w:r>
      <w:proofErr w:type="spellEnd"/>
      <w:r w:rsidRPr="007029D5">
        <w:rPr>
          <w:rFonts w:ascii="Times New Roman" w:eastAsia="Times New Roman" w:hAnsi="Times New Roman" w:cs="Times New Roman"/>
          <w:iCs/>
          <w:lang w:eastAsia="lt-LT"/>
        </w:rPr>
        <w:t xml:space="preserve"> (kulkšnies-žasto indeksas [KŽI] ≤ 0,80 arba nykščio-žasto indeksas [NŽI] ≤ 0,60 pacientams, kuriems anksčiau nebuvo atlikta galūnės </w:t>
      </w:r>
      <w:proofErr w:type="spellStart"/>
      <w:r w:rsidRPr="007029D5">
        <w:rPr>
          <w:rFonts w:ascii="Times New Roman" w:eastAsia="Times New Roman" w:hAnsi="Times New Roman" w:cs="Times New Roman"/>
          <w:iCs/>
          <w:lang w:eastAsia="lt-LT"/>
        </w:rPr>
        <w:t>revaskuliarizacija</w:t>
      </w:r>
      <w:proofErr w:type="spellEnd"/>
      <w:r w:rsidRPr="007029D5">
        <w:rPr>
          <w:rFonts w:ascii="Times New Roman" w:eastAsia="Times New Roman" w:hAnsi="Times New Roman" w:cs="Times New Roman"/>
          <w:iCs/>
          <w:lang w:eastAsia="lt-LT"/>
        </w:rPr>
        <w:t xml:space="preserve">, arba KŽI ≤ 0,85 arba NŽI ≤ 0,65 pacientams, kuriems anksčiau atlikta apatinės galūnės </w:t>
      </w:r>
      <w:proofErr w:type="spellStart"/>
      <w:r w:rsidRPr="007029D5">
        <w:rPr>
          <w:rFonts w:ascii="Times New Roman" w:eastAsia="Times New Roman" w:hAnsi="Times New Roman" w:cs="Times New Roman"/>
          <w:iCs/>
          <w:lang w:eastAsia="lt-LT"/>
        </w:rPr>
        <w:t>revaskuliarizacija</w:t>
      </w:r>
      <w:proofErr w:type="spellEnd"/>
      <w:r w:rsidRPr="007029D5">
        <w:rPr>
          <w:rFonts w:ascii="Times New Roman" w:eastAsia="Times New Roman" w:hAnsi="Times New Roman" w:cs="Times New Roman"/>
          <w:iCs/>
          <w:lang w:eastAsia="lt-LT"/>
        </w:rPr>
        <w:t xml:space="preserve">).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w:t>
      </w:r>
      <w:proofErr w:type="spellStart"/>
      <w:r w:rsidRPr="007029D5">
        <w:rPr>
          <w:rFonts w:ascii="Times New Roman" w:eastAsia="Times New Roman" w:hAnsi="Times New Roman" w:cs="Times New Roman"/>
          <w:iCs/>
          <w:lang w:eastAsia="lt-LT"/>
        </w:rPr>
        <w:t>intrakranijinį</w:t>
      </w:r>
      <w:proofErr w:type="spellEnd"/>
      <w:r w:rsidRPr="007029D5">
        <w:rPr>
          <w:rFonts w:ascii="Times New Roman" w:eastAsia="Times New Roman" w:hAnsi="Times New Roman" w:cs="Times New Roman"/>
          <w:iCs/>
          <w:lang w:eastAsia="lt-LT"/>
        </w:rPr>
        <w:t xml:space="preserve"> kraujavimą, insultą arba PSIP, ir pacientai, kurių apskaičiuotasis </w:t>
      </w:r>
      <w:proofErr w:type="spellStart"/>
      <w:r w:rsidRPr="007029D5">
        <w:rPr>
          <w:rFonts w:ascii="Times New Roman" w:eastAsia="Times New Roman" w:hAnsi="Times New Roman" w:cs="Times New Roman"/>
          <w:iCs/>
          <w:lang w:eastAsia="lt-LT"/>
        </w:rPr>
        <w:t>glomerulų</w:t>
      </w:r>
      <w:proofErr w:type="spellEnd"/>
      <w:r w:rsidRPr="007029D5">
        <w:rPr>
          <w:rFonts w:ascii="Times New Roman" w:eastAsia="Times New Roman" w:hAnsi="Times New Roman" w:cs="Times New Roman"/>
          <w:iCs/>
          <w:lang w:eastAsia="lt-LT"/>
        </w:rPr>
        <w:t xml:space="preserve"> filtracijos greitis, </w:t>
      </w:r>
      <w:proofErr w:type="spellStart"/>
      <w:r w:rsidRPr="007029D5">
        <w:rPr>
          <w:rFonts w:ascii="Times New Roman" w:eastAsia="Times New Roman" w:hAnsi="Times New Roman" w:cs="Times New Roman"/>
          <w:iCs/>
          <w:lang w:eastAsia="lt-LT"/>
        </w:rPr>
        <w:t>aGFG</w:t>
      </w:r>
      <w:proofErr w:type="spellEnd"/>
      <w:r w:rsidRPr="007029D5">
        <w:rPr>
          <w:rFonts w:ascii="Times New Roman" w:eastAsia="Times New Roman" w:hAnsi="Times New Roman" w:cs="Times New Roman"/>
          <w:iCs/>
          <w:lang w:eastAsia="lt-LT"/>
        </w:rPr>
        <w:t xml:space="preserve"> &lt; 15</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iCs/>
          <w:lang w:eastAsia="lt-LT"/>
        </w:rPr>
        <w:t>ml/min, nebuvo įtraukti į tyrimą.</w:t>
      </w:r>
    </w:p>
    <w:p w14:paraId="22942992" w14:textId="073727F7" w:rsidR="007029D5" w:rsidRPr="007029D5"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iCs/>
          <w:lang w:eastAsia="lt-LT"/>
        </w:rPr>
        <w:t>Vidutinė pacientų stebėjimo trukmė buvo 24 mėnesiai, o ilgiausia stebėjimo trukmė buvo 4,1 metų. Į tyrimą įtrauktų pacientų amžiaus vidurkis buvo 67 metai, o &gt; 75 metų amžiaus asmenys sudarė 17</w:t>
      </w:r>
      <w:r w:rsidR="00C338A4" w:rsidRPr="007F2054">
        <w:rPr>
          <w:rFonts w:ascii="Times New Roman" w:eastAsia="Times New Roman" w:hAnsi="Times New Roman" w:cs="Times New Roman"/>
          <w:iCs/>
          <w:lang w:eastAsia="lt-LT"/>
        </w:rPr>
        <w:t> %</w:t>
      </w:r>
      <w:r w:rsidRPr="007029D5">
        <w:rPr>
          <w:rFonts w:ascii="Times New Roman" w:eastAsia="Times New Roman" w:hAnsi="Times New Roman" w:cs="Times New Roman"/>
          <w:iCs/>
          <w:lang w:eastAsia="lt-LT"/>
        </w:rPr>
        <w:t xml:space="preserve"> pacientų populiacijos. Laiko nuo atskaitinės revaskuliarizacijos procedūros iki tiriamojo gydymo pradžios mediana visoje populiacijoje buvo 5 dienos (6 dienos po chirurginės revaskuliarizacijos ir 4 dienos po </w:t>
      </w:r>
      <w:proofErr w:type="spellStart"/>
      <w:r w:rsidRPr="007029D5">
        <w:rPr>
          <w:rFonts w:ascii="Times New Roman" w:eastAsia="Times New Roman" w:hAnsi="Times New Roman" w:cs="Times New Roman"/>
          <w:iCs/>
          <w:lang w:eastAsia="lt-LT"/>
        </w:rPr>
        <w:t>endovaskulinės</w:t>
      </w:r>
      <w:proofErr w:type="spellEnd"/>
      <w:r w:rsidRPr="007029D5">
        <w:rPr>
          <w:rFonts w:ascii="Times New Roman" w:eastAsia="Times New Roman" w:hAnsi="Times New Roman" w:cs="Times New Roman"/>
          <w:iCs/>
          <w:lang w:eastAsia="lt-LT"/>
        </w:rPr>
        <w:t xml:space="preserve"> </w:t>
      </w:r>
      <w:proofErr w:type="spellStart"/>
      <w:r w:rsidRPr="007029D5">
        <w:rPr>
          <w:rFonts w:ascii="Times New Roman" w:eastAsia="Times New Roman" w:hAnsi="Times New Roman" w:cs="Times New Roman"/>
          <w:iCs/>
          <w:lang w:eastAsia="lt-LT"/>
        </w:rPr>
        <w:t>revaskuliarizacijos</w:t>
      </w:r>
      <w:proofErr w:type="spellEnd"/>
      <w:r w:rsidRPr="007029D5">
        <w:rPr>
          <w:rFonts w:ascii="Times New Roman" w:eastAsia="Times New Roman" w:hAnsi="Times New Roman" w:cs="Times New Roman"/>
          <w:iCs/>
          <w:lang w:eastAsia="lt-LT"/>
        </w:rPr>
        <w:t>, įskaitant hibridines procedūras). Iš viso 53,0</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iCs/>
          <w:lang w:eastAsia="lt-LT"/>
        </w:rPr>
        <w:t xml:space="preserve"> pacientų buvo taikytas trumpalaikis bazinis gydymas </w:t>
      </w:r>
      <w:proofErr w:type="spellStart"/>
      <w:r w:rsidRPr="007029D5">
        <w:rPr>
          <w:rFonts w:ascii="Times New Roman" w:eastAsia="Times New Roman" w:hAnsi="Times New Roman" w:cs="Times New Roman"/>
          <w:iCs/>
          <w:lang w:eastAsia="lt-LT"/>
        </w:rPr>
        <w:t>klopidogreliu</w:t>
      </w:r>
      <w:proofErr w:type="spellEnd"/>
      <w:r w:rsidRPr="007029D5">
        <w:rPr>
          <w:rFonts w:ascii="Times New Roman" w:eastAsia="Times New Roman" w:hAnsi="Times New Roman" w:cs="Times New Roman"/>
          <w:iCs/>
          <w:lang w:eastAsia="lt-LT"/>
        </w:rPr>
        <w:t>, kurio trukmės mediana buvo 31 diena. Remiantis tyrimo protokolu, tiriamąjį gydymą buvo galima pradėti kuo greičiau, bet ne vėliau kaip po 10 dienų nuo sėkminga įvardijamos revaskuliarizacijos procedūros ir tik tada, kai pasiekiama hemostazė.</w:t>
      </w:r>
    </w:p>
    <w:p w14:paraId="290B7E9D" w14:textId="77777777" w:rsidR="007029D5" w:rsidRPr="007029D5"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iCs/>
          <w:lang w:eastAsia="lt-LT"/>
        </w:rPr>
        <w:t>Rivaroksabanas po 2,5</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iCs/>
          <w:lang w:eastAsia="lt-LT"/>
        </w:rPr>
        <w:t>mg du kartus per parą, derinamas su ASR 100</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iCs/>
          <w:lang w:eastAsia="lt-LT"/>
        </w:rPr>
        <w:t xml:space="preserve">mg vieną kartą per parą, buvo pranašesnis už vien tik ASR, mažinant pagrindinių vertinamųjų baigčių suminį rodiklį, kurį sudarė miokardo infarkto, išeminio insulto, mirties nuo širdies ir kraujagyslių ligų, ūminės galūnės išemijos ir didelės amputacijos dėl kraujagyslių sutrikimų reiškiniai (žr. 9 lentelę). Pacientams, gydytiems </w:t>
      </w:r>
      <w:r w:rsidRPr="007029D5">
        <w:rPr>
          <w:rFonts w:ascii="Times New Roman" w:eastAsia="Times New Roman" w:hAnsi="Times New Roman" w:cs="Times New Roman"/>
          <w:iCs/>
          <w:lang w:eastAsia="lt-LT"/>
        </w:rPr>
        <w:lastRenderedPageBreak/>
        <w:t xml:space="preserve">rivaroksabanu ir ASR, padidėjo pagrindinis saugumo vertinamųjų baigčių rodiklis, apibūdinantis didžiojo kraujavimo reiškinius pagal TIMI, o mirtino ar </w:t>
      </w:r>
      <w:proofErr w:type="spellStart"/>
      <w:r w:rsidRPr="007029D5">
        <w:rPr>
          <w:rFonts w:ascii="Times New Roman" w:eastAsia="Times New Roman" w:hAnsi="Times New Roman" w:cs="Times New Roman"/>
          <w:iCs/>
          <w:lang w:eastAsia="lt-LT"/>
        </w:rPr>
        <w:t>intrakranijinio</w:t>
      </w:r>
      <w:proofErr w:type="spellEnd"/>
      <w:r w:rsidRPr="007029D5">
        <w:rPr>
          <w:rFonts w:ascii="Times New Roman" w:eastAsia="Times New Roman" w:hAnsi="Times New Roman" w:cs="Times New Roman"/>
          <w:iCs/>
          <w:lang w:eastAsia="lt-LT"/>
        </w:rPr>
        <w:t xml:space="preserve"> kraujavimo reiškinių jiems nepadaugėjo (žr. 10 lentelę).</w:t>
      </w:r>
    </w:p>
    <w:p w14:paraId="390505D5" w14:textId="69AF5EE7" w:rsidR="007029D5" w:rsidRPr="007F2054"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iCs/>
          <w:lang w:eastAsia="lt-LT"/>
        </w:rPr>
        <w:t>Antrinės veiksmingumo baigtys buvo tiriamos iš anksto numatyta, hierarchine tvarka (žr. 9 lentelę).</w:t>
      </w:r>
    </w:p>
    <w:p w14:paraId="07D8C59F" w14:textId="77777777" w:rsidR="007029D5" w:rsidRPr="007F2054"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5D2BD194" w14:textId="77777777" w:rsidR="007029D5" w:rsidRPr="007029D5"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b/>
          <w:bCs/>
          <w:lang w:eastAsia="lt-LT"/>
        </w:rPr>
        <w:t>9 lentelė. III fazės tyrimo VOYAGER PAL veiksmingumo rezultatai</w:t>
      </w:r>
    </w:p>
    <w:tbl>
      <w:tblPr>
        <w:tblW w:w="9238" w:type="dxa"/>
        <w:tblInd w:w="112" w:type="dxa"/>
        <w:tblLayout w:type="fixed"/>
        <w:tblLook w:val="01E0" w:firstRow="1" w:lastRow="1" w:firstColumn="1" w:lastColumn="1" w:noHBand="0" w:noVBand="0"/>
      </w:tblPr>
      <w:tblGrid>
        <w:gridCol w:w="2836"/>
        <w:gridCol w:w="2551"/>
        <w:gridCol w:w="1985"/>
        <w:gridCol w:w="1866"/>
      </w:tblGrid>
      <w:tr w:rsidR="007029D5" w:rsidRPr="007029D5" w14:paraId="636DB347" w14:textId="77777777" w:rsidTr="004215B0">
        <w:trPr>
          <w:trHeight w:hRule="exact" w:val="590"/>
        </w:trPr>
        <w:tc>
          <w:tcPr>
            <w:tcW w:w="2836" w:type="dxa"/>
            <w:tcBorders>
              <w:top w:val="single" w:sz="5" w:space="0" w:color="000000"/>
              <w:left w:val="single" w:sz="5" w:space="0" w:color="000000"/>
              <w:bottom w:val="single" w:sz="12" w:space="0" w:color="000000"/>
              <w:right w:val="single" w:sz="5" w:space="0" w:color="000000"/>
            </w:tcBorders>
          </w:tcPr>
          <w:p w14:paraId="7971EA2A"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sz w:val="24"/>
                <w:lang w:val="en-US" w:eastAsia="en-GB"/>
              </w:rPr>
            </w:pPr>
            <w:proofErr w:type="spellStart"/>
            <w:r w:rsidRPr="007029D5">
              <w:rPr>
                <w:rFonts w:ascii="Times New Roman" w:eastAsia="SimSun" w:hAnsi="Times New Roman" w:cs="Times New Roman"/>
                <w:b/>
                <w:bCs/>
                <w:color w:val="000000"/>
                <w:lang w:val="en-US" w:eastAsia="en-GB"/>
              </w:rPr>
              <w:t>Tyrimo</w:t>
            </w:r>
            <w:proofErr w:type="spellEnd"/>
            <w:r w:rsidRPr="007029D5">
              <w:rPr>
                <w:rFonts w:ascii="Times New Roman" w:eastAsia="SimSun" w:hAnsi="Times New Roman" w:cs="Times New Roman"/>
                <w:b/>
                <w:bCs/>
                <w:color w:val="000000"/>
                <w:lang w:val="en-US" w:eastAsia="en-GB"/>
              </w:rPr>
              <w:t xml:space="preserve"> </w:t>
            </w:r>
            <w:proofErr w:type="spellStart"/>
            <w:r w:rsidRPr="007029D5">
              <w:rPr>
                <w:rFonts w:ascii="Times New Roman" w:eastAsia="SimSun" w:hAnsi="Times New Roman" w:cs="Times New Roman"/>
                <w:b/>
                <w:bCs/>
                <w:color w:val="000000"/>
                <w:lang w:val="en-US" w:eastAsia="en-GB"/>
              </w:rPr>
              <w:t>populiacija</w:t>
            </w:r>
            <w:proofErr w:type="spellEnd"/>
            <w:r w:rsidRPr="007029D5">
              <w:rPr>
                <w:rFonts w:ascii="Times New Roman" w:eastAsia="SimSun" w:hAnsi="Times New Roman" w:cs="Times New Roman"/>
                <w:b/>
                <w:bCs/>
                <w:color w:val="000000"/>
                <w:lang w:val="en-US" w:eastAsia="en-GB"/>
              </w:rPr>
              <w:t xml:space="preserve"> </w:t>
            </w:r>
          </w:p>
          <w:p w14:paraId="223139C2"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c>
          <w:tcPr>
            <w:tcW w:w="6402" w:type="dxa"/>
            <w:gridSpan w:val="3"/>
            <w:tcBorders>
              <w:top w:val="single" w:sz="5" w:space="0" w:color="000000"/>
              <w:left w:val="single" w:sz="5" w:space="0" w:color="000000"/>
              <w:bottom w:val="nil"/>
              <w:right w:val="single" w:sz="5" w:space="0" w:color="000000"/>
            </w:tcBorders>
          </w:tcPr>
          <w:p w14:paraId="55817B8D"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Pacientai, kuriems dėl simptominės PAL neseniai atlikta apatinės galūnės revaskuliarizacijos procedūra</w:t>
            </w:r>
            <w:r w:rsidRPr="007029D5">
              <w:rPr>
                <w:rFonts w:ascii="Times New Roman" w:eastAsia="Times New Roman" w:hAnsi="Times New Roman" w:cs="Times New Roman"/>
                <w:b/>
                <w:bCs/>
                <w:iCs/>
                <w:vertAlign w:val="superscript"/>
                <w:lang w:eastAsia="lt-LT"/>
              </w:rPr>
              <w:t xml:space="preserve"> a)</w:t>
            </w:r>
          </w:p>
        </w:tc>
      </w:tr>
      <w:tr w:rsidR="007029D5" w:rsidRPr="007029D5" w14:paraId="58CB9F57" w14:textId="77777777" w:rsidTr="004215B0">
        <w:trPr>
          <w:trHeight w:hRule="exact" w:val="1303"/>
        </w:trPr>
        <w:tc>
          <w:tcPr>
            <w:tcW w:w="2836" w:type="dxa"/>
            <w:tcBorders>
              <w:top w:val="single" w:sz="12" w:space="0" w:color="000000"/>
              <w:left w:val="single" w:sz="5" w:space="0" w:color="000000"/>
              <w:bottom w:val="single" w:sz="5" w:space="0" w:color="000000"/>
              <w:right w:val="single" w:sz="5" w:space="0" w:color="000000"/>
            </w:tcBorders>
          </w:tcPr>
          <w:p w14:paraId="02838995"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Vaistinių preparatų dozavimas</w:t>
            </w:r>
          </w:p>
        </w:tc>
        <w:tc>
          <w:tcPr>
            <w:tcW w:w="2551" w:type="dxa"/>
            <w:tcBorders>
              <w:top w:val="single" w:sz="12" w:space="0" w:color="000000"/>
              <w:left w:val="single" w:sz="5" w:space="0" w:color="000000"/>
              <w:bottom w:val="single" w:sz="5" w:space="0" w:color="000000"/>
              <w:right w:val="single" w:sz="5" w:space="0" w:color="000000"/>
            </w:tcBorders>
          </w:tcPr>
          <w:p w14:paraId="0B41C3FE"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lang w:eastAsia="en-GB"/>
              </w:rPr>
            </w:pPr>
            <w:r w:rsidRPr="007029D5">
              <w:rPr>
                <w:rFonts w:ascii="Times New Roman" w:eastAsia="SimSun" w:hAnsi="Times New Roman" w:cs="Times New Roman"/>
                <w:b/>
                <w:bCs/>
                <w:color w:val="000000"/>
                <w:lang w:eastAsia="en-GB"/>
              </w:rPr>
              <w:t>Rivaroksabanas po 2,5</w:t>
            </w:r>
            <w:r w:rsidRPr="007029D5">
              <w:rPr>
                <w:rFonts w:ascii="Times New Roman" w:eastAsia="SimSun" w:hAnsi="Times New Roman" w:cs="Times New Roman"/>
                <w:snapToGrid w:val="0"/>
                <w:color w:val="000000"/>
                <w:szCs w:val="24"/>
                <w:lang w:eastAsia="en-GB"/>
              </w:rPr>
              <w:t> </w:t>
            </w:r>
            <w:r w:rsidRPr="007029D5">
              <w:rPr>
                <w:rFonts w:ascii="Times New Roman" w:eastAsia="SimSun" w:hAnsi="Times New Roman" w:cs="Times New Roman"/>
                <w:b/>
                <w:bCs/>
                <w:color w:val="000000"/>
                <w:lang w:eastAsia="en-GB"/>
              </w:rPr>
              <w:t xml:space="preserve">mg DKP kartu su ASR 100 mg VKP, </w:t>
            </w:r>
          </w:p>
          <w:p w14:paraId="750896DA"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lang w:val="pl-PL" w:eastAsia="en-GB"/>
              </w:rPr>
            </w:pPr>
            <w:r w:rsidRPr="007029D5">
              <w:rPr>
                <w:rFonts w:ascii="Times New Roman" w:eastAsia="SimSun" w:hAnsi="Times New Roman" w:cs="Times New Roman"/>
                <w:b/>
                <w:bCs/>
                <w:color w:val="000000"/>
                <w:lang w:val="pl-PL" w:eastAsia="en-GB"/>
              </w:rPr>
              <w:t xml:space="preserve">N = 3286 </w:t>
            </w:r>
          </w:p>
          <w:p w14:paraId="65902723" w14:textId="5A49C733"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lang w:eastAsia="lt-LT"/>
              </w:rPr>
              <w:t>n (NA rizikos</w:t>
            </w:r>
            <w:r w:rsidR="00C338A4" w:rsidRPr="007F2054">
              <w:rPr>
                <w:rFonts w:ascii="Times New Roman" w:eastAsia="Times New Roman" w:hAnsi="Times New Roman" w:cs="Times New Roman"/>
                <w:b/>
                <w:bCs/>
                <w:lang w:eastAsia="lt-LT"/>
              </w:rPr>
              <w:t> %</w:t>
            </w:r>
            <w:r w:rsidRPr="007029D5">
              <w:rPr>
                <w:rFonts w:ascii="Times New Roman" w:eastAsia="Times New Roman" w:hAnsi="Times New Roman" w:cs="Times New Roman"/>
                <w:b/>
                <w:bCs/>
                <w:lang w:eastAsia="lt-LT"/>
              </w:rPr>
              <w:t>)</w:t>
            </w:r>
            <w:r w:rsidRPr="007029D5">
              <w:rPr>
                <w:rFonts w:ascii="Times New Roman" w:eastAsia="Times New Roman" w:hAnsi="Times New Roman" w:cs="Times New Roman"/>
                <w:b/>
                <w:bCs/>
                <w:iCs/>
                <w:vertAlign w:val="superscript"/>
                <w:lang w:eastAsia="lt-LT"/>
              </w:rPr>
              <w:t>c)</w:t>
            </w:r>
          </w:p>
        </w:tc>
        <w:tc>
          <w:tcPr>
            <w:tcW w:w="1985" w:type="dxa"/>
            <w:tcBorders>
              <w:top w:val="single" w:sz="12" w:space="0" w:color="000000"/>
              <w:left w:val="single" w:sz="5" w:space="0" w:color="000000"/>
              <w:bottom w:val="single" w:sz="5" w:space="0" w:color="000000"/>
              <w:right w:val="single" w:sz="5" w:space="0" w:color="000000"/>
            </w:tcBorders>
          </w:tcPr>
          <w:p w14:paraId="663A67AB"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lang w:val="pl-PL" w:eastAsia="en-GB"/>
              </w:rPr>
            </w:pPr>
            <w:r w:rsidRPr="007029D5">
              <w:rPr>
                <w:rFonts w:ascii="Times New Roman" w:eastAsia="SimSun" w:hAnsi="Times New Roman" w:cs="Times New Roman"/>
                <w:b/>
                <w:bCs/>
                <w:color w:val="000000"/>
                <w:lang w:val="pl-PL" w:eastAsia="en-GB"/>
              </w:rPr>
              <w:t>ASR 100</w:t>
            </w:r>
            <w:r w:rsidRPr="007029D5">
              <w:rPr>
                <w:rFonts w:ascii="Times New Roman" w:eastAsia="SimSun" w:hAnsi="Times New Roman" w:cs="Times New Roman"/>
                <w:snapToGrid w:val="0"/>
                <w:color w:val="000000"/>
                <w:szCs w:val="24"/>
                <w:lang w:val="pl-PL" w:eastAsia="en-GB"/>
              </w:rPr>
              <w:t> </w:t>
            </w:r>
            <w:r w:rsidRPr="007029D5">
              <w:rPr>
                <w:rFonts w:ascii="Times New Roman" w:eastAsia="SimSun" w:hAnsi="Times New Roman" w:cs="Times New Roman"/>
                <w:b/>
                <w:bCs/>
                <w:color w:val="000000"/>
                <w:lang w:val="pl-PL" w:eastAsia="en-GB"/>
              </w:rPr>
              <w:t xml:space="preserve">mg VKP </w:t>
            </w:r>
          </w:p>
          <w:p w14:paraId="69A7F1EC"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lang w:val="pl-PL" w:eastAsia="en-GB"/>
              </w:rPr>
            </w:pPr>
            <w:r w:rsidRPr="007029D5">
              <w:rPr>
                <w:rFonts w:ascii="Times New Roman" w:eastAsia="SimSun" w:hAnsi="Times New Roman" w:cs="Times New Roman"/>
                <w:b/>
                <w:bCs/>
                <w:color w:val="000000"/>
                <w:lang w:val="pl-PL" w:eastAsia="en-GB"/>
              </w:rPr>
              <w:t xml:space="preserve">N = 3278 </w:t>
            </w:r>
          </w:p>
          <w:p w14:paraId="6AF8CCAA" w14:textId="77777777" w:rsidR="007029D5" w:rsidRPr="007029D5" w:rsidRDefault="007029D5" w:rsidP="007029D5">
            <w:pPr>
              <w:tabs>
                <w:tab w:val="left" w:pos="567"/>
              </w:tabs>
              <w:spacing w:after="0" w:line="240" w:lineRule="auto"/>
              <w:rPr>
                <w:rFonts w:ascii="Times New Roman" w:eastAsia="Times New Roman" w:hAnsi="Times New Roman" w:cs="Times New Roman"/>
                <w:b/>
                <w:bCs/>
                <w:lang w:eastAsia="lt-LT"/>
              </w:rPr>
            </w:pPr>
          </w:p>
          <w:p w14:paraId="65D07F1B" w14:textId="50C2B0B3"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lang w:eastAsia="lt-LT"/>
              </w:rPr>
              <w:t>n (NA rizikos</w:t>
            </w:r>
            <w:r w:rsidR="00C338A4" w:rsidRPr="007F2054">
              <w:rPr>
                <w:rFonts w:ascii="Times New Roman" w:eastAsia="Times New Roman" w:hAnsi="Times New Roman" w:cs="Times New Roman"/>
                <w:b/>
                <w:bCs/>
                <w:lang w:eastAsia="lt-LT"/>
              </w:rPr>
              <w:t> %</w:t>
            </w:r>
            <w:r w:rsidRPr="007029D5">
              <w:rPr>
                <w:rFonts w:ascii="Times New Roman" w:eastAsia="Times New Roman" w:hAnsi="Times New Roman" w:cs="Times New Roman"/>
                <w:b/>
                <w:bCs/>
                <w:lang w:eastAsia="lt-LT"/>
              </w:rPr>
              <w:t>)</w:t>
            </w:r>
            <w:r w:rsidRPr="007029D5">
              <w:rPr>
                <w:rFonts w:ascii="Times New Roman" w:eastAsia="Times New Roman" w:hAnsi="Times New Roman" w:cs="Times New Roman"/>
                <w:b/>
                <w:bCs/>
                <w:iCs/>
                <w:vertAlign w:val="superscript"/>
                <w:lang w:eastAsia="lt-LT"/>
              </w:rPr>
              <w:t>c)</w:t>
            </w:r>
          </w:p>
        </w:tc>
        <w:tc>
          <w:tcPr>
            <w:tcW w:w="1866" w:type="dxa"/>
            <w:tcBorders>
              <w:top w:val="single" w:sz="5" w:space="0" w:color="000000"/>
              <w:left w:val="single" w:sz="5" w:space="0" w:color="000000"/>
              <w:bottom w:val="single" w:sz="5" w:space="0" w:color="000000"/>
              <w:right w:val="single" w:sz="5" w:space="0" w:color="000000"/>
            </w:tcBorders>
          </w:tcPr>
          <w:p w14:paraId="0AA917A3" w14:textId="5222345A"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sz w:val="24"/>
                <w:lang w:val="en-US" w:eastAsia="en-GB"/>
              </w:rPr>
            </w:pPr>
            <w:proofErr w:type="spellStart"/>
            <w:r w:rsidRPr="007029D5">
              <w:rPr>
                <w:rFonts w:ascii="Times New Roman" w:eastAsia="SimSun" w:hAnsi="Times New Roman" w:cs="Times New Roman"/>
                <w:b/>
                <w:bCs/>
                <w:color w:val="000000"/>
                <w:lang w:val="en-US" w:eastAsia="en-GB"/>
              </w:rPr>
              <w:t>Rizikos</w:t>
            </w:r>
            <w:proofErr w:type="spellEnd"/>
            <w:r w:rsidRPr="007029D5">
              <w:rPr>
                <w:rFonts w:ascii="Times New Roman" w:eastAsia="SimSun" w:hAnsi="Times New Roman" w:cs="Times New Roman"/>
                <w:b/>
                <w:bCs/>
                <w:color w:val="000000"/>
                <w:lang w:val="en-US" w:eastAsia="en-GB"/>
              </w:rPr>
              <w:t xml:space="preserve"> </w:t>
            </w:r>
            <w:proofErr w:type="spellStart"/>
            <w:r w:rsidRPr="007029D5">
              <w:rPr>
                <w:rFonts w:ascii="Times New Roman" w:eastAsia="SimSun" w:hAnsi="Times New Roman" w:cs="Times New Roman"/>
                <w:b/>
                <w:bCs/>
                <w:color w:val="000000"/>
                <w:lang w:val="en-US" w:eastAsia="en-GB"/>
              </w:rPr>
              <w:t>santykis</w:t>
            </w:r>
            <w:proofErr w:type="spellEnd"/>
            <w:r w:rsidRPr="007029D5">
              <w:rPr>
                <w:rFonts w:ascii="Times New Roman" w:eastAsia="SimSun" w:hAnsi="Times New Roman" w:cs="Times New Roman"/>
                <w:b/>
                <w:bCs/>
                <w:color w:val="000000"/>
                <w:lang w:val="en-US" w:eastAsia="en-GB"/>
              </w:rPr>
              <w:t xml:space="preserve"> (95</w:t>
            </w:r>
            <w:r w:rsidR="00C338A4" w:rsidRPr="007F2054">
              <w:rPr>
                <w:rFonts w:ascii="Times New Roman" w:eastAsia="SimSun" w:hAnsi="Times New Roman" w:cs="Times New Roman"/>
                <w:snapToGrid w:val="0"/>
                <w:color w:val="000000"/>
                <w:szCs w:val="24"/>
                <w:lang w:val="en-US" w:eastAsia="en-GB"/>
              </w:rPr>
              <w:t> %</w:t>
            </w:r>
            <w:r w:rsidRPr="007029D5">
              <w:rPr>
                <w:rFonts w:ascii="Times New Roman" w:eastAsia="SimSun" w:hAnsi="Times New Roman" w:cs="Times New Roman"/>
                <w:b/>
                <w:bCs/>
                <w:color w:val="000000"/>
                <w:lang w:val="en-US" w:eastAsia="en-GB"/>
              </w:rPr>
              <w:t xml:space="preserve"> PI) </w:t>
            </w:r>
          </w:p>
          <w:p w14:paraId="13FC801D"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vertAlign w:val="superscript"/>
                <w:lang w:eastAsia="lt-LT"/>
              </w:rPr>
              <w:t>d)</w:t>
            </w:r>
          </w:p>
        </w:tc>
      </w:tr>
      <w:tr w:rsidR="007029D5" w:rsidRPr="007029D5" w14:paraId="70BDF575" w14:textId="77777777" w:rsidTr="004215B0">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16ACBF66"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 xml:space="preserve">Pagrindinė veiksmingumo vertinamoji baigtis </w:t>
            </w:r>
            <w:r w:rsidRPr="007029D5">
              <w:rPr>
                <w:rFonts w:ascii="Times New Roman" w:eastAsia="Times New Roman" w:hAnsi="Times New Roman" w:cs="Times New Roman"/>
                <w:b/>
                <w:bCs/>
                <w:iCs/>
                <w:vertAlign w:val="superscript"/>
                <w:lang w:eastAsia="lt-LT"/>
              </w:rPr>
              <w:t>b)</w:t>
            </w:r>
          </w:p>
        </w:tc>
        <w:tc>
          <w:tcPr>
            <w:tcW w:w="2551" w:type="dxa"/>
            <w:tcBorders>
              <w:top w:val="single" w:sz="5" w:space="0" w:color="000000"/>
              <w:left w:val="single" w:sz="5" w:space="0" w:color="000000"/>
              <w:bottom w:val="single" w:sz="5" w:space="0" w:color="000000"/>
              <w:right w:val="single" w:sz="5" w:space="0" w:color="000000"/>
            </w:tcBorders>
          </w:tcPr>
          <w:p w14:paraId="7C376A04" w14:textId="75D7835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508 (15</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74EB23F8" w14:textId="67D5E4BC"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584 (17</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8</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7BCFDF7F" w14:textId="34EE2BAE"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0</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85 (0</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76;0</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96) p</w:t>
            </w:r>
            <w:r w:rsidR="00600D41">
              <w:rPr>
                <w:rFonts w:ascii="Times New Roman" w:eastAsia="Times New Roman" w:hAnsi="Times New Roman" w:cs="Times New Roman"/>
                <w:b/>
                <w:bCs/>
                <w:iCs/>
                <w:lang w:eastAsia="lt-LT"/>
              </w:rPr>
              <w:t> </w:t>
            </w:r>
            <w:r w:rsidRPr="007029D5">
              <w:rPr>
                <w:rFonts w:ascii="Times New Roman" w:eastAsia="Times New Roman" w:hAnsi="Times New Roman" w:cs="Times New Roman"/>
                <w:b/>
                <w:bCs/>
                <w:iCs/>
                <w:lang w:eastAsia="lt-LT"/>
              </w:rPr>
              <w:t>=</w:t>
            </w:r>
            <w:r w:rsidR="00600D41">
              <w:rPr>
                <w:rFonts w:ascii="Times New Roman" w:eastAsia="Times New Roman" w:hAnsi="Times New Roman" w:cs="Times New Roman"/>
                <w:b/>
                <w:bCs/>
                <w:iCs/>
                <w:lang w:eastAsia="lt-LT"/>
              </w:rPr>
              <w:t> </w:t>
            </w:r>
            <w:r w:rsidRPr="007029D5">
              <w:rPr>
                <w:rFonts w:ascii="Times New Roman" w:eastAsia="Times New Roman" w:hAnsi="Times New Roman" w:cs="Times New Roman"/>
                <w:b/>
                <w:bCs/>
                <w:iCs/>
                <w:lang w:eastAsia="lt-LT"/>
              </w:rPr>
              <w:t>0</w:t>
            </w:r>
            <w:r w:rsidR="00600D41">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lang w:eastAsia="lt-LT"/>
              </w:rPr>
              <w:t>0043</w:t>
            </w:r>
            <w:r w:rsidRPr="007029D5">
              <w:rPr>
                <w:rFonts w:ascii="Times New Roman" w:eastAsia="Times New Roman" w:hAnsi="Times New Roman" w:cs="Times New Roman"/>
                <w:b/>
                <w:bCs/>
                <w:iCs/>
                <w:vertAlign w:val="superscript"/>
                <w:lang w:eastAsia="lt-LT"/>
              </w:rPr>
              <w:t xml:space="preserve"> e)*</w:t>
            </w:r>
          </w:p>
        </w:tc>
      </w:tr>
      <w:tr w:rsidR="007029D5" w:rsidRPr="007029D5" w14:paraId="0F0B2F71" w14:textId="77777777" w:rsidTr="004215B0">
        <w:trPr>
          <w:trHeight w:hRule="exact" w:val="308"/>
        </w:trPr>
        <w:tc>
          <w:tcPr>
            <w:tcW w:w="2836" w:type="dxa"/>
            <w:tcBorders>
              <w:top w:val="single" w:sz="5" w:space="0" w:color="000000"/>
              <w:left w:val="single" w:sz="5" w:space="0" w:color="000000"/>
              <w:bottom w:val="single" w:sz="5" w:space="0" w:color="000000"/>
              <w:right w:val="single" w:sz="5" w:space="0" w:color="000000"/>
            </w:tcBorders>
          </w:tcPr>
          <w:p w14:paraId="427E801E"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MI</w:t>
            </w:r>
          </w:p>
        </w:tc>
        <w:tc>
          <w:tcPr>
            <w:tcW w:w="2551" w:type="dxa"/>
            <w:tcBorders>
              <w:top w:val="single" w:sz="5" w:space="0" w:color="000000"/>
              <w:left w:val="single" w:sz="5" w:space="0" w:color="000000"/>
              <w:bottom w:val="single" w:sz="5" w:space="0" w:color="000000"/>
              <w:right w:val="single" w:sz="5" w:space="0" w:color="000000"/>
            </w:tcBorders>
          </w:tcPr>
          <w:p w14:paraId="0A05C70F" w14:textId="300E8A8D"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131 (4</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1AB23ADB" w14:textId="38E622F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148 (4</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4288A412" w14:textId="721D0CEE"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88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70;1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12)</w:t>
            </w:r>
          </w:p>
        </w:tc>
      </w:tr>
      <w:tr w:rsidR="007029D5" w:rsidRPr="007029D5" w14:paraId="71AB92DE" w14:textId="77777777" w:rsidTr="004215B0">
        <w:trPr>
          <w:trHeight w:hRule="exact" w:val="310"/>
        </w:trPr>
        <w:tc>
          <w:tcPr>
            <w:tcW w:w="2836" w:type="dxa"/>
            <w:tcBorders>
              <w:top w:val="single" w:sz="5" w:space="0" w:color="000000"/>
              <w:left w:val="single" w:sz="5" w:space="0" w:color="000000"/>
              <w:bottom w:val="single" w:sz="5" w:space="0" w:color="000000"/>
              <w:right w:val="single" w:sz="5" w:space="0" w:color="000000"/>
            </w:tcBorders>
          </w:tcPr>
          <w:p w14:paraId="3B27C0EB" w14:textId="5F85EEFC" w:rsidR="007029D5" w:rsidRPr="00600D41" w:rsidRDefault="00600D41" w:rsidP="006C1D08">
            <w:pPr>
              <w:tabs>
                <w:tab w:val="left" w:pos="567"/>
              </w:tabs>
              <w:rPr>
                <w:bCs/>
                <w:iCs/>
                <w:lang w:eastAsia="lt-LT"/>
              </w:rPr>
            </w:pPr>
            <w:r w:rsidRPr="006C1D08">
              <w:rPr>
                <w:rFonts w:ascii="Times New Roman" w:eastAsia="Times New Roman" w:hAnsi="Times New Roman" w:cs="Times New Roman"/>
                <w:bCs/>
                <w:iCs/>
                <w:lang w:eastAsia="lt-LT"/>
              </w:rPr>
              <w:t>-</w:t>
            </w:r>
            <w:r>
              <w:rPr>
                <w:bCs/>
                <w:iCs/>
                <w:lang w:eastAsia="lt-LT"/>
              </w:rPr>
              <w:t xml:space="preserve"> </w:t>
            </w:r>
            <w:r w:rsidR="007029D5" w:rsidRPr="006C1D08">
              <w:rPr>
                <w:rFonts w:ascii="Times New Roman" w:hAnsi="Times New Roman" w:cs="Times New Roman"/>
                <w:bCs/>
                <w:iCs/>
                <w:lang w:eastAsia="lt-LT"/>
              </w:rPr>
              <w:t>Išeminis insultas</w:t>
            </w:r>
            <w:r w:rsidR="007029D5" w:rsidRPr="00600D41">
              <w:rPr>
                <w:bCs/>
                <w:iCs/>
                <w:lang w:eastAsia="lt-LT"/>
              </w:rPr>
              <w:t xml:space="preserve"> </w:t>
            </w:r>
          </w:p>
        </w:tc>
        <w:tc>
          <w:tcPr>
            <w:tcW w:w="2551" w:type="dxa"/>
            <w:tcBorders>
              <w:top w:val="single" w:sz="5" w:space="0" w:color="000000"/>
              <w:left w:val="single" w:sz="5" w:space="0" w:color="000000"/>
              <w:bottom w:val="single" w:sz="5" w:space="0" w:color="000000"/>
              <w:right w:val="single" w:sz="5" w:space="0" w:color="000000"/>
            </w:tcBorders>
          </w:tcPr>
          <w:p w14:paraId="7F20BA0E" w14:textId="302E225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71 (2</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258E9E41" w14:textId="74E974C5"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82 (2</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6B59DE21" w14:textId="134A193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87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63;1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19)</w:t>
            </w:r>
          </w:p>
        </w:tc>
      </w:tr>
      <w:tr w:rsidR="007029D5" w:rsidRPr="007029D5" w14:paraId="6E399849" w14:textId="77777777" w:rsidTr="004215B0">
        <w:trPr>
          <w:trHeight w:hRule="exact" w:val="308"/>
        </w:trPr>
        <w:tc>
          <w:tcPr>
            <w:tcW w:w="2836" w:type="dxa"/>
            <w:tcBorders>
              <w:top w:val="single" w:sz="5" w:space="0" w:color="000000"/>
              <w:left w:val="single" w:sz="5" w:space="0" w:color="000000"/>
              <w:bottom w:val="single" w:sz="5" w:space="0" w:color="000000"/>
              <w:right w:val="single" w:sz="5" w:space="0" w:color="000000"/>
            </w:tcBorders>
          </w:tcPr>
          <w:p w14:paraId="5E2E4AA7"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Mirtis nuo ŠKL</w:t>
            </w:r>
          </w:p>
        </w:tc>
        <w:tc>
          <w:tcPr>
            <w:tcW w:w="2551" w:type="dxa"/>
            <w:tcBorders>
              <w:top w:val="single" w:sz="5" w:space="0" w:color="000000"/>
              <w:left w:val="single" w:sz="5" w:space="0" w:color="000000"/>
              <w:bottom w:val="single" w:sz="5" w:space="0" w:color="000000"/>
              <w:right w:val="single" w:sz="5" w:space="0" w:color="000000"/>
            </w:tcBorders>
          </w:tcPr>
          <w:p w14:paraId="30F2DA30" w14:textId="1CB54AD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199 (6</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6FA91E07" w14:textId="7204CC01"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174 (5</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3</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45F1F465" w14:textId="7970F31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14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93;1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40)</w:t>
            </w:r>
          </w:p>
        </w:tc>
      </w:tr>
      <w:tr w:rsidR="007029D5" w:rsidRPr="007029D5" w14:paraId="431E72F2" w14:textId="77777777" w:rsidTr="004215B0">
        <w:trPr>
          <w:trHeight w:hRule="exact" w:val="310"/>
        </w:trPr>
        <w:tc>
          <w:tcPr>
            <w:tcW w:w="2836" w:type="dxa"/>
            <w:tcBorders>
              <w:top w:val="single" w:sz="5" w:space="0" w:color="000000"/>
              <w:left w:val="single" w:sz="5" w:space="0" w:color="000000"/>
              <w:bottom w:val="single" w:sz="5" w:space="0" w:color="000000"/>
              <w:right w:val="single" w:sz="5" w:space="0" w:color="000000"/>
            </w:tcBorders>
          </w:tcPr>
          <w:p w14:paraId="3294214E"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xml:space="preserve">- Ūminė galūnės išemija </w:t>
            </w:r>
            <w:r w:rsidRPr="007029D5">
              <w:rPr>
                <w:rFonts w:ascii="Times New Roman" w:eastAsia="Times New Roman" w:hAnsi="Times New Roman" w:cs="Times New Roman"/>
                <w:bCs/>
                <w:iCs/>
                <w:vertAlign w:val="superscript"/>
                <w:lang w:eastAsia="lt-LT"/>
              </w:rPr>
              <w:t>f)</w:t>
            </w:r>
          </w:p>
        </w:tc>
        <w:tc>
          <w:tcPr>
            <w:tcW w:w="2551" w:type="dxa"/>
            <w:tcBorders>
              <w:top w:val="single" w:sz="5" w:space="0" w:color="000000"/>
              <w:left w:val="single" w:sz="5" w:space="0" w:color="000000"/>
              <w:bottom w:val="single" w:sz="5" w:space="0" w:color="000000"/>
              <w:right w:val="single" w:sz="5" w:space="0" w:color="000000"/>
            </w:tcBorders>
          </w:tcPr>
          <w:p w14:paraId="77CE7FAE" w14:textId="7D2BD77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155 (4</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480527F4" w14:textId="15F68731"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227 (6</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08DA8B4B" w14:textId="215B67A1"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67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55;0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82)</w:t>
            </w:r>
          </w:p>
        </w:tc>
      </w:tr>
      <w:tr w:rsidR="007029D5" w:rsidRPr="007029D5" w14:paraId="569C8463" w14:textId="77777777" w:rsidTr="004215B0">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022C7852"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Didelė amputacija dėl kraujagyslių sutrikimų</w:t>
            </w:r>
          </w:p>
          <w:p w14:paraId="7F10A36C"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103</w:t>
            </w:r>
          </w:p>
        </w:tc>
        <w:tc>
          <w:tcPr>
            <w:tcW w:w="2551" w:type="dxa"/>
            <w:tcBorders>
              <w:top w:val="single" w:sz="5" w:space="0" w:color="000000"/>
              <w:left w:val="single" w:sz="5" w:space="0" w:color="000000"/>
              <w:bottom w:val="single" w:sz="5" w:space="0" w:color="000000"/>
              <w:right w:val="single" w:sz="5" w:space="0" w:color="000000"/>
            </w:tcBorders>
          </w:tcPr>
          <w:p w14:paraId="3C5A6AEF" w14:textId="4AA33CF1"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103 (3</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73C5379A" w14:textId="7365BEE4"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115 (3</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6FF2F48C" w14:textId="0D5F202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89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68;1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16)</w:t>
            </w:r>
          </w:p>
        </w:tc>
      </w:tr>
      <w:tr w:rsidR="007029D5" w:rsidRPr="007029D5" w14:paraId="1676C37F" w14:textId="77777777" w:rsidTr="004215B0">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4D8FA899"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Antrinė veiksmingumo vertinamoji baigtis</w:t>
            </w:r>
          </w:p>
        </w:tc>
        <w:tc>
          <w:tcPr>
            <w:tcW w:w="2551" w:type="dxa"/>
            <w:tcBorders>
              <w:top w:val="single" w:sz="5" w:space="0" w:color="000000"/>
              <w:left w:val="single" w:sz="5" w:space="0" w:color="000000"/>
              <w:bottom w:val="single" w:sz="5" w:space="0" w:color="000000"/>
              <w:right w:val="single" w:sz="5" w:space="0" w:color="000000"/>
            </w:tcBorders>
          </w:tcPr>
          <w:p w14:paraId="1B43DF3C"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c>
          <w:tcPr>
            <w:tcW w:w="1985" w:type="dxa"/>
            <w:tcBorders>
              <w:top w:val="single" w:sz="5" w:space="0" w:color="000000"/>
              <w:left w:val="single" w:sz="5" w:space="0" w:color="000000"/>
              <w:bottom w:val="single" w:sz="5" w:space="0" w:color="000000"/>
              <w:right w:val="single" w:sz="5" w:space="0" w:color="000000"/>
            </w:tcBorders>
          </w:tcPr>
          <w:p w14:paraId="15D7B89F"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c>
          <w:tcPr>
            <w:tcW w:w="1866" w:type="dxa"/>
            <w:tcBorders>
              <w:top w:val="single" w:sz="5" w:space="0" w:color="000000"/>
              <w:left w:val="single" w:sz="5" w:space="0" w:color="000000"/>
              <w:bottom w:val="single" w:sz="5" w:space="0" w:color="000000"/>
              <w:right w:val="single" w:sz="5" w:space="0" w:color="000000"/>
            </w:tcBorders>
          </w:tcPr>
          <w:p w14:paraId="0FD26B9B"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r>
      <w:tr w:rsidR="007029D5" w:rsidRPr="007029D5" w14:paraId="0FD0BEB1" w14:textId="77777777" w:rsidTr="004215B0">
        <w:trPr>
          <w:trHeight w:hRule="exact" w:val="1095"/>
        </w:trPr>
        <w:tc>
          <w:tcPr>
            <w:tcW w:w="2836" w:type="dxa"/>
            <w:tcBorders>
              <w:top w:val="single" w:sz="5" w:space="0" w:color="000000"/>
              <w:left w:val="single" w:sz="5" w:space="0" w:color="000000"/>
              <w:bottom w:val="single" w:sz="5" w:space="0" w:color="000000"/>
              <w:right w:val="single" w:sz="5" w:space="0" w:color="000000"/>
            </w:tcBorders>
          </w:tcPr>
          <w:p w14:paraId="65369CBA"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xml:space="preserve">Neplanuota atskaitinės galūnės </w:t>
            </w:r>
            <w:proofErr w:type="spellStart"/>
            <w:r w:rsidRPr="007029D5">
              <w:rPr>
                <w:rFonts w:ascii="Times New Roman" w:eastAsia="Times New Roman" w:hAnsi="Times New Roman" w:cs="Times New Roman"/>
                <w:bCs/>
                <w:iCs/>
                <w:lang w:eastAsia="lt-LT"/>
              </w:rPr>
              <w:t>revaskuliarizacija</w:t>
            </w:r>
            <w:proofErr w:type="spellEnd"/>
            <w:r w:rsidRPr="007029D5">
              <w:rPr>
                <w:rFonts w:ascii="Times New Roman" w:eastAsia="Times New Roman" w:hAnsi="Times New Roman" w:cs="Times New Roman"/>
                <w:bCs/>
                <w:iCs/>
                <w:lang w:eastAsia="lt-LT"/>
              </w:rPr>
              <w:t xml:space="preserve"> dėl pasikartojančios galūnės išemijos</w:t>
            </w:r>
          </w:p>
        </w:tc>
        <w:tc>
          <w:tcPr>
            <w:tcW w:w="2551" w:type="dxa"/>
            <w:tcBorders>
              <w:top w:val="single" w:sz="5" w:space="0" w:color="000000"/>
              <w:left w:val="single" w:sz="5" w:space="0" w:color="000000"/>
              <w:bottom w:val="single" w:sz="5" w:space="0" w:color="000000"/>
              <w:right w:val="single" w:sz="5" w:space="0" w:color="000000"/>
            </w:tcBorders>
          </w:tcPr>
          <w:p w14:paraId="7B27713F" w14:textId="1560692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584 (17</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33306A62" w14:textId="2EADFA58"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655 (20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636E0C0A" w14:textId="1A318A75"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88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79;0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99) p</w:t>
            </w:r>
            <w:r w:rsidR="00600D41">
              <w:rPr>
                <w:rFonts w:ascii="Times New Roman" w:eastAsia="Times New Roman" w:hAnsi="Times New Roman" w:cs="Times New Roman"/>
                <w:bCs/>
                <w:iCs/>
                <w:lang w:eastAsia="lt-LT"/>
              </w:rPr>
              <w:t> </w:t>
            </w:r>
            <w:r w:rsidRPr="007029D5">
              <w:rPr>
                <w:rFonts w:ascii="Times New Roman" w:eastAsia="Times New Roman" w:hAnsi="Times New Roman" w:cs="Times New Roman"/>
                <w:bCs/>
                <w:iCs/>
                <w:lang w:eastAsia="lt-LT"/>
              </w:rPr>
              <w:t>=</w:t>
            </w:r>
            <w:r w:rsidR="00600D41">
              <w:rPr>
                <w:rFonts w:ascii="Times New Roman" w:eastAsia="Times New Roman" w:hAnsi="Times New Roman" w:cs="Times New Roman"/>
                <w:bCs/>
                <w:iCs/>
                <w:lang w:eastAsia="lt-LT"/>
              </w:rPr>
              <w:t> </w:t>
            </w: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0140</w:t>
            </w:r>
            <w:r w:rsidRPr="007029D5">
              <w:rPr>
                <w:rFonts w:ascii="Times New Roman" w:eastAsia="Times New Roman" w:hAnsi="Times New Roman" w:cs="Times New Roman"/>
                <w:bCs/>
                <w:iCs/>
                <w:vertAlign w:val="superscript"/>
                <w:lang w:eastAsia="lt-LT"/>
              </w:rPr>
              <w:t xml:space="preserve"> e)*</w:t>
            </w:r>
          </w:p>
        </w:tc>
      </w:tr>
      <w:tr w:rsidR="007029D5" w:rsidRPr="007029D5" w14:paraId="2138F785" w14:textId="77777777" w:rsidTr="004215B0">
        <w:trPr>
          <w:trHeight w:hRule="exact" w:val="1408"/>
        </w:trPr>
        <w:tc>
          <w:tcPr>
            <w:tcW w:w="2836" w:type="dxa"/>
            <w:tcBorders>
              <w:top w:val="single" w:sz="5" w:space="0" w:color="000000"/>
              <w:left w:val="single" w:sz="5" w:space="0" w:color="000000"/>
              <w:bottom w:val="single" w:sz="5" w:space="0" w:color="000000"/>
              <w:right w:val="single" w:sz="5" w:space="0" w:color="000000"/>
            </w:tcBorders>
          </w:tcPr>
          <w:p w14:paraId="563044B9"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roofErr w:type="spellStart"/>
            <w:r w:rsidRPr="007029D5">
              <w:rPr>
                <w:rFonts w:ascii="Times New Roman" w:eastAsia="Times New Roman" w:hAnsi="Times New Roman" w:cs="Times New Roman"/>
                <w:bCs/>
                <w:iCs/>
                <w:lang w:eastAsia="lt-LT"/>
              </w:rPr>
              <w:t>Hospitalizacija</w:t>
            </w:r>
            <w:proofErr w:type="spellEnd"/>
            <w:r w:rsidRPr="007029D5">
              <w:rPr>
                <w:rFonts w:ascii="Times New Roman" w:eastAsia="Times New Roman" w:hAnsi="Times New Roman" w:cs="Times New Roman"/>
                <w:bCs/>
                <w:iCs/>
                <w:lang w:eastAsia="lt-LT"/>
              </w:rPr>
              <w:t xml:space="preserve"> dėl trombinio pobūdžio vainikinių ar periferinių kraujagyslių sutrikimų (bet kurios apatinės galūnės)</w:t>
            </w:r>
          </w:p>
        </w:tc>
        <w:tc>
          <w:tcPr>
            <w:tcW w:w="2551" w:type="dxa"/>
            <w:tcBorders>
              <w:top w:val="single" w:sz="5" w:space="0" w:color="000000"/>
              <w:left w:val="single" w:sz="5" w:space="0" w:color="000000"/>
              <w:bottom w:val="single" w:sz="5" w:space="0" w:color="000000"/>
              <w:right w:val="single" w:sz="5" w:space="0" w:color="000000"/>
            </w:tcBorders>
          </w:tcPr>
          <w:p w14:paraId="14C93E6F" w14:textId="7999743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262 (8</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076CD7E8" w14:textId="0F0CF173"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356 (10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75A39FDE" w14:textId="3C399936"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72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62;0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85) p</w:t>
            </w:r>
            <w:r w:rsidR="00600D41">
              <w:rPr>
                <w:rFonts w:ascii="Times New Roman" w:eastAsia="Times New Roman" w:hAnsi="Times New Roman" w:cs="Times New Roman"/>
                <w:bCs/>
                <w:iCs/>
                <w:lang w:eastAsia="lt-LT"/>
              </w:rPr>
              <w:t> </w:t>
            </w:r>
            <w:r w:rsidRPr="007029D5">
              <w:rPr>
                <w:rFonts w:ascii="Times New Roman" w:eastAsia="Times New Roman" w:hAnsi="Times New Roman" w:cs="Times New Roman"/>
                <w:bCs/>
                <w:iCs/>
                <w:lang w:eastAsia="lt-LT"/>
              </w:rPr>
              <w:t>&lt;</w:t>
            </w:r>
            <w:r w:rsidR="00600D41">
              <w:rPr>
                <w:rFonts w:ascii="Times New Roman" w:eastAsia="Times New Roman" w:hAnsi="Times New Roman" w:cs="Times New Roman"/>
                <w:bCs/>
                <w:iCs/>
                <w:lang w:eastAsia="lt-LT"/>
              </w:rPr>
              <w:t> </w:t>
            </w:r>
            <w:r w:rsidRPr="007029D5">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0001</w:t>
            </w:r>
            <w:r w:rsidRPr="007029D5">
              <w:rPr>
                <w:rFonts w:ascii="Times New Roman" w:eastAsia="Times New Roman" w:hAnsi="Times New Roman" w:cs="Times New Roman"/>
                <w:bCs/>
                <w:iCs/>
                <w:vertAlign w:val="superscript"/>
                <w:lang w:eastAsia="lt-LT"/>
              </w:rPr>
              <w:t xml:space="preserve"> </w:t>
            </w:r>
            <w:r w:rsidRPr="007029D5">
              <w:rPr>
                <w:rFonts w:ascii="Times New Roman" w:eastAsia="Times New Roman" w:hAnsi="Times New Roman" w:cs="Times New Roman"/>
                <w:iCs/>
                <w:vertAlign w:val="superscript"/>
                <w:lang w:eastAsia="lt-LT"/>
              </w:rPr>
              <w:t>e)*</w:t>
            </w:r>
          </w:p>
        </w:tc>
      </w:tr>
      <w:tr w:rsidR="007029D5" w:rsidRPr="007029D5" w14:paraId="10A42F98" w14:textId="77777777" w:rsidTr="004215B0">
        <w:trPr>
          <w:trHeight w:hRule="exact" w:val="719"/>
        </w:trPr>
        <w:tc>
          <w:tcPr>
            <w:tcW w:w="2836" w:type="dxa"/>
            <w:tcBorders>
              <w:top w:val="single" w:sz="5" w:space="0" w:color="000000"/>
              <w:left w:val="single" w:sz="5" w:space="0" w:color="000000"/>
              <w:bottom w:val="single" w:sz="5" w:space="0" w:color="000000"/>
              <w:right w:val="single" w:sz="5" w:space="0" w:color="000000"/>
            </w:tcBorders>
          </w:tcPr>
          <w:p w14:paraId="217C6423"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Mirtis dėl bet kokios priežasties</w:t>
            </w:r>
          </w:p>
        </w:tc>
        <w:tc>
          <w:tcPr>
            <w:tcW w:w="2551" w:type="dxa"/>
            <w:tcBorders>
              <w:top w:val="single" w:sz="5" w:space="0" w:color="000000"/>
              <w:left w:val="single" w:sz="5" w:space="0" w:color="000000"/>
              <w:bottom w:val="single" w:sz="5" w:space="0" w:color="000000"/>
              <w:right w:val="single" w:sz="5" w:space="0" w:color="000000"/>
            </w:tcBorders>
          </w:tcPr>
          <w:p w14:paraId="3C1A5CBF" w14:textId="08B783EA"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321 (9</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5A64D08B" w14:textId="034C4C94"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297 (9</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68A1576F" w14:textId="3505A3AD"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08 (0</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92;1</w:t>
            </w:r>
            <w:r w:rsidR="00600D41">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27)</w:t>
            </w:r>
          </w:p>
        </w:tc>
      </w:tr>
      <w:tr w:rsidR="007029D5" w:rsidRPr="007029D5" w14:paraId="610D7263" w14:textId="77777777" w:rsidTr="004215B0">
        <w:trPr>
          <w:trHeight w:hRule="exact" w:val="319"/>
        </w:trPr>
        <w:tc>
          <w:tcPr>
            <w:tcW w:w="2836" w:type="dxa"/>
            <w:tcBorders>
              <w:top w:val="single" w:sz="5" w:space="0" w:color="000000"/>
              <w:left w:val="single" w:sz="5" w:space="0" w:color="000000"/>
              <w:bottom w:val="single" w:sz="5" w:space="0" w:color="000000"/>
              <w:right w:val="single" w:sz="5" w:space="0" w:color="000000"/>
            </w:tcBorders>
          </w:tcPr>
          <w:p w14:paraId="05C28DC6" w14:textId="77777777" w:rsidR="007029D5" w:rsidRPr="006C1D08" w:rsidRDefault="007029D5" w:rsidP="007029D5">
            <w:pPr>
              <w:tabs>
                <w:tab w:val="left" w:pos="567"/>
              </w:tabs>
              <w:spacing w:after="0" w:line="240" w:lineRule="auto"/>
              <w:ind w:left="142"/>
              <w:rPr>
                <w:rFonts w:ascii="Times New Roman" w:eastAsia="Times New Roman" w:hAnsi="Times New Roman" w:cs="Times New Roman"/>
                <w:bCs/>
                <w:iCs/>
                <w:lang w:eastAsia="lt-LT"/>
              </w:rPr>
            </w:pPr>
            <w:r w:rsidRPr="006C1D08">
              <w:rPr>
                <w:rFonts w:ascii="Times New Roman" w:eastAsia="Times New Roman" w:hAnsi="Times New Roman" w:cs="Times New Roman"/>
                <w:bCs/>
                <w:iCs/>
                <w:lang w:eastAsia="lt-LT"/>
              </w:rPr>
              <w:t>VTE reiškiniai</w:t>
            </w:r>
          </w:p>
        </w:tc>
        <w:tc>
          <w:tcPr>
            <w:tcW w:w="2551" w:type="dxa"/>
            <w:tcBorders>
              <w:top w:val="single" w:sz="5" w:space="0" w:color="000000"/>
              <w:left w:val="single" w:sz="5" w:space="0" w:color="000000"/>
              <w:bottom w:val="single" w:sz="5" w:space="0" w:color="000000"/>
              <w:right w:val="single" w:sz="5" w:space="0" w:color="000000"/>
            </w:tcBorders>
          </w:tcPr>
          <w:p w14:paraId="13C59736" w14:textId="3464F0CD" w:rsidR="007029D5" w:rsidRPr="006C1D08" w:rsidRDefault="007029D5" w:rsidP="007029D5">
            <w:pPr>
              <w:tabs>
                <w:tab w:val="left" w:pos="567"/>
              </w:tabs>
              <w:spacing w:after="0" w:line="240" w:lineRule="auto"/>
              <w:ind w:left="142"/>
              <w:rPr>
                <w:rFonts w:ascii="Times New Roman" w:eastAsia="Times New Roman" w:hAnsi="Times New Roman" w:cs="Times New Roman"/>
                <w:bCs/>
                <w:iCs/>
                <w:lang w:eastAsia="lt-LT"/>
              </w:rPr>
            </w:pPr>
            <w:r w:rsidRPr="006C1D08">
              <w:rPr>
                <w:rFonts w:ascii="Times New Roman" w:eastAsia="Times New Roman" w:hAnsi="Times New Roman" w:cs="Times New Roman"/>
                <w:bCs/>
                <w:iCs/>
                <w:lang w:eastAsia="lt-LT"/>
              </w:rPr>
              <w:t>25 (0</w:t>
            </w:r>
            <w:r w:rsidR="00600D41">
              <w:rPr>
                <w:rFonts w:ascii="Times New Roman" w:eastAsia="Times New Roman" w:hAnsi="Times New Roman" w:cs="Times New Roman"/>
                <w:bCs/>
                <w:iCs/>
                <w:lang w:eastAsia="lt-LT"/>
              </w:rPr>
              <w:t>,</w:t>
            </w:r>
            <w:r w:rsidRPr="006C1D08">
              <w:rPr>
                <w:rFonts w:ascii="Times New Roman" w:eastAsia="Times New Roman" w:hAnsi="Times New Roman" w:cs="Times New Roman"/>
                <w:bCs/>
                <w:iCs/>
                <w:lang w:eastAsia="lt-LT"/>
              </w:rPr>
              <w:t>8%</w:t>
            </w:r>
            <w:r w:rsidRPr="006C1D08">
              <w:rPr>
                <w:rFonts w:ascii="Times New Roman" w:eastAsia="Times New Roman" w:hAnsi="Times New Roman" w:cs="Times New Roman"/>
                <w:snapToGrid w:val="0"/>
                <w:lang w:eastAsia="lt-LT"/>
              </w:rPr>
              <w:t> </w:t>
            </w:r>
            <w:r w:rsidRPr="006C1D08">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1E46A186" w14:textId="1F76B0DB" w:rsidR="007029D5" w:rsidRPr="006C1D08" w:rsidRDefault="007029D5" w:rsidP="007029D5">
            <w:pPr>
              <w:tabs>
                <w:tab w:val="left" w:pos="567"/>
              </w:tabs>
              <w:spacing w:after="0" w:line="240" w:lineRule="auto"/>
              <w:ind w:left="142"/>
              <w:rPr>
                <w:rFonts w:ascii="Times New Roman" w:eastAsia="Times New Roman" w:hAnsi="Times New Roman" w:cs="Times New Roman"/>
                <w:bCs/>
                <w:iCs/>
                <w:lang w:eastAsia="lt-LT"/>
              </w:rPr>
            </w:pPr>
            <w:r w:rsidRPr="006C1D08">
              <w:rPr>
                <w:rFonts w:ascii="Times New Roman" w:eastAsia="Times New Roman" w:hAnsi="Times New Roman" w:cs="Times New Roman"/>
                <w:bCs/>
                <w:iCs/>
                <w:lang w:eastAsia="lt-LT"/>
              </w:rPr>
              <w:t>41 (1</w:t>
            </w:r>
            <w:r w:rsidR="00600D41">
              <w:rPr>
                <w:rFonts w:ascii="Times New Roman" w:eastAsia="Times New Roman" w:hAnsi="Times New Roman" w:cs="Times New Roman"/>
                <w:bCs/>
                <w:iCs/>
                <w:lang w:eastAsia="lt-LT"/>
              </w:rPr>
              <w:t>,</w:t>
            </w:r>
            <w:r w:rsidRPr="006C1D08">
              <w:rPr>
                <w:rFonts w:ascii="Times New Roman" w:eastAsia="Times New Roman" w:hAnsi="Times New Roman" w:cs="Times New Roman"/>
                <w:bCs/>
                <w:iCs/>
                <w:lang w:eastAsia="lt-LT"/>
              </w:rPr>
              <w:t>3</w:t>
            </w:r>
            <w:r w:rsidR="00C338A4" w:rsidRPr="006C1D08">
              <w:rPr>
                <w:rFonts w:ascii="Times New Roman" w:eastAsia="Times New Roman" w:hAnsi="Times New Roman" w:cs="Times New Roman"/>
                <w:snapToGrid w:val="0"/>
                <w:lang w:eastAsia="lt-LT"/>
              </w:rPr>
              <w:t> %</w:t>
            </w:r>
            <w:r w:rsidRPr="006C1D08">
              <w:rPr>
                <w:rFonts w:ascii="Times New Roman" w:eastAsia="Times New Roman" w:hAnsi="Times New Roman" w:cs="Times New Roman"/>
                <w:bCs/>
                <w:iCs/>
                <w:lang w:eastAsia="lt-LT"/>
              </w:rPr>
              <w:t>)</w:t>
            </w:r>
          </w:p>
        </w:tc>
        <w:tc>
          <w:tcPr>
            <w:tcW w:w="1866" w:type="dxa"/>
            <w:tcBorders>
              <w:top w:val="single" w:sz="5" w:space="0" w:color="000000"/>
              <w:left w:val="single" w:sz="5" w:space="0" w:color="000000"/>
              <w:bottom w:val="single" w:sz="5" w:space="0" w:color="000000"/>
              <w:right w:val="single" w:sz="5" w:space="0" w:color="000000"/>
            </w:tcBorders>
          </w:tcPr>
          <w:p w14:paraId="16AF6048" w14:textId="22C887EC" w:rsidR="007029D5" w:rsidRPr="006C1D08" w:rsidRDefault="007029D5" w:rsidP="007029D5">
            <w:pPr>
              <w:tabs>
                <w:tab w:val="left" w:pos="567"/>
              </w:tabs>
              <w:spacing w:after="0" w:line="240" w:lineRule="auto"/>
              <w:ind w:left="142"/>
              <w:rPr>
                <w:rFonts w:ascii="Times New Roman" w:eastAsia="Times New Roman" w:hAnsi="Times New Roman" w:cs="Times New Roman"/>
                <w:bCs/>
                <w:iCs/>
                <w:lang w:eastAsia="lt-LT"/>
              </w:rPr>
            </w:pPr>
            <w:r w:rsidRPr="006C1D08">
              <w:rPr>
                <w:rFonts w:ascii="Times New Roman" w:eastAsia="Times New Roman" w:hAnsi="Times New Roman" w:cs="Times New Roman"/>
                <w:bCs/>
                <w:iCs/>
                <w:lang w:eastAsia="lt-LT"/>
              </w:rPr>
              <w:t>0</w:t>
            </w:r>
            <w:r w:rsidR="00600D41">
              <w:rPr>
                <w:rFonts w:ascii="Times New Roman" w:eastAsia="Times New Roman" w:hAnsi="Times New Roman" w:cs="Times New Roman"/>
                <w:bCs/>
                <w:iCs/>
                <w:lang w:eastAsia="lt-LT"/>
              </w:rPr>
              <w:t>,</w:t>
            </w:r>
            <w:r w:rsidRPr="006C1D08">
              <w:rPr>
                <w:rFonts w:ascii="Times New Roman" w:eastAsia="Times New Roman" w:hAnsi="Times New Roman" w:cs="Times New Roman"/>
                <w:bCs/>
                <w:iCs/>
                <w:lang w:eastAsia="lt-LT"/>
              </w:rPr>
              <w:t>61 (0</w:t>
            </w:r>
            <w:r w:rsidR="00600D41">
              <w:rPr>
                <w:rFonts w:ascii="Times New Roman" w:eastAsia="Times New Roman" w:hAnsi="Times New Roman" w:cs="Times New Roman"/>
                <w:bCs/>
                <w:iCs/>
                <w:lang w:eastAsia="lt-LT"/>
              </w:rPr>
              <w:t>,</w:t>
            </w:r>
            <w:r w:rsidRPr="006C1D08">
              <w:rPr>
                <w:rFonts w:ascii="Times New Roman" w:eastAsia="Times New Roman" w:hAnsi="Times New Roman" w:cs="Times New Roman"/>
                <w:bCs/>
                <w:iCs/>
                <w:lang w:eastAsia="lt-LT"/>
              </w:rPr>
              <w:t>37;1</w:t>
            </w:r>
            <w:r w:rsidR="00600D41">
              <w:rPr>
                <w:rFonts w:ascii="Times New Roman" w:eastAsia="Times New Roman" w:hAnsi="Times New Roman" w:cs="Times New Roman"/>
                <w:bCs/>
                <w:iCs/>
                <w:lang w:eastAsia="lt-LT"/>
              </w:rPr>
              <w:t>,</w:t>
            </w:r>
            <w:r w:rsidRPr="006C1D08">
              <w:rPr>
                <w:rFonts w:ascii="Times New Roman" w:eastAsia="Times New Roman" w:hAnsi="Times New Roman" w:cs="Times New Roman"/>
                <w:bCs/>
                <w:iCs/>
                <w:lang w:eastAsia="lt-LT"/>
              </w:rPr>
              <w:t>00)</w:t>
            </w:r>
          </w:p>
        </w:tc>
      </w:tr>
    </w:tbl>
    <w:p w14:paraId="65B23A39" w14:textId="77777777"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a) Ketinimo gydyti tiriamųjų analizės grupė, pirminės analizės; koreguota NKBVK</w:t>
      </w:r>
    </w:p>
    <w:p w14:paraId="01707CC5" w14:textId="77777777"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b) MI, išeminio insulto, mirties nuo širdies ir kraujagyslių ligų (mirties nuo širdies ir kraujagyslių ligų ir mirties dėl nežinomų priežasčių), ŪGI ir didelės amputacijos dėl kraujagyslių sutrikimų suminis rodiklis</w:t>
      </w:r>
    </w:p>
    <w:p w14:paraId="536F3FCC" w14:textId="77777777"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c) Analizuojant tiriamojo duomenis, skaičiuojamas tik pirmąkart pasireiškęs baigties kriterijų atitinkantis reiškinys</w:t>
      </w:r>
    </w:p>
    <w:p w14:paraId="6DEF51B8" w14:textId="722CF2C1"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d) RS (95</w:t>
      </w:r>
      <w:r w:rsidR="00C338A4" w:rsidRPr="007F2054">
        <w:rPr>
          <w:rFonts w:ascii="Times New Roman" w:eastAsia="Times New Roman" w:hAnsi="Times New Roman" w:cs="Times New Roman"/>
          <w:snapToGrid w:val="0"/>
          <w:sz w:val="20"/>
          <w:szCs w:val="20"/>
          <w:lang w:eastAsia="lt-LT"/>
        </w:rPr>
        <w:t> %</w:t>
      </w:r>
      <w:r w:rsidRPr="007029D5">
        <w:rPr>
          <w:rFonts w:ascii="Times New Roman" w:eastAsia="Times New Roman" w:hAnsi="Times New Roman" w:cs="Times New Roman"/>
          <w:iCs/>
          <w:sz w:val="20"/>
          <w:szCs w:val="20"/>
          <w:lang w:eastAsia="lt-LT"/>
        </w:rPr>
        <w:t xml:space="preserve"> PI) yra pagrįstas </w:t>
      </w:r>
      <w:proofErr w:type="spellStart"/>
      <w:r w:rsidRPr="007029D5">
        <w:rPr>
          <w:rFonts w:ascii="Times New Roman" w:eastAsia="Times New Roman" w:hAnsi="Times New Roman" w:cs="Times New Roman"/>
          <w:iCs/>
          <w:sz w:val="20"/>
          <w:szCs w:val="20"/>
          <w:lang w:eastAsia="lt-LT"/>
        </w:rPr>
        <w:t>Cox</w:t>
      </w:r>
      <w:proofErr w:type="spellEnd"/>
      <w:r w:rsidRPr="007029D5">
        <w:rPr>
          <w:rFonts w:ascii="Times New Roman" w:eastAsia="Times New Roman" w:hAnsi="Times New Roman" w:cs="Times New Roman"/>
          <w:iCs/>
          <w:sz w:val="20"/>
          <w:szCs w:val="20"/>
          <w:lang w:eastAsia="lt-LT"/>
        </w:rPr>
        <w:t xml:space="preserve"> proporcingos rizikos modeliu, </w:t>
      </w:r>
      <w:proofErr w:type="spellStart"/>
      <w:r w:rsidRPr="007029D5">
        <w:rPr>
          <w:rFonts w:ascii="Times New Roman" w:eastAsia="Times New Roman" w:hAnsi="Times New Roman" w:cs="Times New Roman"/>
          <w:iCs/>
          <w:sz w:val="20"/>
          <w:szCs w:val="20"/>
          <w:lang w:eastAsia="lt-LT"/>
        </w:rPr>
        <w:t>stratifikuotu</w:t>
      </w:r>
      <w:proofErr w:type="spellEnd"/>
      <w:r w:rsidRPr="007029D5">
        <w:rPr>
          <w:rFonts w:ascii="Times New Roman" w:eastAsia="Times New Roman" w:hAnsi="Times New Roman" w:cs="Times New Roman"/>
          <w:iCs/>
          <w:sz w:val="20"/>
          <w:szCs w:val="20"/>
          <w:lang w:eastAsia="lt-LT"/>
        </w:rPr>
        <w:t xml:space="preserve"> pagal procedūros tipą ir klopidogrelio vartojimą, gydymą traktuojant kaip vienintelį </w:t>
      </w:r>
      <w:proofErr w:type="spellStart"/>
      <w:r w:rsidRPr="007029D5">
        <w:rPr>
          <w:rFonts w:ascii="Times New Roman" w:eastAsia="Times New Roman" w:hAnsi="Times New Roman" w:cs="Times New Roman"/>
          <w:iCs/>
          <w:sz w:val="20"/>
          <w:szCs w:val="20"/>
          <w:lang w:eastAsia="lt-LT"/>
        </w:rPr>
        <w:t>kovariantą</w:t>
      </w:r>
      <w:proofErr w:type="spellEnd"/>
    </w:p>
    <w:p w14:paraId="111EF8A2" w14:textId="77777777"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 xml:space="preserve">e) Vienpusė p vertė yra pagrįsta </w:t>
      </w:r>
      <w:proofErr w:type="spellStart"/>
      <w:r w:rsidRPr="007029D5">
        <w:rPr>
          <w:rFonts w:ascii="Times New Roman" w:eastAsia="Times New Roman" w:hAnsi="Times New Roman" w:cs="Times New Roman"/>
          <w:iCs/>
          <w:sz w:val="20"/>
          <w:szCs w:val="20"/>
          <w:lang w:eastAsia="lt-LT"/>
        </w:rPr>
        <w:t>Log-Rank</w:t>
      </w:r>
      <w:proofErr w:type="spellEnd"/>
      <w:r w:rsidRPr="007029D5">
        <w:rPr>
          <w:rFonts w:ascii="Times New Roman" w:eastAsia="Times New Roman" w:hAnsi="Times New Roman" w:cs="Times New Roman"/>
          <w:iCs/>
          <w:sz w:val="20"/>
          <w:szCs w:val="20"/>
          <w:lang w:eastAsia="lt-LT"/>
        </w:rPr>
        <w:t xml:space="preserve"> testu, </w:t>
      </w:r>
      <w:proofErr w:type="spellStart"/>
      <w:r w:rsidRPr="007029D5">
        <w:rPr>
          <w:rFonts w:ascii="Times New Roman" w:eastAsia="Times New Roman" w:hAnsi="Times New Roman" w:cs="Times New Roman"/>
          <w:iCs/>
          <w:sz w:val="20"/>
          <w:szCs w:val="20"/>
          <w:lang w:eastAsia="lt-LT"/>
        </w:rPr>
        <w:t>stratifikuotu</w:t>
      </w:r>
      <w:proofErr w:type="spellEnd"/>
      <w:r w:rsidRPr="007029D5">
        <w:rPr>
          <w:rFonts w:ascii="Times New Roman" w:eastAsia="Times New Roman" w:hAnsi="Times New Roman" w:cs="Times New Roman"/>
          <w:iCs/>
          <w:sz w:val="20"/>
          <w:szCs w:val="20"/>
          <w:lang w:eastAsia="lt-LT"/>
        </w:rPr>
        <w:t xml:space="preserve"> pagal procedūros tipą ir klopidogrelio vartojimą gydymo metu traktuojant kaip faktorių</w:t>
      </w:r>
    </w:p>
    <w:p w14:paraId="6C350AD5" w14:textId="77777777"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 xml:space="preserve">f) Ūminė galūnės išemija apibūdinama kaip staiga reikšmingai pablogėjusi galūnės </w:t>
      </w:r>
      <w:proofErr w:type="spellStart"/>
      <w:r w:rsidRPr="007029D5">
        <w:rPr>
          <w:rFonts w:ascii="Times New Roman" w:eastAsia="Times New Roman" w:hAnsi="Times New Roman" w:cs="Times New Roman"/>
          <w:iCs/>
          <w:sz w:val="20"/>
          <w:szCs w:val="20"/>
          <w:lang w:eastAsia="lt-LT"/>
        </w:rPr>
        <w:t>perfuzija</w:t>
      </w:r>
      <w:proofErr w:type="spellEnd"/>
      <w:r w:rsidRPr="007029D5">
        <w:rPr>
          <w:rFonts w:ascii="Times New Roman" w:eastAsia="Times New Roman" w:hAnsi="Times New Roman" w:cs="Times New Roman"/>
          <w:iCs/>
          <w:sz w:val="20"/>
          <w:szCs w:val="20"/>
          <w:lang w:eastAsia="lt-LT"/>
        </w:rPr>
        <w:t xml:space="preserve">, kai naujai nustatomas pulso nebuvimas arba būtina terapinė intervencija (t. y. </w:t>
      </w:r>
      <w:proofErr w:type="spellStart"/>
      <w:r w:rsidRPr="007029D5">
        <w:rPr>
          <w:rFonts w:ascii="Times New Roman" w:eastAsia="Times New Roman" w:hAnsi="Times New Roman" w:cs="Times New Roman"/>
          <w:iCs/>
          <w:sz w:val="20"/>
          <w:szCs w:val="20"/>
          <w:lang w:eastAsia="lt-LT"/>
        </w:rPr>
        <w:t>trombolizė</w:t>
      </w:r>
      <w:proofErr w:type="spellEnd"/>
      <w:r w:rsidRPr="007029D5">
        <w:rPr>
          <w:rFonts w:ascii="Times New Roman" w:eastAsia="Times New Roman" w:hAnsi="Times New Roman" w:cs="Times New Roman"/>
          <w:iCs/>
          <w:sz w:val="20"/>
          <w:szCs w:val="20"/>
          <w:lang w:eastAsia="lt-LT"/>
        </w:rPr>
        <w:t xml:space="preserve">, </w:t>
      </w:r>
      <w:proofErr w:type="spellStart"/>
      <w:r w:rsidRPr="007029D5">
        <w:rPr>
          <w:rFonts w:ascii="Times New Roman" w:eastAsia="Times New Roman" w:hAnsi="Times New Roman" w:cs="Times New Roman"/>
          <w:iCs/>
          <w:sz w:val="20"/>
          <w:szCs w:val="20"/>
          <w:lang w:eastAsia="lt-LT"/>
        </w:rPr>
        <w:t>trombektomija</w:t>
      </w:r>
      <w:proofErr w:type="spellEnd"/>
      <w:r w:rsidRPr="007029D5">
        <w:rPr>
          <w:rFonts w:ascii="Times New Roman" w:eastAsia="Times New Roman" w:hAnsi="Times New Roman" w:cs="Times New Roman"/>
          <w:iCs/>
          <w:sz w:val="20"/>
          <w:szCs w:val="20"/>
          <w:lang w:eastAsia="lt-LT"/>
        </w:rPr>
        <w:t xml:space="preserve"> arba skubi </w:t>
      </w:r>
      <w:proofErr w:type="spellStart"/>
      <w:r w:rsidRPr="007029D5">
        <w:rPr>
          <w:rFonts w:ascii="Times New Roman" w:eastAsia="Times New Roman" w:hAnsi="Times New Roman" w:cs="Times New Roman"/>
          <w:iCs/>
          <w:sz w:val="20"/>
          <w:szCs w:val="20"/>
          <w:lang w:eastAsia="lt-LT"/>
        </w:rPr>
        <w:t>revaskuliarizacija</w:t>
      </w:r>
      <w:proofErr w:type="spellEnd"/>
      <w:r w:rsidRPr="007029D5">
        <w:rPr>
          <w:rFonts w:ascii="Times New Roman" w:eastAsia="Times New Roman" w:hAnsi="Times New Roman" w:cs="Times New Roman"/>
          <w:iCs/>
          <w:sz w:val="20"/>
          <w:szCs w:val="20"/>
          <w:lang w:eastAsia="lt-LT"/>
        </w:rPr>
        <w:t xml:space="preserve">), dėl kurių reikalinga </w:t>
      </w:r>
      <w:proofErr w:type="spellStart"/>
      <w:r w:rsidRPr="007029D5">
        <w:rPr>
          <w:rFonts w:ascii="Times New Roman" w:eastAsia="Times New Roman" w:hAnsi="Times New Roman" w:cs="Times New Roman"/>
          <w:iCs/>
          <w:sz w:val="20"/>
          <w:szCs w:val="20"/>
          <w:lang w:eastAsia="lt-LT"/>
        </w:rPr>
        <w:t>hospitalizacija</w:t>
      </w:r>
      <w:proofErr w:type="spellEnd"/>
    </w:p>
    <w:p w14:paraId="2F2A38A9" w14:textId="77777777" w:rsidR="007029D5" w:rsidRPr="007F2054"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 Veiksmingumo baigties sumažėjimas buvo statistiškai pranašesnis</w:t>
      </w:r>
    </w:p>
    <w:p w14:paraId="373297E9" w14:textId="2DC66555" w:rsidR="007029D5" w:rsidRPr="007029D5" w:rsidRDefault="007029D5" w:rsidP="007029D5">
      <w:pPr>
        <w:numPr>
          <w:ilvl w:val="12"/>
          <w:numId w:val="0"/>
        </w:numPr>
        <w:tabs>
          <w:tab w:val="left" w:pos="567"/>
        </w:tabs>
        <w:spacing w:after="0" w:line="240" w:lineRule="auto"/>
        <w:ind w:left="142" w:right="-2"/>
        <w:rPr>
          <w:rFonts w:ascii="Times New Roman" w:eastAsia="Times New Roman" w:hAnsi="Times New Roman" w:cs="Times New Roman"/>
          <w:iCs/>
          <w:sz w:val="20"/>
          <w:szCs w:val="20"/>
          <w:lang w:eastAsia="lt-LT"/>
        </w:rPr>
      </w:pPr>
      <w:r w:rsidRPr="007029D5">
        <w:rPr>
          <w:rFonts w:ascii="Times New Roman" w:eastAsia="Times New Roman" w:hAnsi="Times New Roman" w:cs="Times New Roman"/>
          <w:iCs/>
          <w:sz w:val="20"/>
          <w:szCs w:val="20"/>
          <w:lang w:eastAsia="lt-LT"/>
        </w:rPr>
        <w:t xml:space="preserve">ŪGI: ūminė galūnės išemija; DKP: du kartus per parą; VKP: vieną kartą per parą; PI: </w:t>
      </w:r>
      <w:proofErr w:type="spellStart"/>
      <w:r w:rsidRPr="007029D5">
        <w:rPr>
          <w:rFonts w:ascii="Times New Roman" w:eastAsia="Times New Roman" w:hAnsi="Times New Roman" w:cs="Times New Roman"/>
          <w:iCs/>
          <w:sz w:val="20"/>
          <w:szCs w:val="20"/>
          <w:lang w:eastAsia="lt-LT"/>
        </w:rPr>
        <w:t>pasikliautinasis</w:t>
      </w:r>
      <w:proofErr w:type="spellEnd"/>
      <w:r w:rsidRPr="007029D5">
        <w:rPr>
          <w:rFonts w:ascii="Times New Roman" w:eastAsia="Times New Roman" w:hAnsi="Times New Roman" w:cs="Times New Roman"/>
          <w:iCs/>
          <w:sz w:val="20"/>
          <w:szCs w:val="20"/>
          <w:lang w:eastAsia="lt-LT"/>
        </w:rPr>
        <w:t xml:space="preserve"> intervalas; MI: miokardo infarktas; ŠKL: širdies ir kraujagyslių ligos; NKBVK: Nepriklausomas klinikinių baigčių vertinimo komitetas</w:t>
      </w:r>
    </w:p>
    <w:p w14:paraId="716B733B" w14:textId="01CC6984" w:rsidR="007029D5" w:rsidRPr="007F2054"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p>
    <w:p w14:paraId="6FC56970" w14:textId="77777777" w:rsidR="007029D5" w:rsidRPr="007029D5" w:rsidRDefault="007029D5" w:rsidP="007029D5">
      <w:pPr>
        <w:numPr>
          <w:ilvl w:val="12"/>
          <w:numId w:val="0"/>
        </w:numPr>
        <w:tabs>
          <w:tab w:val="left" w:pos="567"/>
        </w:tabs>
        <w:spacing w:after="0" w:line="240" w:lineRule="auto"/>
        <w:ind w:right="-2"/>
        <w:rPr>
          <w:rFonts w:ascii="Times New Roman" w:eastAsia="Times New Roman" w:hAnsi="Times New Roman" w:cs="Times New Roman"/>
          <w:iCs/>
          <w:lang w:eastAsia="lt-LT"/>
        </w:rPr>
      </w:pPr>
      <w:r w:rsidRPr="007029D5">
        <w:rPr>
          <w:rFonts w:ascii="Times New Roman" w:eastAsia="Times New Roman" w:hAnsi="Times New Roman" w:cs="Times New Roman"/>
          <w:b/>
          <w:bCs/>
          <w:lang w:eastAsia="lt-LT"/>
        </w:rPr>
        <w:t>10 lentelė. III fazės tyrimo VOYAGER PAD saugumo rezultatai</w:t>
      </w:r>
    </w:p>
    <w:tbl>
      <w:tblPr>
        <w:tblW w:w="9072" w:type="dxa"/>
        <w:tblInd w:w="112" w:type="dxa"/>
        <w:tblLayout w:type="fixed"/>
        <w:tblLook w:val="01E0" w:firstRow="1" w:lastRow="1" w:firstColumn="1" w:lastColumn="1" w:noHBand="0" w:noVBand="0"/>
      </w:tblPr>
      <w:tblGrid>
        <w:gridCol w:w="2694"/>
        <w:gridCol w:w="2551"/>
        <w:gridCol w:w="1985"/>
        <w:gridCol w:w="1842"/>
      </w:tblGrid>
      <w:tr w:rsidR="007029D5" w:rsidRPr="007029D5" w14:paraId="1C1BD736" w14:textId="77777777" w:rsidTr="004215B0">
        <w:trPr>
          <w:trHeight w:hRule="exact" w:val="589"/>
        </w:trPr>
        <w:tc>
          <w:tcPr>
            <w:tcW w:w="2694" w:type="dxa"/>
            <w:tcBorders>
              <w:top w:val="single" w:sz="5" w:space="0" w:color="000000"/>
              <w:left w:val="single" w:sz="5" w:space="0" w:color="000000"/>
              <w:bottom w:val="single" w:sz="12" w:space="0" w:color="000000"/>
              <w:right w:val="single" w:sz="5" w:space="0" w:color="000000"/>
            </w:tcBorders>
          </w:tcPr>
          <w:p w14:paraId="6975561E"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lastRenderedPageBreak/>
              <w:t>Tyrimo populiacija</w:t>
            </w:r>
          </w:p>
        </w:tc>
        <w:tc>
          <w:tcPr>
            <w:tcW w:w="6378" w:type="dxa"/>
            <w:gridSpan w:val="3"/>
            <w:tcBorders>
              <w:top w:val="single" w:sz="5" w:space="0" w:color="000000"/>
              <w:left w:val="single" w:sz="5" w:space="0" w:color="000000"/>
              <w:bottom w:val="nil"/>
              <w:right w:val="single" w:sz="5" w:space="0" w:color="000000"/>
            </w:tcBorders>
          </w:tcPr>
          <w:p w14:paraId="55759D2E"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 xml:space="preserve">Pacientai, kuriems dėl simptominės PAL neseniai atlikta apatinės galūnės </w:t>
            </w:r>
            <w:proofErr w:type="spellStart"/>
            <w:r w:rsidRPr="007029D5">
              <w:rPr>
                <w:rFonts w:ascii="Times New Roman" w:eastAsia="Times New Roman" w:hAnsi="Times New Roman" w:cs="Times New Roman"/>
                <w:b/>
                <w:bCs/>
                <w:iCs/>
                <w:lang w:eastAsia="lt-LT"/>
              </w:rPr>
              <w:t>revaskuliarizacijos</w:t>
            </w:r>
            <w:proofErr w:type="spellEnd"/>
            <w:r w:rsidRPr="007029D5">
              <w:rPr>
                <w:rFonts w:ascii="Times New Roman" w:eastAsia="Times New Roman" w:hAnsi="Times New Roman" w:cs="Times New Roman"/>
                <w:b/>
                <w:bCs/>
                <w:iCs/>
                <w:lang w:eastAsia="lt-LT"/>
              </w:rPr>
              <w:t xml:space="preserve"> </w:t>
            </w:r>
            <w:proofErr w:type="spellStart"/>
            <w:r w:rsidRPr="007029D5">
              <w:rPr>
                <w:rFonts w:ascii="Times New Roman" w:eastAsia="Times New Roman" w:hAnsi="Times New Roman" w:cs="Times New Roman"/>
                <w:b/>
                <w:bCs/>
                <w:iCs/>
                <w:lang w:eastAsia="lt-LT"/>
              </w:rPr>
              <w:t>procedūra</w:t>
            </w:r>
            <w:r w:rsidRPr="007029D5">
              <w:rPr>
                <w:rFonts w:ascii="Times New Roman" w:eastAsia="Times New Roman" w:hAnsi="Times New Roman" w:cs="Times New Roman"/>
                <w:b/>
                <w:bCs/>
                <w:iCs/>
                <w:vertAlign w:val="superscript"/>
                <w:lang w:eastAsia="lt-LT"/>
              </w:rPr>
              <w:t>a</w:t>
            </w:r>
            <w:proofErr w:type="spellEnd"/>
            <w:r w:rsidRPr="007029D5">
              <w:rPr>
                <w:rFonts w:ascii="Times New Roman" w:eastAsia="Times New Roman" w:hAnsi="Times New Roman" w:cs="Times New Roman"/>
                <w:b/>
                <w:bCs/>
                <w:iCs/>
                <w:vertAlign w:val="superscript"/>
                <w:lang w:eastAsia="lt-LT"/>
              </w:rPr>
              <w:t>)</w:t>
            </w:r>
          </w:p>
        </w:tc>
      </w:tr>
      <w:tr w:rsidR="007029D5" w:rsidRPr="007029D5" w14:paraId="2AE0BD2E" w14:textId="77777777" w:rsidTr="004215B0">
        <w:trPr>
          <w:trHeight w:hRule="exact" w:val="1303"/>
        </w:trPr>
        <w:tc>
          <w:tcPr>
            <w:tcW w:w="2694" w:type="dxa"/>
            <w:tcBorders>
              <w:top w:val="single" w:sz="12" w:space="0" w:color="000000"/>
              <w:left w:val="single" w:sz="5" w:space="0" w:color="000000"/>
              <w:bottom w:val="single" w:sz="5" w:space="0" w:color="000000"/>
              <w:right w:val="single" w:sz="5" w:space="0" w:color="000000"/>
            </w:tcBorders>
          </w:tcPr>
          <w:p w14:paraId="731C02DD" w14:textId="77777777" w:rsidR="007029D5" w:rsidRPr="007029D5" w:rsidRDefault="007029D5" w:rsidP="007029D5">
            <w:pPr>
              <w:autoSpaceDE w:val="0"/>
              <w:autoSpaceDN w:val="0"/>
              <w:adjustRightInd w:val="0"/>
              <w:spacing w:after="0" w:line="240" w:lineRule="auto"/>
              <w:rPr>
                <w:rFonts w:ascii="Times New Roman" w:eastAsia="SimSun" w:hAnsi="Times New Roman" w:cs="Times New Roman"/>
                <w:color w:val="000000"/>
                <w:sz w:val="24"/>
                <w:lang w:val="en-US" w:eastAsia="en-GB"/>
              </w:rPr>
            </w:pPr>
            <w:proofErr w:type="spellStart"/>
            <w:r w:rsidRPr="007029D5">
              <w:rPr>
                <w:rFonts w:ascii="Times New Roman" w:eastAsia="SimSun" w:hAnsi="Times New Roman" w:cs="Times New Roman"/>
                <w:b/>
                <w:bCs/>
                <w:color w:val="000000"/>
                <w:lang w:val="en-US" w:eastAsia="en-GB"/>
              </w:rPr>
              <w:t>Vaistinių</w:t>
            </w:r>
            <w:proofErr w:type="spellEnd"/>
            <w:r w:rsidRPr="007029D5">
              <w:rPr>
                <w:rFonts w:ascii="Times New Roman" w:eastAsia="SimSun" w:hAnsi="Times New Roman" w:cs="Times New Roman"/>
                <w:b/>
                <w:bCs/>
                <w:color w:val="000000"/>
                <w:lang w:val="en-US" w:eastAsia="en-GB"/>
              </w:rPr>
              <w:t xml:space="preserve"> </w:t>
            </w:r>
            <w:proofErr w:type="spellStart"/>
            <w:r w:rsidRPr="007029D5">
              <w:rPr>
                <w:rFonts w:ascii="Times New Roman" w:eastAsia="SimSun" w:hAnsi="Times New Roman" w:cs="Times New Roman"/>
                <w:b/>
                <w:bCs/>
                <w:color w:val="000000"/>
                <w:lang w:val="en-US" w:eastAsia="en-GB"/>
              </w:rPr>
              <w:t>preparatų</w:t>
            </w:r>
            <w:proofErr w:type="spellEnd"/>
            <w:r w:rsidRPr="007029D5">
              <w:rPr>
                <w:rFonts w:ascii="Times New Roman" w:eastAsia="SimSun" w:hAnsi="Times New Roman" w:cs="Times New Roman"/>
                <w:b/>
                <w:bCs/>
                <w:color w:val="000000"/>
                <w:lang w:val="en-US" w:eastAsia="en-GB"/>
              </w:rPr>
              <w:t xml:space="preserve"> </w:t>
            </w:r>
            <w:proofErr w:type="spellStart"/>
            <w:r w:rsidRPr="007029D5">
              <w:rPr>
                <w:rFonts w:ascii="Times New Roman" w:eastAsia="SimSun" w:hAnsi="Times New Roman" w:cs="Times New Roman"/>
                <w:b/>
                <w:bCs/>
                <w:color w:val="000000"/>
                <w:lang w:val="en-US" w:eastAsia="en-GB"/>
              </w:rPr>
              <w:t>dozavimas</w:t>
            </w:r>
            <w:proofErr w:type="spellEnd"/>
            <w:r w:rsidRPr="007029D5">
              <w:rPr>
                <w:rFonts w:ascii="Times New Roman" w:eastAsia="SimSun" w:hAnsi="Times New Roman" w:cs="Times New Roman"/>
                <w:b/>
                <w:bCs/>
                <w:color w:val="000000"/>
                <w:lang w:val="en-US" w:eastAsia="en-GB"/>
              </w:rPr>
              <w:t xml:space="preserve"> </w:t>
            </w:r>
          </w:p>
          <w:p w14:paraId="14A6C6BC"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c>
          <w:tcPr>
            <w:tcW w:w="2551" w:type="dxa"/>
            <w:tcBorders>
              <w:top w:val="single" w:sz="12" w:space="0" w:color="000000"/>
              <w:left w:val="single" w:sz="5" w:space="0" w:color="000000"/>
              <w:bottom w:val="single" w:sz="5" w:space="0" w:color="000000"/>
              <w:right w:val="single" w:sz="5" w:space="0" w:color="000000"/>
            </w:tcBorders>
          </w:tcPr>
          <w:p w14:paraId="5D22C3E1"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Rivaroksabanas po 2,5</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mg DKP kartu su ASR 100</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mg VKP,</w:t>
            </w:r>
          </w:p>
          <w:p w14:paraId="19C187AD"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N = 3256</w:t>
            </w:r>
          </w:p>
          <w:p w14:paraId="307EB1C5" w14:textId="14F66BAD"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n (NA rizikos</w:t>
            </w:r>
            <w:r w:rsidR="00C338A4" w:rsidRPr="007F2054">
              <w:rPr>
                <w:rFonts w:ascii="Times New Roman" w:eastAsia="Times New Roman" w:hAnsi="Times New Roman" w:cs="Times New Roman"/>
                <w:b/>
                <w:bCs/>
                <w:iCs/>
                <w:lang w:eastAsia="lt-LT"/>
              </w:rPr>
              <w:t> %</w:t>
            </w:r>
            <w:r w:rsidRPr="007029D5">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vertAlign w:val="superscript"/>
                <w:lang w:eastAsia="lt-LT"/>
              </w:rPr>
              <w:t>b)</w:t>
            </w:r>
          </w:p>
        </w:tc>
        <w:tc>
          <w:tcPr>
            <w:tcW w:w="1985" w:type="dxa"/>
            <w:tcBorders>
              <w:top w:val="single" w:sz="12" w:space="0" w:color="000000"/>
              <w:left w:val="single" w:sz="5" w:space="0" w:color="000000"/>
              <w:bottom w:val="single" w:sz="5" w:space="0" w:color="000000"/>
              <w:right w:val="single" w:sz="5" w:space="0" w:color="000000"/>
            </w:tcBorders>
          </w:tcPr>
          <w:p w14:paraId="077695B5"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ASR 100</w:t>
            </w:r>
            <w:r w:rsidRPr="007029D5">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mg VKP</w:t>
            </w:r>
          </w:p>
          <w:p w14:paraId="6B59EAA3"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p>
          <w:p w14:paraId="738B5DA8"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r w:rsidRPr="007029D5">
              <w:rPr>
                <w:rFonts w:ascii="Times New Roman" w:eastAsia="Times New Roman" w:hAnsi="Times New Roman" w:cs="Times New Roman"/>
                <w:b/>
                <w:bCs/>
                <w:iCs/>
                <w:lang w:eastAsia="lt-LT"/>
              </w:rPr>
              <w:t xml:space="preserve">N = 3248 </w:t>
            </w:r>
          </w:p>
          <w:p w14:paraId="4494EC58" w14:textId="6B0148D5"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n (NA rizikos</w:t>
            </w:r>
            <w:r w:rsidR="00C338A4" w:rsidRPr="007F2054">
              <w:rPr>
                <w:rFonts w:ascii="Times New Roman" w:eastAsia="Times New Roman" w:hAnsi="Times New Roman" w:cs="Times New Roman"/>
                <w:b/>
                <w:bCs/>
                <w:iCs/>
                <w:lang w:eastAsia="lt-LT"/>
              </w:rPr>
              <w:t> %</w:t>
            </w:r>
            <w:r w:rsidRPr="007029D5">
              <w:rPr>
                <w:rFonts w:ascii="Times New Roman" w:eastAsia="Times New Roman" w:hAnsi="Times New Roman" w:cs="Times New Roman"/>
                <w:b/>
                <w:bCs/>
                <w:iCs/>
                <w:lang w:eastAsia="lt-LT"/>
              </w:rPr>
              <w:t>)</w:t>
            </w:r>
            <w:r w:rsidRPr="007029D5">
              <w:rPr>
                <w:rFonts w:ascii="Times New Roman" w:eastAsia="Times New Roman" w:hAnsi="Times New Roman" w:cs="Times New Roman"/>
                <w:b/>
                <w:bCs/>
                <w:iCs/>
                <w:vertAlign w:val="superscript"/>
                <w:lang w:eastAsia="lt-LT"/>
              </w:rPr>
              <w:t>b)</w:t>
            </w:r>
          </w:p>
        </w:tc>
        <w:tc>
          <w:tcPr>
            <w:tcW w:w="1842" w:type="dxa"/>
            <w:tcBorders>
              <w:top w:val="single" w:sz="5" w:space="0" w:color="000000"/>
              <w:left w:val="single" w:sz="5" w:space="0" w:color="000000"/>
              <w:bottom w:val="single" w:sz="5" w:space="0" w:color="000000"/>
              <w:right w:val="single" w:sz="5" w:space="0" w:color="000000"/>
            </w:tcBorders>
          </w:tcPr>
          <w:p w14:paraId="203BBE9E" w14:textId="4F94DA16"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Rizikos santykis (95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
                <w:bCs/>
                <w:iCs/>
                <w:lang w:eastAsia="lt-LT"/>
              </w:rPr>
              <w:t xml:space="preserve"> PI) </w:t>
            </w:r>
            <w:r w:rsidRPr="007029D5">
              <w:rPr>
                <w:rFonts w:ascii="Times New Roman" w:eastAsia="Times New Roman" w:hAnsi="Times New Roman" w:cs="Times New Roman"/>
                <w:b/>
                <w:bCs/>
                <w:iCs/>
                <w:vertAlign w:val="superscript"/>
                <w:lang w:eastAsia="lt-LT"/>
              </w:rPr>
              <w:t>c)</w:t>
            </w:r>
          </w:p>
          <w:p w14:paraId="2F0C744A" w14:textId="77777777" w:rsidR="007029D5" w:rsidRPr="007029D5" w:rsidRDefault="007029D5" w:rsidP="007029D5">
            <w:pPr>
              <w:tabs>
                <w:tab w:val="left" w:pos="567"/>
              </w:tabs>
              <w:spacing w:after="0" w:line="240" w:lineRule="auto"/>
              <w:rPr>
                <w:rFonts w:ascii="Times New Roman" w:eastAsia="Times New Roman" w:hAnsi="Times New Roman" w:cs="Times New Roman"/>
                <w:b/>
                <w:bCs/>
                <w:iCs/>
                <w:lang w:eastAsia="lt-LT"/>
              </w:rPr>
            </w:pPr>
          </w:p>
          <w:p w14:paraId="0BD5F9E7"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
                <w:bCs/>
                <w:iCs/>
                <w:lang w:eastAsia="lt-LT"/>
              </w:rPr>
              <w:t>p-vertė</w:t>
            </w:r>
            <w:r w:rsidRPr="007029D5">
              <w:rPr>
                <w:rFonts w:ascii="Times New Roman" w:eastAsia="Times New Roman" w:hAnsi="Times New Roman" w:cs="Times New Roman"/>
                <w:b/>
                <w:bCs/>
                <w:iCs/>
                <w:vertAlign w:val="superscript"/>
                <w:lang w:eastAsia="lt-LT"/>
              </w:rPr>
              <w:t xml:space="preserve"> d)</w:t>
            </w:r>
          </w:p>
        </w:tc>
      </w:tr>
      <w:tr w:rsidR="007029D5" w:rsidRPr="007029D5" w14:paraId="7C24433D" w14:textId="77777777" w:rsidTr="004215B0">
        <w:trPr>
          <w:trHeight w:hRule="exact" w:val="562"/>
        </w:trPr>
        <w:tc>
          <w:tcPr>
            <w:tcW w:w="2694" w:type="dxa"/>
            <w:tcBorders>
              <w:top w:val="single" w:sz="5" w:space="0" w:color="000000"/>
              <w:left w:val="single" w:sz="5" w:space="0" w:color="000000"/>
              <w:bottom w:val="single" w:sz="5" w:space="0" w:color="000000"/>
              <w:right w:val="single" w:sz="5" w:space="0" w:color="000000"/>
            </w:tcBorders>
          </w:tcPr>
          <w:p w14:paraId="0AC65246"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TIMI didysis kraujavimas</w:t>
            </w:r>
          </w:p>
          <w:p w14:paraId="754F029F"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(CABG / ne CABG)</w:t>
            </w:r>
          </w:p>
        </w:tc>
        <w:tc>
          <w:tcPr>
            <w:tcW w:w="2551" w:type="dxa"/>
            <w:tcBorders>
              <w:top w:val="single" w:sz="5" w:space="0" w:color="000000"/>
              <w:left w:val="single" w:sz="5" w:space="0" w:color="000000"/>
              <w:bottom w:val="single" w:sz="5" w:space="0" w:color="000000"/>
              <w:right w:val="single" w:sz="5" w:space="0" w:color="000000"/>
            </w:tcBorders>
          </w:tcPr>
          <w:p w14:paraId="73247AA1" w14:textId="5B708286"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62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59816FD8" w14:textId="36B1FA56"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44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55AC86F6" w14:textId="2132FE20"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43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97; 2</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10)</w:t>
            </w:r>
          </w:p>
          <w:p w14:paraId="56C26EDF"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p = 0.0695</w:t>
            </w:r>
          </w:p>
        </w:tc>
      </w:tr>
      <w:tr w:rsidR="007029D5" w:rsidRPr="007029D5" w14:paraId="73A62E7E" w14:textId="77777777" w:rsidTr="004215B0">
        <w:trPr>
          <w:trHeight w:hRule="exact" w:val="310"/>
        </w:trPr>
        <w:tc>
          <w:tcPr>
            <w:tcW w:w="2694" w:type="dxa"/>
            <w:tcBorders>
              <w:top w:val="single" w:sz="5" w:space="0" w:color="000000"/>
              <w:left w:val="single" w:sz="5" w:space="0" w:color="000000"/>
              <w:bottom w:val="single" w:sz="5" w:space="0" w:color="000000"/>
              <w:right w:val="single" w:sz="5" w:space="0" w:color="000000"/>
            </w:tcBorders>
          </w:tcPr>
          <w:p w14:paraId="16348063"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Mirtinas kraujavimas</w:t>
            </w:r>
          </w:p>
        </w:tc>
        <w:tc>
          <w:tcPr>
            <w:tcW w:w="2551" w:type="dxa"/>
            <w:tcBorders>
              <w:top w:val="single" w:sz="5" w:space="0" w:color="000000"/>
              <w:left w:val="single" w:sz="5" w:space="0" w:color="000000"/>
              <w:bottom w:val="single" w:sz="5" w:space="0" w:color="000000"/>
              <w:right w:val="single" w:sz="5" w:space="0" w:color="000000"/>
            </w:tcBorders>
          </w:tcPr>
          <w:p w14:paraId="772E07F0" w14:textId="232B85C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6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3BF3884F" w14:textId="4407661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6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08C11DF0" w14:textId="7EA8FEA3"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02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33; 3</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15)</w:t>
            </w:r>
          </w:p>
        </w:tc>
      </w:tr>
      <w:tr w:rsidR="007029D5" w:rsidRPr="007029D5" w14:paraId="4372E90C" w14:textId="77777777" w:rsidTr="004215B0">
        <w:trPr>
          <w:trHeight w:hRule="exact" w:val="601"/>
        </w:trPr>
        <w:tc>
          <w:tcPr>
            <w:tcW w:w="2694" w:type="dxa"/>
            <w:tcBorders>
              <w:top w:val="single" w:sz="5" w:space="0" w:color="000000"/>
              <w:left w:val="single" w:sz="5" w:space="0" w:color="000000"/>
              <w:bottom w:val="single" w:sz="5" w:space="0" w:color="000000"/>
              <w:right w:val="single" w:sz="5" w:space="0" w:color="000000"/>
            </w:tcBorders>
          </w:tcPr>
          <w:p w14:paraId="49527B5A"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Intrakranijinis kraujavimas</w:t>
            </w:r>
          </w:p>
        </w:tc>
        <w:tc>
          <w:tcPr>
            <w:tcW w:w="2551" w:type="dxa"/>
            <w:tcBorders>
              <w:top w:val="single" w:sz="5" w:space="0" w:color="000000"/>
              <w:left w:val="single" w:sz="5" w:space="0" w:color="000000"/>
              <w:bottom w:val="single" w:sz="5" w:space="0" w:color="000000"/>
              <w:right w:val="single" w:sz="5" w:space="0" w:color="000000"/>
            </w:tcBorders>
          </w:tcPr>
          <w:p w14:paraId="7C5314F7" w14:textId="6ECDFD2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13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1A584FCE" w14:textId="29EBE96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17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5</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48FA3FEB" w14:textId="77CFC8B0"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78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38;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61)</w:t>
            </w:r>
          </w:p>
        </w:tc>
      </w:tr>
      <w:tr w:rsidR="007029D5" w:rsidRPr="007029D5" w14:paraId="6D72EA81" w14:textId="77777777" w:rsidTr="004215B0">
        <w:trPr>
          <w:trHeight w:hRule="exact" w:val="1290"/>
        </w:trPr>
        <w:tc>
          <w:tcPr>
            <w:tcW w:w="2694" w:type="dxa"/>
            <w:tcBorders>
              <w:top w:val="single" w:sz="5" w:space="0" w:color="000000"/>
              <w:left w:val="single" w:sz="5" w:space="0" w:color="000000"/>
              <w:bottom w:val="single" w:sz="5" w:space="0" w:color="000000"/>
              <w:right w:val="single" w:sz="5" w:space="0" w:color="000000"/>
            </w:tcBorders>
          </w:tcPr>
          <w:p w14:paraId="2A63408F" w14:textId="768B3888"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xml:space="preserve">- Atviras kraujavimas, susijęs su staigiai sumažėjusiu hemoglobinu ≥ 5g/dl / </w:t>
            </w:r>
            <w:proofErr w:type="spellStart"/>
            <w:r w:rsidRPr="007029D5">
              <w:rPr>
                <w:rFonts w:ascii="Times New Roman" w:eastAsia="Times New Roman" w:hAnsi="Times New Roman" w:cs="Times New Roman"/>
                <w:bCs/>
                <w:iCs/>
                <w:lang w:eastAsia="lt-LT"/>
              </w:rPr>
              <w:t>hematokritu</w:t>
            </w:r>
            <w:proofErr w:type="spellEnd"/>
            <w:r w:rsidRPr="007029D5">
              <w:rPr>
                <w:rFonts w:ascii="Times New Roman" w:eastAsia="Times New Roman" w:hAnsi="Times New Roman" w:cs="Times New Roman"/>
                <w:bCs/>
                <w:iCs/>
                <w:lang w:eastAsia="lt-LT"/>
              </w:rPr>
              <w:t xml:space="preserve"> ≥ 15</w:t>
            </w:r>
            <w:r w:rsidR="00C338A4" w:rsidRPr="007F2054">
              <w:rPr>
                <w:rFonts w:ascii="Times New Roman" w:eastAsia="Times New Roman" w:hAnsi="Times New Roman" w:cs="Times New Roman"/>
                <w:bCs/>
                <w:iCs/>
                <w:lang w:eastAsia="lt-LT"/>
              </w:rPr>
              <w:t> %</w:t>
            </w:r>
          </w:p>
          <w:p w14:paraId="3CB08790"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p>
        </w:tc>
        <w:tc>
          <w:tcPr>
            <w:tcW w:w="2551" w:type="dxa"/>
            <w:tcBorders>
              <w:top w:val="single" w:sz="5" w:space="0" w:color="000000"/>
              <w:left w:val="single" w:sz="5" w:space="0" w:color="000000"/>
              <w:bottom w:val="single" w:sz="5" w:space="0" w:color="000000"/>
              <w:right w:val="single" w:sz="5" w:space="0" w:color="000000"/>
            </w:tcBorders>
          </w:tcPr>
          <w:p w14:paraId="5B4D8271" w14:textId="0B66090C"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46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47920ECE" w14:textId="159FB0D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24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494EC1F0" w14:textId="09BAA8C2"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94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18; 3</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17)</w:t>
            </w:r>
          </w:p>
        </w:tc>
      </w:tr>
      <w:tr w:rsidR="007029D5" w:rsidRPr="007029D5" w14:paraId="6C32D73D" w14:textId="77777777" w:rsidTr="004215B0">
        <w:trPr>
          <w:trHeight w:hRule="exact" w:val="572"/>
        </w:trPr>
        <w:tc>
          <w:tcPr>
            <w:tcW w:w="2694" w:type="dxa"/>
            <w:tcBorders>
              <w:top w:val="single" w:sz="5" w:space="0" w:color="000000"/>
              <w:left w:val="single" w:sz="5" w:space="0" w:color="000000"/>
              <w:bottom w:val="single" w:sz="5" w:space="0" w:color="000000"/>
              <w:right w:val="single" w:sz="5" w:space="0" w:color="000000"/>
            </w:tcBorders>
          </w:tcPr>
          <w:p w14:paraId="6C9B3A4A"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
                <w:lang w:eastAsia="lt-LT"/>
              </w:rPr>
              <w:t>ISTH</w:t>
            </w:r>
            <w:r w:rsidRPr="007029D5">
              <w:rPr>
                <w:rFonts w:ascii="Times New Roman" w:eastAsia="Times New Roman" w:hAnsi="Times New Roman" w:cs="Times New Roman"/>
                <w:bCs/>
                <w:iCs/>
                <w:lang w:eastAsia="lt-LT"/>
              </w:rPr>
              <w:t xml:space="preserve"> didysis kraujavimas</w:t>
            </w:r>
          </w:p>
        </w:tc>
        <w:tc>
          <w:tcPr>
            <w:tcW w:w="2551" w:type="dxa"/>
            <w:tcBorders>
              <w:top w:val="single" w:sz="5" w:space="0" w:color="000000"/>
              <w:left w:val="single" w:sz="5" w:space="0" w:color="000000"/>
              <w:bottom w:val="single" w:sz="5" w:space="0" w:color="000000"/>
              <w:right w:val="single" w:sz="5" w:space="0" w:color="000000"/>
            </w:tcBorders>
          </w:tcPr>
          <w:p w14:paraId="1A182A96" w14:textId="3AD73E1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140 (4</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3</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2C268027" w14:textId="66C3AB59"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100 (3</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5C0F32D4" w14:textId="6C4EA3B4"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42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10;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84)</w:t>
            </w:r>
          </w:p>
          <w:p w14:paraId="4E1DE6FA" w14:textId="1A586420"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p =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0068</w:t>
            </w:r>
          </w:p>
        </w:tc>
      </w:tr>
      <w:tr w:rsidR="007029D5" w:rsidRPr="007029D5" w14:paraId="15DD0DD2" w14:textId="77777777" w:rsidTr="004215B0">
        <w:trPr>
          <w:trHeight w:hRule="exact" w:val="319"/>
        </w:trPr>
        <w:tc>
          <w:tcPr>
            <w:tcW w:w="2694" w:type="dxa"/>
            <w:tcBorders>
              <w:top w:val="single" w:sz="5" w:space="0" w:color="000000"/>
              <w:left w:val="single" w:sz="5" w:space="0" w:color="000000"/>
              <w:bottom w:val="single" w:sz="5" w:space="0" w:color="000000"/>
              <w:right w:val="single" w:sz="5" w:space="0" w:color="000000"/>
            </w:tcBorders>
          </w:tcPr>
          <w:p w14:paraId="757837DE"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Mirtinas kraujavimas</w:t>
            </w:r>
          </w:p>
        </w:tc>
        <w:tc>
          <w:tcPr>
            <w:tcW w:w="2551" w:type="dxa"/>
            <w:tcBorders>
              <w:top w:val="single" w:sz="5" w:space="0" w:color="000000"/>
              <w:left w:val="single" w:sz="5" w:space="0" w:color="000000"/>
              <w:bottom w:val="single" w:sz="5" w:space="0" w:color="000000"/>
              <w:right w:val="single" w:sz="5" w:space="0" w:color="000000"/>
            </w:tcBorders>
          </w:tcPr>
          <w:p w14:paraId="20043177" w14:textId="1479AFEA"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6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5BEA78C5" w14:textId="0C468D9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8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4D2815E7" w14:textId="1A96CED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76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26; 2</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19)</w:t>
            </w:r>
          </w:p>
        </w:tc>
      </w:tr>
      <w:tr w:rsidR="007029D5" w:rsidRPr="007029D5" w14:paraId="44C43044" w14:textId="77777777" w:rsidTr="004215B0">
        <w:trPr>
          <w:trHeight w:hRule="exact" w:val="571"/>
        </w:trPr>
        <w:tc>
          <w:tcPr>
            <w:tcW w:w="2694" w:type="dxa"/>
            <w:tcBorders>
              <w:top w:val="single" w:sz="5" w:space="0" w:color="000000"/>
              <w:left w:val="single" w:sz="5" w:space="0" w:color="000000"/>
              <w:bottom w:val="single" w:sz="5" w:space="0" w:color="000000"/>
              <w:right w:val="single" w:sz="5" w:space="0" w:color="000000"/>
            </w:tcBorders>
          </w:tcPr>
          <w:p w14:paraId="5C67EF07"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Ne mirtinas kritinių organų kraujavimas</w:t>
            </w:r>
          </w:p>
        </w:tc>
        <w:tc>
          <w:tcPr>
            <w:tcW w:w="2551" w:type="dxa"/>
            <w:tcBorders>
              <w:top w:val="single" w:sz="5" w:space="0" w:color="000000"/>
              <w:left w:val="single" w:sz="5" w:space="0" w:color="000000"/>
              <w:bottom w:val="single" w:sz="5" w:space="0" w:color="000000"/>
              <w:right w:val="single" w:sz="5" w:space="0" w:color="000000"/>
            </w:tcBorders>
          </w:tcPr>
          <w:p w14:paraId="1A49D329" w14:textId="4F24FE5E"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29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1D3689CA" w14:textId="6979F768"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26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5050BF35" w14:textId="3CE624AB"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14 (0</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67;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93)</w:t>
            </w:r>
          </w:p>
        </w:tc>
      </w:tr>
      <w:tr w:rsidR="007029D5" w:rsidRPr="007029D5" w14:paraId="38B9D583" w14:textId="77777777" w:rsidTr="004215B0">
        <w:trPr>
          <w:trHeight w:hRule="exact" w:val="947"/>
        </w:trPr>
        <w:tc>
          <w:tcPr>
            <w:tcW w:w="2694" w:type="dxa"/>
            <w:tcBorders>
              <w:top w:val="single" w:sz="5" w:space="0" w:color="000000"/>
              <w:left w:val="single" w:sz="5" w:space="0" w:color="000000"/>
              <w:bottom w:val="single" w:sz="5" w:space="0" w:color="000000"/>
              <w:right w:val="single" w:sz="5" w:space="0" w:color="000000"/>
            </w:tcBorders>
          </w:tcPr>
          <w:p w14:paraId="357C7CA4" w14:textId="7777777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 xml:space="preserve">Pagal </w:t>
            </w:r>
            <w:r w:rsidRPr="007029D5">
              <w:rPr>
                <w:rFonts w:ascii="Times New Roman" w:eastAsia="Times New Roman" w:hAnsi="Times New Roman" w:cs="Times New Roman"/>
                <w:bCs/>
                <w:i/>
                <w:lang w:eastAsia="lt-LT"/>
              </w:rPr>
              <w:t>ISTH</w:t>
            </w:r>
            <w:r w:rsidRPr="007029D5">
              <w:rPr>
                <w:rFonts w:ascii="Times New Roman" w:eastAsia="Times New Roman" w:hAnsi="Times New Roman" w:cs="Times New Roman"/>
                <w:bCs/>
                <w:iCs/>
                <w:lang w:eastAsia="lt-LT"/>
              </w:rPr>
              <w:t xml:space="preserve"> kliniškai reikšmingas ne didysis kraujavimas</w:t>
            </w:r>
          </w:p>
        </w:tc>
        <w:tc>
          <w:tcPr>
            <w:tcW w:w="2551" w:type="dxa"/>
            <w:tcBorders>
              <w:top w:val="single" w:sz="5" w:space="0" w:color="000000"/>
              <w:left w:val="single" w:sz="5" w:space="0" w:color="000000"/>
              <w:bottom w:val="single" w:sz="5" w:space="0" w:color="000000"/>
              <w:right w:val="single" w:sz="5" w:space="0" w:color="000000"/>
            </w:tcBorders>
          </w:tcPr>
          <w:p w14:paraId="03C6748D" w14:textId="560A79A7"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246 (7</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6</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985" w:type="dxa"/>
            <w:tcBorders>
              <w:top w:val="single" w:sz="5" w:space="0" w:color="000000"/>
              <w:left w:val="single" w:sz="5" w:space="0" w:color="000000"/>
              <w:bottom w:val="single" w:sz="5" w:space="0" w:color="000000"/>
              <w:right w:val="single" w:sz="5" w:space="0" w:color="000000"/>
            </w:tcBorders>
          </w:tcPr>
          <w:p w14:paraId="6F71F7F2" w14:textId="2777307D"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139 (4</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3</w:t>
            </w:r>
            <w:r w:rsidR="00C338A4" w:rsidRPr="007F2054">
              <w:rPr>
                <w:rFonts w:ascii="Times New Roman" w:eastAsia="Times New Roman" w:hAnsi="Times New Roman" w:cs="Times New Roman"/>
                <w:snapToGrid w:val="0"/>
                <w:szCs w:val="20"/>
                <w:lang w:eastAsia="lt-LT"/>
              </w:rPr>
              <w:t> %</w:t>
            </w:r>
            <w:r w:rsidRPr="007029D5">
              <w:rPr>
                <w:rFonts w:ascii="Times New Roman" w:eastAsia="Times New Roman" w:hAnsi="Times New Roman" w:cs="Times New Roman"/>
                <w:bCs/>
                <w:iCs/>
                <w:lang w:eastAsia="lt-LT"/>
              </w:rPr>
              <w:t>)</w:t>
            </w:r>
          </w:p>
        </w:tc>
        <w:tc>
          <w:tcPr>
            <w:tcW w:w="1842" w:type="dxa"/>
            <w:tcBorders>
              <w:top w:val="single" w:sz="5" w:space="0" w:color="000000"/>
              <w:left w:val="single" w:sz="5" w:space="0" w:color="000000"/>
              <w:bottom w:val="single" w:sz="5" w:space="0" w:color="000000"/>
              <w:right w:val="single" w:sz="5" w:space="0" w:color="000000"/>
            </w:tcBorders>
          </w:tcPr>
          <w:p w14:paraId="0241FDFF" w14:textId="27DB2FBF" w:rsidR="007029D5" w:rsidRPr="007029D5" w:rsidRDefault="007029D5" w:rsidP="007029D5">
            <w:pPr>
              <w:tabs>
                <w:tab w:val="left" w:pos="567"/>
              </w:tabs>
              <w:spacing w:after="0" w:line="240" w:lineRule="auto"/>
              <w:rPr>
                <w:rFonts w:ascii="Times New Roman" w:eastAsia="Times New Roman" w:hAnsi="Times New Roman" w:cs="Times New Roman"/>
                <w:bCs/>
                <w:iCs/>
                <w:lang w:eastAsia="lt-LT"/>
              </w:rPr>
            </w:pPr>
            <w:r w:rsidRPr="007029D5">
              <w:rPr>
                <w:rFonts w:ascii="Times New Roman" w:eastAsia="Times New Roman" w:hAnsi="Times New Roman" w:cs="Times New Roman"/>
                <w:bCs/>
                <w:iCs/>
                <w:lang w:eastAsia="lt-LT"/>
              </w:rPr>
              <w:t>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81 (1</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47; 2</w:t>
            </w:r>
            <w:r w:rsidRPr="007F2054">
              <w:rPr>
                <w:rFonts w:ascii="Times New Roman" w:eastAsia="Times New Roman" w:hAnsi="Times New Roman" w:cs="Times New Roman"/>
                <w:bCs/>
                <w:iCs/>
                <w:lang w:eastAsia="lt-LT"/>
              </w:rPr>
              <w:t>,</w:t>
            </w:r>
            <w:r w:rsidRPr="007029D5">
              <w:rPr>
                <w:rFonts w:ascii="Times New Roman" w:eastAsia="Times New Roman" w:hAnsi="Times New Roman" w:cs="Times New Roman"/>
                <w:bCs/>
                <w:iCs/>
                <w:lang w:eastAsia="lt-LT"/>
              </w:rPr>
              <w:t>23)</w:t>
            </w:r>
          </w:p>
        </w:tc>
      </w:tr>
    </w:tbl>
    <w:p w14:paraId="31E92124" w14:textId="74AD67CF" w:rsidR="00BC76CE" w:rsidRPr="007F2054" w:rsidRDefault="00BC76CE" w:rsidP="007029D5">
      <w:pPr>
        <w:autoSpaceDE w:val="0"/>
        <w:autoSpaceDN w:val="0"/>
        <w:adjustRightInd w:val="0"/>
        <w:spacing w:after="0" w:line="240" w:lineRule="auto"/>
        <w:ind w:left="142"/>
        <w:rPr>
          <w:rFonts w:ascii="Times New Roman" w:eastAsia="Times New Roman" w:hAnsi="Times New Roman" w:cs="Times New Roman"/>
          <w:color w:val="000000"/>
          <w:sz w:val="20"/>
          <w:szCs w:val="20"/>
          <w:lang w:eastAsia="lt-LT"/>
        </w:rPr>
      </w:pPr>
      <w:r w:rsidRPr="007F2054">
        <w:rPr>
          <w:rFonts w:ascii="Times New Roman" w:eastAsia="Times New Roman" w:hAnsi="Times New Roman" w:cs="Times New Roman"/>
          <w:color w:val="000000"/>
          <w:sz w:val="20"/>
          <w:szCs w:val="20"/>
          <w:lang w:eastAsia="lt-LT"/>
        </w:rPr>
        <w:t xml:space="preserve">a) Saugumo analizės grupė (visi tiriamieji, kurie buvo atrinkti atsitiktinių imčių būdu ir suvartojo bent vieną tiriamųjų vaistinių preparatų dozę), NKBVK: nepriklausomas klinikinių baigčių vertinimo komitetas </w:t>
      </w:r>
    </w:p>
    <w:p w14:paraId="3E9EB4F7" w14:textId="5230B6FE" w:rsidR="00BC76CE" w:rsidRPr="00BC76CE" w:rsidRDefault="00BC76CE" w:rsidP="007029D5">
      <w:pPr>
        <w:autoSpaceDE w:val="0"/>
        <w:autoSpaceDN w:val="0"/>
        <w:adjustRightInd w:val="0"/>
        <w:spacing w:after="0" w:line="240" w:lineRule="auto"/>
        <w:ind w:left="142"/>
        <w:rPr>
          <w:rFonts w:ascii="Times New Roman" w:eastAsia="Times New Roman" w:hAnsi="Times New Roman" w:cs="Times New Roman"/>
          <w:color w:val="000000"/>
          <w:sz w:val="20"/>
          <w:szCs w:val="20"/>
          <w:lang w:eastAsia="lt-LT"/>
        </w:rPr>
      </w:pPr>
      <w:r w:rsidRPr="00BC76CE">
        <w:rPr>
          <w:rFonts w:ascii="Times New Roman" w:eastAsia="Times New Roman" w:hAnsi="Times New Roman" w:cs="Times New Roman"/>
          <w:color w:val="000000"/>
          <w:sz w:val="20"/>
          <w:szCs w:val="20"/>
          <w:lang w:eastAsia="lt-LT"/>
        </w:rPr>
        <w:t xml:space="preserve">b) n = tiriamųjų, kuriems nustatyti reiškiniai, skaičius, N = tiriamųjų, kuriems buvo rizika, skaičius, </w:t>
      </w:r>
      <w:r w:rsidRPr="00BC76CE">
        <w:rPr>
          <w:rFonts w:ascii="Times New Roman" w:eastAsia="Times New Roman" w:hAnsi="Times New Roman" w:cs="Times New Roman"/>
          <w:color w:val="000000"/>
          <w:sz w:val="20"/>
          <w:szCs w:val="20"/>
          <w:lang w:eastAsia="lt-LT"/>
        </w:rPr>
        <w:br/>
        <w:t xml:space="preserve">% = 100 × n/N, n/100 pacientų metų = tiriamųjų, kuriems nustatyti reiškiniai, skaičiaus ir suminio rizikos laiko santykis </w:t>
      </w:r>
    </w:p>
    <w:p w14:paraId="69913CFF" w14:textId="02131D0A" w:rsidR="00BC76CE" w:rsidRPr="00BC76CE" w:rsidRDefault="00BC76CE" w:rsidP="007029D5">
      <w:pPr>
        <w:autoSpaceDE w:val="0"/>
        <w:autoSpaceDN w:val="0"/>
        <w:adjustRightInd w:val="0"/>
        <w:spacing w:after="0" w:line="240" w:lineRule="auto"/>
        <w:ind w:left="142"/>
        <w:rPr>
          <w:rFonts w:ascii="Times New Roman" w:eastAsia="Times New Roman" w:hAnsi="Times New Roman" w:cs="Times New Roman"/>
          <w:color w:val="000000"/>
          <w:sz w:val="20"/>
          <w:szCs w:val="20"/>
          <w:lang w:eastAsia="lt-LT"/>
        </w:rPr>
      </w:pPr>
      <w:r w:rsidRPr="00BC76CE">
        <w:rPr>
          <w:rFonts w:ascii="Times New Roman" w:eastAsia="Times New Roman" w:hAnsi="Times New Roman" w:cs="Times New Roman"/>
          <w:color w:val="000000"/>
          <w:sz w:val="20"/>
          <w:szCs w:val="20"/>
          <w:lang w:eastAsia="lt-LT"/>
        </w:rPr>
        <w:t xml:space="preserve">c) </w:t>
      </w:r>
      <w:r w:rsidR="00CB094A">
        <w:rPr>
          <w:rFonts w:ascii="Times New Roman" w:eastAsia="Times New Roman" w:hAnsi="Times New Roman" w:cs="Times New Roman"/>
          <w:color w:val="000000"/>
          <w:sz w:val="20"/>
          <w:szCs w:val="20"/>
          <w:lang w:eastAsia="lt-LT"/>
        </w:rPr>
        <w:t>RS</w:t>
      </w:r>
      <w:r w:rsidRPr="00BC76CE">
        <w:rPr>
          <w:rFonts w:ascii="Times New Roman" w:eastAsia="Times New Roman" w:hAnsi="Times New Roman" w:cs="Times New Roman"/>
          <w:color w:val="000000"/>
          <w:sz w:val="20"/>
          <w:szCs w:val="20"/>
          <w:lang w:eastAsia="lt-LT"/>
        </w:rPr>
        <w:t xml:space="preserve"> (95</w:t>
      </w:r>
      <w:r w:rsidR="00C338A4" w:rsidRPr="007F2054">
        <w:rPr>
          <w:rFonts w:ascii="Times New Roman" w:eastAsia="Times New Roman" w:hAnsi="Times New Roman" w:cs="Times New Roman"/>
          <w:color w:val="000000"/>
          <w:sz w:val="20"/>
          <w:szCs w:val="20"/>
          <w:lang w:eastAsia="lt-LT"/>
        </w:rPr>
        <w:t> %</w:t>
      </w:r>
      <w:r w:rsidRPr="00BC76CE">
        <w:rPr>
          <w:rFonts w:ascii="Times New Roman" w:eastAsia="Times New Roman" w:hAnsi="Times New Roman" w:cs="Times New Roman"/>
          <w:color w:val="000000"/>
          <w:sz w:val="20"/>
          <w:szCs w:val="20"/>
          <w:lang w:eastAsia="lt-LT"/>
        </w:rPr>
        <w:t xml:space="preserve"> PI) yra pagrįsta </w:t>
      </w:r>
      <w:proofErr w:type="spellStart"/>
      <w:r w:rsidRPr="00BC76CE">
        <w:rPr>
          <w:rFonts w:ascii="Times New Roman" w:eastAsia="Times New Roman" w:hAnsi="Times New Roman" w:cs="Times New Roman"/>
          <w:color w:val="000000"/>
          <w:sz w:val="20"/>
          <w:szCs w:val="20"/>
          <w:lang w:eastAsia="lt-LT"/>
        </w:rPr>
        <w:t>Cox</w:t>
      </w:r>
      <w:proofErr w:type="spellEnd"/>
      <w:r w:rsidRPr="00BC76CE">
        <w:rPr>
          <w:rFonts w:ascii="Times New Roman" w:eastAsia="Times New Roman" w:hAnsi="Times New Roman" w:cs="Times New Roman"/>
          <w:color w:val="000000"/>
          <w:sz w:val="20"/>
          <w:szCs w:val="20"/>
          <w:lang w:eastAsia="lt-LT"/>
        </w:rPr>
        <w:t xml:space="preserve"> proporcingos rizikos modeliu, </w:t>
      </w:r>
      <w:proofErr w:type="spellStart"/>
      <w:r w:rsidRPr="00BC76CE">
        <w:rPr>
          <w:rFonts w:ascii="Times New Roman" w:eastAsia="Times New Roman" w:hAnsi="Times New Roman" w:cs="Times New Roman"/>
          <w:color w:val="000000"/>
          <w:sz w:val="20"/>
          <w:szCs w:val="20"/>
          <w:lang w:eastAsia="lt-LT"/>
        </w:rPr>
        <w:t>stratifikuotu</w:t>
      </w:r>
      <w:proofErr w:type="spellEnd"/>
      <w:r w:rsidRPr="00BC76CE">
        <w:rPr>
          <w:rFonts w:ascii="Times New Roman" w:eastAsia="Times New Roman" w:hAnsi="Times New Roman" w:cs="Times New Roman"/>
          <w:color w:val="000000"/>
          <w:sz w:val="20"/>
          <w:szCs w:val="20"/>
          <w:lang w:eastAsia="lt-LT"/>
        </w:rPr>
        <w:t xml:space="preserve"> pagal procedūros tipą ir klopidogrelio vartojimą, gydymą traktuojant kaip vienintelį </w:t>
      </w:r>
      <w:proofErr w:type="spellStart"/>
      <w:r w:rsidRPr="00BC76CE">
        <w:rPr>
          <w:rFonts w:ascii="Times New Roman" w:eastAsia="Times New Roman" w:hAnsi="Times New Roman" w:cs="Times New Roman"/>
          <w:color w:val="000000"/>
          <w:sz w:val="20"/>
          <w:szCs w:val="20"/>
          <w:lang w:eastAsia="lt-LT"/>
        </w:rPr>
        <w:t>kovariantą</w:t>
      </w:r>
      <w:proofErr w:type="spellEnd"/>
      <w:r w:rsidRPr="00BC76CE">
        <w:rPr>
          <w:rFonts w:ascii="Times New Roman" w:eastAsia="Times New Roman" w:hAnsi="Times New Roman" w:cs="Times New Roman"/>
          <w:color w:val="000000"/>
          <w:sz w:val="20"/>
          <w:szCs w:val="20"/>
          <w:lang w:eastAsia="lt-LT"/>
        </w:rPr>
        <w:t xml:space="preserve"> </w:t>
      </w:r>
    </w:p>
    <w:p w14:paraId="03DDF79B" w14:textId="77777777" w:rsidR="00BC76CE" w:rsidRPr="00BC76CE" w:rsidRDefault="00BC76CE" w:rsidP="007029D5">
      <w:pPr>
        <w:spacing w:after="0" w:line="240" w:lineRule="auto"/>
        <w:ind w:left="142"/>
        <w:rPr>
          <w:rFonts w:ascii="Times New Roman" w:eastAsia="Times New Roman" w:hAnsi="Times New Roman" w:cs="Times New Roman"/>
          <w:u w:val="single"/>
          <w:lang w:eastAsia="pl-PL"/>
        </w:rPr>
      </w:pPr>
      <w:r w:rsidRPr="00BC76CE">
        <w:rPr>
          <w:rFonts w:ascii="Times New Roman" w:eastAsia="Times New Roman" w:hAnsi="Times New Roman" w:cs="Times New Roman"/>
          <w:color w:val="000000"/>
          <w:sz w:val="20"/>
          <w:szCs w:val="20"/>
          <w:lang w:eastAsia="lt-LT"/>
        </w:rPr>
        <w:t xml:space="preserve">d) Dvipusė p vertė yra pagrįsta </w:t>
      </w:r>
      <w:proofErr w:type="spellStart"/>
      <w:r w:rsidRPr="00BC76CE">
        <w:rPr>
          <w:rFonts w:ascii="Times New Roman" w:eastAsia="Times New Roman" w:hAnsi="Times New Roman" w:cs="Times New Roman"/>
          <w:i/>
          <w:iCs/>
          <w:color w:val="000000"/>
          <w:sz w:val="20"/>
          <w:szCs w:val="20"/>
          <w:lang w:eastAsia="lt-LT"/>
        </w:rPr>
        <w:t>log-rank</w:t>
      </w:r>
      <w:proofErr w:type="spellEnd"/>
      <w:r w:rsidRPr="00BC76CE">
        <w:rPr>
          <w:rFonts w:ascii="Times New Roman" w:eastAsia="Times New Roman" w:hAnsi="Times New Roman" w:cs="Times New Roman"/>
          <w:i/>
          <w:iCs/>
          <w:color w:val="000000"/>
          <w:sz w:val="20"/>
          <w:szCs w:val="20"/>
          <w:lang w:eastAsia="lt-LT"/>
        </w:rPr>
        <w:t xml:space="preserve"> </w:t>
      </w:r>
      <w:r w:rsidRPr="00BC76CE">
        <w:rPr>
          <w:rFonts w:ascii="Times New Roman" w:eastAsia="Times New Roman" w:hAnsi="Times New Roman" w:cs="Times New Roman"/>
          <w:color w:val="000000"/>
          <w:sz w:val="20"/>
          <w:szCs w:val="20"/>
          <w:lang w:eastAsia="lt-LT"/>
        </w:rPr>
        <w:t xml:space="preserve">testu, </w:t>
      </w:r>
      <w:proofErr w:type="spellStart"/>
      <w:r w:rsidRPr="00BC76CE">
        <w:rPr>
          <w:rFonts w:ascii="Times New Roman" w:eastAsia="Times New Roman" w:hAnsi="Times New Roman" w:cs="Times New Roman"/>
          <w:color w:val="000000"/>
          <w:sz w:val="20"/>
          <w:szCs w:val="20"/>
          <w:lang w:eastAsia="lt-LT"/>
        </w:rPr>
        <w:t>stratifikuotu</w:t>
      </w:r>
      <w:proofErr w:type="spellEnd"/>
      <w:r w:rsidRPr="00BC76CE">
        <w:rPr>
          <w:rFonts w:ascii="Times New Roman" w:eastAsia="Times New Roman" w:hAnsi="Times New Roman" w:cs="Times New Roman"/>
          <w:color w:val="000000"/>
          <w:sz w:val="20"/>
          <w:szCs w:val="20"/>
          <w:lang w:eastAsia="lt-LT"/>
        </w:rPr>
        <w:t xml:space="preserve"> pagal procedūros tipą ir klopidogrelio vartojimą, gydymą traktuojant kaip faktorių</w:t>
      </w:r>
    </w:p>
    <w:p w14:paraId="0AC03A39" w14:textId="47D2C723" w:rsidR="00D61A12" w:rsidRPr="007F2054" w:rsidRDefault="00D61A12" w:rsidP="00BC76CE">
      <w:pPr>
        <w:widowControl w:val="0"/>
        <w:autoSpaceDE w:val="0"/>
        <w:autoSpaceDN w:val="0"/>
        <w:spacing w:after="0" w:line="240" w:lineRule="auto"/>
        <w:rPr>
          <w:rFonts w:ascii="Times New Roman" w:eastAsia="Times New Roman" w:hAnsi="Times New Roman" w:cs="Times New Roman"/>
        </w:rPr>
      </w:pPr>
    </w:p>
    <w:p w14:paraId="0B866338" w14:textId="23F2AD01"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VAL su širdies nepakankamumu</w:t>
      </w:r>
    </w:p>
    <w:p w14:paraId="3D990BE6" w14:textId="60CC9811"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b/>
          <w:bCs/>
        </w:rPr>
        <w:t>COMMANDER HF</w:t>
      </w:r>
      <w:r w:rsidRPr="007F2054">
        <w:rPr>
          <w:rFonts w:ascii="Times New Roman" w:eastAsia="Times New Roman" w:hAnsi="Times New Roman" w:cs="Times New Roman"/>
        </w:rPr>
        <w:t xml:space="preserve"> klinikiniame tyrime dalyvavo 5022 pacientai, sergantys širdies nepakankamumu ir pažengusia vainikinių arterijų liga (VAL), kurie buvo hospitalizuoti dėl </w:t>
      </w:r>
      <w:proofErr w:type="spellStart"/>
      <w:r w:rsidRPr="007F2054">
        <w:rPr>
          <w:rFonts w:ascii="Times New Roman" w:eastAsia="Times New Roman" w:hAnsi="Times New Roman" w:cs="Times New Roman"/>
        </w:rPr>
        <w:t>dekompensuoto</w:t>
      </w:r>
      <w:proofErr w:type="spellEnd"/>
      <w:r w:rsidRPr="007F2054">
        <w:rPr>
          <w:rFonts w:ascii="Times New Roman" w:eastAsia="Times New Roman" w:hAnsi="Times New Roman" w:cs="Times New Roman"/>
        </w:rPr>
        <w:t xml:space="preserve"> širdies nepakankamumo (ŠN). Šie pacientai atsitiktinės atrankos būdu buvo priskirti vienai iš dviejų gydymo grupių: vartoti po 2,5 mg rivaroksabano du kartus per parą (N = 2507) arba atitinkamo placebo (N = 2515). Bendra vidutinė gydymo trukmė tyrimo metu buvo 504 dienos.</w:t>
      </w:r>
    </w:p>
    <w:p w14:paraId="336A4501" w14:textId="324DB3D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Pacientai mažiausiai tris mėnesius turėjo sirgti simptominiu ŠN, ir kairiojo skilvelio išstūmimo frakcija (KSIF) vienerių metų bėgyje iki įtraukimo į tyrimą turėjo būti ≤ 40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Tyrimo pradžioje vidutinė kairiojo skilvelio išstūmimo frakcija buvo 34</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(kvartilių intervalas (angl. </w:t>
      </w:r>
      <w:proofErr w:type="spellStart"/>
      <w:r w:rsidRPr="007F2054">
        <w:rPr>
          <w:rFonts w:ascii="Times New Roman" w:eastAsia="Times New Roman" w:hAnsi="Times New Roman" w:cs="Times New Roman"/>
          <w:i/>
          <w:iCs/>
        </w:rPr>
        <w:t>interquartile</w:t>
      </w:r>
      <w:proofErr w:type="spellEnd"/>
      <w:r w:rsidRPr="007F2054">
        <w:rPr>
          <w:rFonts w:ascii="Times New Roman" w:eastAsia="Times New Roman" w:hAnsi="Times New Roman" w:cs="Times New Roman"/>
          <w:i/>
          <w:iCs/>
        </w:rPr>
        <w:t xml:space="preserve"> range, IQR</w:t>
      </w:r>
      <w:r w:rsidRPr="007F2054">
        <w:rPr>
          <w:rFonts w:ascii="Times New Roman" w:eastAsia="Times New Roman" w:hAnsi="Times New Roman" w:cs="Times New Roman"/>
        </w:rPr>
        <w:t>): 28</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–38</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o 53</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tiriamųjų priklausė III arba IV klasei pagal Niujorko širdies asociacijos (angl. </w:t>
      </w:r>
      <w:proofErr w:type="spellStart"/>
      <w:r w:rsidRPr="007F2054">
        <w:rPr>
          <w:rFonts w:ascii="Times New Roman" w:eastAsia="Times New Roman" w:hAnsi="Times New Roman" w:cs="Times New Roman"/>
          <w:i/>
          <w:iCs/>
        </w:rPr>
        <w:t>New</w:t>
      </w:r>
      <w:proofErr w:type="spellEnd"/>
      <w:r w:rsidRPr="007F2054">
        <w:rPr>
          <w:rFonts w:ascii="Times New Roman" w:eastAsia="Times New Roman" w:hAnsi="Times New Roman" w:cs="Times New Roman"/>
          <w:i/>
          <w:iCs/>
        </w:rPr>
        <w:t xml:space="preserve"> York </w:t>
      </w:r>
      <w:proofErr w:type="spellStart"/>
      <w:r w:rsidRPr="007F2054">
        <w:rPr>
          <w:rFonts w:ascii="Times New Roman" w:eastAsia="Times New Roman" w:hAnsi="Times New Roman" w:cs="Times New Roman"/>
          <w:i/>
          <w:iCs/>
        </w:rPr>
        <w:t>Heart</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Association</w:t>
      </w:r>
      <w:proofErr w:type="spellEnd"/>
      <w:r w:rsidRPr="007F2054">
        <w:rPr>
          <w:rFonts w:ascii="Times New Roman" w:eastAsia="Times New Roman" w:hAnsi="Times New Roman" w:cs="Times New Roman"/>
          <w:i/>
          <w:iCs/>
        </w:rPr>
        <w:t xml:space="preserve"> (NYHA)</w:t>
      </w:r>
      <w:r w:rsidRPr="007F2054">
        <w:rPr>
          <w:rFonts w:ascii="Times New Roman" w:eastAsia="Times New Roman" w:hAnsi="Times New Roman" w:cs="Times New Roman"/>
        </w:rPr>
        <w:t xml:space="preserve"> klasifikaciją.</w:t>
      </w:r>
    </w:p>
    <w:p w14:paraId="0EE61806" w14:textId="69FA1E12"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Pirminė veiksmingumo analizė (t. y. mirčių nuo bet kurios priežasties, MI arba insulto jungtinis rodmuo) neparodė statistiškai reikšmingo skirtumo tarp grupės, vartojusios po 2,5 mg rivaroksabano du kartus per parą, ir placebo grupės; rizikos santykis (RS) lygus 0,94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0,84–1,05), p = 0,270. Mirčių nuo bet kurios priežasties atvejų skaičius tarp rivaroksabano ir placebo grupių nesiskyrė (atvejų dažnis 100 pacientų metų; 11,41 palyginti su 11,63, RS: 0,98;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0,87–1,10; p = 0,743). MI atvejų dažnis 100 pacientų metų (</w:t>
      </w:r>
      <w:proofErr w:type="spellStart"/>
      <w:r w:rsidRPr="007F2054">
        <w:rPr>
          <w:rFonts w:ascii="Times New Roman" w:eastAsia="Times New Roman" w:hAnsi="Times New Roman" w:cs="Times New Roman"/>
        </w:rPr>
        <w:t>rivaroksabanui</w:t>
      </w:r>
      <w:proofErr w:type="spellEnd"/>
      <w:r w:rsidRPr="007F2054">
        <w:rPr>
          <w:rFonts w:ascii="Times New Roman" w:eastAsia="Times New Roman" w:hAnsi="Times New Roman" w:cs="Times New Roman"/>
        </w:rPr>
        <w:t xml:space="preserve"> palyginti su </w:t>
      </w:r>
      <w:proofErr w:type="spellStart"/>
      <w:r w:rsidRPr="007F2054">
        <w:rPr>
          <w:rFonts w:ascii="Times New Roman" w:eastAsia="Times New Roman" w:hAnsi="Times New Roman" w:cs="Times New Roman"/>
        </w:rPr>
        <w:t>placebu</w:t>
      </w:r>
      <w:proofErr w:type="spellEnd"/>
      <w:r w:rsidRPr="007F2054">
        <w:rPr>
          <w:rFonts w:ascii="Times New Roman" w:eastAsia="Times New Roman" w:hAnsi="Times New Roman" w:cs="Times New Roman"/>
        </w:rPr>
        <w:t>) buvo 2,08 palyginti su 2,52 (RS: 0,83;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0,63–1,08; p = 0,165), o insulto atvejų dažnis 100 pacientų metų buvo 1,08 palyginti su 1,62 (RS: 0,66;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0,47–0</w:t>
      </w:r>
      <w:r w:rsidR="00CB094A">
        <w:rPr>
          <w:rFonts w:ascii="Times New Roman" w:eastAsia="Times New Roman" w:hAnsi="Times New Roman" w:cs="Times New Roman"/>
        </w:rPr>
        <w:t>,</w:t>
      </w:r>
      <w:r w:rsidRPr="007F2054">
        <w:rPr>
          <w:rFonts w:ascii="Times New Roman" w:eastAsia="Times New Roman" w:hAnsi="Times New Roman" w:cs="Times New Roman"/>
        </w:rPr>
        <w:t xml:space="preserve">95; p = 0,023). Pagrindinė saugumo išeitis (t. y. mirtino kraujavimo arba kraujavimo į kaukolės vidų, galinčio sukelti nuolatinę negalią, jungtinis rodmuo) </w:t>
      </w:r>
      <w:r w:rsidRPr="007F2054">
        <w:rPr>
          <w:rFonts w:ascii="Times New Roman" w:eastAsia="Times New Roman" w:hAnsi="Times New Roman" w:cs="Times New Roman"/>
        </w:rPr>
        <w:lastRenderedPageBreak/>
        <w:t>pasireiškė 18 (0,7</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pacientų, vartojusių po 2,5 mg rivaroksabano du kartus per parą gydymo grupėje, ir 23 (0,9</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pacientams placebo grupėje (RS = 0,80;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0,43–1,49; p = 0,484). Rivaroksabano grupėje, palyginti su placebu, buvo statistiškai reikšmingas didžiųjų kraujavimų pagal ISTH dažnio padidėjimas (atvejų dažnis 100 pacientų metų: 2,04 palyginti su 1,21, RS: 1,68; 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PI 1,18–2,39; p = 0,003).</w:t>
      </w:r>
    </w:p>
    <w:p w14:paraId="2C345DCC" w14:textId="35363A15"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Pacientams, sergantiems lengvu arba vidutinio sunkumo širdies nepakankamumu, gydymo poveikis COMPASS klinikinio tyrimo pogrupyje buvo panašus į nustatytąjį visoje tyrimo populiacijoje (žr. VAL / PAL skyrių).</w:t>
      </w:r>
    </w:p>
    <w:p w14:paraId="6FFF16C0" w14:textId="7C5F0D7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818B412" w14:textId="110FA826"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Didelės rizikos trigubu </w:t>
      </w:r>
      <w:proofErr w:type="spellStart"/>
      <w:r w:rsidRPr="007F2054">
        <w:rPr>
          <w:rFonts w:ascii="Times New Roman" w:eastAsia="Times New Roman" w:hAnsi="Times New Roman" w:cs="Times New Roman"/>
          <w:u w:val="single"/>
        </w:rPr>
        <w:t>antifosfolipidiniu</w:t>
      </w:r>
      <w:proofErr w:type="spellEnd"/>
      <w:r w:rsidRPr="007F2054">
        <w:rPr>
          <w:rFonts w:ascii="Times New Roman" w:eastAsia="Times New Roman" w:hAnsi="Times New Roman" w:cs="Times New Roman"/>
          <w:u w:val="single"/>
        </w:rPr>
        <w:t xml:space="preserve"> sindromu sergantys pacientai</w:t>
      </w:r>
    </w:p>
    <w:p w14:paraId="56C0D4CE" w14:textId="0063CA25"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Atliekant tyrėjų remiamą, atsitiktinių imčių, atviro tyrimo modelio </w:t>
      </w:r>
      <w:proofErr w:type="spellStart"/>
      <w:r w:rsidRPr="007F2054">
        <w:rPr>
          <w:rFonts w:ascii="Times New Roman" w:eastAsia="Times New Roman" w:hAnsi="Times New Roman" w:cs="Times New Roman"/>
        </w:rPr>
        <w:t>daugiacentrį</w:t>
      </w:r>
      <w:proofErr w:type="spellEnd"/>
      <w:r w:rsidRPr="007F2054">
        <w:rPr>
          <w:rFonts w:ascii="Times New Roman" w:eastAsia="Times New Roman" w:hAnsi="Times New Roman" w:cs="Times New Roman"/>
        </w:rPr>
        <w:t xml:space="preserve"> tyrimą, kurio vertinamąsias baigtis buvo numatyta vertinti akluoju būdu, rivaroksabanas buvo lyginamas su </w:t>
      </w:r>
      <w:proofErr w:type="spellStart"/>
      <w:r w:rsidRPr="007F2054">
        <w:rPr>
          <w:rFonts w:ascii="Times New Roman" w:eastAsia="Times New Roman" w:hAnsi="Times New Roman" w:cs="Times New Roman"/>
        </w:rPr>
        <w:t>varfarinu</w:t>
      </w:r>
      <w:proofErr w:type="spellEnd"/>
      <w:r w:rsidRPr="007F2054">
        <w:rPr>
          <w:rFonts w:ascii="Times New Roman" w:eastAsia="Times New Roman" w:hAnsi="Times New Roman" w:cs="Times New Roman"/>
        </w:rPr>
        <w:t xml:space="preserve">, gydant pacientus, kuriems diagnozuotas </w:t>
      </w:r>
      <w:proofErr w:type="spellStart"/>
      <w:r w:rsidRPr="007F2054">
        <w:rPr>
          <w:rFonts w:ascii="Times New Roman" w:eastAsia="Times New Roman" w:hAnsi="Times New Roman" w:cs="Times New Roman"/>
        </w:rPr>
        <w:t>antifosfolipidinis</w:t>
      </w:r>
      <w:proofErr w:type="spellEnd"/>
      <w:r w:rsidRPr="007F2054">
        <w:rPr>
          <w:rFonts w:ascii="Times New Roman" w:eastAsia="Times New Roman" w:hAnsi="Times New Roman" w:cs="Times New Roman"/>
        </w:rPr>
        <w:t xml:space="preserve"> sindromas ir nustatyta didelė </w:t>
      </w:r>
      <w:proofErr w:type="spellStart"/>
      <w:r w:rsidRPr="007F2054">
        <w:rPr>
          <w:rFonts w:ascii="Times New Roman" w:eastAsia="Times New Roman" w:hAnsi="Times New Roman" w:cs="Times New Roman"/>
        </w:rPr>
        <w:t>tromboembolinių</w:t>
      </w:r>
      <w:proofErr w:type="spellEnd"/>
      <w:r w:rsidRPr="007F2054">
        <w:rPr>
          <w:rFonts w:ascii="Times New Roman" w:eastAsia="Times New Roman" w:hAnsi="Times New Roman" w:cs="Times New Roman"/>
        </w:rPr>
        <w:t xml:space="preserve"> reiškinių rizika (visų trijų </w:t>
      </w:r>
      <w:proofErr w:type="spellStart"/>
      <w:r w:rsidRPr="007F2054">
        <w:rPr>
          <w:rFonts w:ascii="Times New Roman" w:eastAsia="Times New Roman" w:hAnsi="Times New Roman" w:cs="Times New Roman"/>
        </w:rPr>
        <w:t>antifosfolipidinių</w:t>
      </w:r>
      <w:proofErr w:type="spellEnd"/>
      <w:r w:rsidRPr="007F2054">
        <w:rPr>
          <w:rFonts w:ascii="Times New Roman" w:eastAsia="Times New Roman" w:hAnsi="Times New Roman" w:cs="Times New Roman"/>
        </w:rPr>
        <w:t xml:space="preserve"> antikūnų – vilkligės antikoaguliantų, </w:t>
      </w:r>
      <w:proofErr w:type="spellStart"/>
      <w:r w:rsidRPr="007F2054">
        <w:rPr>
          <w:rFonts w:ascii="Times New Roman" w:eastAsia="Times New Roman" w:hAnsi="Times New Roman" w:cs="Times New Roman"/>
        </w:rPr>
        <w:t>antikardiolipino</w:t>
      </w:r>
      <w:proofErr w:type="spellEnd"/>
      <w:r w:rsidRPr="007F2054">
        <w:rPr>
          <w:rFonts w:ascii="Times New Roman" w:eastAsia="Times New Roman" w:hAnsi="Times New Roman" w:cs="Times New Roman"/>
        </w:rPr>
        <w:t xml:space="preserve"> antikūnų ir </w:t>
      </w:r>
      <w:proofErr w:type="spellStart"/>
      <w:r w:rsidRPr="007F2054">
        <w:rPr>
          <w:rFonts w:ascii="Times New Roman" w:eastAsia="Times New Roman" w:hAnsi="Times New Roman" w:cs="Times New Roman"/>
        </w:rPr>
        <w:t>anti</w:t>
      </w:r>
      <w:proofErr w:type="spellEnd"/>
      <w:r w:rsidR="00495969">
        <w:rPr>
          <w:rFonts w:ascii="Times New Roman" w:eastAsia="Times New Roman" w:hAnsi="Times New Roman" w:cs="Times New Roman"/>
        </w:rPr>
        <w:noBreakHyphen/>
      </w:r>
      <w:r w:rsidRPr="007F2054">
        <w:rPr>
          <w:rFonts w:ascii="Times New Roman" w:eastAsia="Times New Roman" w:hAnsi="Times New Roman" w:cs="Times New Roman"/>
        </w:rPr>
        <w:t>beta 2</w:t>
      </w:r>
      <w:r w:rsidR="00495969">
        <w:rPr>
          <w:rFonts w:ascii="Times New Roman" w:eastAsia="Times New Roman" w:hAnsi="Times New Roman" w:cs="Times New Roman"/>
        </w:rPr>
        <w:noBreakHyphen/>
      </w:r>
      <w:r w:rsidRPr="007F2054">
        <w:rPr>
          <w:rFonts w:ascii="Times New Roman" w:eastAsia="Times New Roman" w:hAnsi="Times New Roman" w:cs="Times New Roman"/>
        </w:rPr>
        <w:t>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w:t>
      </w:r>
      <w:r w:rsidR="00BC76CE" w:rsidRPr="007F2054">
        <w:rPr>
          <w:rFonts w:ascii="Times New Roman" w:eastAsia="Times New Roman" w:hAnsi="Times New Roman" w:cs="Times New Roman"/>
        </w:rPr>
        <w:t>-</w:t>
      </w:r>
      <w:r w:rsidRPr="007F2054">
        <w:rPr>
          <w:rFonts w:ascii="Times New Roman" w:eastAsia="Times New Roman" w:hAnsi="Times New Roman" w:cs="Times New Roman"/>
        </w:rPr>
        <w:t xml:space="preserve">iems pacientams buvo paskirta rivaroksabano 20 mg dozė (15 mg – pacientams, kurių </w:t>
      </w:r>
      <w:proofErr w:type="spellStart"/>
      <w:r w:rsidRPr="007F2054">
        <w:rPr>
          <w:rFonts w:ascii="Times New Roman" w:eastAsia="Times New Roman" w:hAnsi="Times New Roman" w:cs="Times New Roman"/>
        </w:rPr>
        <w:t>kreatinino</w:t>
      </w:r>
      <w:proofErr w:type="spellEnd"/>
      <w:r w:rsidRPr="007F2054">
        <w:rPr>
          <w:rFonts w:ascii="Times New Roman" w:eastAsia="Times New Roman" w:hAnsi="Times New Roman" w:cs="Times New Roman"/>
        </w:rPr>
        <w:t xml:space="preserve"> klirensas (</w:t>
      </w:r>
      <w:proofErr w:type="spellStart"/>
      <w:r w:rsidRPr="007F2054">
        <w:rPr>
          <w:rFonts w:ascii="Times New Roman" w:eastAsia="Times New Roman" w:hAnsi="Times New Roman" w:cs="Times New Roman"/>
        </w:rPr>
        <w:t>KrKl</w:t>
      </w:r>
      <w:proofErr w:type="spellEnd"/>
      <w:r w:rsidRPr="007F2054">
        <w:rPr>
          <w:rFonts w:ascii="Times New Roman" w:eastAsia="Times New Roman" w:hAnsi="Times New Roman" w:cs="Times New Roman"/>
        </w:rPr>
        <w:t>) &lt;</w:t>
      </w:r>
      <w:r w:rsidR="00BC76CE" w:rsidRPr="007F2054">
        <w:rPr>
          <w:rFonts w:ascii="Times New Roman" w:eastAsia="Times New Roman" w:hAnsi="Times New Roman" w:cs="Times New Roman"/>
        </w:rPr>
        <w:t> </w:t>
      </w:r>
      <w:r w:rsidRPr="007F2054">
        <w:rPr>
          <w:rFonts w:ascii="Times New Roman" w:eastAsia="Times New Roman" w:hAnsi="Times New Roman" w:cs="Times New Roman"/>
        </w:rPr>
        <w:t>50</w:t>
      </w:r>
      <w:r w:rsidR="00BC76CE" w:rsidRPr="007F2054">
        <w:rPr>
          <w:rFonts w:ascii="Times New Roman" w:eastAsia="Times New Roman" w:hAnsi="Times New Roman" w:cs="Times New Roman"/>
        </w:rPr>
        <w:t> </w:t>
      </w:r>
      <w:r w:rsidRPr="007F2054">
        <w:rPr>
          <w:rFonts w:ascii="Times New Roman" w:eastAsia="Times New Roman" w:hAnsi="Times New Roman" w:cs="Times New Roman"/>
        </w:rPr>
        <w:t>ml/min), 61</w:t>
      </w:r>
      <w:r w:rsidR="00BC76CE" w:rsidRPr="007F2054">
        <w:rPr>
          <w:rFonts w:ascii="Times New Roman" w:eastAsia="Times New Roman" w:hAnsi="Times New Roman" w:cs="Times New Roman"/>
        </w:rPr>
        <w:t>-</w:t>
      </w:r>
      <w:r w:rsidRPr="007F2054">
        <w:rPr>
          <w:rFonts w:ascii="Times New Roman" w:eastAsia="Times New Roman" w:hAnsi="Times New Roman" w:cs="Times New Roman"/>
        </w:rPr>
        <w:t xml:space="preserve">am pacientui – varfarino (TNS 2,0–3,0). </w:t>
      </w:r>
      <w:proofErr w:type="spellStart"/>
      <w:r w:rsidRPr="007F2054">
        <w:rPr>
          <w:rFonts w:ascii="Times New Roman" w:eastAsia="Times New Roman" w:hAnsi="Times New Roman" w:cs="Times New Roman"/>
        </w:rPr>
        <w:t>Tromboembolinių</w:t>
      </w:r>
      <w:proofErr w:type="spellEnd"/>
      <w:r w:rsidRPr="007F2054">
        <w:rPr>
          <w:rFonts w:ascii="Times New Roman" w:eastAsia="Times New Roman" w:hAnsi="Times New Roman" w:cs="Times New Roman"/>
        </w:rPr>
        <w:t xml:space="preserve"> reiškinių nustatyta 12</w:t>
      </w:r>
      <w:r w:rsidR="00BC76CE" w:rsidRPr="007F2054">
        <w:rPr>
          <w:rFonts w:ascii="Times New Roman" w:eastAsia="Times New Roman" w:hAnsi="Times New Roman" w:cs="Times New Roman"/>
        </w:rPr>
        <w:t> </w:t>
      </w:r>
      <w:r w:rsidRPr="007F2054">
        <w:rPr>
          <w:rFonts w:ascii="Times New Roman" w:eastAsia="Times New Roman" w:hAnsi="Times New Roman" w:cs="Times New Roman"/>
        </w:rPr>
        <w:t xml:space="preserve">proc. pacientų, kuriems buvo </w:t>
      </w:r>
      <w:r w:rsidR="00495969">
        <w:rPr>
          <w:rFonts w:ascii="Times New Roman" w:eastAsia="Times New Roman" w:hAnsi="Times New Roman" w:cs="Times New Roman"/>
        </w:rPr>
        <w:t xml:space="preserve">atsitiktinai </w:t>
      </w:r>
      <w:r w:rsidRPr="007F2054">
        <w:rPr>
          <w:rFonts w:ascii="Times New Roman" w:eastAsia="Times New Roman" w:hAnsi="Times New Roman" w:cs="Times New Roman"/>
        </w:rPr>
        <w:t xml:space="preserve">paskirta rivaroksabano (4 išeminio insulto ir 3 miokardo infarkto atvejai). Pacientų, kuriems buvo </w:t>
      </w:r>
      <w:r w:rsidR="00495969">
        <w:rPr>
          <w:rFonts w:ascii="Times New Roman" w:eastAsia="Times New Roman" w:hAnsi="Times New Roman" w:cs="Times New Roman"/>
        </w:rPr>
        <w:t xml:space="preserve">atsitiktinai </w:t>
      </w:r>
      <w:r w:rsidRPr="007F2054">
        <w:rPr>
          <w:rFonts w:ascii="Times New Roman" w:eastAsia="Times New Roman" w:hAnsi="Times New Roman" w:cs="Times New Roman"/>
        </w:rPr>
        <w:t>paskirta varfarino, grupėje nepageidaujamų reiškinių nenustatyta. Stiprus kraujavimas pasireiškė 4</w:t>
      </w:r>
      <w:r w:rsidR="00BC76CE" w:rsidRPr="007F2054">
        <w:rPr>
          <w:rFonts w:ascii="Times New Roman" w:eastAsia="Times New Roman" w:hAnsi="Times New Roman" w:cs="Times New Roman"/>
        </w:rPr>
        <w:t>-</w:t>
      </w:r>
      <w:r w:rsidRPr="007F2054">
        <w:rPr>
          <w:rFonts w:ascii="Times New Roman" w:eastAsia="Times New Roman" w:hAnsi="Times New Roman" w:cs="Times New Roman"/>
        </w:rPr>
        <w:t>iems (7 proc.) rivaroksabano grupės pacientams ir 2</w:t>
      </w:r>
      <w:r w:rsidR="00BC76CE" w:rsidRPr="007F2054">
        <w:rPr>
          <w:rFonts w:ascii="Times New Roman" w:eastAsia="Times New Roman" w:hAnsi="Times New Roman" w:cs="Times New Roman"/>
        </w:rPr>
        <w:t>-</w:t>
      </w:r>
      <w:r w:rsidRPr="007F2054">
        <w:rPr>
          <w:rFonts w:ascii="Times New Roman" w:eastAsia="Times New Roman" w:hAnsi="Times New Roman" w:cs="Times New Roman"/>
        </w:rPr>
        <w:t>iems (3</w:t>
      </w:r>
      <w:r w:rsidR="00BC76CE" w:rsidRPr="007F2054">
        <w:rPr>
          <w:rFonts w:ascii="Times New Roman" w:eastAsia="Times New Roman" w:hAnsi="Times New Roman" w:cs="Times New Roman"/>
        </w:rPr>
        <w:t> </w:t>
      </w:r>
      <w:r w:rsidRPr="007F2054">
        <w:rPr>
          <w:rFonts w:ascii="Times New Roman" w:eastAsia="Times New Roman" w:hAnsi="Times New Roman" w:cs="Times New Roman"/>
        </w:rPr>
        <w:t>proc.) varfarino grupės pacientams.</w:t>
      </w:r>
    </w:p>
    <w:p w14:paraId="3EB0BA81" w14:textId="2F5252B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CEFAE46" w14:textId="45A3B576"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Vaikų populiacija</w:t>
      </w:r>
    </w:p>
    <w:p w14:paraId="31FD6AE1" w14:textId="55131978"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Europos vaistų agentūra atleido nuo įpareigojimo pateikti </w:t>
      </w:r>
      <w:r w:rsidR="007D06DB" w:rsidRPr="007D06DB">
        <w:rPr>
          <w:rFonts w:ascii="Times New Roman" w:eastAsia="Times New Roman" w:hAnsi="Times New Roman" w:cs="Times New Roman"/>
        </w:rPr>
        <w:t>referencinio vaistinio preparato, kurio sudėtyje yra rivaroksabano</w:t>
      </w:r>
      <w:r w:rsidR="007D06DB">
        <w:rPr>
          <w:rFonts w:ascii="Times New Roman" w:eastAsia="Times New Roman" w:hAnsi="Times New Roman" w:cs="Times New Roman"/>
        </w:rPr>
        <w:t>,</w:t>
      </w:r>
      <w:r w:rsidR="007D06DB" w:rsidRPr="007D06DB" w:rsidDel="007D06DB">
        <w:rPr>
          <w:rFonts w:ascii="Times New Roman" w:eastAsia="Times New Roman" w:hAnsi="Times New Roman" w:cs="Times New Roman"/>
        </w:rPr>
        <w:t xml:space="preserve"> </w:t>
      </w:r>
      <w:r w:rsidRPr="007F2054">
        <w:rPr>
          <w:rFonts w:ascii="Times New Roman" w:eastAsia="Times New Roman" w:hAnsi="Times New Roman" w:cs="Times New Roman"/>
        </w:rPr>
        <w:t xml:space="preserve">tyrimų su visais vaikų populiacijos pogrupiais duomenis </w:t>
      </w:r>
      <w:proofErr w:type="spellStart"/>
      <w:r w:rsidRPr="007F2054">
        <w:rPr>
          <w:rFonts w:ascii="Times New Roman" w:eastAsia="Times New Roman" w:hAnsi="Times New Roman" w:cs="Times New Roman"/>
        </w:rPr>
        <w:t>tromboembolijos</w:t>
      </w:r>
      <w:proofErr w:type="spellEnd"/>
      <w:r w:rsidRPr="007F2054">
        <w:rPr>
          <w:rFonts w:ascii="Times New Roman" w:eastAsia="Times New Roman" w:hAnsi="Times New Roman" w:cs="Times New Roman"/>
        </w:rPr>
        <w:t xml:space="preserve"> reiškinių profilaktikai (vartojimo vaikams informacija pateikiama 4.2 skyriuje).</w:t>
      </w:r>
    </w:p>
    <w:p w14:paraId="61F9FD19" w14:textId="1476945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3A83F52" w14:textId="77777777" w:rsidR="00BC76CE" w:rsidRPr="00BC76CE" w:rsidRDefault="00BC76CE" w:rsidP="00BC76CE">
      <w:pPr>
        <w:numPr>
          <w:ilvl w:val="1"/>
          <w:numId w:val="14"/>
        </w:numPr>
        <w:tabs>
          <w:tab w:val="left" w:pos="567"/>
        </w:tabs>
        <w:spacing w:after="0" w:line="240" w:lineRule="auto"/>
        <w:ind w:left="567" w:hanging="567"/>
        <w:contextualSpacing/>
        <w:rPr>
          <w:rFonts w:ascii="Times New Roman" w:eastAsia="Times New Roman" w:hAnsi="Times New Roman" w:cs="Times New Roman"/>
          <w:b/>
          <w:iCs/>
          <w:lang w:eastAsia="lt-LT"/>
        </w:rPr>
      </w:pPr>
      <w:r w:rsidRPr="00BC76CE">
        <w:rPr>
          <w:rFonts w:ascii="Times New Roman" w:eastAsia="Times New Roman" w:hAnsi="Times New Roman" w:cs="Times New Roman"/>
          <w:b/>
          <w:iCs/>
          <w:lang w:eastAsia="lt-LT"/>
        </w:rPr>
        <w:t>Farmakokinetinės savybės</w:t>
      </w:r>
    </w:p>
    <w:p w14:paraId="54E940A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36273D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Absorbcija</w:t>
      </w:r>
    </w:p>
    <w:p w14:paraId="43025D17" w14:textId="5E5A06B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Rivaroksabanas yra greitai absorbuojamas ir didžiausia koncentracija (</w:t>
      </w:r>
      <w:proofErr w:type="spellStart"/>
      <w:r w:rsidRPr="007F2054">
        <w:rPr>
          <w:rFonts w:ascii="Times New Roman" w:eastAsia="Times New Roman" w:hAnsi="Times New Roman" w:cs="Times New Roman"/>
        </w:rPr>
        <w:t>C</w:t>
      </w:r>
      <w:r w:rsidRPr="006C1D08">
        <w:rPr>
          <w:rFonts w:ascii="Times New Roman" w:eastAsia="Times New Roman" w:hAnsi="Times New Roman" w:cs="Times New Roman"/>
          <w:vertAlign w:val="subscript"/>
        </w:rPr>
        <w:t>max</w:t>
      </w:r>
      <w:proofErr w:type="spellEnd"/>
      <w:r w:rsidRPr="007F2054">
        <w:rPr>
          <w:rFonts w:ascii="Times New Roman" w:eastAsia="Times New Roman" w:hAnsi="Times New Roman" w:cs="Times New Roman"/>
        </w:rPr>
        <w:t>) susidaro praėjus 2–4 val. po tabletės pavartojimo.</w:t>
      </w:r>
    </w:p>
    <w:p w14:paraId="4CBA035C" w14:textId="48851D0A"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Išgertas rivaroksabanas beveik visas absorbuojamas ir, pavartojus 2,5 mg ir 10 mg dozių, biologinis geriamojo rivaroksabano prieinamumas yra didelis (80–100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nepriklausomai nuo to, ar vaistinis preparatas vartojamas valgio metu, ar nevalgius. Vartojant 2,5 mg ir 10 mg dozes valgio metu,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AUC ar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nepakinta. Rivaroksabano tabletes po 2,5 mg ir 10 mg galima vartoti valgio metu arba nevalgius.</w:t>
      </w:r>
    </w:p>
    <w:p w14:paraId="171FCF9E" w14:textId="3CA33B6F"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farmakokinetika yra maždaug tiesinė, kai jo skiriama iki 15 mg vieną kartą per parą. Skiriant didesnių rivaroksabano dozių, gaunama dėl tirpumo savybių ribota absorbcija su sumažėjusiu biologiniu prieinamumu ir sumažėjusiu absorbcijos greičiu didinant dozę. Tai ryškiau pastebima, kai vartojama nevalgius, nei vartojant valgio metu.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kintamumas yra vidutinis, kintamumas tarp pacientų (CV</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svyruoja nuo 30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iki 40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w:t>
      </w:r>
    </w:p>
    <w:p w14:paraId="3A6CA928" w14:textId="0C19C0A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absorbcija priklauso nuo jo atpalaidavimo vietos virškinimo trakte. Nustatyta, kad tada, kai susmulkintas </w:t>
      </w:r>
      <w:proofErr w:type="spellStart"/>
      <w:r w:rsidRPr="007F2054">
        <w:rPr>
          <w:rFonts w:ascii="Times New Roman" w:eastAsia="Times New Roman" w:hAnsi="Times New Roman" w:cs="Times New Roman"/>
        </w:rPr>
        <w:t>rivaroksabanas</w:t>
      </w:r>
      <w:proofErr w:type="spellEnd"/>
      <w:r w:rsidRPr="007F2054">
        <w:rPr>
          <w:rFonts w:ascii="Times New Roman" w:eastAsia="Times New Roman" w:hAnsi="Times New Roman" w:cs="Times New Roman"/>
        </w:rPr>
        <w:t xml:space="preserve"> atpalaiduojamas </w:t>
      </w:r>
      <w:proofErr w:type="spellStart"/>
      <w:r w:rsidRPr="007F2054">
        <w:rPr>
          <w:rFonts w:ascii="Times New Roman" w:eastAsia="Times New Roman" w:hAnsi="Times New Roman" w:cs="Times New Roman"/>
        </w:rPr>
        <w:t>proksimalinėje</w:t>
      </w:r>
      <w:proofErr w:type="spellEnd"/>
      <w:r w:rsidRPr="007F2054">
        <w:rPr>
          <w:rFonts w:ascii="Times New Roman" w:eastAsia="Times New Roman" w:hAnsi="Times New Roman" w:cs="Times New Roman"/>
        </w:rPr>
        <w:t xml:space="preserve"> plonosios žarnos dalyje, palyginti su tablete, AUC ir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sumažėja 29</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ir 56</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Kai rivaroksabanas atpalaiduojamas distalinėje plonosios žarnos dalyje arba kylančioje gaubtinėje žarnoje, ekspozicija dar labiau sumažėja. Taigi reikia vengti skirti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distaliau</w:t>
      </w:r>
      <w:proofErr w:type="spellEnd"/>
      <w:r w:rsidRPr="007F2054">
        <w:rPr>
          <w:rFonts w:ascii="Times New Roman" w:eastAsia="Times New Roman" w:hAnsi="Times New Roman" w:cs="Times New Roman"/>
        </w:rPr>
        <w:t xml:space="preserve"> nuo skrandžio, nes tai gali sumažinti absorbciją ir atitinkamai rivaroksabano ekspoziciją.</w:t>
      </w:r>
    </w:p>
    <w:p w14:paraId="75A22551" w14:textId="3CD779CB"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20 mg rivaroksabano tabletės, kuri suvartojama per burną, ją sutraiškius ir išmaišius obuolių tyrėje arba ištirpinus vandenyje ir supylus per skrandžio vamzdelį, po to gaunant skysto maisto, biologinis prieinamumas (AUC ir </w:t>
      </w:r>
      <w:proofErr w:type="spellStart"/>
      <w:r w:rsidRPr="007F2054">
        <w:rPr>
          <w:rFonts w:ascii="Times New Roman" w:eastAsia="Times New Roman" w:hAnsi="Times New Roman" w:cs="Times New Roman"/>
        </w:rPr>
        <w:t>Cmax</w:t>
      </w:r>
      <w:proofErr w:type="spellEnd"/>
      <w:r w:rsidRPr="007F2054">
        <w:rPr>
          <w:rFonts w:ascii="Times New Roman" w:eastAsia="Times New Roman" w:hAnsi="Times New Roman" w:cs="Times New Roman"/>
        </w:rPr>
        <w:t xml:space="preserve">), palyginti su nepažeista tablete, buvo panašūs. Žinant, kad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farmakokinetinės</w:t>
      </w:r>
      <w:proofErr w:type="spellEnd"/>
      <w:r w:rsidRPr="007F2054">
        <w:rPr>
          <w:rFonts w:ascii="Times New Roman" w:eastAsia="Times New Roman" w:hAnsi="Times New Roman" w:cs="Times New Roman"/>
        </w:rPr>
        <w:t xml:space="preserve"> savybės yra nuspėjamos ir proporcingos dozei, tikėtina, kad šiame tyrime gauti biologinio prieinamumo rezultatai tinka ir mažesnėms rivaroksabano dozėms.</w:t>
      </w:r>
    </w:p>
    <w:p w14:paraId="687E80B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581C18A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lastRenderedPageBreak/>
        <w:t>Pasiskirstymas</w:t>
      </w:r>
    </w:p>
    <w:p w14:paraId="48E9F53D" w14:textId="29D4F8DF"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Daug vaistinio preparato prisijungia prie žmogaus plazmos baltymų (apie 92–95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daugiausiai serumo albuminų. Pasiskirstymo tūris (</w:t>
      </w:r>
      <w:proofErr w:type="spellStart"/>
      <w:r w:rsidRPr="007F2054">
        <w:rPr>
          <w:rFonts w:ascii="Times New Roman" w:eastAsia="Times New Roman" w:hAnsi="Times New Roman" w:cs="Times New Roman"/>
        </w:rPr>
        <w:t>Vss</w:t>
      </w:r>
      <w:proofErr w:type="spellEnd"/>
      <w:r w:rsidRPr="007F2054">
        <w:rPr>
          <w:rFonts w:ascii="Times New Roman" w:eastAsia="Times New Roman" w:hAnsi="Times New Roman" w:cs="Times New Roman"/>
        </w:rPr>
        <w:t>) yra vidutinis, maždaug 50 litrų.</w:t>
      </w:r>
    </w:p>
    <w:p w14:paraId="5271FEB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A44F53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proofErr w:type="spellStart"/>
      <w:r w:rsidRPr="007F2054">
        <w:rPr>
          <w:rFonts w:ascii="Times New Roman" w:eastAsia="Times New Roman" w:hAnsi="Times New Roman" w:cs="Times New Roman"/>
          <w:u w:val="single"/>
        </w:rPr>
        <w:t>Biotransformacija</w:t>
      </w:r>
      <w:proofErr w:type="spellEnd"/>
      <w:r w:rsidRPr="007F2054">
        <w:rPr>
          <w:rFonts w:ascii="Times New Roman" w:eastAsia="Times New Roman" w:hAnsi="Times New Roman" w:cs="Times New Roman"/>
          <w:u w:val="single"/>
        </w:rPr>
        <w:t xml:space="preserve"> ir eliminacija</w:t>
      </w:r>
    </w:p>
    <w:p w14:paraId="427F1C50"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Maždaug 2/3 suvartotos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dozės </w:t>
      </w:r>
      <w:proofErr w:type="spellStart"/>
      <w:r w:rsidRPr="007F2054">
        <w:rPr>
          <w:rFonts w:ascii="Times New Roman" w:eastAsia="Times New Roman" w:hAnsi="Times New Roman" w:cs="Times New Roman"/>
        </w:rPr>
        <w:t>metaboliškai</w:t>
      </w:r>
      <w:proofErr w:type="spellEnd"/>
      <w:r w:rsidRPr="007F2054">
        <w:rPr>
          <w:rFonts w:ascii="Times New Roman" w:eastAsia="Times New Roman" w:hAnsi="Times New Roman" w:cs="Times New Roman"/>
        </w:rPr>
        <w:t xml:space="preserve"> suardoma ir pusė to kiekio yra pašalinama per inkstus, o pusė su išmatomis. Likusi 1/3 suvartotos dozės šalinama nepakitusia veikliosios medžiagos forma su šlapimu tiesioginės </w:t>
      </w:r>
      <w:proofErr w:type="spellStart"/>
      <w:r w:rsidRPr="007F2054">
        <w:rPr>
          <w:rFonts w:ascii="Times New Roman" w:eastAsia="Times New Roman" w:hAnsi="Times New Roman" w:cs="Times New Roman"/>
        </w:rPr>
        <w:t>ekskrecijos</w:t>
      </w:r>
      <w:proofErr w:type="spellEnd"/>
      <w:r w:rsidRPr="007F2054">
        <w:rPr>
          <w:rFonts w:ascii="Times New Roman" w:eastAsia="Times New Roman" w:hAnsi="Times New Roman" w:cs="Times New Roman"/>
        </w:rPr>
        <w:t xml:space="preserve"> per inkstus būdu, daugiausiai aktyvios inkstų sekrecijos būdu.</w:t>
      </w:r>
    </w:p>
    <w:p w14:paraId="216DF5DE" w14:textId="21397CEE"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Rivaroksabanas yra metabolizuojamas veikiant CYP3A4, CYP2J2 ir nuo CYP nepriklausomais mechanizmais. </w:t>
      </w:r>
      <w:proofErr w:type="spellStart"/>
      <w:r w:rsidRPr="007F2054">
        <w:rPr>
          <w:rFonts w:ascii="Times New Roman" w:eastAsia="Times New Roman" w:hAnsi="Times New Roman" w:cs="Times New Roman"/>
        </w:rPr>
        <w:t>Morfolinono</w:t>
      </w:r>
      <w:proofErr w:type="spellEnd"/>
      <w:r w:rsidRPr="007F2054">
        <w:rPr>
          <w:rFonts w:ascii="Times New Roman" w:eastAsia="Times New Roman" w:hAnsi="Times New Roman" w:cs="Times New Roman"/>
        </w:rPr>
        <w:t xml:space="preserve"> dalies oksidacinis irimas ir </w:t>
      </w:r>
      <w:proofErr w:type="spellStart"/>
      <w:r w:rsidRPr="007F2054">
        <w:rPr>
          <w:rFonts w:ascii="Times New Roman" w:eastAsia="Times New Roman" w:hAnsi="Times New Roman" w:cs="Times New Roman"/>
        </w:rPr>
        <w:t>amido</w:t>
      </w:r>
      <w:proofErr w:type="spellEnd"/>
      <w:r w:rsidRPr="007F2054">
        <w:rPr>
          <w:rFonts w:ascii="Times New Roman" w:eastAsia="Times New Roman" w:hAnsi="Times New Roman" w:cs="Times New Roman"/>
        </w:rPr>
        <w:t xml:space="preserve"> jungčių hidrolizė yra pagrindinės </w:t>
      </w:r>
      <w:proofErr w:type="spellStart"/>
      <w:r w:rsidRPr="007F2054">
        <w:rPr>
          <w:rFonts w:ascii="Times New Roman" w:eastAsia="Times New Roman" w:hAnsi="Times New Roman" w:cs="Times New Roman"/>
        </w:rPr>
        <w:t>biotransformacijos</w:t>
      </w:r>
      <w:proofErr w:type="spellEnd"/>
      <w:r w:rsidRPr="007F2054">
        <w:rPr>
          <w:rFonts w:ascii="Times New Roman" w:eastAsia="Times New Roman" w:hAnsi="Times New Roman" w:cs="Times New Roman"/>
        </w:rPr>
        <w:t xml:space="preserve"> sritys. Remiantis </w:t>
      </w:r>
      <w:proofErr w:type="spellStart"/>
      <w:r w:rsidRPr="007F2054">
        <w:rPr>
          <w:rFonts w:ascii="Times New Roman" w:eastAsia="Times New Roman" w:hAnsi="Times New Roman" w:cs="Times New Roman"/>
          <w:i/>
          <w:iCs/>
        </w:rPr>
        <w:t>in</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vitro</w:t>
      </w:r>
      <w:proofErr w:type="spellEnd"/>
      <w:r w:rsidRPr="007F2054">
        <w:rPr>
          <w:rFonts w:ascii="Times New Roman" w:eastAsia="Times New Roman" w:hAnsi="Times New Roman" w:cs="Times New Roman"/>
        </w:rPr>
        <w:t xml:space="preserve"> tyrimais, </w:t>
      </w:r>
      <w:proofErr w:type="spellStart"/>
      <w:r w:rsidRPr="007F2054">
        <w:rPr>
          <w:rFonts w:ascii="Times New Roman" w:eastAsia="Times New Roman" w:hAnsi="Times New Roman" w:cs="Times New Roman"/>
        </w:rPr>
        <w:t>rivaroksabanas</w:t>
      </w:r>
      <w:proofErr w:type="spellEnd"/>
      <w:r w:rsidRPr="007F2054">
        <w:rPr>
          <w:rFonts w:ascii="Times New Roman" w:eastAsia="Times New Roman" w:hAnsi="Times New Roman" w:cs="Times New Roman"/>
        </w:rPr>
        <w:t xml:space="preserve"> yra P–</w:t>
      </w:r>
      <w:proofErr w:type="spellStart"/>
      <w:r w:rsidRPr="007F2054">
        <w:rPr>
          <w:rFonts w:ascii="Times New Roman" w:eastAsia="Times New Roman" w:hAnsi="Times New Roman" w:cs="Times New Roman"/>
        </w:rPr>
        <w:t>gp</w:t>
      </w:r>
      <w:proofErr w:type="spellEnd"/>
      <w:r w:rsidRPr="007F2054">
        <w:rPr>
          <w:rFonts w:ascii="Times New Roman" w:eastAsia="Times New Roman" w:hAnsi="Times New Roman" w:cs="Times New Roman"/>
        </w:rPr>
        <w:t xml:space="preserve"> (P</w:t>
      </w:r>
      <w:r w:rsidR="00C338A4" w:rsidRPr="007F2054">
        <w:rPr>
          <w:rFonts w:ascii="Times New Roman" w:eastAsia="Times New Roman" w:hAnsi="Times New Roman" w:cs="Times New Roman"/>
        </w:rPr>
        <w:t>-</w:t>
      </w:r>
      <w:proofErr w:type="spellStart"/>
      <w:r w:rsidRPr="007F2054">
        <w:rPr>
          <w:rFonts w:ascii="Times New Roman" w:eastAsia="Times New Roman" w:hAnsi="Times New Roman" w:cs="Times New Roman"/>
        </w:rPr>
        <w:t>glikoproteino</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Bcrp</w:t>
      </w:r>
      <w:proofErr w:type="spellEnd"/>
      <w:r w:rsidRPr="007F2054">
        <w:rPr>
          <w:rFonts w:ascii="Times New Roman" w:eastAsia="Times New Roman" w:hAnsi="Times New Roman" w:cs="Times New Roman"/>
        </w:rPr>
        <w:t xml:space="preserve"> (krūties vėžio atsparumo baltymas, angl. </w:t>
      </w:r>
      <w:proofErr w:type="spellStart"/>
      <w:r w:rsidRPr="007F2054">
        <w:rPr>
          <w:rFonts w:ascii="Times New Roman" w:eastAsia="Times New Roman" w:hAnsi="Times New Roman" w:cs="Times New Roman"/>
          <w:i/>
          <w:iCs/>
        </w:rPr>
        <w:t>breast</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cancer</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resistance</w:t>
      </w:r>
      <w:proofErr w:type="spellEnd"/>
      <w:r w:rsidRPr="007F2054">
        <w:rPr>
          <w:rFonts w:ascii="Times New Roman" w:eastAsia="Times New Roman" w:hAnsi="Times New Roman" w:cs="Times New Roman"/>
          <w:i/>
          <w:iCs/>
        </w:rPr>
        <w:t xml:space="preserve"> </w:t>
      </w:r>
      <w:proofErr w:type="spellStart"/>
      <w:r w:rsidRPr="007F2054">
        <w:rPr>
          <w:rFonts w:ascii="Times New Roman" w:eastAsia="Times New Roman" w:hAnsi="Times New Roman" w:cs="Times New Roman"/>
          <w:i/>
          <w:iCs/>
        </w:rPr>
        <w:t>protein</w:t>
      </w:r>
      <w:proofErr w:type="spellEnd"/>
      <w:r w:rsidRPr="007F2054">
        <w:rPr>
          <w:rFonts w:ascii="Times New Roman" w:eastAsia="Times New Roman" w:hAnsi="Times New Roman" w:cs="Times New Roman"/>
        </w:rPr>
        <w:t>) pernašų baltymų substratas.</w:t>
      </w:r>
    </w:p>
    <w:p w14:paraId="127E0018" w14:textId="05744B7D"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06D6664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A1E3ED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Ypatingos populiacijos</w:t>
      </w:r>
    </w:p>
    <w:p w14:paraId="255D3C1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4D6CF2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Lytis</w:t>
      </w:r>
    </w:p>
    <w:p w14:paraId="3FD565EE"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Klinikiniu požiūriu reikšmingų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ir farmakodinamikos skirtumų tarp vyrų ir moterų nustatyta nebuvo.</w:t>
      </w:r>
    </w:p>
    <w:p w14:paraId="78B42AB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32D84EE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Senyvi pacientai</w:t>
      </w:r>
    </w:p>
    <w:p w14:paraId="2F56ECD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Senyviems pacientams nustatyta didesnė koncentracija plazmoje nei jaunesniems pacientams, ir vidutinė AUC vertė buvo apytiksliai 1,5 karto didesnė daugiausia dėl sumažėjusio (tikrojo) bendro ir inkstų klirenso. Dozės koreguoti nereikia.</w:t>
      </w:r>
    </w:p>
    <w:p w14:paraId="34C8216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CB5986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Skirtingas svoris</w:t>
      </w:r>
    </w:p>
    <w:p w14:paraId="5DA54FAF" w14:textId="749EAA80"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Svorio </w:t>
      </w:r>
      <w:proofErr w:type="spellStart"/>
      <w:r w:rsidRPr="007F2054">
        <w:rPr>
          <w:rFonts w:ascii="Times New Roman" w:eastAsia="Times New Roman" w:hAnsi="Times New Roman" w:cs="Times New Roman"/>
        </w:rPr>
        <w:t>kraštutinumai</w:t>
      </w:r>
      <w:proofErr w:type="spellEnd"/>
      <w:r w:rsidRPr="007F2054">
        <w:rPr>
          <w:rFonts w:ascii="Times New Roman" w:eastAsia="Times New Roman" w:hAnsi="Times New Roman" w:cs="Times New Roman"/>
        </w:rPr>
        <w:t xml:space="preserve"> (&lt; 50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kg arba &gt; 120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kg) turėjo tik mažai įtakos rivaroksabano plazmos koncentracijai (mažiau nei 25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Dozės koreguoti nereikia.</w:t>
      </w:r>
    </w:p>
    <w:p w14:paraId="29EECE8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9751436"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Etniniai skirtumai</w:t>
      </w:r>
    </w:p>
    <w:p w14:paraId="2B95444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Atsižvelgiant į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farmakokinetiką</w:t>
      </w:r>
      <w:proofErr w:type="spellEnd"/>
      <w:r w:rsidRPr="007F2054">
        <w:rPr>
          <w:rFonts w:ascii="Times New Roman" w:eastAsia="Times New Roman" w:hAnsi="Times New Roman" w:cs="Times New Roman"/>
        </w:rPr>
        <w:t xml:space="preserve"> ir farmakodinamiką, kliniškai reikšmingų skirtumų tarp baltųjų, </w:t>
      </w:r>
      <w:proofErr w:type="spellStart"/>
      <w:r w:rsidRPr="007F2054">
        <w:rPr>
          <w:rFonts w:ascii="Times New Roman" w:eastAsia="Times New Roman" w:hAnsi="Times New Roman" w:cs="Times New Roman"/>
        </w:rPr>
        <w:t>afroamerikiečių</w:t>
      </w:r>
      <w:proofErr w:type="spellEnd"/>
      <w:r w:rsidRPr="007F2054">
        <w:rPr>
          <w:rFonts w:ascii="Times New Roman" w:eastAsia="Times New Roman" w:hAnsi="Times New Roman" w:cs="Times New Roman"/>
        </w:rPr>
        <w:t>, ispanų, japonų ar kinų etninių grupių pacientų nustatyta nebuvo.</w:t>
      </w:r>
    </w:p>
    <w:p w14:paraId="1869C19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C33CD17" w14:textId="77777777" w:rsidR="00D61A12" w:rsidRPr="00E11F75" w:rsidRDefault="00D61A12" w:rsidP="00D61A12">
      <w:pPr>
        <w:widowControl w:val="0"/>
        <w:autoSpaceDE w:val="0"/>
        <w:autoSpaceDN w:val="0"/>
        <w:spacing w:after="0" w:line="240" w:lineRule="auto"/>
        <w:rPr>
          <w:rFonts w:ascii="Times New Roman" w:eastAsia="Times New Roman" w:hAnsi="Times New Roman" w:cs="Times New Roman"/>
          <w:u w:val="single"/>
        </w:rPr>
      </w:pPr>
      <w:r w:rsidRPr="00E11F75">
        <w:rPr>
          <w:rFonts w:ascii="Times New Roman" w:eastAsia="Times New Roman" w:hAnsi="Times New Roman" w:cs="Times New Roman"/>
          <w:u w:val="single"/>
        </w:rPr>
        <w:t>Sutrikusi kepenų funkcija</w:t>
      </w:r>
    </w:p>
    <w:p w14:paraId="5A4FB708"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Kepenų ciroze sergantiems pacientams, kuriems buvo lengvas kepenų funkcijos sutrikimas (A klasė pagal </w:t>
      </w:r>
      <w:proofErr w:type="spellStart"/>
      <w:r w:rsidRPr="007F2054">
        <w:rPr>
          <w:rFonts w:ascii="Times New Roman" w:eastAsia="Times New Roman" w:hAnsi="Times New Roman" w:cs="Times New Roman"/>
        </w:rPr>
        <w:t>Child</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Pugh</w:t>
      </w:r>
      <w:proofErr w:type="spellEnd"/>
      <w:r w:rsidRPr="007F2054">
        <w:rPr>
          <w:rFonts w:ascii="Times New Roman" w:eastAsia="Times New Roman" w:hAnsi="Times New Roman" w:cs="Times New Roman"/>
        </w:rPr>
        <w:t xml:space="preserve">), buvo stebimi tik nedideli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pakitimai (vidutiniškai 1,2 karto padidėjęs rivaroksabano AUC), beveik palyginami su atitinkama sveikų asmenų kontroline grupe. Kepenų ciroze sergantiems pacientams, kuriems buvo vidutinio sunkumo kepenų funkcijos sutrikimas (B klasė pagal </w:t>
      </w:r>
      <w:proofErr w:type="spellStart"/>
      <w:r w:rsidRPr="007F2054">
        <w:rPr>
          <w:rFonts w:ascii="Times New Roman" w:eastAsia="Times New Roman" w:hAnsi="Times New Roman" w:cs="Times New Roman"/>
        </w:rPr>
        <w:t>Child</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Pugh</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vidutinis AUC buvo žymiai padidėjęs 2,3 karto, palyginti su sveikų savanorių. Laisvas AUC padidėjo 2,6 karto. Šių pacientų rivaroksabano eliminacija taip pat buvo susilpnėjusi, panašiai kaip ir pacientų, kuriems buvo vidutinio laipsnio inkstų funkcijos sutrikimas. Nėra duomenų apie pacientus, kuriems yra sunkus kepenų funkcijos sutrikimas.</w:t>
      </w:r>
    </w:p>
    <w:p w14:paraId="3F2D9947"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aktyvumo slopinimas pacientams, kuriems buvo vidutinio sunkumo kepenų funkcijos sutrikimas, buvo padidėjęs 2,6 karto, palyginti su sveikų savanorių, PL (angl. </w:t>
      </w:r>
      <w:proofErr w:type="spellStart"/>
      <w:r w:rsidRPr="007F2054">
        <w:rPr>
          <w:rFonts w:ascii="Times New Roman" w:eastAsia="Times New Roman" w:hAnsi="Times New Roman" w:cs="Times New Roman"/>
        </w:rPr>
        <w:t>prothrombin</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time</w:t>
      </w:r>
      <w:proofErr w:type="spellEnd"/>
      <w:r w:rsidRPr="007F2054">
        <w:rPr>
          <w:rFonts w:ascii="Times New Roman" w:eastAsia="Times New Roman" w:hAnsi="Times New Roman" w:cs="Times New Roman"/>
        </w:rPr>
        <w:t xml:space="preserve">) buvo pailgėjęs panašiai – 2,1 karto. Pacientai, kuriems buvo vidutinio sunkumo kepenų funkcijos sutrikimas, buvo jautresni </w:t>
      </w:r>
      <w:proofErr w:type="spellStart"/>
      <w:r w:rsidRPr="007F2054">
        <w:rPr>
          <w:rFonts w:ascii="Times New Roman" w:eastAsia="Times New Roman" w:hAnsi="Times New Roman" w:cs="Times New Roman"/>
        </w:rPr>
        <w:t>rivaroksabanui</w:t>
      </w:r>
      <w:proofErr w:type="spellEnd"/>
      <w:r w:rsidRPr="007F2054">
        <w:rPr>
          <w:rFonts w:ascii="Times New Roman" w:eastAsia="Times New Roman" w:hAnsi="Times New Roman" w:cs="Times New Roman"/>
        </w:rPr>
        <w:t xml:space="preserve">, todėl buvo didesnis jų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 farmakodinamikos santykis tarp koncentracijos ir PL.</w:t>
      </w:r>
    </w:p>
    <w:p w14:paraId="535E1DCC"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Rivaroksabano draudžiama vartoti pacientams, kurie serga kepenų ligomis, susijusiomis su </w:t>
      </w:r>
      <w:proofErr w:type="spellStart"/>
      <w:r w:rsidRPr="007F2054">
        <w:rPr>
          <w:rFonts w:ascii="Times New Roman" w:eastAsia="Times New Roman" w:hAnsi="Times New Roman" w:cs="Times New Roman"/>
        </w:rPr>
        <w:t>koagulopatija</w:t>
      </w:r>
      <w:proofErr w:type="spellEnd"/>
      <w:r w:rsidRPr="007F2054">
        <w:rPr>
          <w:rFonts w:ascii="Times New Roman" w:eastAsia="Times New Roman" w:hAnsi="Times New Roman" w:cs="Times New Roman"/>
        </w:rPr>
        <w:t xml:space="preserve"> ir klinikiniu požiūriu reikšminga kraujavimo rizika, įskaitant pacientus, sergančius kepenų ciroze (B ir C klasės pagal </w:t>
      </w:r>
      <w:proofErr w:type="spellStart"/>
      <w:r w:rsidRPr="007F2054">
        <w:rPr>
          <w:rFonts w:ascii="Times New Roman" w:eastAsia="Times New Roman" w:hAnsi="Times New Roman" w:cs="Times New Roman"/>
        </w:rPr>
        <w:t>Child</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Pugh</w:t>
      </w:r>
      <w:proofErr w:type="spellEnd"/>
      <w:r w:rsidRPr="007F2054">
        <w:rPr>
          <w:rFonts w:ascii="Times New Roman" w:eastAsia="Times New Roman" w:hAnsi="Times New Roman" w:cs="Times New Roman"/>
        </w:rPr>
        <w:t>) (žr. 4.3 skyrių).</w:t>
      </w:r>
    </w:p>
    <w:p w14:paraId="5CA9EF4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7E4C69C6" w14:textId="77777777" w:rsidR="00D61A12" w:rsidRPr="00E11F75" w:rsidRDefault="00D61A12" w:rsidP="00D61A12">
      <w:pPr>
        <w:widowControl w:val="0"/>
        <w:autoSpaceDE w:val="0"/>
        <w:autoSpaceDN w:val="0"/>
        <w:spacing w:after="0" w:line="240" w:lineRule="auto"/>
        <w:rPr>
          <w:rFonts w:ascii="Times New Roman" w:eastAsia="Times New Roman" w:hAnsi="Times New Roman" w:cs="Times New Roman"/>
          <w:u w:val="single"/>
        </w:rPr>
      </w:pPr>
      <w:r w:rsidRPr="00E11F75">
        <w:rPr>
          <w:rFonts w:ascii="Times New Roman" w:eastAsia="Times New Roman" w:hAnsi="Times New Roman" w:cs="Times New Roman"/>
          <w:u w:val="single"/>
        </w:rPr>
        <w:t>Sutrikusi inkstų funkcija</w:t>
      </w:r>
    </w:p>
    <w:p w14:paraId="5482D6FA" w14:textId="7698C72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Rivaroksabano koncentracijos padidėjimas koreliavo su inkstų funkcijos susilpnėjimu vertinant kreatinino klirenso tyrimus. Asmenims, kuriems buvo lengvas (kreatinino klirensas 50–80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ml/min), vidutinio sunkumo (kreatinino klirensas 30–49</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ml/min) ir sunkus (kreatinino klirensas 15–29 ml/min) inkstų funkcijos sutrikimas, rivaroksabano koncentracija plazmoje (AUC) buvo atitinkamai 1,4, 1,5 ir 1,6 karto padidėjusi. Atitinkamai buvo ryškesnis </w:t>
      </w:r>
      <w:proofErr w:type="spellStart"/>
      <w:r w:rsidRPr="007F2054">
        <w:rPr>
          <w:rFonts w:ascii="Times New Roman" w:eastAsia="Times New Roman" w:hAnsi="Times New Roman" w:cs="Times New Roman"/>
        </w:rPr>
        <w:t>farmakodinaminio</w:t>
      </w:r>
      <w:proofErr w:type="spellEnd"/>
      <w:r w:rsidRPr="007F2054">
        <w:rPr>
          <w:rFonts w:ascii="Times New Roman" w:eastAsia="Times New Roman" w:hAnsi="Times New Roman" w:cs="Times New Roman"/>
        </w:rPr>
        <w:t xml:space="preserve"> poveikio sustiprėjimas. Asmenims, kuriems buvo lengvas, vidutinio sunkumo ir sunkus inkstų funkcijos sutrikimas, bendras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aktyvumo slopinimas buvo padidėjęs atitinkamai 1,5, 1,9 ir 2,0 karto, palyginti su sveikais savanoriais; PL pailgėjimas buvo padidėjęs atitinkamai 1,3, 2,2 ir 2,4 karto. Duomenų apie pacientus, kurių kreatinino klirensas &lt; 15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ml/min, nėra.</w:t>
      </w:r>
    </w:p>
    <w:p w14:paraId="3A7E0D03"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Daug rivaroksabano prisijungia prie žmogaus plazmos baltymų, todėl manoma, kad dializės metu jo nepašalinama.</w:t>
      </w:r>
    </w:p>
    <w:p w14:paraId="10C5FDEA" w14:textId="38956D7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Nerekomenduojama skirti pacientams, kurių kreatinino klirensas &lt; 15</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ml/min. Pacientams, kurių kreatinino klirensas 15–29</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ml/min, rivaroksabano reikia skirti atsargiai (žr. 4.4 skyrių).</w:t>
      </w:r>
    </w:p>
    <w:p w14:paraId="16AABAF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2ED3A87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i/>
          <w:iCs/>
        </w:rPr>
      </w:pPr>
      <w:r w:rsidRPr="007F2054">
        <w:rPr>
          <w:rFonts w:ascii="Times New Roman" w:eastAsia="Times New Roman" w:hAnsi="Times New Roman" w:cs="Times New Roman"/>
          <w:i/>
          <w:iCs/>
        </w:rPr>
        <w:t xml:space="preserve">Pacientų </w:t>
      </w:r>
      <w:proofErr w:type="spellStart"/>
      <w:r w:rsidRPr="007F2054">
        <w:rPr>
          <w:rFonts w:ascii="Times New Roman" w:eastAsia="Times New Roman" w:hAnsi="Times New Roman" w:cs="Times New Roman"/>
          <w:i/>
          <w:iCs/>
        </w:rPr>
        <w:t>farmakokinetikos</w:t>
      </w:r>
      <w:proofErr w:type="spellEnd"/>
      <w:r w:rsidRPr="007F2054">
        <w:rPr>
          <w:rFonts w:ascii="Times New Roman" w:eastAsia="Times New Roman" w:hAnsi="Times New Roman" w:cs="Times New Roman"/>
          <w:i/>
          <w:iCs/>
        </w:rPr>
        <w:t xml:space="preserve"> duomenys</w:t>
      </w:r>
    </w:p>
    <w:p w14:paraId="08F1C38E" w14:textId="687C3CC6"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ŪKS patyrusiems pacientams, vartojusiems po 2,5 mg du kartus per parą </w:t>
      </w:r>
      <w:proofErr w:type="spellStart"/>
      <w:r w:rsidRPr="007F2054">
        <w:rPr>
          <w:rFonts w:ascii="Times New Roman" w:eastAsia="Times New Roman" w:hAnsi="Times New Roman" w:cs="Times New Roman"/>
        </w:rPr>
        <w:t>aterotrombozinių</w:t>
      </w:r>
      <w:proofErr w:type="spellEnd"/>
      <w:r w:rsidRPr="007F2054">
        <w:rPr>
          <w:rFonts w:ascii="Times New Roman" w:eastAsia="Times New Roman" w:hAnsi="Times New Roman" w:cs="Times New Roman"/>
        </w:rPr>
        <w:t xml:space="preserve"> reiškinių profilaktikai, geometrinis koncentracijos vidurkis (90</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 xml:space="preserve"> prognozavimo intervalas), praėjus 2–4</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val. ir maždaug 12 val. po dozės pavartojimo (apytikriai tai atitinka didžiausią ir mažiausią koncentraciją laikotarpiu tarp dozių) atitinkamai buvo 47 (13–123) ir 9,2 (4,4–18)</w:t>
      </w:r>
      <w:r w:rsidR="00C338A4" w:rsidRPr="007F2054">
        <w:rPr>
          <w:rFonts w:ascii="Times New Roman" w:eastAsia="Times New Roman" w:hAnsi="Times New Roman" w:cs="Times New Roman"/>
        </w:rPr>
        <w:t> </w:t>
      </w:r>
      <w:proofErr w:type="spellStart"/>
      <w:r w:rsidRPr="007F2054">
        <w:rPr>
          <w:rFonts w:ascii="Times New Roman" w:eastAsia="Times New Roman" w:hAnsi="Times New Roman" w:cs="Times New Roman"/>
        </w:rPr>
        <w:t>μg</w:t>
      </w:r>
      <w:proofErr w:type="spellEnd"/>
      <w:r w:rsidRPr="007F2054">
        <w:rPr>
          <w:rFonts w:ascii="Times New Roman" w:eastAsia="Times New Roman" w:hAnsi="Times New Roman" w:cs="Times New Roman"/>
        </w:rPr>
        <w:t>/l.</w:t>
      </w:r>
    </w:p>
    <w:p w14:paraId="3DE7E385"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0410435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u w:val="single"/>
        </w:rPr>
      </w:pPr>
      <w:r w:rsidRPr="007F2054">
        <w:rPr>
          <w:rFonts w:ascii="Times New Roman" w:eastAsia="Times New Roman" w:hAnsi="Times New Roman" w:cs="Times New Roman"/>
          <w:u w:val="single"/>
        </w:rPr>
        <w:t xml:space="preserve">Santykis tarp </w:t>
      </w:r>
      <w:proofErr w:type="spellStart"/>
      <w:r w:rsidRPr="007F2054">
        <w:rPr>
          <w:rFonts w:ascii="Times New Roman" w:eastAsia="Times New Roman" w:hAnsi="Times New Roman" w:cs="Times New Roman"/>
          <w:u w:val="single"/>
        </w:rPr>
        <w:t>farmakokinetikos</w:t>
      </w:r>
      <w:proofErr w:type="spellEnd"/>
      <w:r w:rsidRPr="007F2054">
        <w:rPr>
          <w:rFonts w:ascii="Times New Roman" w:eastAsia="Times New Roman" w:hAnsi="Times New Roman" w:cs="Times New Roman"/>
          <w:u w:val="single"/>
        </w:rPr>
        <w:t xml:space="preserve"> ir farmakodinamikos</w:t>
      </w:r>
    </w:p>
    <w:p w14:paraId="7EF4ABF5" w14:textId="0691C0BF"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Santykis tarp </w:t>
      </w:r>
      <w:proofErr w:type="spellStart"/>
      <w:r w:rsidRPr="007F2054">
        <w:rPr>
          <w:rFonts w:ascii="Times New Roman" w:eastAsia="Times New Roman" w:hAnsi="Times New Roman" w:cs="Times New Roman"/>
        </w:rPr>
        <w:t>farmakokinetikos</w:t>
      </w:r>
      <w:proofErr w:type="spellEnd"/>
      <w:r w:rsidRPr="007F2054">
        <w:rPr>
          <w:rFonts w:ascii="Times New Roman" w:eastAsia="Times New Roman" w:hAnsi="Times New Roman" w:cs="Times New Roman"/>
        </w:rPr>
        <w:t xml:space="preserve"> ir farmakodinamikos (FK / FD) buvo vertinamas tiriant rivaroksabano koncentraciją plazmoje ir keletą farmakodinamikos rodiklių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slopinimą, PL, DATL, </w:t>
      </w:r>
      <w:proofErr w:type="spellStart"/>
      <w:r w:rsidRPr="007F2054">
        <w:rPr>
          <w:rFonts w:ascii="Times New Roman" w:eastAsia="Times New Roman" w:hAnsi="Times New Roman" w:cs="Times New Roman"/>
        </w:rPr>
        <w:t>Heptest</w:t>
      </w:r>
      <w:proofErr w:type="spellEnd"/>
      <w:r w:rsidRPr="007F2054">
        <w:rPr>
          <w:rFonts w:ascii="Times New Roman" w:eastAsia="Times New Roman" w:hAnsi="Times New Roman" w:cs="Times New Roman"/>
        </w:rPr>
        <w:t xml:space="preserve">), paskyrus įvairių dozių (po 5–30 mg du kartus per parą).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koncentracijos ir </w:t>
      </w:r>
      <w:proofErr w:type="spellStart"/>
      <w:r w:rsidRPr="007F2054">
        <w:rPr>
          <w:rFonts w:ascii="Times New Roman" w:eastAsia="Times New Roman" w:hAnsi="Times New Roman" w:cs="Times New Roman"/>
        </w:rPr>
        <w:t>Xa</w:t>
      </w:r>
      <w:proofErr w:type="spellEnd"/>
      <w:r w:rsidRPr="007F2054">
        <w:rPr>
          <w:rFonts w:ascii="Times New Roman" w:eastAsia="Times New Roman" w:hAnsi="Times New Roman" w:cs="Times New Roman"/>
        </w:rPr>
        <w:t xml:space="preserve"> faktoriaus aktyvumo santykį geriausiai apibrėžia </w:t>
      </w:r>
      <w:proofErr w:type="spellStart"/>
      <w:r w:rsidRPr="007F2054">
        <w:rPr>
          <w:rFonts w:ascii="Times New Roman" w:eastAsia="Times New Roman" w:hAnsi="Times New Roman" w:cs="Times New Roman"/>
        </w:rPr>
        <w:t>Emax</w:t>
      </w:r>
      <w:proofErr w:type="spellEnd"/>
      <w:r w:rsidRPr="007F2054">
        <w:rPr>
          <w:rFonts w:ascii="Times New Roman" w:eastAsia="Times New Roman" w:hAnsi="Times New Roman" w:cs="Times New Roman"/>
        </w:rPr>
        <w:t xml:space="preserve"> modelis. Vertinant PL, duomenis geriau apibūdino tiesinių atkarpų modelis. Priklausomai nuo naudotų skirtingų PL reagentų, nuolydžio reikšmės buvo labai skirtingos. Naudojant </w:t>
      </w:r>
      <w:proofErr w:type="spellStart"/>
      <w:r w:rsidRPr="007F2054">
        <w:rPr>
          <w:rFonts w:ascii="Times New Roman" w:eastAsia="Times New Roman" w:hAnsi="Times New Roman" w:cs="Times New Roman"/>
        </w:rPr>
        <w:t>neoplastiną</w:t>
      </w:r>
      <w:proofErr w:type="spellEnd"/>
      <w:r w:rsidRPr="007F2054">
        <w:rPr>
          <w:rFonts w:ascii="Times New Roman" w:eastAsia="Times New Roman" w:hAnsi="Times New Roman" w:cs="Times New Roman"/>
        </w:rPr>
        <w:t xml:space="preserve"> PL tyrimui, bazinis PL buvo apie 13</w:t>
      </w:r>
      <w:r w:rsidR="00C338A4" w:rsidRPr="007F2054">
        <w:rPr>
          <w:rFonts w:ascii="Times New Roman" w:eastAsia="Times New Roman" w:hAnsi="Times New Roman" w:cs="Times New Roman"/>
        </w:rPr>
        <w:t> </w:t>
      </w:r>
      <w:r w:rsidRPr="007F2054">
        <w:rPr>
          <w:rFonts w:ascii="Times New Roman" w:eastAsia="Times New Roman" w:hAnsi="Times New Roman" w:cs="Times New Roman"/>
        </w:rPr>
        <w:t>s, o nuolydis buvo apie 3–4 s / (100</w:t>
      </w:r>
      <w:r w:rsidR="00C338A4" w:rsidRPr="007F2054">
        <w:rPr>
          <w:rFonts w:ascii="Times New Roman" w:eastAsia="Times New Roman" w:hAnsi="Times New Roman" w:cs="Times New Roman"/>
        </w:rPr>
        <w:t> </w:t>
      </w:r>
      <w:proofErr w:type="spellStart"/>
      <w:r w:rsidRPr="007F2054">
        <w:rPr>
          <w:rFonts w:ascii="Times New Roman" w:eastAsia="Times New Roman" w:hAnsi="Times New Roman" w:cs="Times New Roman"/>
        </w:rPr>
        <w:t>μg</w:t>
      </w:r>
      <w:proofErr w:type="spellEnd"/>
      <w:r w:rsidRPr="007F2054">
        <w:rPr>
          <w:rFonts w:ascii="Times New Roman" w:eastAsia="Times New Roman" w:hAnsi="Times New Roman" w:cs="Times New Roman"/>
        </w:rPr>
        <w:t>/l). FK / FD tyrimų rezultatai II ir III fazėse atitiko duomenis, kurie buvo gauti su sveikais asmenimis.</w:t>
      </w:r>
    </w:p>
    <w:p w14:paraId="0B75D529"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427F42D0" w14:textId="77777777" w:rsidR="00D61A12" w:rsidRPr="00E11F75" w:rsidRDefault="00D61A12" w:rsidP="00D61A12">
      <w:pPr>
        <w:widowControl w:val="0"/>
        <w:autoSpaceDE w:val="0"/>
        <w:autoSpaceDN w:val="0"/>
        <w:spacing w:after="0" w:line="240" w:lineRule="auto"/>
        <w:rPr>
          <w:rFonts w:ascii="Times New Roman" w:eastAsia="Times New Roman" w:hAnsi="Times New Roman" w:cs="Times New Roman"/>
          <w:u w:val="single"/>
        </w:rPr>
      </w:pPr>
      <w:r w:rsidRPr="00E11F75">
        <w:rPr>
          <w:rFonts w:ascii="Times New Roman" w:eastAsia="Times New Roman" w:hAnsi="Times New Roman" w:cs="Times New Roman"/>
          <w:u w:val="single"/>
        </w:rPr>
        <w:t>Vaikų populiacija</w:t>
      </w:r>
    </w:p>
    <w:p w14:paraId="2732F2E4"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Saugumas ir veiksmingumas vaikams ir paaugliams iki 18 metų amžiaus ŪKS ir VAL ir (arba) PAL indikacijoms neištirti.</w:t>
      </w:r>
    </w:p>
    <w:p w14:paraId="689CD9AF"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61E96D5B" w14:textId="77777777" w:rsidR="00C338A4" w:rsidRPr="00C338A4" w:rsidRDefault="00C338A4" w:rsidP="00C338A4">
      <w:pPr>
        <w:keepNext/>
        <w:numPr>
          <w:ilvl w:val="1"/>
          <w:numId w:val="14"/>
        </w:numPr>
        <w:tabs>
          <w:tab w:val="left" w:pos="567"/>
        </w:tabs>
        <w:spacing w:after="0" w:line="240" w:lineRule="auto"/>
        <w:ind w:left="567" w:hanging="567"/>
        <w:outlineLvl w:val="0"/>
        <w:rPr>
          <w:rFonts w:ascii="Times New Roman" w:eastAsia="Times New Roman" w:hAnsi="Times New Roman" w:cs="Times New Roman"/>
          <w:lang w:eastAsia="lt-LT"/>
        </w:rPr>
      </w:pPr>
      <w:r w:rsidRPr="00C338A4">
        <w:rPr>
          <w:rFonts w:ascii="Times New Roman" w:eastAsia="Times New Roman" w:hAnsi="Times New Roman" w:cs="Times New Roman"/>
          <w:b/>
          <w:szCs w:val="20"/>
          <w:lang w:eastAsia="lt-LT"/>
        </w:rPr>
        <w:t>Ikiklinikinių saugumo tyrimų duomenys</w:t>
      </w:r>
    </w:p>
    <w:p w14:paraId="20D15EC1"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p>
    <w:p w14:paraId="1B2CC42B"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Įprastų farmakologinio saugumo, vienkartinių dozių </w:t>
      </w:r>
      <w:proofErr w:type="spellStart"/>
      <w:r w:rsidRPr="007F2054">
        <w:rPr>
          <w:rFonts w:ascii="Times New Roman" w:eastAsia="Times New Roman" w:hAnsi="Times New Roman" w:cs="Times New Roman"/>
        </w:rPr>
        <w:t>toksiškumo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fototoksiškumo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genotoksiškumo</w:t>
      </w:r>
      <w:proofErr w:type="spellEnd"/>
      <w:r w:rsidRPr="007F2054">
        <w:rPr>
          <w:rFonts w:ascii="Times New Roman" w:eastAsia="Times New Roman" w:hAnsi="Times New Roman" w:cs="Times New Roman"/>
        </w:rPr>
        <w:t xml:space="preserve">, galimo </w:t>
      </w:r>
      <w:proofErr w:type="spellStart"/>
      <w:r w:rsidRPr="007F2054">
        <w:rPr>
          <w:rFonts w:ascii="Times New Roman" w:eastAsia="Times New Roman" w:hAnsi="Times New Roman" w:cs="Times New Roman"/>
        </w:rPr>
        <w:t>kancerogeniškumo</w:t>
      </w:r>
      <w:proofErr w:type="spellEnd"/>
      <w:r w:rsidRPr="007F2054">
        <w:rPr>
          <w:rFonts w:ascii="Times New Roman" w:eastAsia="Times New Roman" w:hAnsi="Times New Roman" w:cs="Times New Roman"/>
        </w:rPr>
        <w:t xml:space="preserve"> ir toksinio poveikio jaunikliams ikiklinikinių tyrimų duomenys specifinio pavojaus žmogui nerodo.</w:t>
      </w:r>
    </w:p>
    <w:p w14:paraId="1F6E65FD"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Poveikis, stebimas kartotinių dozių </w:t>
      </w:r>
      <w:proofErr w:type="spellStart"/>
      <w:r w:rsidRPr="007F2054">
        <w:rPr>
          <w:rFonts w:ascii="Times New Roman" w:eastAsia="Times New Roman" w:hAnsi="Times New Roman" w:cs="Times New Roman"/>
        </w:rPr>
        <w:t>toksiškumo</w:t>
      </w:r>
      <w:proofErr w:type="spellEnd"/>
      <w:r w:rsidRPr="007F2054">
        <w:rPr>
          <w:rFonts w:ascii="Times New Roman" w:eastAsia="Times New Roman" w:hAnsi="Times New Roman" w:cs="Times New Roman"/>
        </w:rPr>
        <w:t xml:space="preserve"> tyrimų metu, daugiausiai pasireiškė dėl didelio </w:t>
      </w:r>
      <w:proofErr w:type="spellStart"/>
      <w:r w:rsidRPr="007F2054">
        <w:rPr>
          <w:rFonts w:ascii="Times New Roman" w:eastAsia="Times New Roman" w:hAnsi="Times New Roman" w:cs="Times New Roman"/>
        </w:rPr>
        <w:t>farmakodinaminio</w:t>
      </w:r>
      <w:proofErr w:type="spellEnd"/>
      <w:r w:rsidRPr="007F2054">
        <w:rPr>
          <w:rFonts w:ascii="Times New Roman" w:eastAsia="Times New Roman" w:hAnsi="Times New Roman" w:cs="Times New Roman"/>
        </w:rPr>
        <w:t xml:space="preserve"> </w:t>
      </w:r>
      <w:proofErr w:type="spellStart"/>
      <w:r w:rsidRPr="007F2054">
        <w:rPr>
          <w:rFonts w:ascii="Times New Roman" w:eastAsia="Times New Roman" w:hAnsi="Times New Roman" w:cs="Times New Roman"/>
        </w:rPr>
        <w:t>rivaroksabano</w:t>
      </w:r>
      <w:proofErr w:type="spellEnd"/>
      <w:r w:rsidRPr="007F2054">
        <w:rPr>
          <w:rFonts w:ascii="Times New Roman" w:eastAsia="Times New Roman" w:hAnsi="Times New Roman" w:cs="Times New Roman"/>
        </w:rPr>
        <w:t xml:space="preserve"> poveikio. Atliekant tyrimus su žiurkėmis, buvo stebėtos didesnės </w:t>
      </w:r>
      <w:proofErr w:type="spellStart"/>
      <w:r w:rsidRPr="007F2054">
        <w:rPr>
          <w:rFonts w:ascii="Times New Roman" w:eastAsia="Times New Roman" w:hAnsi="Times New Roman" w:cs="Times New Roman"/>
        </w:rPr>
        <w:t>IgG</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IgA</w:t>
      </w:r>
      <w:proofErr w:type="spellEnd"/>
      <w:r w:rsidRPr="007F2054">
        <w:rPr>
          <w:rFonts w:ascii="Times New Roman" w:eastAsia="Times New Roman" w:hAnsi="Times New Roman" w:cs="Times New Roman"/>
        </w:rPr>
        <w:t xml:space="preserve"> koncentracijos plazmoje, esant klinikiniu požiūriu reikšmingai ekspozicijai.</w:t>
      </w:r>
    </w:p>
    <w:p w14:paraId="694B4F82" w14:textId="77777777" w:rsidR="00D61A12" w:rsidRPr="007F2054" w:rsidRDefault="00D61A12" w:rsidP="00D61A12">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 xml:space="preserve">Poveikio žiurkių patinų arba patelių vaisingumui nepastebėta. Tyrimai su gyvūnais parodė reprodukcinį </w:t>
      </w:r>
      <w:proofErr w:type="spellStart"/>
      <w:r w:rsidRPr="007F2054">
        <w:rPr>
          <w:rFonts w:ascii="Times New Roman" w:eastAsia="Times New Roman" w:hAnsi="Times New Roman" w:cs="Times New Roman"/>
        </w:rPr>
        <w:t>toksiškumą</w:t>
      </w:r>
      <w:proofErr w:type="spellEnd"/>
      <w:r w:rsidRPr="007F2054">
        <w:rPr>
          <w:rFonts w:ascii="Times New Roman" w:eastAsia="Times New Roman" w:hAnsi="Times New Roman" w:cs="Times New Roman"/>
        </w:rPr>
        <w:t xml:space="preserve">,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w:t>
      </w:r>
      <w:proofErr w:type="spellStart"/>
      <w:r w:rsidRPr="007F2054">
        <w:rPr>
          <w:rFonts w:ascii="Times New Roman" w:eastAsia="Times New Roman" w:hAnsi="Times New Roman" w:cs="Times New Roman"/>
        </w:rPr>
        <w:t>Prenatalinių</w:t>
      </w:r>
      <w:proofErr w:type="spellEnd"/>
      <w:r w:rsidRPr="007F2054">
        <w:rPr>
          <w:rFonts w:ascii="Times New Roman" w:eastAsia="Times New Roman" w:hAnsi="Times New Roman" w:cs="Times New Roman"/>
        </w:rPr>
        <w:t xml:space="preserve"> ir </w:t>
      </w:r>
      <w:proofErr w:type="spellStart"/>
      <w:r w:rsidRPr="007F2054">
        <w:rPr>
          <w:rFonts w:ascii="Times New Roman" w:eastAsia="Times New Roman" w:hAnsi="Times New Roman" w:cs="Times New Roman"/>
        </w:rPr>
        <w:t>postnatalinių</w:t>
      </w:r>
      <w:proofErr w:type="spellEnd"/>
      <w:r w:rsidRPr="007F2054">
        <w:rPr>
          <w:rFonts w:ascii="Times New Roman" w:eastAsia="Times New Roman" w:hAnsi="Times New Roman" w:cs="Times New Roman"/>
        </w:rPr>
        <w:t xml:space="preserve"> tyrimų su žiurkėmis metu, skiriant vaisingoms patelėms toksiškų dozių, buvo stebimas sumažėjęs palikuonių gyvybingumas.</w:t>
      </w:r>
    </w:p>
    <w:p w14:paraId="4E245D40"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641A3D29"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5DA930B9" w14:textId="77777777" w:rsidR="003F257C" w:rsidRPr="003F257C" w:rsidRDefault="003F257C" w:rsidP="00BC76CE">
      <w:pPr>
        <w:widowControl w:val="0"/>
        <w:numPr>
          <w:ilvl w:val="0"/>
          <w:numId w:val="15"/>
        </w:numPr>
        <w:tabs>
          <w:tab w:val="left" w:pos="1585"/>
          <w:tab w:val="left" w:pos="1586"/>
        </w:tabs>
        <w:autoSpaceDE w:val="0"/>
        <w:autoSpaceDN w:val="0"/>
        <w:spacing w:after="0" w:line="240" w:lineRule="auto"/>
        <w:ind w:left="567" w:hanging="567"/>
        <w:outlineLvl w:val="0"/>
        <w:rPr>
          <w:rFonts w:ascii="Times New Roman" w:eastAsia="Times New Roman" w:hAnsi="Times New Roman" w:cs="Times New Roman"/>
          <w:b/>
          <w:bCs/>
        </w:rPr>
      </w:pPr>
      <w:r w:rsidRPr="003F257C">
        <w:rPr>
          <w:rFonts w:ascii="Times New Roman" w:eastAsia="Times New Roman" w:hAnsi="Times New Roman" w:cs="Times New Roman"/>
          <w:b/>
          <w:bCs/>
        </w:rPr>
        <w:t>FARMACINĖ</w:t>
      </w:r>
      <w:r w:rsidRPr="003F257C">
        <w:rPr>
          <w:rFonts w:ascii="Times New Roman" w:eastAsia="Times New Roman" w:hAnsi="Times New Roman" w:cs="Times New Roman"/>
          <w:b/>
          <w:bCs/>
          <w:spacing w:val="-1"/>
        </w:rPr>
        <w:t xml:space="preserve"> </w:t>
      </w:r>
      <w:r w:rsidRPr="003F257C">
        <w:rPr>
          <w:rFonts w:ascii="Times New Roman" w:eastAsia="Times New Roman" w:hAnsi="Times New Roman" w:cs="Times New Roman"/>
          <w:b/>
          <w:bCs/>
        </w:rPr>
        <w:t>INFORMACIJA</w:t>
      </w:r>
    </w:p>
    <w:p w14:paraId="3EBF1973"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44402E5D" w14:textId="77777777" w:rsidR="003F257C" w:rsidRPr="003F257C" w:rsidRDefault="003F257C" w:rsidP="00BC76CE">
      <w:pPr>
        <w:widowControl w:val="0"/>
        <w:numPr>
          <w:ilvl w:val="1"/>
          <w:numId w:val="15"/>
        </w:numPr>
        <w:tabs>
          <w:tab w:val="left" w:pos="1585"/>
          <w:tab w:val="left" w:pos="1586"/>
        </w:tabs>
        <w:autoSpaceDE w:val="0"/>
        <w:autoSpaceDN w:val="0"/>
        <w:spacing w:after="0" w:line="240" w:lineRule="auto"/>
        <w:ind w:left="567" w:hanging="567"/>
        <w:rPr>
          <w:rFonts w:ascii="Times New Roman" w:eastAsia="Times New Roman" w:hAnsi="Times New Roman" w:cs="Times New Roman"/>
          <w:b/>
        </w:rPr>
      </w:pPr>
      <w:r w:rsidRPr="003F257C">
        <w:rPr>
          <w:rFonts w:ascii="Times New Roman" w:eastAsia="Times New Roman" w:hAnsi="Times New Roman" w:cs="Times New Roman"/>
          <w:b/>
        </w:rPr>
        <w:t>Pagalbinių medžiagų</w:t>
      </w:r>
      <w:r w:rsidRPr="003F257C">
        <w:rPr>
          <w:rFonts w:ascii="Times New Roman" w:eastAsia="Times New Roman" w:hAnsi="Times New Roman" w:cs="Times New Roman"/>
          <w:b/>
          <w:spacing w:val="-3"/>
        </w:rPr>
        <w:t xml:space="preserve"> </w:t>
      </w:r>
      <w:r w:rsidRPr="003F257C">
        <w:rPr>
          <w:rFonts w:ascii="Times New Roman" w:eastAsia="Times New Roman" w:hAnsi="Times New Roman" w:cs="Times New Roman"/>
          <w:b/>
        </w:rPr>
        <w:t>sąrašas</w:t>
      </w:r>
    </w:p>
    <w:p w14:paraId="6D3F7A9A"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374F5776"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bookmarkStart w:id="1" w:name="_Hlk117066929"/>
      <w:r w:rsidRPr="003F257C">
        <w:rPr>
          <w:rFonts w:ascii="Times New Roman" w:eastAsia="Times New Roman" w:hAnsi="Times New Roman" w:cs="Times New Roman"/>
          <w:u w:val="single"/>
        </w:rPr>
        <w:lastRenderedPageBreak/>
        <w:t>Tabletės šerdis</w:t>
      </w:r>
      <w:r w:rsidRPr="003F257C">
        <w:rPr>
          <w:rFonts w:ascii="Times New Roman" w:eastAsia="Times New Roman" w:hAnsi="Times New Roman" w:cs="Times New Roman"/>
        </w:rPr>
        <w:t xml:space="preserve"> </w:t>
      </w:r>
    </w:p>
    <w:p w14:paraId="79DB2AE5"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Mikrokristalinė</w:t>
      </w:r>
      <w:proofErr w:type="spellEnd"/>
      <w:r w:rsidRPr="003F257C">
        <w:rPr>
          <w:rFonts w:ascii="Times New Roman" w:eastAsia="Times New Roman" w:hAnsi="Times New Roman" w:cs="Times New Roman"/>
        </w:rPr>
        <w:t xml:space="preserve"> celiuliozė </w:t>
      </w:r>
    </w:p>
    <w:p w14:paraId="15B73EBC" w14:textId="77777777" w:rsidR="00346740" w:rsidRPr="003F257C" w:rsidRDefault="00346740" w:rsidP="00346740">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Kroskarmeliozės</w:t>
      </w:r>
      <w:proofErr w:type="spellEnd"/>
      <w:r w:rsidRPr="003F257C">
        <w:rPr>
          <w:rFonts w:ascii="Times New Roman" w:eastAsia="Times New Roman" w:hAnsi="Times New Roman" w:cs="Times New Roman"/>
        </w:rPr>
        <w:t xml:space="preserve"> natrio druska </w:t>
      </w:r>
    </w:p>
    <w:p w14:paraId="7CBE631B" w14:textId="4E7E1448" w:rsidR="00346740" w:rsidRPr="007F2054" w:rsidRDefault="00346740" w:rsidP="003F257C">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lang w:eastAsia="lt-LT" w:bidi="lt-LT"/>
        </w:rPr>
        <w:t>Hidroksipropilceliuliozė</w:t>
      </w:r>
      <w:proofErr w:type="spellEnd"/>
      <w:r w:rsidRPr="007F2054">
        <w:rPr>
          <w:rFonts w:ascii="Times New Roman" w:eastAsia="Times New Roman" w:hAnsi="Times New Roman" w:cs="Times New Roman"/>
        </w:rPr>
        <w:t xml:space="preserve"> </w:t>
      </w:r>
    </w:p>
    <w:p w14:paraId="53B2ECA4" w14:textId="308BC2D6"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Natrio </w:t>
      </w:r>
      <w:proofErr w:type="spellStart"/>
      <w:r w:rsidRPr="003F257C">
        <w:rPr>
          <w:rFonts w:ascii="Times New Roman" w:eastAsia="Times New Roman" w:hAnsi="Times New Roman" w:cs="Times New Roman"/>
        </w:rPr>
        <w:t>laurilsulfatas</w:t>
      </w:r>
      <w:proofErr w:type="spellEnd"/>
      <w:r w:rsidRPr="003F257C">
        <w:rPr>
          <w:rFonts w:ascii="Times New Roman" w:eastAsia="Times New Roman" w:hAnsi="Times New Roman" w:cs="Times New Roman"/>
        </w:rPr>
        <w:t xml:space="preserve"> </w:t>
      </w:r>
    </w:p>
    <w:p w14:paraId="6D1651E4" w14:textId="77777777" w:rsidR="00346740" w:rsidRPr="003F257C" w:rsidRDefault="00346740" w:rsidP="00346740">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Magnio</w:t>
      </w:r>
      <w:r w:rsidRPr="003F257C">
        <w:rPr>
          <w:rFonts w:ascii="Times New Roman" w:eastAsia="Times New Roman" w:hAnsi="Times New Roman" w:cs="Times New Roman"/>
          <w:spacing w:val="-2"/>
        </w:rPr>
        <w:t xml:space="preserve"> </w:t>
      </w:r>
      <w:proofErr w:type="spellStart"/>
      <w:r w:rsidRPr="003F257C">
        <w:rPr>
          <w:rFonts w:ascii="Times New Roman" w:eastAsia="Times New Roman" w:hAnsi="Times New Roman" w:cs="Times New Roman"/>
        </w:rPr>
        <w:t>stearatas</w:t>
      </w:r>
      <w:proofErr w:type="spellEnd"/>
    </w:p>
    <w:p w14:paraId="1D4F527D" w14:textId="19C7F044" w:rsidR="003F257C" w:rsidRPr="007F2054" w:rsidRDefault="00346740" w:rsidP="003F257C">
      <w:pPr>
        <w:widowControl w:val="0"/>
        <w:autoSpaceDE w:val="0"/>
        <w:autoSpaceDN w:val="0"/>
        <w:spacing w:after="0" w:line="240" w:lineRule="auto"/>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Koloidinis silicio dioksidas, bevandenis</w:t>
      </w:r>
    </w:p>
    <w:p w14:paraId="7F2E46E8" w14:textId="77777777" w:rsidR="00346740" w:rsidRPr="003F257C" w:rsidRDefault="00346740" w:rsidP="003F257C">
      <w:pPr>
        <w:widowControl w:val="0"/>
        <w:autoSpaceDE w:val="0"/>
        <w:autoSpaceDN w:val="0"/>
        <w:spacing w:after="0" w:line="240" w:lineRule="auto"/>
        <w:rPr>
          <w:rFonts w:ascii="Times New Roman" w:eastAsia="Times New Roman" w:hAnsi="Times New Roman" w:cs="Times New Roman"/>
        </w:rPr>
      </w:pPr>
    </w:p>
    <w:p w14:paraId="071C54B1"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u w:val="single"/>
        </w:rPr>
        <w:t>Plėvelė</w:t>
      </w:r>
      <w:r w:rsidRPr="003F257C">
        <w:rPr>
          <w:rFonts w:ascii="Times New Roman" w:eastAsia="Times New Roman" w:hAnsi="Times New Roman" w:cs="Times New Roman"/>
        </w:rPr>
        <w:t xml:space="preserve"> </w:t>
      </w:r>
    </w:p>
    <w:p w14:paraId="64E9B528" w14:textId="27D0D3BA"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Hipromeliozė</w:t>
      </w:r>
      <w:proofErr w:type="spellEnd"/>
      <w:r w:rsidRPr="003F257C">
        <w:rPr>
          <w:rFonts w:ascii="Times New Roman" w:eastAsia="Times New Roman" w:hAnsi="Times New Roman" w:cs="Times New Roman"/>
        </w:rPr>
        <w:t xml:space="preserve"> </w:t>
      </w:r>
      <w:r w:rsidR="00346740" w:rsidRPr="007F2054">
        <w:rPr>
          <w:rFonts w:ascii="Times New Roman" w:eastAsia="Times New Roman" w:hAnsi="Times New Roman" w:cs="Times New Roman"/>
        </w:rPr>
        <w:t xml:space="preserve">3 </w:t>
      </w:r>
      <w:proofErr w:type="spellStart"/>
      <w:r w:rsidR="00346740" w:rsidRPr="007F2054">
        <w:rPr>
          <w:rFonts w:ascii="Times New Roman" w:eastAsia="Times New Roman" w:hAnsi="Times New Roman" w:cs="Times New Roman"/>
        </w:rPr>
        <w:t>cPs</w:t>
      </w:r>
      <w:proofErr w:type="spellEnd"/>
      <w:r w:rsidR="00346740" w:rsidRPr="007F2054">
        <w:rPr>
          <w:rFonts w:ascii="Times New Roman" w:eastAsia="Times New Roman" w:hAnsi="Times New Roman" w:cs="Times New Roman"/>
        </w:rPr>
        <w:t xml:space="preserve"> (E464)</w:t>
      </w:r>
      <w:r w:rsidRPr="003F257C">
        <w:rPr>
          <w:rFonts w:ascii="Times New Roman" w:eastAsia="Times New Roman" w:hAnsi="Times New Roman" w:cs="Times New Roman"/>
        </w:rPr>
        <w:t xml:space="preserve"> </w:t>
      </w:r>
    </w:p>
    <w:p w14:paraId="24D91FB8" w14:textId="77777777" w:rsidR="00346740" w:rsidRPr="007F2054" w:rsidRDefault="00346740" w:rsidP="00346740">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Makrogolis 3350 (E1521)</w:t>
      </w:r>
    </w:p>
    <w:p w14:paraId="038AC1F2" w14:textId="77777777" w:rsidR="00346740" w:rsidRPr="007F2054" w:rsidRDefault="00346740" w:rsidP="00346740">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Talkas (E553b)</w:t>
      </w:r>
    </w:p>
    <w:p w14:paraId="6AF04EA4" w14:textId="0D5D20C8" w:rsidR="00346740" w:rsidRPr="007F2054" w:rsidRDefault="00346740" w:rsidP="00346740">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Titano dioksidas (E171)</w:t>
      </w:r>
    </w:p>
    <w:p w14:paraId="02CC0A25" w14:textId="482D55B0" w:rsidR="00346740" w:rsidRPr="007F2054" w:rsidRDefault="00346740" w:rsidP="00346740">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Raudonasis geležies oksidas (E172)</w:t>
      </w:r>
    </w:p>
    <w:bookmarkEnd w:id="1"/>
    <w:p w14:paraId="58A84F78"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4BFD8FC6" w14:textId="77777777" w:rsidR="003F257C" w:rsidRPr="003F257C" w:rsidRDefault="003F257C" w:rsidP="00BC76CE">
      <w:pPr>
        <w:widowControl w:val="0"/>
        <w:numPr>
          <w:ilvl w:val="1"/>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Nesuderinamumas</w:t>
      </w:r>
    </w:p>
    <w:p w14:paraId="59818F52"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5A64284F"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Duomenys nebūtini</w:t>
      </w:r>
    </w:p>
    <w:p w14:paraId="4F6B51A3"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6327CC7B" w14:textId="77777777" w:rsidR="003F257C" w:rsidRPr="003F257C" w:rsidRDefault="003F257C" w:rsidP="00BC76CE">
      <w:pPr>
        <w:widowControl w:val="0"/>
        <w:numPr>
          <w:ilvl w:val="1"/>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Tinkamumo laikas</w:t>
      </w:r>
    </w:p>
    <w:p w14:paraId="08DC649A"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0A0C1A3A" w14:textId="69DEB4DE" w:rsidR="003F257C" w:rsidRPr="007F2054" w:rsidRDefault="00346740" w:rsidP="003F257C">
      <w:pPr>
        <w:widowControl w:val="0"/>
        <w:autoSpaceDE w:val="0"/>
        <w:autoSpaceDN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3</w:t>
      </w:r>
      <w:r w:rsidR="00DA6E47">
        <w:rPr>
          <w:rFonts w:ascii="Times New Roman" w:eastAsia="Times New Roman" w:hAnsi="Times New Roman" w:cs="Times New Roman"/>
        </w:rPr>
        <w:t>0</w:t>
      </w:r>
      <w:r w:rsidR="003F257C" w:rsidRPr="003F257C">
        <w:rPr>
          <w:rFonts w:ascii="Times New Roman" w:eastAsia="Times New Roman" w:hAnsi="Times New Roman" w:cs="Times New Roman"/>
        </w:rPr>
        <w:t xml:space="preserve"> m</w:t>
      </w:r>
      <w:r w:rsidR="00DA6E47">
        <w:rPr>
          <w:rFonts w:ascii="Times New Roman" w:eastAsia="Times New Roman" w:hAnsi="Times New Roman" w:cs="Times New Roman"/>
        </w:rPr>
        <w:t>ėnesių</w:t>
      </w:r>
    </w:p>
    <w:p w14:paraId="5A4469F0" w14:textId="77777777" w:rsidR="00346740" w:rsidRPr="003F257C" w:rsidRDefault="00346740" w:rsidP="003F257C">
      <w:pPr>
        <w:widowControl w:val="0"/>
        <w:autoSpaceDE w:val="0"/>
        <w:autoSpaceDN w:val="0"/>
        <w:spacing w:after="0" w:line="240" w:lineRule="auto"/>
        <w:rPr>
          <w:rFonts w:ascii="Times New Roman" w:eastAsia="Times New Roman" w:hAnsi="Times New Roman" w:cs="Times New Roman"/>
        </w:rPr>
      </w:pPr>
    </w:p>
    <w:p w14:paraId="2B59DA5F" w14:textId="1673F050" w:rsidR="00346740" w:rsidRPr="007F2054" w:rsidRDefault="00346740" w:rsidP="00346740">
      <w:pPr>
        <w:tabs>
          <w:tab w:val="left" w:pos="720"/>
        </w:tabs>
        <w:snapToGrid w:val="0"/>
        <w:spacing w:after="0" w:line="240" w:lineRule="auto"/>
        <w:ind w:right="-2"/>
        <w:rPr>
          <w:rFonts w:ascii="Times New Roman" w:eastAsia="Times New Roman" w:hAnsi="Times New Roman" w:cs="Times New Roman"/>
          <w:u w:val="single"/>
        </w:rPr>
      </w:pPr>
      <w:r w:rsidRPr="007F2054">
        <w:rPr>
          <w:rFonts w:ascii="Times New Roman" w:eastAsia="Times New Roman" w:hAnsi="Times New Roman" w:cs="Times New Roman"/>
          <w:u w:val="single"/>
        </w:rPr>
        <w:t>Su</w:t>
      </w:r>
      <w:r w:rsidR="00B96744">
        <w:rPr>
          <w:rFonts w:ascii="Times New Roman" w:eastAsia="Times New Roman" w:hAnsi="Times New Roman" w:cs="Times New Roman"/>
          <w:u w:val="single"/>
        </w:rPr>
        <w:t>traiškytos</w:t>
      </w:r>
      <w:r w:rsidRPr="007F2054">
        <w:rPr>
          <w:rFonts w:ascii="Times New Roman" w:eastAsia="Times New Roman" w:hAnsi="Times New Roman" w:cs="Times New Roman"/>
          <w:u w:val="single"/>
        </w:rPr>
        <w:t xml:space="preserve"> tabletės</w:t>
      </w:r>
    </w:p>
    <w:p w14:paraId="311B4475" w14:textId="14CE103A" w:rsidR="00346740" w:rsidRPr="007F2054" w:rsidRDefault="00346740" w:rsidP="00346740">
      <w:pPr>
        <w:tabs>
          <w:tab w:val="left" w:pos="720"/>
        </w:tabs>
        <w:snapToGrid w:val="0"/>
        <w:spacing w:after="0" w:line="240" w:lineRule="auto"/>
        <w:ind w:right="-2"/>
        <w:rPr>
          <w:rFonts w:ascii="Times New Roman" w:eastAsia="Times New Roman" w:hAnsi="Times New Roman" w:cs="Times New Roman"/>
        </w:rPr>
      </w:pPr>
      <w:r w:rsidRPr="007F2054">
        <w:rPr>
          <w:rFonts w:ascii="Times New Roman" w:eastAsia="Times New Roman" w:hAnsi="Times New Roman" w:cs="Times New Roman"/>
        </w:rPr>
        <w:t>Su</w:t>
      </w:r>
      <w:r w:rsidR="00B96744">
        <w:rPr>
          <w:rFonts w:ascii="Times New Roman" w:eastAsia="Times New Roman" w:hAnsi="Times New Roman" w:cs="Times New Roman"/>
        </w:rPr>
        <w:t>traiškytos</w:t>
      </w:r>
      <w:r w:rsidRPr="007F2054">
        <w:rPr>
          <w:rFonts w:ascii="Times New Roman" w:eastAsia="Times New Roman" w:hAnsi="Times New Roman" w:cs="Times New Roman"/>
        </w:rPr>
        <w:t xml:space="preserve"> </w:t>
      </w:r>
      <w:r w:rsidR="00B96744">
        <w:rPr>
          <w:rFonts w:ascii="Times New Roman" w:eastAsia="Times New Roman" w:hAnsi="Times New Roman" w:cs="Times New Roman"/>
        </w:rPr>
        <w:t xml:space="preserve">rivaroksabano </w:t>
      </w:r>
      <w:r w:rsidRPr="007F2054">
        <w:rPr>
          <w:rFonts w:ascii="Times New Roman" w:eastAsia="Times New Roman" w:hAnsi="Times New Roman" w:cs="Times New Roman"/>
        </w:rPr>
        <w:t>tabletės</w:t>
      </w:r>
      <w:r w:rsidR="00B96744">
        <w:rPr>
          <w:rFonts w:ascii="Times New Roman" w:eastAsia="Times New Roman" w:hAnsi="Times New Roman" w:cs="Times New Roman"/>
        </w:rPr>
        <w:t xml:space="preserve"> išlieka</w:t>
      </w:r>
      <w:r w:rsidRPr="007F2054">
        <w:rPr>
          <w:rFonts w:ascii="Times New Roman" w:eastAsia="Times New Roman" w:hAnsi="Times New Roman" w:cs="Times New Roman"/>
        </w:rPr>
        <w:t xml:space="preserve"> stabilios vandenyje arba obuolių tyrėje iki 4 valandų.</w:t>
      </w:r>
    </w:p>
    <w:p w14:paraId="0D56D1FB"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56C2326B" w14:textId="77777777" w:rsidR="003F257C" w:rsidRPr="003F257C" w:rsidRDefault="003F257C" w:rsidP="00BC76CE">
      <w:pPr>
        <w:widowControl w:val="0"/>
        <w:numPr>
          <w:ilvl w:val="1"/>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Specialios laikymo</w:t>
      </w:r>
      <w:r w:rsidRPr="003F257C">
        <w:rPr>
          <w:rFonts w:ascii="Times New Roman" w:eastAsia="Times New Roman" w:hAnsi="Times New Roman" w:cs="Times New Roman"/>
          <w:b/>
          <w:bCs/>
          <w:spacing w:val="-2"/>
        </w:rPr>
        <w:t xml:space="preserve"> </w:t>
      </w:r>
      <w:r w:rsidRPr="003F257C">
        <w:rPr>
          <w:rFonts w:ascii="Times New Roman" w:eastAsia="Times New Roman" w:hAnsi="Times New Roman" w:cs="Times New Roman"/>
          <w:b/>
          <w:bCs/>
        </w:rPr>
        <w:t>sąlygos</w:t>
      </w:r>
    </w:p>
    <w:p w14:paraId="73152176"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4AC7C494" w14:textId="58C4EAA3" w:rsidR="00346740" w:rsidRPr="007F2054" w:rsidRDefault="00346740" w:rsidP="00346740">
      <w:pPr>
        <w:tabs>
          <w:tab w:val="left" w:pos="720"/>
        </w:tabs>
        <w:snapToGrid w:val="0"/>
        <w:spacing w:after="0" w:line="240" w:lineRule="auto"/>
        <w:rPr>
          <w:rFonts w:ascii="Times New Roman" w:eastAsia="Times New Roman" w:hAnsi="Times New Roman" w:cs="Times New Roman"/>
          <w:color w:val="000000"/>
          <w:lang w:eastAsia="lt-LT" w:bidi="lt-LT"/>
        </w:rPr>
      </w:pPr>
      <w:bookmarkStart w:id="2" w:name="_Hlk117081793"/>
      <w:r w:rsidRPr="007F2054">
        <w:rPr>
          <w:rFonts w:ascii="Times New Roman" w:eastAsia="Times New Roman" w:hAnsi="Times New Roman" w:cs="Times New Roman"/>
          <w:color w:val="000000"/>
          <w:lang w:eastAsia="lt-LT" w:bidi="lt-LT"/>
        </w:rPr>
        <w:t>Laikyti gamintojo pakuotėje, kad vaist</w:t>
      </w:r>
      <w:r w:rsidR="00013FF6">
        <w:rPr>
          <w:rFonts w:ascii="Times New Roman" w:eastAsia="Times New Roman" w:hAnsi="Times New Roman" w:cs="Times New Roman"/>
          <w:color w:val="000000"/>
          <w:lang w:eastAsia="lt-LT" w:bidi="lt-LT"/>
        </w:rPr>
        <w:t>inis preparatas</w:t>
      </w:r>
      <w:r w:rsidRPr="007F2054">
        <w:rPr>
          <w:rFonts w:ascii="Times New Roman" w:eastAsia="Times New Roman" w:hAnsi="Times New Roman" w:cs="Times New Roman"/>
          <w:color w:val="000000"/>
          <w:lang w:eastAsia="lt-LT" w:bidi="lt-LT"/>
        </w:rPr>
        <w:t xml:space="preserve"> būtų apsaugotas nuo drėgmės.</w:t>
      </w:r>
    </w:p>
    <w:p w14:paraId="6CCD3AEE" w14:textId="1C4CC3F3" w:rsidR="00346740" w:rsidRPr="007F2054" w:rsidRDefault="00346740" w:rsidP="00346740">
      <w:pPr>
        <w:tabs>
          <w:tab w:val="left" w:pos="720"/>
        </w:tabs>
        <w:snapToGrid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Šio vaist</w:t>
      </w:r>
      <w:r w:rsidR="00013FF6">
        <w:rPr>
          <w:rFonts w:ascii="Times New Roman" w:eastAsia="Times New Roman" w:hAnsi="Times New Roman" w:cs="Times New Roman"/>
        </w:rPr>
        <w:t>ini</w:t>
      </w:r>
      <w:r w:rsidRPr="007F2054">
        <w:rPr>
          <w:rFonts w:ascii="Times New Roman" w:eastAsia="Times New Roman" w:hAnsi="Times New Roman" w:cs="Times New Roman"/>
        </w:rPr>
        <w:t>o</w:t>
      </w:r>
      <w:r w:rsidR="00013FF6">
        <w:rPr>
          <w:rFonts w:ascii="Times New Roman" w:eastAsia="Times New Roman" w:hAnsi="Times New Roman" w:cs="Times New Roman"/>
        </w:rPr>
        <w:t xml:space="preserve"> preparato</w:t>
      </w:r>
      <w:r w:rsidRPr="007F2054">
        <w:rPr>
          <w:rFonts w:ascii="Times New Roman" w:eastAsia="Times New Roman" w:hAnsi="Times New Roman" w:cs="Times New Roman"/>
        </w:rPr>
        <w:t xml:space="preserve"> laikymui specialių temperatūros sąlygų nereikalaujama</w:t>
      </w:r>
      <w:bookmarkEnd w:id="2"/>
      <w:r w:rsidRPr="007F2054">
        <w:rPr>
          <w:rFonts w:ascii="Times New Roman" w:eastAsia="Times New Roman" w:hAnsi="Times New Roman" w:cs="Times New Roman"/>
        </w:rPr>
        <w:t>.</w:t>
      </w:r>
    </w:p>
    <w:p w14:paraId="17B87990"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1B1C5332" w14:textId="77777777" w:rsidR="003F257C" w:rsidRPr="003F257C" w:rsidRDefault="003F257C" w:rsidP="00BC76CE">
      <w:pPr>
        <w:widowControl w:val="0"/>
        <w:numPr>
          <w:ilvl w:val="1"/>
          <w:numId w:val="15"/>
        </w:numPr>
        <w:tabs>
          <w:tab w:val="left" w:pos="1584"/>
          <w:tab w:val="left" w:pos="1585"/>
        </w:tabs>
        <w:autoSpaceDE w:val="0"/>
        <w:autoSpaceDN w:val="0"/>
        <w:spacing w:after="0" w:line="240" w:lineRule="auto"/>
        <w:ind w:left="540" w:hanging="540"/>
        <w:outlineLvl w:val="0"/>
        <w:rPr>
          <w:rFonts w:ascii="Times New Roman" w:eastAsia="Times New Roman" w:hAnsi="Times New Roman" w:cs="Times New Roman"/>
          <w:b/>
          <w:bCs/>
        </w:rPr>
      </w:pPr>
      <w:proofErr w:type="spellStart"/>
      <w:r w:rsidRPr="003F257C">
        <w:rPr>
          <w:rFonts w:ascii="Times New Roman" w:eastAsia="Times New Roman" w:hAnsi="Times New Roman" w:cs="Times New Roman"/>
          <w:b/>
          <w:bCs/>
        </w:rPr>
        <w:t>Talpyklės</w:t>
      </w:r>
      <w:proofErr w:type="spellEnd"/>
      <w:r w:rsidRPr="003F257C">
        <w:rPr>
          <w:rFonts w:ascii="Times New Roman" w:eastAsia="Times New Roman" w:hAnsi="Times New Roman" w:cs="Times New Roman"/>
          <w:b/>
          <w:bCs/>
        </w:rPr>
        <w:t xml:space="preserve"> pobūdis ir jos</w:t>
      </w:r>
      <w:r w:rsidRPr="003F257C">
        <w:rPr>
          <w:rFonts w:ascii="Times New Roman" w:eastAsia="Times New Roman" w:hAnsi="Times New Roman" w:cs="Times New Roman"/>
          <w:b/>
          <w:bCs/>
          <w:spacing w:val="-5"/>
        </w:rPr>
        <w:t xml:space="preserve"> </w:t>
      </w:r>
      <w:r w:rsidRPr="003F257C">
        <w:rPr>
          <w:rFonts w:ascii="Times New Roman" w:eastAsia="Times New Roman" w:hAnsi="Times New Roman" w:cs="Times New Roman"/>
          <w:b/>
          <w:bCs/>
        </w:rPr>
        <w:t>turinys</w:t>
      </w:r>
    </w:p>
    <w:p w14:paraId="28B05C63"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2C81F535" w14:textId="77777777" w:rsidR="00346740" w:rsidRPr="007F2054" w:rsidRDefault="00346740" w:rsidP="00346740">
      <w:pPr>
        <w:tabs>
          <w:tab w:val="left" w:pos="720"/>
        </w:tabs>
        <w:snapToGrid w:val="0"/>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OPA/Al/PVC//Al</w:t>
      </w:r>
      <w:r w:rsidRPr="007F2054">
        <w:rPr>
          <w:rFonts w:ascii="Times New Roman" w:eastAsia="Times New Roman" w:hAnsi="Times New Roman" w:cs="Times New Roman"/>
          <w:b/>
          <w:bCs/>
        </w:rPr>
        <w:t xml:space="preserve"> </w:t>
      </w:r>
      <w:r w:rsidRPr="007F2054">
        <w:rPr>
          <w:rFonts w:ascii="Times New Roman" w:eastAsia="Times New Roman" w:hAnsi="Times New Roman" w:cs="Times New Roman"/>
        </w:rPr>
        <w:t>lizdinės plokštelės sulankstomose kartono dėžutėse po 56, 98 arba 100 plėvele dengtų tablečių.</w:t>
      </w:r>
    </w:p>
    <w:p w14:paraId="73085C57" w14:textId="77777777" w:rsidR="00346740" w:rsidRPr="007F2054" w:rsidRDefault="00346740" w:rsidP="00346740">
      <w:pPr>
        <w:tabs>
          <w:tab w:val="left" w:pos="567"/>
        </w:tabs>
        <w:snapToGrid w:val="0"/>
        <w:spacing w:after="0" w:line="240" w:lineRule="auto"/>
        <w:rPr>
          <w:rFonts w:ascii="Times New Roman" w:eastAsia="Calibri" w:hAnsi="Times New Roman" w:cs="Times New Roman"/>
          <w:bCs/>
          <w:iCs/>
        </w:rPr>
      </w:pPr>
      <w:r w:rsidRPr="007F2054">
        <w:rPr>
          <w:rFonts w:ascii="Times New Roman" w:eastAsia="Calibri" w:hAnsi="Times New Roman" w:cs="Times New Roman"/>
          <w:bCs/>
          <w:iCs/>
        </w:rPr>
        <w:t xml:space="preserve">Vienoje lizdinėje plokštelė yra 10 arba 14 plėvele dengtų tablečių, priklausomai nuo pakuotės dydžio. </w:t>
      </w:r>
    </w:p>
    <w:p w14:paraId="4AF2C0F1"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5DE0B909"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Gali būti tiekiamos ne visų dydžių pakuotės.</w:t>
      </w:r>
    </w:p>
    <w:p w14:paraId="11278628"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345277FC" w14:textId="77777777" w:rsidR="003F257C" w:rsidRPr="003F257C" w:rsidRDefault="003F257C" w:rsidP="00BC76CE">
      <w:pPr>
        <w:widowControl w:val="0"/>
        <w:numPr>
          <w:ilvl w:val="1"/>
          <w:numId w:val="15"/>
        </w:numPr>
        <w:tabs>
          <w:tab w:val="left" w:pos="1585"/>
          <w:tab w:val="left" w:pos="1586"/>
        </w:tabs>
        <w:autoSpaceDE w:val="0"/>
        <w:autoSpaceDN w:val="0"/>
        <w:spacing w:after="0" w:line="240" w:lineRule="auto"/>
        <w:ind w:left="630" w:hanging="630"/>
        <w:outlineLvl w:val="0"/>
        <w:rPr>
          <w:rFonts w:ascii="Times New Roman" w:eastAsia="Times New Roman" w:hAnsi="Times New Roman" w:cs="Times New Roman"/>
          <w:b/>
          <w:bCs/>
        </w:rPr>
      </w:pPr>
      <w:r w:rsidRPr="003F257C">
        <w:rPr>
          <w:rFonts w:ascii="Times New Roman" w:eastAsia="Times New Roman" w:hAnsi="Times New Roman" w:cs="Times New Roman"/>
          <w:b/>
          <w:bCs/>
        </w:rPr>
        <w:t>Specialūs reikalavimai atliekoms</w:t>
      </w:r>
      <w:r w:rsidRPr="003F257C">
        <w:rPr>
          <w:rFonts w:ascii="Times New Roman" w:eastAsia="Times New Roman" w:hAnsi="Times New Roman" w:cs="Times New Roman"/>
          <w:b/>
          <w:bCs/>
          <w:spacing w:val="-3"/>
        </w:rPr>
        <w:t xml:space="preserve"> </w:t>
      </w:r>
      <w:r w:rsidRPr="003F257C">
        <w:rPr>
          <w:rFonts w:ascii="Times New Roman" w:eastAsia="Times New Roman" w:hAnsi="Times New Roman" w:cs="Times New Roman"/>
          <w:b/>
          <w:bCs/>
        </w:rPr>
        <w:t>tvarkyti</w:t>
      </w:r>
    </w:p>
    <w:p w14:paraId="5AD1D503"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b/>
        </w:rPr>
      </w:pPr>
    </w:p>
    <w:p w14:paraId="3EE5C575"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Nesuvartotą vaistinį preparatą ar atliekas reikia tvarkyti laikantis vietinių reikalavimų.</w:t>
      </w:r>
    </w:p>
    <w:p w14:paraId="6CCA02E5" w14:textId="77777777" w:rsidR="00400CBB" w:rsidRDefault="00400CBB" w:rsidP="00400CBB">
      <w:pPr>
        <w:keepNext/>
        <w:tabs>
          <w:tab w:val="left" w:pos="567"/>
        </w:tabs>
        <w:spacing w:after="0" w:line="240" w:lineRule="auto"/>
        <w:rPr>
          <w:rFonts w:ascii="Times New Roman" w:eastAsia="Times New Roman" w:hAnsi="Times New Roman" w:cs="Times New Roman"/>
          <w:u w:val="single"/>
          <w:lang w:eastAsia="lt-LT"/>
        </w:rPr>
      </w:pPr>
    </w:p>
    <w:p w14:paraId="7EC575E2" w14:textId="11CC7C52" w:rsidR="00400CBB" w:rsidRPr="00400CBB" w:rsidRDefault="00400CBB" w:rsidP="00400CBB">
      <w:pPr>
        <w:keepNext/>
        <w:tabs>
          <w:tab w:val="left" w:pos="567"/>
        </w:tabs>
        <w:spacing w:after="0" w:line="240" w:lineRule="auto"/>
        <w:rPr>
          <w:rFonts w:ascii="Times New Roman" w:eastAsia="Times New Roman" w:hAnsi="Times New Roman" w:cs="Times New Roman"/>
          <w:u w:val="single"/>
          <w:lang w:eastAsia="lt-LT"/>
        </w:rPr>
      </w:pPr>
      <w:r w:rsidRPr="00400CBB">
        <w:rPr>
          <w:rFonts w:ascii="Times New Roman" w:eastAsia="Times New Roman" w:hAnsi="Times New Roman" w:cs="Times New Roman"/>
          <w:u w:val="single"/>
          <w:lang w:eastAsia="lt-LT"/>
        </w:rPr>
        <w:t>Tablečių sutraiškymas</w:t>
      </w:r>
    </w:p>
    <w:p w14:paraId="0FD4EC87" w14:textId="156A5DA9" w:rsidR="003F257C" w:rsidRPr="003F257C" w:rsidRDefault="005A3031" w:rsidP="00400CBB">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Xiltess</w:t>
      </w:r>
      <w:r w:rsidR="00400CBB" w:rsidRPr="00400CBB">
        <w:rPr>
          <w:rFonts w:ascii="Times New Roman" w:eastAsia="Times New Roman" w:hAnsi="Times New Roman" w:cs="Times New Roman"/>
          <w:lang w:eastAsia="lt-LT"/>
        </w:rPr>
        <w:t xml:space="preserve"> tabletes galima sutraiškyti ir išmaišyti 50</w:t>
      </w:r>
      <w:r w:rsidR="00400CBB" w:rsidRPr="00400CBB">
        <w:rPr>
          <w:rFonts w:ascii="Times New Roman" w:eastAsia="Times New Roman" w:hAnsi="Times New Roman" w:cs="Times New Roman"/>
          <w:snapToGrid w:val="0"/>
          <w:szCs w:val="20"/>
          <w:lang w:eastAsia="lt-LT"/>
        </w:rPr>
        <w:t> </w:t>
      </w:r>
      <w:r w:rsidR="00400CBB" w:rsidRPr="00400CBB">
        <w:rPr>
          <w:rFonts w:ascii="Times New Roman" w:eastAsia="Times New Roman" w:hAnsi="Times New Roman" w:cs="Times New Roman"/>
          <w:lang w:eastAsia="lt-LT"/>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w:t>
      </w:r>
      <w:proofErr w:type="spellStart"/>
      <w:r w:rsidR="00400CBB" w:rsidRPr="00400CBB">
        <w:rPr>
          <w:rFonts w:ascii="Times New Roman" w:eastAsia="Times New Roman" w:hAnsi="Times New Roman" w:cs="Times New Roman"/>
          <w:lang w:eastAsia="lt-LT"/>
        </w:rPr>
        <w:t>rivaroksabaną</w:t>
      </w:r>
      <w:proofErr w:type="spellEnd"/>
      <w:r w:rsidR="00400CBB" w:rsidRPr="00400CBB">
        <w:rPr>
          <w:rFonts w:ascii="Times New Roman" w:eastAsia="Times New Roman" w:hAnsi="Times New Roman" w:cs="Times New Roman"/>
          <w:lang w:eastAsia="lt-LT"/>
        </w:rPr>
        <w:t xml:space="preserve"> skirti </w:t>
      </w:r>
      <w:proofErr w:type="spellStart"/>
      <w:r w:rsidR="00400CBB" w:rsidRPr="00400CBB">
        <w:rPr>
          <w:rFonts w:ascii="Times New Roman" w:eastAsia="Times New Roman" w:hAnsi="Times New Roman" w:cs="Times New Roman"/>
          <w:lang w:eastAsia="lt-LT"/>
        </w:rPr>
        <w:t>distaliau</w:t>
      </w:r>
      <w:proofErr w:type="spellEnd"/>
      <w:r w:rsidR="00400CBB" w:rsidRPr="00400CBB">
        <w:rPr>
          <w:rFonts w:ascii="Times New Roman" w:eastAsia="Times New Roman" w:hAnsi="Times New Roman" w:cs="Times New Roman"/>
          <w:lang w:eastAsia="lt-LT"/>
        </w:rPr>
        <w:t xml:space="preserve"> skrandžio, nes dėl to jis gali būti prasčiau absorbuojamas, ir dėl to gali sumažėti veikliosios medžiagos ekspozicija. Pavartojus sutraiškytų 2,5</w:t>
      </w:r>
      <w:r w:rsidR="00194291">
        <w:rPr>
          <w:rFonts w:ascii="Times New Roman" w:eastAsia="Times New Roman" w:hAnsi="Times New Roman" w:cs="Times New Roman"/>
          <w:lang w:eastAsia="lt-LT"/>
        </w:rPr>
        <w:t> </w:t>
      </w:r>
      <w:r w:rsidR="00400CBB" w:rsidRPr="00400CBB">
        <w:rPr>
          <w:rFonts w:ascii="Times New Roman" w:eastAsia="Times New Roman" w:hAnsi="Times New Roman" w:cs="Times New Roman"/>
          <w:lang w:eastAsia="lt-LT"/>
        </w:rPr>
        <w:t xml:space="preserve">mg tablečių, nedelsiant skirti </w:t>
      </w:r>
      <w:proofErr w:type="spellStart"/>
      <w:r w:rsidR="00400CBB" w:rsidRPr="00400CBB">
        <w:rPr>
          <w:rFonts w:ascii="Times New Roman" w:eastAsia="Times New Roman" w:hAnsi="Times New Roman" w:cs="Times New Roman"/>
          <w:lang w:eastAsia="lt-LT"/>
        </w:rPr>
        <w:t>enterinio</w:t>
      </w:r>
      <w:proofErr w:type="spellEnd"/>
      <w:r w:rsidR="00400CBB" w:rsidRPr="00400CBB">
        <w:rPr>
          <w:rFonts w:ascii="Times New Roman" w:eastAsia="Times New Roman" w:hAnsi="Times New Roman" w:cs="Times New Roman"/>
          <w:lang w:eastAsia="lt-LT"/>
        </w:rPr>
        <w:t xml:space="preserve"> maitinimo nėra būtina</w:t>
      </w:r>
    </w:p>
    <w:p w14:paraId="7682B468" w14:textId="3832AACE" w:rsidR="003F257C" w:rsidRDefault="003F257C" w:rsidP="003F257C">
      <w:pPr>
        <w:widowControl w:val="0"/>
        <w:autoSpaceDE w:val="0"/>
        <w:autoSpaceDN w:val="0"/>
        <w:spacing w:after="0" w:line="240" w:lineRule="auto"/>
        <w:rPr>
          <w:rFonts w:ascii="Times New Roman" w:eastAsia="Times New Roman" w:hAnsi="Times New Roman" w:cs="Times New Roman"/>
        </w:rPr>
      </w:pPr>
    </w:p>
    <w:p w14:paraId="0ACF7A74" w14:textId="77777777" w:rsidR="00E11F75" w:rsidRPr="003F257C" w:rsidRDefault="00E11F75" w:rsidP="003F257C">
      <w:pPr>
        <w:widowControl w:val="0"/>
        <w:autoSpaceDE w:val="0"/>
        <w:autoSpaceDN w:val="0"/>
        <w:spacing w:after="0" w:line="240" w:lineRule="auto"/>
        <w:rPr>
          <w:rFonts w:ascii="Times New Roman" w:eastAsia="Times New Roman" w:hAnsi="Times New Roman" w:cs="Times New Roman"/>
        </w:rPr>
      </w:pPr>
      <w:bookmarkStart w:id="3" w:name="_Hlk117081882"/>
    </w:p>
    <w:p w14:paraId="0F4FF0EC" w14:textId="77777777" w:rsidR="003F257C" w:rsidRPr="003F257C" w:rsidRDefault="003F257C" w:rsidP="00BC76CE">
      <w:pPr>
        <w:widowControl w:val="0"/>
        <w:numPr>
          <w:ilvl w:val="0"/>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REGISTRUOTOJAS</w:t>
      </w:r>
    </w:p>
    <w:p w14:paraId="08DA3A05" w14:textId="77777777" w:rsidR="003F257C" w:rsidRPr="003F257C" w:rsidRDefault="003F257C" w:rsidP="003F257C">
      <w:pPr>
        <w:widowControl w:val="0"/>
        <w:autoSpaceDE w:val="0"/>
        <w:autoSpaceDN w:val="0"/>
        <w:spacing w:after="0" w:line="240" w:lineRule="auto"/>
        <w:ind w:left="630" w:hanging="630"/>
        <w:rPr>
          <w:rFonts w:ascii="Times New Roman" w:eastAsia="Times New Roman" w:hAnsi="Times New Roman" w:cs="Times New Roman"/>
          <w:b/>
        </w:rPr>
      </w:pPr>
    </w:p>
    <w:p w14:paraId="14704A3B" w14:textId="77777777" w:rsidR="00400CBB" w:rsidRPr="00764654" w:rsidRDefault="00400CBB" w:rsidP="00400CBB">
      <w:pPr>
        <w:autoSpaceDE w:val="0"/>
        <w:autoSpaceDN w:val="0"/>
        <w:adjustRightInd w:val="0"/>
        <w:spacing w:after="0" w:line="240" w:lineRule="auto"/>
        <w:rPr>
          <w:rFonts w:ascii="Times New Roman" w:eastAsia="Times New Roman" w:hAnsi="Times New Roman" w:cs="Times New Roman"/>
          <w:color w:val="000000"/>
        </w:rPr>
      </w:pPr>
      <w:proofErr w:type="spellStart"/>
      <w:r w:rsidRPr="00764654">
        <w:rPr>
          <w:rFonts w:ascii="Times New Roman" w:eastAsia="Times New Roman" w:hAnsi="Times New Roman" w:cs="Times New Roman"/>
          <w:color w:val="000000"/>
        </w:rPr>
        <w:t>Egis</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Pharmaceuticals</w:t>
      </w:r>
      <w:proofErr w:type="spellEnd"/>
      <w:r w:rsidRPr="00764654">
        <w:rPr>
          <w:rFonts w:ascii="Times New Roman" w:eastAsia="Times New Roman" w:hAnsi="Times New Roman" w:cs="Times New Roman"/>
          <w:color w:val="000000"/>
        </w:rPr>
        <w:t xml:space="preserve"> PLC, </w:t>
      </w:r>
      <w:proofErr w:type="spellStart"/>
      <w:r w:rsidRPr="00764654">
        <w:rPr>
          <w:rFonts w:ascii="Times New Roman" w:eastAsia="Times New Roman" w:hAnsi="Times New Roman" w:cs="Times New Roman"/>
          <w:color w:val="000000"/>
        </w:rPr>
        <w:t>Site</w:t>
      </w:r>
      <w:proofErr w:type="spellEnd"/>
      <w:r w:rsidRPr="00764654">
        <w:rPr>
          <w:rFonts w:ascii="Times New Roman" w:eastAsia="Times New Roman" w:hAnsi="Times New Roman" w:cs="Times New Roman"/>
          <w:color w:val="000000"/>
        </w:rPr>
        <w:t xml:space="preserve"> 1</w:t>
      </w:r>
    </w:p>
    <w:p w14:paraId="32DC77A0" w14:textId="77777777" w:rsidR="00400CBB" w:rsidRPr="00764654" w:rsidRDefault="00400CBB" w:rsidP="00400CBB">
      <w:pPr>
        <w:tabs>
          <w:tab w:val="left" w:pos="720"/>
        </w:tabs>
        <w:snapToGrid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 xml:space="preserve">1106 </w:t>
      </w:r>
      <w:proofErr w:type="spellStart"/>
      <w:r w:rsidRPr="00764654">
        <w:rPr>
          <w:rFonts w:ascii="Times New Roman" w:eastAsia="Times New Roman" w:hAnsi="Times New Roman" w:cs="Times New Roman"/>
          <w:color w:val="000000"/>
        </w:rPr>
        <w:t>Budapest</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Keresztúri</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út</w:t>
      </w:r>
      <w:proofErr w:type="spellEnd"/>
      <w:r w:rsidRPr="00764654">
        <w:rPr>
          <w:rFonts w:ascii="Times New Roman" w:eastAsia="Times New Roman" w:hAnsi="Times New Roman" w:cs="Times New Roman"/>
          <w:color w:val="000000"/>
        </w:rPr>
        <w:t xml:space="preserve"> 30-38</w:t>
      </w:r>
    </w:p>
    <w:p w14:paraId="39A8E4FB" w14:textId="35FD08AC" w:rsidR="003F257C" w:rsidRDefault="00400CBB" w:rsidP="00400CBB">
      <w:pPr>
        <w:widowControl w:val="0"/>
        <w:autoSpaceDE w:val="0"/>
        <w:autoSpaceDN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Vengrija</w:t>
      </w:r>
    </w:p>
    <w:p w14:paraId="4742846D" w14:textId="77777777" w:rsidR="00400CBB" w:rsidRPr="003F257C" w:rsidRDefault="00400CBB" w:rsidP="00400CBB">
      <w:pPr>
        <w:widowControl w:val="0"/>
        <w:autoSpaceDE w:val="0"/>
        <w:autoSpaceDN w:val="0"/>
        <w:spacing w:after="0" w:line="240" w:lineRule="auto"/>
        <w:rPr>
          <w:rFonts w:ascii="Times New Roman" w:eastAsia="Times New Roman" w:hAnsi="Times New Roman" w:cs="Times New Roman"/>
        </w:rPr>
      </w:pPr>
    </w:p>
    <w:p w14:paraId="1F6537B2" w14:textId="77777777" w:rsidR="003F257C" w:rsidRPr="003F257C" w:rsidRDefault="003F257C" w:rsidP="003F257C">
      <w:pPr>
        <w:widowControl w:val="0"/>
        <w:autoSpaceDE w:val="0"/>
        <w:autoSpaceDN w:val="0"/>
        <w:spacing w:after="0" w:line="240" w:lineRule="auto"/>
        <w:rPr>
          <w:rFonts w:ascii="Times New Roman" w:eastAsia="Times New Roman" w:hAnsi="Times New Roman" w:cs="Times New Roman"/>
        </w:rPr>
      </w:pPr>
    </w:p>
    <w:p w14:paraId="0916669C" w14:textId="2AC6B143" w:rsidR="003F257C" w:rsidRPr="003F257C" w:rsidRDefault="003F257C" w:rsidP="00BC76CE">
      <w:pPr>
        <w:widowControl w:val="0"/>
        <w:numPr>
          <w:ilvl w:val="0"/>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REGISTRACIJOS PAŽYMĖJIMO NUMERIS (</w:t>
      </w:r>
      <w:r w:rsidR="008C616A" w:rsidRPr="007F2054">
        <w:rPr>
          <w:rFonts w:ascii="Times New Roman" w:eastAsia="Times New Roman" w:hAnsi="Times New Roman" w:cs="Times New Roman"/>
          <w:b/>
          <w:bCs/>
        </w:rPr>
        <w:t>–</w:t>
      </w:r>
      <w:r w:rsidRPr="003F257C">
        <w:rPr>
          <w:rFonts w:ascii="Times New Roman" w:eastAsia="Times New Roman" w:hAnsi="Times New Roman" w:cs="Times New Roman"/>
          <w:b/>
          <w:bCs/>
        </w:rPr>
        <w:t>IAI)</w:t>
      </w:r>
    </w:p>
    <w:p w14:paraId="3B6B11F7" w14:textId="1B2FB4D0" w:rsid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4084FD0C" w14:textId="77777777" w:rsidR="004215B0" w:rsidRPr="004215B0" w:rsidRDefault="004215B0" w:rsidP="004215B0">
      <w:pPr>
        <w:widowControl w:val="0"/>
        <w:autoSpaceDE w:val="0"/>
        <w:autoSpaceDN w:val="0"/>
        <w:spacing w:after="0" w:line="240" w:lineRule="auto"/>
        <w:ind w:left="540" w:hanging="540"/>
        <w:rPr>
          <w:rFonts w:ascii="Times New Roman" w:eastAsia="Times New Roman" w:hAnsi="Times New Roman" w:cs="Times New Roman"/>
        </w:rPr>
      </w:pPr>
      <w:r w:rsidRPr="004215B0">
        <w:rPr>
          <w:rFonts w:ascii="Times New Roman" w:eastAsia="Times New Roman" w:hAnsi="Times New Roman" w:cs="Times New Roman"/>
        </w:rPr>
        <w:t>LT/1/23/5102/001 – N56</w:t>
      </w:r>
    </w:p>
    <w:p w14:paraId="48EC8D8D" w14:textId="77777777" w:rsidR="004215B0" w:rsidRPr="004215B0" w:rsidRDefault="004215B0" w:rsidP="004215B0">
      <w:pPr>
        <w:widowControl w:val="0"/>
        <w:autoSpaceDE w:val="0"/>
        <w:autoSpaceDN w:val="0"/>
        <w:spacing w:after="0" w:line="240" w:lineRule="auto"/>
        <w:ind w:left="540" w:hanging="540"/>
        <w:rPr>
          <w:rFonts w:ascii="Times New Roman" w:eastAsia="Times New Roman" w:hAnsi="Times New Roman" w:cs="Times New Roman"/>
        </w:rPr>
      </w:pPr>
      <w:r w:rsidRPr="004215B0">
        <w:rPr>
          <w:rFonts w:ascii="Times New Roman" w:eastAsia="Times New Roman" w:hAnsi="Times New Roman" w:cs="Times New Roman"/>
        </w:rPr>
        <w:t>LT/1/23/5102/002 – N98</w:t>
      </w:r>
    </w:p>
    <w:p w14:paraId="103844FD" w14:textId="2362D9DB" w:rsidR="00EE2519" w:rsidRDefault="004215B0" w:rsidP="004215B0">
      <w:pPr>
        <w:widowControl w:val="0"/>
        <w:autoSpaceDE w:val="0"/>
        <w:autoSpaceDN w:val="0"/>
        <w:spacing w:after="0" w:line="240" w:lineRule="auto"/>
        <w:ind w:left="540" w:hanging="540"/>
        <w:rPr>
          <w:rFonts w:ascii="Times New Roman" w:eastAsia="Times New Roman" w:hAnsi="Times New Roman" w:cs="Times New Roman"/>
        </w:rPr>
      </w:pPr>
      <w:r w:rsidRPr="004215B0">
        <w:rPr>
          <w:rFonts w:ascii="Times New Roman" w:eastAsia="Times New Roman" w:hAnsi="Times New Roman" w:cs="Times New Roman"/>
        </w:rPr>
        <w:t>LT/1/23/5102/003 – N100</w:t>
      </w:r>
    </w:p>
    <w:p w14:paraId="224C6307" w14:textId="77777777" w:rsidR="004215B0" w:rsidRPr="003F257C" w:rsidRDefault="004215B0" w:rsidP="004215B0">
      <w:pPr>
        <w:widowControl w:val="0"/>
        <w:autoSpaceDE w:val="0"/>
        <w:autoSpaceDN w:val="0"/>
        <w:spacing w:after="0" w:line="240" w:lineRule="auto"/>
        <w:ind w:left="540" w:hanging="540"/>
        <w:rPr>
          <w:rFonts w:ascii="Times New Roman" w:eastAsia="Times New Roman" w:hAnsi="Times New Roman" w:cs="Times New Roman"/>
          <w:b/>
        </w:rPr>
      </w:pPr>
    </w:p>
    <w:p w14:paraId="436C096C"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22B245C2" w14:textId="77777777" w:rsidR="003F257C" w:rsidRPr="003F257C" w:rsidRDefault="003F257C" w:rsidP="00BC76CE">
      <w:pPr>
        <w:widowControl w:val="0"/>
        <w:numPr>
          <w:ilvl w:val="0"/>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REGISTRAVIMO / PERREGISTRAVIMO</w:t>
      </w:r>
      <w:r w:rsidRPr="003F257C">
        <w:rPr>
          <w:rFonts w:ascii="Times New Roman" w:eastAsia="Times New Roman" w:hAnsi="Times New Roman" w:cs="Times New Roman"/>
          <w:b/>
          <w:bCs/>
          <w:spacing w:val="-3"/>
        </w:rPr>
        <w:t xml:space="preserve"> </w:t>
      </w:r>
      <w:r w:rsidRPr="003F257C">
        <w:rPr>
          <w:rFonts w:ascii="Times New Roman" w:eastAsia="Times New Roman" w:hAnsi="Times New Roman" w:cs="Times New Roman"/>
          <w:b/>
          <w:bCs/>
        </w:rPr>
        <w:t>DATA</w:t>
      </w:r>
    </w:p>
    <w:p w14:paraId="2C2AEEEE"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6A89CF7C" w14:textId="16161ECD" w:rsidR="00EE2519" w:rsidRPr="003F257C" w:rsidRDefault="00EE2519" w:rsidP="00EE2519">
      <w:pPr>
        <w:widowControl w:val="0"/>
        <w:autoSpaceDE w:val="0"/>
        <w:autoSpaceDN w:val="0"/>
        <w:spacing w:after="0" w:line="240" w:lineRule="auto"/>
        <w:ind w:left="540" w:hanging="540"/>
        <w:rPr>
          <w:rFonts w:ascii="Times New Roman" w:eastAsia="Times New Roman" w:hAnsi="Times New Roman" w:cs="Times New Roman"/>
        </w:rPr>
      </w:pPr>
      <w:r w:rsidRPr="003F257C">
        <w:rPr>
          <w:rFonts w:ascii="Times New Roman" w:eastAsia="Times New Roman" w:hAnsi="Times New Roman" w:cs="Times New Roman"/>
        </w:rPr>
        <w:t xml:space="preserve">Registravimo data </w:t>
      </w:r>
      <w:r w:rsidR="00C655AF">
        <w:rPr>
          <w:rFonts w:ascii="Times New Roman" w:eastAsia="Times New Roman" w:hAnsi="Times New Roman" w:cs="Times New Roman"/>
          <w:noProof/>
          <w:snapToGrid w:val="0"/>
          <w:szCs w:val="24"/>
        </w:rPr>
        <w:t>2023 m. sausio 20 d.</w:t>
      </w:r>
    </w:p>
    <w:p w14:paraId="2039D377"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65724F40"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rPr>
      </w:pPr>
    </w:p>
    <w:p w14:paraId="6D572DFA" w14:textId="77777777" w:rsidR="003F257C" w:rsidRPr="003F257C" w:rsidRDefault="003F257C" w:rsidP="00BC76CE">
      <w:pPr>
        <w:widowControl w:val="0"/>
        <w:numPr>
          <w:ilvl w:val="0"/>
          <w:numId w:val="15"/>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TEKSTO PERŽIŪROS</w:t>
      </w:r>
      <w:r w:rsidRPr="003F257C">
        <w:rPr>
          <w:rFonts w:ascii="Times New Roman" w:eastAsia="Times New Roman" w:hAnsi="Times New Roman" w:cs="Times New Roman"/>
          <w:b/>
          <w:bCs/>
          <w:spacing w:val="-2"/>
        </w:rPr>
        <w:t xml:space="preserve"> </w:t>
      </w:r>
      <w:r w:rsidRPr="003F257C">
        <w:rPr>
          <w:rFonts w:ascii="Times New Roman" w:eastAsia="Times New Roman" w:hAnsi="Times New Roman" w:cs="Times New Roman"/>
          <w:b/>
          <w:bCs/>
        </w:rPr>
        <w:t>DATA</w:t>
      </w:r>
    </w:p>
    <w:p w14:paraId="448BC6F5" w14:textId="77777777" w:rsidR="003F257C" w:rsidRPr="003F257C" w:rsidRDefault="003F257C" w:rsidP="003F257C">
      <w:pPr>
        <w:widowControl w:val="0"/>
        <w:autoSpaceDE w:val="0"/>
        <w:autoSpaceDN w:val="0"/>
        <w:spacing w:after="0" w:line="240" w:lineRule="auto"/>
        <w:ind w:left="540" w:hanging="540"/>
        <w:rPr>
          <w:rFonts w:ascii="Times New Roman" w:eastAsia="Times New Roman" w:hAnsi="Times New Roman" w:cs="Times New Roman"/>
          <w:b/>
        </w:rPr>
      </w:pPr>
    </w:p>
    <w:p w14:paraId="0639C6D7" w14:textId="069D88BF" w:rsidR="003B58E7" w:rsidRPr="003F257C" w:rsidRDefault="002D5409" w:rsidP="003F257C">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noProof/>
          <w:snapToGrid w:val="0"/>
          <w:szCs w:val="24"/>
        </w:rPr>
        <w:t>2023 m. spalio 10 d.</w:t>
      </w:r>
    </w:p>
    <w:p w14:paraId="18B13686" w14:textId="77777777" w:rsidR="00BA2BB0" w:rsidRDefault="00BA2BB0" w:rsidP="00B96744">
      <w:pPr>
        <w:widowControl w:val="0"/>
        <w:autoSpaceDE w:val="0"/>
        <w:autoSpaceDN w:val="0"/>
        <w:spacing w:after="0" w:line="240" w:lineRule="auto"/>
        <w:rPr>
          <w:rFonts w:ascii="Times New Roman" w:eastAsia="Times New Roman" w:hAnsi="Times New Roman" w:cs="Times New Roman"/>
          <w:noProof/>
        </w:rPr>
      </w:pPr>
    </w:p>
    <w:p w14:paraId="359AEBF5" w14:textId="79E9C82C" w:rsidR="007E69FC" w:rsidRDefault="003F257C" w:rsidP="00B96744">
      <w:pPr>
        <w:widowControl w:val="0"/>
        <w:autoSpaceDE w:val="0"/>
        <w:autoSpaceDN w:val="0"/>
        <w:spacing w:after="0" w:line="240" w:lineRule="auto"/>
        <w:rPr>
          <w:rFonts w:ascii="Times New Roman" w:eastAsia="Verdana" w:hAnsi="Times New Roman" w:cs="Times New Roman"/>
          <w:color w:val="0000FF"/>
          <w:u w:val="single"/>
        </w:rPr>
      </w:pPr>
      <w:r w:rsidRPr="003F257C">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3F257C">
        <w:rPr>
          <w:rFonts w:ascii="Times New Roman" w:eastAsia="Times New Roman" w:hAnsi="Times New Roman" w:cs="Times New Roman"/>
          <w:i/>
          <w:noProof/>
        </w:rPr>
        <w:t xml:space="preserve"> </w:t>
      </w:r>
      <w:hyperlink r:id="rId18" w:history="1">
        <w:r w:rsidRPr="003F257C">
          <w:rPr>
            <w:rFonts w:ascii="Times New Roman" w:eastAsia="Verdana" w:hAnsi="Times New Roman" w:cs="Times New Roman"/>
            <w:noProof/>
            <w:color w:val="0000FF"/>
            <w:u w:val="single"/>
          </w:rPr>
          <w:t>http://www.</w:t>
        </w:r>
        <w:proofErr w:type="spellStart"/>
        <w:r w:rsidRPr="003F257C">
          <w:rPr>
            <w:rFonts w:ascii="Times New Roman" w:eastAsia="Verdana" w:hAnsi="Times New Roman" w:cs="Times New Roman"/>
            <w:color w:val="0000FF"/>
            <w:u w:val="single"/>
          </w:rPr>
          <w:t>vvkt.lt</w:t>
        </w:r>
        <w:proofErr w:type="spellEnd"/>
      </w:hyperlink>
      <w:r w:rsidR="00B96744">
        <w:rPr>
          <w:rFonts w:ascii="Times New Roman" w:eastAsia="Verdana" w:hAnsi="Times New Roman" w:cs="Times New Roman"/>
          <w:color w:val="0000FF"/>
          <w:u w:val="single"/>
        </w:rPr>
        <w:t>.</w:t>
      </w:r>
      <w:bookmarkEnd w:id="3"/>
    </w:p>
    <w:p w14:paraId="2EF3CE82" w14:textId="77777777" w:rsidR="007E69FC" w:rsidRDefault="007E69FC">
      <w:pPr>
        <w:rPr>
          <w:rFonts w:ascii="Times New Roman" w:eastAsia="Verdana" w:hAnsi="Times New Roman" w:cs="Times New Roman"/>
          <w:color w:val="0000FF"/>
          <w:u w:val="single"/>
        </w:rPr>
      </w:pPr>
      <w:r>
        <w:rPr>
          <w:rFonts w:ascii="Times New Roman" w:eastAsia="Verdana" w:hAnsi="Times New Roman" w:cs="Times New Roman"/>
          <w:color w:val="0000FF"/>
          <w:u w:val="single"/>
        </w:rPr>
        <w:br w:type="page"/>
      </w:r>
    </w:p>
    <w:p w14:paraId="5A461749" w14:textId="77777777" w:rsidR="007E69FC" w:rsidRPr="00FC7F89" w:rsidRDefault="007E69FC" w:rsidP="007E69FC">
      <w:pPr>
        <w:spacing w:after="0" w:line="240" w:lineRule="auto"/>
        <w:jc w:val="center"/>
        <w:rPr>
          <w:rFonts w:ascii="Times New Roman" w:eastAsia="Times New Roman" w:hAnsi="Times New Roman" w:cs="Times New Roman"/>
          <w:noProof/>
        </w:rPr>
      </w:pPr>
    </w:p>
    <w:p w14:paraId="4DF81EFD" w14:textId="77777777" w:rsidR="007E69FC" w:rsidRPr="00FC7F89" w:rsidRDefault="007E69FC" w:rsidP="007E69FC">
      <w:pPr>
        <w:spacing w:after="0" w:line="240" w:lineRule="auto"/>
        <w:jc w:val="center"/>
        <w:rPr>
          <w:rFonts w:ascii="Times New Roman" w:eastAsia="Times New Roman" w:hAnsi="Times New Roman" w:cs="Times New Roman"/>
          <w:noProof/>
        </w:rPr>
      </w:pPr>
    </w:p>
    <w:p w14:paraId="42C9B716" w14:textId="77777777" w:rsidR="007E69FC" w:rsidRPr="00FC7F89" w:rsidRDefault="007E69FC" w:rsidP="007E69FC">
      <w:pPr>
        <w:spacing w:after="0" w:line="240" w:lineRule="auto"/>
        <w:jc w:val="center"/>
        <w:rPr>
          <w:rFonts w:ascii="Times New Roman" w:eastAsia="Times New Roman" w:hAnsi="Times New Roman" w:cs="Times New Roman"/>
          <w:noProof/>
        </w:rPr>
      </w:pPr>
    </w:p>
    <w:p w14:paraId="4F81A567" w14:textId="77777777" w:rsidR="007E69FC" w:rsidRPr="00FC7F89" w:rsidRDefault="007E69FC" w:rsidP="007E69FC">
      <w:pPr>
        <w:spacing w:after="0" w:line="240" w:lineRule="auto"/>
        <w:jc w:val="center"/>
        <w:rPr>
          <w:rFonts w:ascii="Times New Roman" w:eastAsia="Times New Roman" w:hAnsi="Times New Roman" w:cs="Times New Roman"/>
          <w:noProof/>
        </w:rPr>
      </w:pPr>
    </w:p>
    <w:p w14:paraId="3BB3352A" w14:textId="08AE6A3F" w:rsidR="007E69FC" w:rsidRDefault="007E69FC" w:rsidP="007E69FC">
      <w:pPr>
        <w:spacing w:after="0" w:line="240" w:lineRule="auto"/>
        <w:jc w:val="center"/>
        <w:rPr>
          <w:rFonts w:ascii="Times New Roman" w:eastAsia="Times New Roman" w:hAnsi="Times New Roman" w:cs="Times New Roman"/>
          <w:noProof/>
        </w:rPr>
      </w:pPr>
    </w:p>
    <w:p w14:paraId="262EAD2F" w14:textId="67B6A3B0" w:rsidR="00225F51" w:rsidRDefault="00225F51" w:rsidP="007E69FC">
      <w:pPr>
        <w:spacing w:after="0" w:line="240" w:lineRule="auto"/>
        <w:jc w:val="center"/>
        <w:rPr>
          <w:rFonts w:ascii="Times New Roman" w:eastAsia="Times New Roman" w:hAnsi="Times New Roman" w:cs="Times New Roman"/>
          <w:noProof/>
        </w:rPr>
      </w:pPr>
    </w:p>
    <w:p w14:paraId="64B278F1" w14:textId="2DD6A5DF" w:rsidR="00225F51" w:rsidRDefault="00225F51" w:rsidP="007E69FC">
      <w:pPr>
        <w:spacing w:after="0" w:line="240" w:lineRule="auto"/>
        <w:jc w:val="center"/>
        <w:rPr>
          <w:rFonts w:ascii="Times New Roman" w:eastAsia="Times New Roman" w:hAnsi="Times New Roman" w:cs="Times New Roman"/>
          <w:noProof/>
        </w:rPr>
      </w:pPr>
    </w:p>
    <w:p w14:paraId="1EA61A34" w14:textId="65480D96" w:rsidR="00225F51" w:rsidRDefault="00225F51" w:rsidP="007E69FC">
      <w:pPr>
        <w:spacing w:after="0" w:line="240" w:lineRule="auto"/>
        <w:jc w:val="center"/>
        <w:rPr>
          <w:rFonts w:ascii="Times New Roman" w:eastAsia="Times New Roman" w:hAnsi="Times New Roman" w:cs="Times New Roman"/>
          <w:noProof/>
        </w:rPr>
      </w:pPr>
    </w:p>
    <w:p w14:paraId="183E2563" w14:textId="232CFE0A" w:rsidR="00225F51" w:rsidRDefault="00225F51" w:rsidP="007E69FC">
      <w:pPr>
        <w:spacing w:after="0" w:line="240" w:lineRule="auto"/>
        <w:jc w:val="center"/>
        <w:rPr>
          <w:rFonts w:ascii="Times New Roman" w:eastAsia="Times New Roman" w:hAnsi="Times New Roman" w:cs="Times New Roman"/>
          <w:noProof/>
        </w:rPr>
      </w:pPr>
    </w:p>
    <w:p w14:paraId="101A8C85" w14:textId="658D7759" w:rsidR="00225F51" w:rsidRDefault="00225F51" w:rsidP="007E69FC">
      <w:pPr>
        <w:spacing w:after="0" w:line="240" w:lineRule="auto"/>
        <w:jc w:val="center"/>
        <w:rPr>
          <w:rFonts w:ascii="Times New Roman" w:eastAsia="Times New Roman" w:hAnsi="Times New Roman" w:cs="Times New Roman"/>
          <w:noProof/>
        </w:rPr>
      </w:pPr>
    </w:p>
    <w:p w14:paraId="7F287189" w14:textId="4D989DAA" w:rsidR="00225F51" w:rsidRDefault="00225F51" w:rsidP="007E69FC">
      <w:pPr>
        <w:spacing w:after="0" w:line="240" w:lineRule="auto"/>
        <w:jc w:val="center"/>
        <w:rPr>
          <w:rFonts w:ascii="Times New Roman" w:eastAsia="Times New Roman" w:hAnsi="Times New Roman" w:cs="Times New Roman"/>
          <w:noProof/>
        </w:rPr>
      </w:pPr>
    </w:p>
    <w:p w14:paraId="72E55733" w14:textId="634F3490" w:rsidR="00225F51" w:rsidRDefault="00225F51" w:rsidP="007E69FC">
      <w:pPr>
        <w:spacing w:after="0" w:line="240" w:lineRule="auto"/>
        <w:jc w:val="center"/>
        <w:rPr>
          <w:rFonts w:ascii="Times New Roman" w:eastAsia="Times New Roman" w:hAnsi="Times New Roman" w:cs="Times New Roman"/>
          <w:noProof/>
        </w:rPr>
      </w:pPr>
    </w:p>
    <w:p w14:paraId="70A06E06" w14:textId="55A9C3BB" w:rsidR="00225F51" w:rsidRDefault="00225F51" w:rsidP="007E69FC">
      <w:pPr>
        <w:spacing w:after="0" w:line="240" w:lineRule="auto"/>
        <w:jc w:val="center"/>
        <w:rPr>
          <w:rFonts w:ascii="Times New Roman" w:eastAsia="Times New Roman" w:hAnsi="Times New Roman" w:cs="Times New Roman"/>
          <w:noProof/>
        </w:rPr>
      </w:pPr>
    </w:p>
    <w:p w14:paraId="6CC6B7F8" w14:textId="1E8C9989" w:rsidR="00225F51" w:rsidRDefault="00225F51" w:rsidP="007E69FC">
      <w:pPr>
        <w:spacing w:after="0" w:line="240" w:lineRule="auto"/>
        <w:jc w:val="center"/>
        <w:rPr>
          <w:rFonts w:ascii="Times New Roman" w:eastAsia="Times New Roman" w:hAnsi="Times New Roman" w:cs="Times New Roman"/>
          <w:noProof/>
        </w:rPr>
      </w:pPr>
    </w:p>
    <w:p w14:paraId="12EADABD" w14:textId="56D64074" w:rsidR="00225F51" w:rsidRDefault="00225F51" w:rsidP="007E69FC">
      <w:pPr>
        <w:spacing w:after="0" w:line="240" w:lineRule="auto"/>
        <w:jc w:val="center"/>
        <w:rPr>
          <w:rFonts w:ascii="Times New Roman" w:eastAsia="Times New Roman" w:hAnsi="Times New Roman" w:cs="Times New Roman"/>
          <w:noProof/>
        </w:rPr>
      </w:pPr>
    </w:p>
    <w:p w14:paraId="74737A07" w14:textId="0D1D6139" w:rsidR="00225F51" w:rsidRDefault="00225F51" w:rsidP="007E69FC">
      <w:pPr>
        <w:spacing w:after="0" w:line="240" w:lineRule="auto"/>
        <w:jc w:val="center"/>
        <w:rPr>
          <w:rFonts w:ascii="Times New Roman" w:eastAsia="Times New Roman" w:hAnsi="Times New Roman" w:cs="Times New Roman"/>
          <w:noProof/>
        </w:rPr>
      </w:pPr>
    </w:p>
    <w:p w14:paraId="3B2772CB" w14:textId="736B9A3A" w:rsidR="00225F51" w:rsidRDefault="00225F51" w:rsidP="007E69FC">
      <w:pPr>
        <w:spacing w:after="0" w:line="240" w:lineRule="auto"/>
        <w:jc w:val="center"/>
        <w:rPr>
          <w:rFonts w:ascii="Times New Roman" w:eastAsia="Times New Roman" w:hAnsi="Times New Roman" w:cs="Times New Roman"/>
          <w:noProof/>
        </w:rPr>
      </w:pPr>
    </w:p>
    <w:p w14:paraId="0208A407" w14:textId="208944E3" w:rsidR="00225F51" w:rsidRDefault="00225F51" w:rsidP="007E69FC">
      <w:pPr>
        <w:spacing w:after="0" w:line="240" w:lineRule="auto"/>
        <w:jc w:val="center"/>
        <w:rPr>
          <w:rFonts w:ascii="Times New Roman" w:eastAsia="Times New Roman" w:hAnsi="Times New Roman" w:cs="Times New Roman"/>
          <w:noProof/>
        </w:rPr>
      </w:pPr>
    </w:p>
    <w:p w14:paraId="4D246F9D" w14:textId="09DABEE4" w:rsidR="00225F51" w:rsidRDefault="00225F51" w:rsidP="007E69FC">
      <w:pPr>
        <w:spacing w:after="0" w:line="240" w:lineRule="auto"/>
        <w:jc w:val="center"/>
        <w:rPr>
          <w:rFonts w:ascii="Times New Roman" w:eastAsia="Times New Roman" w:hAnsi="Times New Roman" w:cs="Times New Roman"/>
          <w:noProof/>
        </w:rPr>
      </w:pPr>
    </w:p>
    <w:p w14:paraId="27D9F70A" w14:textId="6FE6F5AC" w:rsidR="00225F51" w:rsidRDefault="00225F51" w:rsidP="007E69FC">
      <w:pPr>
        <w:spacing w:after="0" w:line="240" w:lineRule="auto"/>
        <w:jc w:val="center"/>
        <w:rPr>
          <w:rFonts w:ascii="Times New Roman" w:eastAsia="Times New Roman" w:hAnsi="Times New Roman" w:cs="Times New Roman"/>
          <w:noProof/>
        </w:rPr>
      </w:pPr>
    </w:p>
    <w:p w14:paraId="0A6BCCC9" w14:textId="649BF3E3" w:rsidR="00225F51" w:rsidRDefault="00225F51" w:rsidP="007E69FC">
      <w:pPr>
        <w:spacing w:after="0" w:line="240" w:lineRule="auto"/>
        <w:jc w:val="center"/>
        <w:rPr>
          <w:rFonts w:ascii="Times New Roman" w:eastAsia="Times New Roman" w:hAnsi="Times New Roman" w:cs="Times New Roman"/>
          <w:noProof/>
        </w:rPr>
      </w:pPr>
    </w:p>
    <w:p w14:paraId="4DE8467F" w14:textId="62E559B7" w:rsidR="00225F51" w:rsidRDefault="00225F51" w:rsidP="007E69FC">
      <w:pPr>
        <w:spacing w:after="0" w:line="240" w:lineRule="auto"/>
        <w:jc w:val="center"/>
        <w:rPr>
          <w:rFonts w:ascii="Times New Roman" w:eastAsia="Times New Roman" w:hAnsi="Times New Roman" w:cs="Times New Roman"/>
          <w:noProof/>
        </w:rPr>
      </w:pPr>
    </w:p>
    <w:p w14:paraId="13AFAAAF" w14:textId="77777777" w:rsidR="00225F51" w:rsidRPr="00FC7F89" w:rsidRDefault="00225F51" w:rsidP="007E69FC">
      <w:pPr>
        <w:spacing w:after="0" w:line="240" w:lineRule="auto"/>
        <w:jc w:val="center"/>
        <w:rPr>
          <w:rFonts w:ascii="Times New Roman" w:eastAsia="Times New Roman" w:hAnsi="Times New Roman" w:cs="Times New Roman"/>
          <w:noProof/>
        </w:rPr>
      </w:pPr>
    </w:p>
    <w:p w14:paraId="650B5071" w14:textId="77777777" w:rsidR="007E69FC" w:rsidRPr="00CB7F08" w:rsidRDefault="007E69FC" w:rsidP="007E69FC">
      <w:pPr>
        <w:keepNext/>
        <w:tabs>
          <w:tab w:val="left" w:pos="567"/>
        </w:tabs>
        <w:spacing w:after="0" w:line="276" w:lineRule="auto"/>
        <w:jc w:val="center"/>
        <w:outlineLvl w:val="1"/>
        <w:rPr>
          <w:rFonts w:ascii="Times New Roman" w:eastAsia="Calibri" w:hAnsi="Times New Roman" w:cs="Times New Roman"/>
          <w:b/>
        </w:rPr>
      </w:pPr>
      <w:r w:rsidRPr="00CB7F08">
        <w:rPr>
          <w:rFonts w:ascii="Times New Roman" w:eastAsia="Calibri" w:hAnsi="Times New Roman" w:cs="Times New Roman"/>
          <w:b/>
        </w:rPr>
        <w:t>II PRIEDAS</w:t>
      </w:r>
    </w:p>
    <w:p w14:paraId="7E19E420" w14:textId="77777777" w:rsidR="007E69FC" w:rsidRPr="00CB7F08" w:rsidRDefault="007E69FC" w:rsidP="007E69FC">
      <w:pPr>
        <w:tabs>
          <w:tab w:val="left" w:pos="567"/>
        </w:tabs>
        <w:spacing w:after="0" w:line="260" w:lineRule="exact"/>
        <w:ind w:left="1701" w:right="1416" w:hanging="567"/>
        <w:rPr>
          <w:rFonts w:ascii="Times New Roman" w:eastAsia="Times New Roman" w:hAnsi="Times New Roman" w:cs="Times New Roman"/>
          <w:snapToGrid w:val="0"/>
        </w:rPr>
      </w:pPr>
    </w:p>
    <w:p w14:paraId="4251A11A" w14:textId="77777777" w:rsidR="007E69FC" w:rsidRPr="00CB7F08" w:rsidRDefault="007E69FC" w:rsidP="007E69FC">
      <w:pPr>
        <w:tabs>
          <w:tab w:val="left" w:pos="567"/>
        </w:tabs>
        <w:spacing w:after="0" w:line="260" w:lineRule="exact"/>
        <w:jc w:val="center"/>
        <w:rPr>
          <w:rFonts w:ascii="Times New Roman" w:eastAsia="Times New Roman" w:hAnsi="Times New Roman" w:cs="Times New Roman"/>
          <w:i/>
          <w:snapToGrid w:val="0"/>
        </w:rPr>
      </w:pPr>
      <w:r w:rsidRPr="00CB7F08">
        <w:rPr>
          <w:rFonts w:ascii="Times New Roman" w:eastAsia="Times New Roman" w:hAnsi="Times New Roman" w:cs="Times New Roman"/>
          <w:b/>
          <w:snapToGrid w:val="0"/>
        </w:rPr>
        <w:t>REGISTRACIJOS SĄLYGOS</w:t>
      </w:r>
    </w:p>
    <w:p w14:paraId="509E377D" w14:textId="77777777" w:rsidR="007E69FC" w:rsidRPr="00CB7F08" w:rsidRDefault="007E69FC" w:rsidP="007E69FC">
      <w:pPr>
        <w:tabs>
          <w:tab w:val="left" w:pos="567"/>
        </w:tabs>
        <w:spacing w:after="0" w:line="260" w:lineRule="exact"/>
        <w:rPr>
          <w:rFonts w:ascii="Times New Roman" w:eastAsia="SimSun" w:hAnsi="Times New Roman" w:cs="Times New Roman"/>
        </w:rPr>
      </w:pPr>
    </w:p>
    <w:p w14:paraId="60C39677" w14:textId="77777777" w:rsidR="007E69FC" w:rsidRPr="00CB7F08" w:rsidRDefault="007E69FC" w:rsidP="007E69FC">
      <w:pPr>
        <w:tabs>
          <w:tab w:val="left" w:pos="567"/>
        </w:tabs>
        <w:spacing w:after="0" w:line="276" w:lineRule="auto"/>
        <w:ind w:left="1701" w:right="1416" w:hanging="708"/>
        <w:rPr>
          <w:rFonts w:ascii="Times New Roman" w:eastAsia="SimSun" w:hAnsi="Times New Roman" w:cs="Times New Roman"/>
          <w:b/>
        </w:rPr>
      </w:pPr>
      <w:r w:rsidRPr="00CB7F08">
        <w:rPr>
          <w:rFonts w:ascii="Times New Roman" w:eastAsia="SimSun" w:hAnsi="Times New Roman" w:cs="Times New Roman"/>
          <w:b/>
        </w:rPr>
        <w:t>A.</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GAMINTOJAS</w:t>
      </w:r>
      <w:r w:rsidRPr="00CB7F08">
        <w:rPr>
          <w:rFonts w:ascii="Times New Roman" w:eastAsia="SimSun" w:hAnsi="Times New Roman" w:cs="Times New Roman"/>
          <w:b/>
        </w:rPr>
        <w:t xml:space="preserve"> (-AI), ATSAKINGAS (-I) UŽ SERIJŲ IŠLEIDIMĄ</w:t>
      </w:r>
    </w:p>
    <w:p w14:paraId="4A704E30" w14:textId="77777777" w:rsidR="007E69FC" w:rsidRPr="00CB7F08" w:rsidRDefault="007E69FC" w:rsidP="007E69FC">
      <w:pPr>
        <w:tabs>
          <w:tab w:val="left" w:pos="567"/>
        </w:tabs>
        <w:spacing w:after="0" w:line="260" w:lineRule="exact"/>
        <w:rPr>
          <w:rFonts w:ascii="Times New Roman" w:eastAsia="SimSun" w:hAnsi="Times New Roman" w:cs="Times New Roman"/>
          <w:snapToGrid w:val="0"/>
          <w:lang w:eastAsia="zh-CN"/>
        </w:rPr>
      </w:pPr>
    </w:p>
    <w:p w14:paraId="5174640C" w14:textId="7CC23EF7" w:rsidR="007E69FC" w:rsidRPr="006C1D08" w:rsidRDefault="007E69FC" w:rsidP="007E69FC">
      <w:pPr>
        <w:suppressLineNumbers/>
        <w:tabs>
          <w:tab w:val="left" w:pos="567"/>
        </w:tabs>
        <w:spacing w:after="0" w:line="276" w:lineRule="auto"/>
        <w:ind w:left="1701" w:right="1416" w:hanging="708"/>
        <w:rPr>
          <w:rFonts w:ascii="Times New Roman" w:hAnsi="Times New Roman"/>
          <w:b/>
        </w:rPr>
      </w:pPr>
      <w:r w:rsidRPr="00CB7F08">
        <w:rPr>
          <w:rFonts w:ascii="Times New Roman" w:eastAsia="SimSun" w:hAnsi="Times New Roman" w:cs="Times New Roman"/>
          <w:b/>
        </w:rPr>
        <w:t>B.</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TIEKIMO IR VARTOJIMO SĄLYGOS AR APRIBOJIMAI</w:t>
      </w:r>
    </w:p>
    <w:p w14:paraId="42F689C8" w14:textId="77777777" w:rsidR="000D04ED" w:rsidRDefault="000D04ED" w:rsidP="007E69FC">
      <w:pPr>
        <w:suppressLineNumbers/>
        <w:tabs>
          <w:tab w:val="left" w:pos="567"/>
        </w:tabs>
        <w:spacing w:after="0" w:line="276" w:lineRule="auto"/>
        <w:ind w:left="1701" w:right="1416" w:hanging="708"/>
        <w:rPr>
          <w:rFonts w:ascii="Times New Roman" w:eastAsia="SimSun" w:hAnsi="Times New Roman" w:cs="Times New Roman"/>
          <w:b/>
          <w:snapToGrid w:val="0"/>
          <w:lang w:eastAsia="zh-CN"/>
        </w:rPr>
      </w:pPr>
    </w:p>
    <w:p w14:paraId="00CA22C9" w14:textId="77777777" w:rsidR="000D04ED" w:rsidRPr="006C1D08" w:rsidRDefault="000D04ED" w:rsidP="000D04ED">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bookmarkStart w:id="4" w:name="_Hlk122355458"/>
      <w:bookmarkStart w:id="5" w:name="_Hlk122355357"/>
      <w:r w:rsidRPr="006C1D08">
        <w:rPr>
          <w:rFonts w:ascii="Times New Roman" w:eastAsia="SimSun" w:hAnsi="Times New Roman" w:cs="Times New Roman"/>
          <w:b/>
          <w:bCs/>
          <w:snapToGrid w:val="0"/>
          <w:lang w:eastAsia="zh-CN"/>
        </w:rPr>
        <w:t>C.</w:t>
      </w:r>
      <w:r w:rsidRPr="006C1D08">
        <w:rPr>
          <w:rFonts w:ascii="Times New Roman" w:eastAsia="SimSun" w:hAnsi="Times New Roman" w:cs="Times New Roman"/>
          <w:b/>
          <w:bCs/>
          <w:snapToGrid w:val="0"/>
          <w:lang w:eastAsia="zh-CN"/>
        </w:rPr>
        <w:tab/>
        <w:t>KITOS SĄLYGOS IR REIKALAVIMAI REGISTRUOTOJUI</w:t>
      </w:r>
    </w:p>
    <w:p w14:paraId="65A53363" w14:textId="77777777" w:rsidR="000D04ED" w:rsidRPr="006C1D08" w:rsidRDefault="000D04ED" w:rsidP="000D04ED">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p>
    <w:p w14:paraId="16D96972" w14:textId="0DB149EA" w:rsidR="000D04ED" w:rsidRPr="006C1D08" w:rsidRDefault="000D04ED" w:rsidP="000D04ED">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r w:rsidRPr="006C1D08">
        <w:rPr>
          <w:rFonts w:ascii="Times New Roman" w:eastAsia="SimSun" w:hAnsi="Times New Roman" w:cs="Times New Roman"/>
          <w:b/>
          <w:bCs/>
          <w:snapToGrid w:val="0"/>
          <w:lang w:eastAsia="zh-CN"/>
        </w:rPr>
        <w:t>D.</w:t>
      </w:r>
      <w:r w:rsidRPr="006C1D08">
        <w:rPr>
          <w:rFonts w:ascii="Times New Roman" w:eastAsia="SimSun" w:hAnsi="Times New Roman" w:cs="Times New Roman"/>
          <w:b/>
          <w:bCs/>
          <w:snapToGrid w:val="0"/>
          <w:lang w:eastAsia="zh-CN"/>
        </w:rPr>
        <w:tab/>
        <w:t>SĄLYGOS AR APRIBOJIMAI, SKIRTI SAUGIAM IR VEIKSMINGAM VAISTINIO PREPARATO VARTOJIMUI UŽTIKRINTI</w:t>
      </w:r>
    </w:p>
    <w:bookmarkEnd w:id="4"/>
    <w:p w14:paraId="792F0DAD" w14:textId="77777777" w:rsidR="007E69FC" w:rsidRPr="00CB7F08" w:rsidRDefault="007E69FC" w:rsidP="007E69FC">
      <w:pPr>
        <w:keepNext/>
        <w:tabs>
          <w:tab w:val="left" w:pos="567"/>
        </w:tabs>
        <w:spacing w:after="0" w:line="240" w:lineRule="auto"/>
        <w:ind w:left="567" w:hanging="567"/>
        <w:outlineLvl w:val="1"/>
        <w:rPr>
          <w:rFonts w:ascii="Times New Roman" w:eastAsia="Times New Roman" w:hAnsi="Times New Roman" w:cs="Times New Roman"/>
          <w:b/>
        </w:rPr>
      </w:pPr>
      <w:r w:rsidRPr="00CB7F08">
        <w:rPr>
          <w:rFonts w:ascii="Times New Roman" w:eastAsia="Times New Roman" w:hAnsi="Times New Roman" w:cs="Times New Roman"/>
          <w:b/>
        </w:rPr>
        <w:br w:type="page"/>
      </w:r>
      <w:bookmarkEnd w:id="5"/>
      <w:r w:rsidRPr="00CB7F08">
        <w:rPr>
          <w:rFonts w:ascii="Times New Roman" w:eastAsia="Times New Roman" w:hAnsi="Times New Roman" w:cs="Times New Roman"/>
          <w:b/>
        </w:rPr>
        <w:lastRenderedPageBreak/>
        <w:t>A.</w:t>
      </w:r>
      <w:r w:rsidRPr="00CB7F08">
        <w:rPr>
          <w:rFonts w:ascii="Times New Roman" w:eastAsia="Times New Roman" w:hAnsi="Times New Roman" w:cs="Times New Roman"/>
          <w:b/>
        </w:rPr>
        <w:tab/>
      </w:r>
      <w:r w:rsidRPr="00CB7F08">
        <w:rPr>
          <w:rFonts w:ascii="Times New Roman" w:eastAsia="Times New Roman" w:hAnsi="Times New Roman" w:cs="Times New Roman"/>
          <w:b/>
          <w:bCs/>
        </w:rPr>
        <w:t>GAMINTOJAS (-AI), ATSAKINGAS (-I) UŽ SERIJŲ IŠLEIDIMĄ</w:t>
      </w:r>
    </w:p>
    <w:p w14:paraId="1D2CA694" w14:textId="77777777" w:rsidR="007E69FC" w:rsidRPr="00CB7F08" w:rsidRDefault="007E69FC" w:rsidP="007E69FC">
      <w:pPr>
        <w:spacing w:after="0" w:line="240" w:lineRule="auto"/>
        <w:rPr>
          <w:rFonts w:ascii="Times New Roman" w:eastAsia="Times New Roman" w:hAnsi="Times New Roman" w:cs="Times New Roman"/>
          <w:noProof/>
        </w:rPr>
      </w:pPr>
    </w:p>
    <w:p w14:paraId="54FF31A3" w14:textId="77777777" w:rsidR="007E69FC" w:rsidRDefault="007E69FC" w:rsidP="007E69F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5D202B0E" w14:textId="77777777" w:rsidR="007E69FC" w:rsidRPr="00CB7F08" w:rsidRDefault="007E69FC" w:rsidP="007E69FC">
      <w:pPr>
        <w:spacing w:after="0" w:line="240" w:lineRule="auto"/>
        <w:rPr>
          <w:rFonts w:ascii="Times New Roman" w:eastAsia="Times New Roman" w:hAnsi="Times New Roman" w:cs="Times New Roman"/>
          <w:noProof/>
        </w:rPr>
      </w:pPr>
    </w:p>
    <w:p w14:paraId="3620A70E" w14:textId="77777777" w:rsidR="007E69FC" w:rsidRPr="009449B0" w:rsidRDefault="007E69FC" w:rsidP="007E69FC">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roofErr w:type="spellStart"/>
      <w:r w:rsidRPr="009449B0">
        <w:rPr>
          <w:rFonts w:ascii="Times New Roman" w:eastAsia="Times New Roman" w:hAnsi="Times New Roman" w:cs="Times New Roman"/>
          <w:color w:val="000000"/>
        </w:rPr>
        <w:t>Site</w:t>
      </w:r>
      <w:proofErr w:type="spellEnd"/>
      <w:r w:rsidRPr="009449B0">
        <w:rPr>
          <w:rFonts w:ascii="Times New Roman" w:eastAsia="Times New Roman" w:hAnsi="Times New Roman" w:cs="Times New Roman"/>
          <w:color w:val="000000"/>
        </w:rPr>
        <w:t xml:space="preserve"> 2. </w:t>
      </w:r>
    </w:p>
    <w:p w14:paraId="1DB59E4D" w14:textId="77777777" w:rsidR="007E69FC" w:rsidRPr="009449B0" w:rsidRDefault="007E69FC" w:rsidP="007E69FC">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1165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Bökényföldi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118-120</w:t>
      </w:r>
    </w:p>
    <w:p w14:paraId="5B86BE1F" w14:textId="77777777" w:rsidR="007E69FC" w:rsidRPr="00CB7F08" w:rsidRDefault="007E69FC" w:rsidP="007E69FC">
      <w:pPr>
        <w:spacing w:after="0" w:line="240" w:lineRule="auto"/>
        <w:rPr>
          <w:rFonts w:ascii="Times New Roman" w:eastAsia="Calibri" w:hAnsi="Times New Roman" w:cs="Times New Roman"/>
        </w:rPr>
      </w:pPr>
      <w:r>
        <w:rPr>
          <w:rFonts w:ascii="Times New Roman" w:eastAsia="Times New Roman" w:hAnsi="Times New Roman" w:cs="Times New Roman"/>
          <w:color w:val="000000"/>
        </w:rPr>
        <w:t>V</w:t>
      </w:r>
      <w:r w:rsidRPr="009449B0">
        <w:rPr>
          <w:rFonts w:ascii="Times New Roman" w:eastAsia="Times New Roman" w:hAnsi="Times New Roman" w:cs="Times New Roman"/>
          <w:color w:val="000000"/>
        </w:rPr>
        <w:t>engrija</w:t>
      </w:r>
    </w:p>
    <w:p w14:paraId="5B389668" w14:textId="77777777" w:rsidR="007E69FC" w:rsidRPr="00CB7F08" w:rsidRDefault="007E69FC" w:rsidP="007E69FC">
      <w:pPr>
        <w:spacing w:after="0" w:line="240" w:lineRule="auto"/>
        <w:rPr>
          <w:rFonts w:ascii="Times New Roman" w:eastAsia="Times New Roman" w:hAnsi="Times New Roman" w:cs="Times New Roman"/>
          <w:noProof/>
        </w:rPr>
      </w:pPr>
    </w:p>
    <w:p w14:paraId="24EF0A3F" w14:textId="77777777" w:rsidR="007E69FC" w:rsidRPr="00CB7F08" w:rsidRDefault="007E69FC" w:rsidP="007E69FC">
      <w:pPr>
        <w:spacing w:after="0" w:line="240" w:lineRule="auto"/>
        <w:rPr>
          <w:rFonts w:ascii="Times New Roman" w:eastAsia="Times New Roman" w:hAnsi="Times New Roman" w:cs="Times New Roman"/>
          <w:noProof/>
        </w:rPr>
      </w:pPr>
    </w:p>
    <w:p w14:paraId="0168CD09" w14:textId="77777777" w:rsidR="007E69FC" w:rsidRPr="00CB7F08" w:rsidRDefault="007E69FC" w:rsidP="007E69FC">
      <w:pPr>
        <w:suppressLineNumbers/>
        <w:tabs>
          <w:tab w:val="left" w:pos="567"/>
        </w:tabs>
        <w:spacing w:after="0" w:line="276" w:lineRule="auto"/>
        <w:ind w:left="567" w:hanging="567"/>
        <w:rPr>
          <w:rFonts w:ascii="Times New Roman" w:eastAsia="SimSun" w:hAnsi="Times New Roman" w:cs="Times New Roman"/>
          <w:b/>
        </w:rPr>
      </w:pPr>
      <w:bookmarkStart w:id="6" w:name="_Toc129243130"/>
      <w:bookmarkStart w:id="7" w:name="_Toc129243255"/>
      <w:r w:rsidRPr="00CB7F08">
        <w:rPr>
          <w:rFonts w:ascii="Times New Roman" w:eastAsia="SimSun" w:hAnsi="Times New Roman" w:cs="Times New Roman"/>
          <w:b/>
          <w:snapToGrid w:val="0"/>
          <w:lang w:eastAsia="zh-CN"/>
        </w:rPr>
        <w:t>B.</w:t>
      </w:r>
      <w:r w:rsidRPr="00CB7F08">
        <w:rPr>
          <w:rFonts w:ascii="Times New Roman" w:eastAsia="SimSun" w:hAnsi="Times New Roman" w:cs="Times New Roman"/>
          <w:b/>
        </w:rPr>
        <w:tab/>
        <w:t>TIEKIMO IR VARTOJIMO SĄLYGOS AR APRIBOJIMAI</w:t>
      </w:r>
      <w:bookmarkEnd w:id="6"/>
      <w:bookmarkEnd w:id="7"/>
    </w:p>
    <w:p w14:paraId="2C8E83F3" w14:textId="77777777" w:rsidR="007E69FC" w:rsidRPr="00CB7F08" w:rsidRDefault="007E69FC" w:rsidP="007E69FC">
      <w:pPr>
        <w:spacing w:after="0" w:line="240" w:lineRule="auto"/>
        <w:rPr>
          <w:rFonts w:ascii="Times New Roman" w:eastAsia="Times New Roman" w:hAnsi="Times New Roman" w:cs="Times New Roman"/>
          <w:noProof/>
        </w:rPr>
      </w:pPr>
    </w:p>
    <w:p w14:paraId="7268C529" w14:textId="7B6202A6" w:rsidR="007E69FC" w:rsidRDefault="007E69FC" w:rsidP="007E69FC">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t>Receptinis vaistinis preparatas.</w:t>
      </w:r>
    </w:p>
    <w:p w14:paraId="4BA1A15E" w14:textId="7841257B" w:rsidR="000D04ED" w:rsidRDefault="000D04ED" w:rsidP="007E69FC">
      <w:pPr>
        <w:spacing w:after="0" w:line="240" w:lineRule="auto"/>
        <w:rPr>
          <w:rFonts w:ascii="Times New Roman" w:eastAsia="Times New Roman" w:hAnsi="Times New Roman" w:cs="Times New Roman"/>
          <w:noProof/>
        </w:rPr>
      </w:pPr>
      <w:bookmarkStart w:id="8" w:name="_Hlk122355387"/>
    </w:p>
    <w:p w14:paraId="1DC47424" w14:textId="77777777" w:rsidR="000D04ED" w:rsidRPr="000D04ED" w:rsidRDefault="000D04ED" w:rsidP="000D04ED">
      <w:pPr>
        <w:tabs>
          <w:tab w:val="left" w:pos="567"/>
        </w:tabs>
        <w:spacing w:after="0" w:line="260" w:lineRule="exact"/>
        <w:rPr>
          <w:rFonts w:ascii="Times New Roman" w:eastAsia="Times New Roman" w:hAnsi="Times New Roman" w:cs="Times New Roman"/>
          <w:b/>
          <w:snapToGrid w:val="0"/>
          <w:szCs w:val="20"/>
        </w:rPr>
      </w:pPr>
      <w:bookmarkStart w:id="9" w:name="_Hlk122355218"/>
      <w:r w:rsidRPr="000D04ED">
        <w:rPr>
          <w:rFonts w:ascii="Times New Roman" w:eastAsia="Times New Roman" w:hAnsi="Times New Roman" w:cs="Times New Roman"/>
          <w:b/>
          <w:snapToGrid w:val="0"/>
          <w:szCs w:val="20"/>
        </w:rPr>
        <w:t>C.</w:t>
      </w:r>
      <w:r w:rsidRPr="000D04ED">
        <w:rPr>
          <w:rFonts w:ascii="Times New Roman" w:eastAsia="Times New Roman" w:hAnsi="Times New Roman" w:cs="Times New Roman"/>
          <w:b/>
          <w:snapToGrid w:val="0"/>
          <w:szCs w:val="20"/>
        </w:rPr>
        <w:tab/>
      </w:r>
      <w:r w:rsidRPr="000D04ED">
        <w:rPr>
          <w:rFonts w:ascii="Times New Roman" w:eastAsia="Times New Roman" w:hAnsi="Times New Roman" w:cs="Times New Roman"/>
          <w:b/>
          <w:snapToGrid w:val="0"/>
          <w:szCs w:val="24"/>
        </w:rPr>
        <w:t>KITOS SĄLYGOS IR REIKALAVIMAI REGISTRUOTOJUI</w:t>
      </w:r>
    </w:p>
    <w:p w14:paraId="14A8531C"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i/>
          <w:snapToGrid w:val="0"/>
          <w:szCs w:val="20"/>
          <w:u w:val="single"/>
        </w:rPr>
      </w:pPr>
    </w:p>
    <w:p w14:paraId="18891E55" w14:textId="77777777" w:rsidR="000D04ED" w:rsidRPr="000D04ED" w:rsidRDefault="000D04ED" w:rsidP="000D04ED">
      <w:pPr>
        <w:numPr>
          <w:ilvl w:val="0"/>
          <w:numId w:val="43"/>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Periodiškai atnaujinami saugumo protokolai (PASP)</w:t>
      </w:r>
    </w:p>
    <w:p w14:paraId="5F5D6F74" w14:textId="77777777" w:rsidR="000D04ED" w:rsidRPr="000D04ED" w:rsidRDefault="000D04ED" w:rsidP="000D04ED">
      <w:pPr>
        <w:tabs>
          <w:tab w:val="left" w:pos="0"/>
          <w:tab w:val="left" w:pos="567"/>
        </w:tabs>
        <w:spacing w:after="0" w:line="260" w:lineRule="exact"/>
        <w:ind w:right="567"/>
        <w:rPr>
          <w:rFonts w:ascii="Times New Roman" w:eastAsia="Times New Roman" w:hAnsi="Times New Roman" w:cs="Times New Roman"/>
          <w:snapToGrid w:val="0"/>
          <w:szCs w:val="24"/>
        </w:rPr>
      </w:pPr>
    </w:p>
    <w:p w14:paraId="1E89A769" w14:textId="77777777" w:rsidR="000D04ED" w:rsidRPr="000D04ED" w:rsidRDefault="000D04ED" w:rsidP="000D04ED">
      <w:pPr>
        <w:tabs>
          <w:tab w:val="left" w:pos="0"/>
          <w:tab w:val="left" w:pos="567"/>
        </w:tabs>
        <w:spacing w:after="0" w:line="260" w:lineRule="exact"/>
        <w:rPr>
          <w:rFonts w:ascii="Times New Roman" w:eastAsia="Times New Roman" w:hAnsi="Times New Roman" w:cs="Times New Roman"/>
          <w:i/>
          <w:iCs/>
          <w:snapToGrid w:val="0"/>
          <w:szCs w:val="20"/>
        </w:rPr>
      </w:pPr>
      <w:r w:rsidRPr="000D04ED">
        <w:rPr>
          <w:rFonts w:ascii="Times New Roman" w:eastAsia="Times New Roman" w:hAnsi="Times New Roman" w:cs="Times New Roman"/>
          <w:noProof/>
          <w:snapToGrid w:val="0"/>
          <w:szCs w:val="20"/>
        </w:rPr>
        <w:t xml:space="preserve">Registruotojas šio vaistinio preparato PASP teikia remdamasis Direktyvos 2001/83/EB 107c straipsnio 7 dalyje numatytame Sąjungos </w:t>
      </w:r>
      <w:r w:rsidRPr="000D04ED">
        <w:rPr>
          <w:rFonts w:ascii="Times New Roman" w:eastAsia="Times New Roman" w:hAnsi="Times New Roman" w:cs="Times New Roman"/>
          <w:snapToGrid w:val="0"/>
          <w:szCs w:val="20"/>
        </w:rPr>
        <w:t xml:space="preserve">referencinių </w:t>
      </w:r>
      <w:r w:rsidRPr="000D04ED">
        <w:rPr>
          <w:rFonts w:ascii="Times New Roman" w:eastAsia="Times New Roman" w:hAnsi="Times New Roman" w:cs="Times New Roman"/>
          <w:noProof/>
          <w:snapToGrid w:val="0"/>
          <w:szCs w:val="20"/>
        </w:rPr>
        <w:t>datų sąraše (</w:t>
      </w:r>
      <w:r w:rsidRPr="000D04ED">
        <w:rPr>
          <w:rFonts w:ascii="Times New Roman" w:eastAsia="Times New Roman" w:hAnsi="Times New Roman" w:cs="Times New Roman"/>
          <w:i/>
          <w:iCs/>
          <w:noProof/>
          <w:snapToGrid w:val="0"/>
          <w:szCs w:val="20"/>
        </w:rPr>
        <w:t>EURD</w:t>
      </w:r>
      <w:r w:rsidRPr="000D04ED">
        <w:rPr>
          <w:rFonts w:ascii="Times New Roman" w:eastAsia="Times New Roman" w:hAnsi="Times New Roman" w:cs="Times New Roman"/>
          <w:noProof/>
          <w:snapToGrid w:val="0"/>
          <w:szCs w:val="20"/>
        </w:rPr>
        <w:t xml:space="preserve"> sąraše), kuris skelbiamas Europos vaistų </w:t>
      </w:r>
      <w:r w:rsidRPr="000D04ED">
        <w:rPr>
          <w:rFonts w:ascii="Times New Roman" w:eastAsia="Times New Roman" w:hAnsi="Times New Roman" w:cs="Times New Roman"/>
          <w:snapToGrid w:val="0"/>
          <w:szCs w:val="20"/>
        </w:rPr>
        <w:t>tinklalapyje</w:t>
      </w:r>
      <w:r w:rsidRPr="000D04ED">
        <w:rPr>
          <w:rFonts w:ascii="Times New Roman" w:eastAsia="Times New Roman" w:hAnsi="Times New Roman" w:cs="Times New Roman"/>
          <w:noProof/>
          <w:snapToGrid w:val="0"/>
          <w:szCs w:val="20"/>
        </w:rPr>
        <w:t>, nustatytais reikalavimais.</w:t>
      </w:r>
    </w:p>
    <w:p w14:paraId="21E81AB3" w14:textId="77777777" w:rsidR="000D04ED" w:rsidRPr="000D04ED" w:rsidRDefault="000D04ED" w:rsidP="000D04ED">
      <w:pPr>
        <w:tabs>
          <w:tab w:val="left" w:pos="0"/>
          <w:tab w:val="left" w:pos="567"/>
        </w:tabs>
        <w:spacing w:after="0" w:line="260" w:lineRule="exact"/>
        <w:ind w:right="567"/>
        <w:rPr>
          <w:rFonts w:ascii="Times New Roman" w:eastAsia="Times New Roman" w:hAnsi="Times New Roman" w:cs="Times New Roman"/>
          <w:i/>
          <w:snapToGrid w:val="0"/>
          <w:szCs w:val="24"/>
        </w:rPr>
      </w:pPr>
    </w:p>
    <w:p w14:paraId="6054F74D"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i/>
          <w:noProof/>
          <w:snapToGrid w:val="0"/>
          <w:szCs w:val="24"/>
          <w:u w:val="single"/>
        </w:rPr>
      </w:pPr>
    </w:p>
    <w:p w14:paraId="36A0409B" w14:textId="77777777" w:rsidR="000D04ED" w:rsidRPr="000D04ED" w:rsidRDefault="000D04ED" w:rsidP="000D04ED">
      <w:pPr>
        <w:tabs>
          <w:tab w:val="left" w:pos="567"/>
        </w:tabs>
        <w:spacing w:after="0" w:line="260" w:lineRule="exact"/>
        <w:ind w:left="567" w:hanging="567"/>
        <w:rPr>
          <w:rFonts w:ascii="Times New Roman" w:eastAsia="Times New Roman" w:hAnsi="Times New Roman" w:cs="Times New Roman"/>
          <w:b/>
          <w:snapToGrid w:val="0"/>
          <w:szCs w:val="24"/>
        </w:rPr>
      </w:pPr>
      <w:r w:rsidRPr="000D04ED">
        <w:rPr>
          <w:rFonts w:ascii="Times New Roman" w:eastAsia="Times New Roman" w:hAnsi="Times New Roman" w:cs="Times New Roman"/>
          <w:b/>
          <w:noProof/>
          <w:snapToGrid w:val="0"/>
          <w:szCs w:val="24"/>
        </w:rPr>
        <w:t>D.</w:t>
      </w:r>
      <w:r w:rsidRPr="000D04ED">
        <w:rPr>
          <w:rFonts w:ascii="Times New Roman" w:eastAsia="Times New Roman" w:hAnsi="Times New Roman" w:cs="Times New Roman"/>
          <w:b/>
          <w:snapToGrid w:val="0"/>
          <w:szCs w:val="24"/>
        </w:rPr>
        <w:tab/>
      </w:r>
      <w:r w:rsidRPr="000D04ED">
        <w:rPr>
          <w:rFonts w:ascii="Times New Roman" w:eastAsia="Times New Roman" w:hAnsi="Times New Roman" w:cs="Times New Roman"/>
          <w:b/>
          <w:noProof/>
          <w:snapToGrid w:val="0"/>
          <w:szCs w:val="24"/>
        </w:rPr>
        <w:t>SĄLYGOS AR APRIBOJIMAI, SKIRTI SAUGIAM IR VEIKSMINGAM VAISTINIO PREPARATO VARTOJIMUI UŽTIKRINTI</w:t>
      </w:r>
    </w:p>
    <w:p w14:paraId="3CDB48E9"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i/>
          <w:noProof/>
          <w:snapToGrid w:val="0"/>
          <w:szCs w:val="24"/>
          <w:u w:val="single"/>
        </w:rPr>
      </w:pPr>
    </w:p>
    <w:p w14:paraId="4388DAE0" w14:textId="4A570527" w:rsidR="000D04ED" w:rsidRPr="000D04ED" w:rsidRDefault="000D04ED" w:rsidP="000D04ED">
      <w:pPr>
        <w:numPr>
          <w:ilvl w:val="0"/>
          <w:numId w:val="43"/>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Rizikos valdymo planas (RVP)</w:t>
      </w:r>
    </w:p>
    <w:p w14:paraId="7441A11C" w14:textId="77777777" w:rsidR="000D04ED" w:rsidRPr="000D04ED" w:rsidRDefault="000D04ED" w:rsidP="006C1D08">
      <w:pPr>
        <w:tabs>
          <w:tab w:val="left" w:pos="567"/>
        </w:tabs>
        <w:spacing w:after="0" w:line="260" w:lineRule="exact"/>
        <w:ind w:right="-1"/>
        <w:rPr>
          <w:rFonts w:ascii="Times New Roman" w:eastAsia="Times New Roman" w:hAnsi="Times New Roman" w:cs="Times New Roman"/>
          <w:b/>
          <w:snapToGrid w:val="0"/>
          <w:szCs w:val="24"/>
        </w:rPr>
      </w:pPr>
    </w:p>
    <w:p w14:paraId="14CE91EE" w14:textId="77777777" w:rsidR="000D04ED" w:rsidRPr="000D04ED" w:rsidRDefault="000D04ED" w:rsidP="000D04ED">
      <w:pPr>
        <w:tabs>
          <w:tab w:val="left" w:pos="0"/>
          <w:tab w:val="left" w:pos="567"/>
        </w:tabs>
        <w:spacing w:after="0" w:line="260" w:lineRule="exact"/>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Registruotojas atlieka reikalaujamą farmakologinio budrumo veiklą ir veiksmus, kurie išsamiai aprašyti registracijos bylos 1.8.2 modulyje pateiktame RVP ir suderintose tolesnėse jo versijose.</w:t>
      </w:r>
    </w:p>
    <w:p w14:paraId="53C11A85" w14:textId="77777777" w:rsidR="000D04ED" w:rsidRPr="000D04ED" w:rsidRDefault="000D04ED" w:rsidP="000D04ED">
      <w:pPr>
        <w:tabs>
          <w:tab w:val="left" w:pos="567"/>
        </w:tabs>
        <w:spacing w:after="0" w:line="260" w:lineRule="exact"/>
        <w:rPr>
          <w:rFonts w:ascii="Times New Roman" w:eastAsia="Times New Roman" w:hAnsi="Times New Roman" w:cs="Times New Roman"/>
          <w:snapToGrid w:val="0"/>
          <w:color w:val="008000"/>
          <w:szCs w:val="20"/>
        </w:rPr>
      </w:pPr>
    </w:p>
    <w:p w14:paraId="32234FF6"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i/>
          <w:snapToGrid w:val="0"/>
          <w:szCs w:val="20"/>
        </w:rPr>
      </w:pPr>
      <w:r w:rsidRPr="000D04ED">
        <w:rPr>
          <w:rFonts w:ascii="Times New Roman" w:eastAsia="Times New Roman" w:hAnsi="Times New Roman" w:cs="Times New Roman"/>
          <w:snapToGrid w:val="0"/>
          <w:szCs w:val="24"/>
        </w:rPr>
        <w:t>Atnaujintas rizikos valdymo planas turi būti pateiktas</w:t>
      </w:r>
      <w:r w:rsidRPr="000D04ED">
        <w:rPr>
          <w:rFonts w:ascii="Times New Roman" w:eastAsia="Times New Roman" w:hAnsi="Times New Roman" w:cs="Times New Roman"/>
          <w:snapToGrid w:val="0"/>
          <w:szCs w:val="20"/>
        </w:rPr>
        <w:t>:</w:t>
      </w:r>
    </w:p>
    <w:p w14:paraId="0FBF5C93" w14:textId="77777777" w:rsidR="000D04ED" w:rsidRPr="000D04ED" w:rsidRDefault="000D04ED" w:rsidP="006C1D08">
      <w:pPr>
        <w:numPr>
          <w:ilvl w:val="0"/>
          <w:numId w:val="42"/>
        </w:numPr>
        <w:tabs>
          <w:tab w:val="left" w:pos="567"/>
        </w:tabs>
        <w:spacing w:after="0" w:line="240" w:lineRule="auto"/>
        <w:ind w:left="567" w:hanging="567"/>
        <w:rPr>
          <w:rFonts w:ascii="Times New Roman" w:eastAsia="Times New Roman" w:hAnsi="Times New Roman" w:cs="Times New Roman"/>
          <w:i/>
          <w:noProof/>
          <w:snapToGrid w:val="0"/>
          <w:szCs w:val="24"/>
        </w:rPr>
      </w:pPr>
      <w:r w:rsidRPr="000D04ED">
        <w:rPr>
          <w:rFonts w:ascii="Times New Roman" w:eastAsia="Times New Roman" w:hAnsi="Times New Roman" w:cs="Times New Roman"/>
          <w:snapToGrid w:val="0"/>
          <w:szCs w:val="24"/>
        </w:rPr>
        <w:t>pareikalavus Valstybinei vaistų kontrolės tarnybai prie Lietuvos Respublikos sveikatos apsaugos ministerijos</w:t>
      </w:r>
      <w:r w:rsidRPr="000D04ED">
        <w:rPr>
          <w:rFonts w:ascii="Times New Roman" w:eastAsia="Times New Roman" w:hAnsi="Times New Roman" w:cs="Times New Roman"/>
          <w:i/>
          <w:noProof/>
          <w:snapToGrid w:val="0"/>
          <w:szCs w:val="24"/>
        </w:rPr>
        <w:t>;</w:t>
      </w:r>
    </w:p>
    <w:p w14:paraId="3B4F1C77" w14:textId="77777777" w:rsidR="000D04ED" w:rsidRPr="000D04ED" w:rsidRDefault="000D04ED" w:rsidP="006C1D08">
      <w:pPr>
        <w:numPr>
          <w:ilvl w:val="0"/>
          <w:numId w:val="42"/>
        </w:numPr>
        <w:tabs>
          <w:tab w:val="left" w:pos="567"/>
        </w:tabs>
        <w:spacing w:after="0" w:line="240" w:lineRule="auto"/>
        <w:ind w:left="567" w:hanging="567"/>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kai keičiama rizikos valdymo sistema, ypač gavus naujos informacijos, kuri gali lemti didelį naudos ir rizikos santykio pokytį arba pasiekus svarbų (farmakologinio budrumo ar rizikos mažinimo) etapą.</w:t>
      </w:r>
    </w:p>
    <w:p w14:paraId="6503C962"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noProof/>
          <w:snapToGrid w:val="0"/>
          <w:szCs w:val="24"/>
        </w:rPr>
      </w:pPr>
    </w:p>
    <w:p w14:paraId="5D51B1BB" w14:textId="77777777" w:rsidR="000D04ED" w:rsidRPr="000D04ED" w:rsidRDefault="000D04ED" w:rsidP="000D04ED">
      <w:pPr>
        <w:numPr>
          <w:ilvl w:val="0"/>
          <w:numId w:val="43"/>
        </w:numPr>
        <w:tabs>
          <w:tab w:val="left" w:pos="567"/>
        </w:tabs>
        <w:spacing w:after="0" w:line="240" w:lineRule="auto"/>
        <w:ind w:right="-1" w:hanging="720"/>
        <w:rPr>
          <w:rFonts w:ascii="Times New Roman" w:eastAsia="Times New Roman" w:hAnsi="Times New Roman" w:cs="Times New Roman"/>
          <w:i/>
          <w:noProof/>
          <w:snapToGrid w:val="0"/>
          <w:szCs w:val="24"/>
        </w:rPr>
      </w:pPr>
      <w:r w:rsidRPr="000D04ED">
        <w:rPr>
          <w:rFonts w:ascii="Times New Roman" w:eastAsia="Times New Roman" w:hAnsi="Times New Roman" w:cs="Times New Roman"/>
          <w:b/>
          <w:snapToGrid w:val="0"/>
          <w:szCs w:val="20"/>
        </w:rPr>
        <w:t>Papildomos rizikos mažinimo priemonės (įskaitant mokomąją medžiagą)</w:t>
      </w:r>
    </w:p>
    <w:p w14:paraId="221C39D0" w14:textId="77777777" w:rsidR="000D04ED" w:rsidRPr="000D04ED" w:rsidRDefault="000D04ED" w:rsidP="000D04ED">
      <w:pPr>
        <w:tabs>
          <w:tab w:val="left" w:pos="567"/>
        </w:tabs>
        <w:spacing w:after="0" w:line="260" w:lineRule="exact"/>
        <w:ind w:right="-1"/>
        <w:rPr>
          <w:rFonts w:ascii="Times New Roman" w:eastAsia="Times New Roman" w:hAnsi="Times New Roman" w:cs="Times New Roman"/>
          <w:i/>
          <w:noProof/>
          <w:snapToGrid w:val="0"/>
          <w:szCs w:val="24"/>
        </w:rPr>
      </w:pPr>
    </w:p>
    <w:p w14:paraId="067D84BA" w14:textId="77777777" w:rsidR="000A202B" w:rsidRPr="000A202B" w:rsidRDefault="000A202B" w:rsidP="000A202B">
      <w:pPr>
        <w:rPr>
          <w:rFonts w:ascii="Times New Roman" w:hAnsi="Times New Roman" w:cs="Times New Roman"/>
        </w:rPr>
      </w:pPr>
      <w:r w:rsidRPr="000A202B">
        <w:rPr>
          <w:rFonts w:ascii="Times New Roman" w:hAnsi="Times New Roman" w:cs="Times New Roman"/>
        </w:rPr>
        <w:t>Prieš pateikdamas į rinką vaistinį preparatą, registruotojas turi pateikti mokomąjį paketą, skirtą visiems gydytojams, kurie, tikėtina, išrašys ar naudos rivaroksabaną. Šio mokomojo paketo tikslas – padidinti žinias apie galimą kraujavimo riziką, gydant rivaroksabanu, ir pateikti nurodymus, kaip valdyti šią riziką.</w:t>
      </w:r>
    </w:p>
    <w:p w14:paraId="7B3C4BE1" w14:textId="77777777" w:rsidR="000A202B" w:rsidRDefault="000A202B" w:rsidP="000D04ED">
      <w:pPr>
        <w:numPr>
          <w:ilvl w:val="12"/>
          <w:numId w:val="0"/>
        </w:numPr>
        <w:tabs>
          <w:tab w:val="left" w:pos="567"/>
        </w:tabs>
        <w:spacing w:after="0" w:line="240" w:lineRule="auto"/>
        <w:rPr>
          <w:rFonts w:ascii="Times New Roman" w:eastAsia="Times New Roman" w:hAnsi="Times New Roman" w:cs="Times New Roman"/>
          <w:lang w:eastAsia="lt-LT"/>
        </w:rPr>
      </w:pPr>
    </w:p>
    <w:p w14:paraId="2497DB50" w14:textId="77777777" w:rsidR="000D04ED" w:rsidRPr="000D04ED" w:rsidRDefault="000D04ED" w:rsidP="000D04ED">
      <w:pPr>
        <w:numPr>
          <w:ilvl w:val="12"/>
          <w:numId w:val="0"/>
        </w:numPr>
        <w:tabs>
          <w:tab w:val="left" w:pos="567"/>
        </w:tabs>
        <w:spacing w:after="0" w:line="240" w:lineRule="auto"/>
        <w:rPr>
          <w:rFonts w:ascii="Times New Roman" w:eastAsia="Times New Roman" w:hAnsi="Times New Roman" w:cs="Times New Roman"/>
          <w:lang w:eastAsia="lt-LT"/>
        </w:rPr>
      </w:pPr>
    </w:p>
    <w:p w14:paraId="70C54EBF" w14:textId="24F01F38" w:rsidR="000D04ED" w:rsidRPr="000D04ED" w:rsidRDefault="000D04ED" w:rsidP="000D04ED">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Mokom</w:t>
      </w:r>
      <w:r w:rsidR="000A202B">
        <w:rPr>
          <w:rFonts w:ascii="Times New Roman" w:eastAsia="Times New Roman" w:hAnsi="Times New Roman" w:cs="Times New Roman"/>
          <w:lang w:eastAsia="lt-LT"/>
        </w:rPr>
        <w:t>ajame pakete turi būti</w:t>
      </w:r>
      <w:r w:rsidRPr="000D04ED">
        <w:rPr>
          <w:rFonts w:ascii="Times New Roman" w:eastAsia="Times New Roman" w:hAnsi="Times New Roman" w:cs="Times New Roman"/>
          <w:lang w:eastAsia="lt-LT"/>
        </w:rPr>
        <w:t>:</w:t>
      </w:r>
    </w:p>
    <w:p w14:paraId="5C6AE88D" w14:textId="05463B76" w:rsidR="000D04ED" w:rsidRPr="006C1D08" w:rsidRDefault="000D04ED" w:rsidP="006C1D08">
      <w:pPr>
        <w:numPr>
          <w:ilvl w:val="0"/>
          <w:numId w:val="42"/>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Pr="006C1D08">
        <w:rPr>
          <w:rFonts w:ascii="Times New Roman" w:eastAsia="Times New Roman" w:hAnsi="Times New Roman" w:cs="Times New Roman"/>
          <w:snapToGrid w:val="0"/>
          <w:szCs w:val="20"/>
        </w:rPr>
        <w:t>reparato charakteristikų santrauka;</w:t>
      </w:r>
    </w:p>
    <w:p w14:paraId="0C684A1C" w14:textId="4B23996E" w:rsidR="000D04ED" w:rsidRPr="006C1D08" w:rsidRDefault="000D04ED" w:rsidP="006C1D08">
      <w:pPr>
        <w:numPr>
          <w:ilvl w:val="0"/>
          <w:numId w:val="42"/>
        </w:numPr>
        <w:tabs>
          <w:tab w:val="left" w:pos="567"/>
        </w:tabs>
        <w:spacing w:after="0" w:line="240" w:lineRule="auto"/>
        <w:ind w:left="567" w:hanging="567"/>
        <w:rPr>
          <w:rFonts w:ascii="Times New Roman" w:eastAsia="Times New Roman" w:hAnsi="Times New Roman" w:cs="Times New Roman"/>
          <w:snapToGrid w:val="0"/>
          <w:szCs w:val="20"/>
        </w:rPr>
      </w:pPr>
      <w:r w:rsidRPr="006C1D08">
        <w:rPr>
          <w:rFonts w:ascii="Times New Roman" w:eastAsia="Times New Roman" w:hAnsi="Times New Roman" w:cs="Times New Roman"/>
          <w:snapToGrid w:val="0"/>
          <w:szCs w:val="20"/>
        </w:rPr>
        <w:t>vaistinį preparatą išrašančio gydytojo vadovas;</w:t>
      </w:r>
    </w:p>
    <w:p w14:paraId="17EFC255" w14:textId="2AEA7D96" w:rsidR="000D04ED" w:rsidRPr="006C1D08" w:rsidRDefault="000D04ED" w:rsidP="006C1D08">
      <w:pPr>
        <w:numPr>
          <w:ilvl w:val="0"/>
          <w:numId w:val="42"/>
        </w:numPr>
        <w:tabs>
          <w:tab w:val="left" w:pos="567"/>
        </w:tabs>
        <w:spacing w:after="0" w:line="240" w:lineRule="auto"/>
        <w:ind w:left="567" w:hanging="567"/>
        <w:rPr>
          <w:rFonts w:ascii="Times New Roman" w:eastAsia="Times New Roman" w:hAnsi="Times New Roman" w:cs="Times New Roman"/>
          <w:snapToGrid w:val="0"/>
          <w:szCs w:val="20"/>
        </w:rPr>
      </w:pPr>
      <w:r w:rsidRPr="006C1D08">
        <w:rPr>
          <w:rFonts w:ascii="Times New Roman" w:eastAsia="Times New Roman" w:hAnsi="Times New Roman" w:cs="Times New Roman"/>
          <w:snapToGrid w:val="0"/>
          <w:szCs w:val="20"/>
        </w:rPr>
        <w:t xml:space="preserve">paciento </w:t>
      </w:r>
      <w:r w:rsidR="000A202B">
        <w:rPr>
          <w:rFonts w:ascii="Times New Roman" w:eastAsia="Times New Roman" w:hAnsi="Times New Roman" w:cs="Times New Roman"/>
          <w:snapToGrid w:val="0"/>
          <w:szCs w:val="20"/>
        </w:rPr>
        <w:t>įspėjimo</w:t>
      </w:r>
      <w:r w:rsidRPr="006C1D08">
        <w:rPr>
          <w:rFonts w:ascii="Times New Roman" w:eastAsia="Times New Roman" w:hAnsi="Times New Roman" w:cs="Times New Roman"/>
          <w:snapToGrid w:val="0"/>
          <w:szCs w:val="20"/>
        </w:rPr>
        <w:t xml:space="preserve"> kortelė [tekstas pateikiamas III priede].</w:t>
      </w:r>
    </w:p>
    <w:p w14:paraId="63FEE628" w14:textId="77777777" w:rsidR="000D04ED" w:rsidRPr="000D04ED" w:rsidRDefault="000D04ED" w:rsidP="000D04ED">
      <w:pPr>
        <w:numPr>
          <w:ilvl w:val="12"/>
          <w:numId w:val="0"/>
        </w:numPr>
        <w:tabs>
          <w:tab w:val="left" w:pos="567"/>
        </w:tabs>
        <w:spacing w:after="0" w:line="240" w:lineRule="auto"/>
        <w:rPr>
          <w:rFonts w:ascii="Times New Roman" w:eastAsia="Times New Roman" w:hAnsi="Times New Roman" w:cs="Times New Roman"/>
          <w:lang w:eastAsia="lt-LT"/>
        </w:rPr>
      </w:pPr>
    </w:p>
    <w:p w14:paraId="0D7D9373" w14:textId="59C2A1F1" w:rsidR="000D04ED" w:rsidRDefault="000D04ED" w:rsidP="000D04ED">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Prieš išplatindamas mokomąjį paketą, vaistinį preparatą išrašančio gydytojo vadovo turinį bei formatą ir kartu komunikacijos planą registruotojas turi suderinti su</w:t>
      </w:r>
      <w:r w:rsidR="00F3142B">
        <w:rPr>
          <w:rFonts w:ascii="Times New Roman" w:eastAsia="Times New Roman" w:hAnsi="Times New Roman" w:cs="Times New Roman"/>
          <w:lang w:eastAsia="lt-LT"/>
        </w:rPr>
        <w:t xml:space="preserve"> </w:t>
      </w:r>
      <w:r w:rsidRPr="000D04ED">
        <w:rPr>
          <w:rFonts w:ascii="Times New Roman" w:eastAsia="Times New Roman" w:hAnsi="Times New Roman" w:cs="Times New Roman"/>
          <w:lang w:eastAsia="lt-LT"/>
        </w:rPr>
        <w:t>šalies narės nacionaline tam teisę turinčia institucija.</w:t>
      </w:r>
    </w:p>
    <w:p w14:paraId="5375AE33" w14:textId="77777777" w:rsidR="000D04ED" w:rsidRPr="000D04ED" w:rsidRDefault="000D04ED" w:rsidP="006C1D08">
      <w:pPr>
        <w:numPr>
          <w:ilvl w:val="12"/>
          <w:numId w:val="0"/>
        </w:numPr>
        <w:tabs>
          <w:tab w:val="left" w:pos="567"/>
        </w:tabs>
        <w:spacing w:after="0" w:line="240" w:lineRule="auto"/>
        <w:rPr>
          <w:rFonts w:ascii="Times New Roman" w:eastAsia="Times New Roman" w:hAnsi="Times New Roman" w:cs="Times New Roman"/>
          <w:lang w:eastAsia="lt-LT"/>
        </w:rPr>
      </w:pPr>
    </w:p>
    <w:p w14:paraId="258E5C06" w14:textId="77777777" w:rsidR="000D04ED" w:rsidRPr="000D04ED" w:rsidRDefault="000D04ED" w:rsidP="000D04ED">
      <w:p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Vaistinį preparatą išrašančio gydytojo vadove turi būti šios svarbiausios saugumo tezės:</w:t>
      </w:r>
    </w:p>
    <w:p w14:paraId="616D2353" w14:textId="77777777" w:rsidR="000D04ED" w:rsidRPr="000D04ED" w:rsidRDefault="000D04ED" w:rsidP="000D04ED">
      <w:pPr>
        <w:tabs>
          <w:tab w:val="left" w:pos="567"/>
        </w:tabs>
        <w:spacing w:after="0" w:line="240" w:lineRule="auto"/>
        <w:rPr>
          <w:rFonts w:ascii="Times New Roman" w:eastAsia="Times New Roman" w:hAnsi="Times New Roman" w:cs="Times New Roman"/>
          <w:lang w:eastAsia="lt-LT"/>
        </w:rPr>
      </w:pPr>
    </w:p>
    <w:p w14:paraId="32F11C7E"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išsami informacija apie pacientų grupes, kurioms gali būti padidėjusi kraujavimo rizika;</w:t>
      </w:r>
    </w:p>
    <w:p w14:paraId="66DED27B" w14:textId="711C6FC9"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 dozės sumažinimo rizikos grupių pacientams</w:t>
      </w:r>
      <w:r w:rsidR="000D21BC">
        <w:rPr>
          <w:rFonts w:ascii="Times New Roman" w:eastAsia="Times New Roman" w:hAnsi="Times New Roman" w:cs="Times New Roman"/>
          <w:lang w:eastAsia="lt-LT"/>
        </w:rPr>
        <w:t xml:space="preserve"> rekomendacijos</w:t>
      </w:r>
      <w:r w:rsidRPr="000D04ED">
        <w:rPr>
          <w:rFonts w:ascii="Times New Roman" w:eastAsia="Times New Roman" w:hAnsi="Times New Roman" w:cs="Times New Roman"/>
          <w:lang w:eastAsia="lt-LT"/>
        </w:rPr>
        <w:t>;</w:t>
      </w:r>
    </w:p>
    <w:p w14:paraId="0D3DA82E"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rekomendacijos, kaip gydymą rivaroksabanu keisti kitokiu gydymu ir atvirkščiai;</w:t>
      </w:r>
    </w:p>
    <w:p w14:paraId="1169AAFB"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būtinybė 15 mg ir 20 mg tabletes vartoti valgio metu;</w:t>
      </w:r>
    </w:p>
    <w:p w14:paraId="1DD1107D"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gydymas perdozavimo atveju;</w:t>
      </w:r>
    </w:p>
    <w:p w14:paraId="787252D0"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kraujo krešėjimo tyrimų atlikimas ir jų rezultatų vertinimas;</w:t>
      </w:r>
    </w:p>
    <w:p w14:paraId="54DFF9BC" w14:textId="77777777" w:rsidR="000D04ED" w:rsidRPr="000D04ED" w:rsidRDefault="000D04ED" w:rsidP="006C1D08">
      <w:pPr>
        <w:numPr>
          <w:ilvl w:val="0"/>
          <w:numId w:val="44"/>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visus pacientus būtina informuoti apie:</w:t>
      </w:r>
    </w:p>
    <w:p w14:paraId="2F7C8B06" w14:textId="496AA29B" w:rsidR="000D04ED" w:rsidRPr="000D04ED" w:rsidRDefault="000D04ED" w:rsidP="000D04ED">
      <w:pPr>
        <w:numPr>
          <w:ilvl w:val="0"/>
          <w:numId w:val="45"/>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kraujavimo požymius bei simptomus ir kada reikia kreiptis į sveikatos priežiūros specialistą</w:t>
      </w:r>
      <w:r>
        <w:rPr>
          <w:rFonts w:ascii="Times New Roman" w:eastAsia="Times New Roman" w:hAnsi="Times New Roman" w:cs="Times New Roman"/>
          <w:lang w:eastAsia="lt-LT"/>
        </w:rPr>
        <w:t>;</w:t>
      </w:r>
    </w:p>
    <w:p w14:paraId="57EE23F8" w14:textId="0C32E9DC" w:rsidR="000D04ED" w:rsidRPr="000D04ED" w:rsidRDefault="000D04ED" w:rsidP="000D04ED">
      <w:pPr>
        <w:numPr>
          <w:ilvl w:val="0"/>
          <w:numId w:val="45"/>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gydymo nurodymų laikymosi svarbą</w:t>
      </w:r>
      <w:r>
        <w:rPr>
          <w:rFonts w:ascii="Times New Roman" w:eastAsia="Times New Roman" w:hAnsi="Times New Roman" w:cs="Times New Roman"/>
          <w:lang w:eastAsia="lt-LT"/>
        </w:rPr>
        <w:t>;</w:t>
      </w:r>
    </w:p>
    <w:p w14:paraId="65E6C32C" w14:textId="77777777" w:rsidR="000D04ED" w:rsidRPr="000D04ED" w:rsidRDefault="000D04ED" w:rsidP="000D04ED">
      <w:pPr>
        <w:numPr>
          <w:ilvl w:val="0"/>
          <w:numId w:val="45"/>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būtinybę 15 mg ir 20 mg tabletes vartoti valgio metu;</w:t>
      </w:r>
    </w:p>
    <w:p w14:paraId="60DA6645" w14:textId="6AF958D2" w:rsidR="000D04ED" w:rsidRPr="000D04ED" w:rsidRDefault="000D04ED" w:rsidP="000D04ED">
      <w:pPr>
        <w:numPr>
          <w:ilvl w:val="0"/>
          <w:numId w:val="45"/>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visada nešiotis paciento </w:t>
      </w:r>
      <w:r w:rsidR="000D21BC">
        <w:rPr>
          <w:rFonts w:ascii="Times New Roman" w:eastAsia="Times New Roman" w:hAnsi="Times New Roman" w:cs="Times New Roman"/>
          <w:lang w:eastAsia="lt-LT"/>
        </w:rPr>
        <w:t>įspėjimo</w:t>
      </w:r>
      <w:r w:rsidRPr="000D04ED">
        <w:rPr>
          <w:rFonts w:ascii="Times New Roman" w:eastAsia="Times New Roman" w:hAnsi="Times New Roman" w:cs="Times New Roman"/>
          <w:lang w:eastAsia="lt-LT"/>
        </w:rPr>
        <w:t xml:space="preserve"> kortelę, kuri pateikiama kiekvienoje pakuotėje;</w:t>
      </w:r>
    </w:p>
    <w:p w14:paraId="35924580" w14:textId="048CAE30" w:rsidR="000D04ED" w:rsidRPr="000D04ED" w:rsidRDefault="000D04ED" w:rsidP="000D04ED">
      <w:pPr>
        <w:numPr>
          <w:ilvl w:val="0"/>
          <w:numId w:val="45"/>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informuoti sveikatos priežiūros specialistą apie </w:t>
      </w:r>
      <w:r>
        <w:rPr>
          <w:rFonts w:ascii="Times New Roman" w:eastAsia="Times New Roman" w:hAnsi="Times New Roman" w:cs="Times New Roman"/>
          <w:lang w:eastAsia="lt-LT"/>
        </w:rPr>
        <w:t>Xiltess</w:t>
      </w:r>
      <w:r w:rsidRPr="000D04ED">
        <w:rPr>
          <w:rFonts w:ascii="Times New Roman" w:eastAsia="Times New Roman" w:hAnsi="Times New Roman" w:cs="Times New Roman"/>
          <w:lang w:eastAsia="lt-LT"/>
        </w:rPr>
        <w:t xml:space="preserve"> vartojimą, jei reikia atlikti bet kokią chirurginę ar invazinę procedūrą. </w:t>
      </w:r>
    </w:p>
    <w:p w14:paraId="47811093" w14:textId="77777777" w:rsidR="000D04ED" w:rsidRPr="000D04ED" w:rsidRDefault="000D04ED" w:rsidP="000D04ED">
      <w:pPr>
        <w:tabs>
          <w:tab w:val="left" w:pos="567"/>
        </w:tabs>
        <w:spacing w:after="0" w:line="240" w:lineRule="auto"/>
        <w:rPr>
          <w:rFonts w:ascii="Times New Roman" w:eastAsia="Times New Roman" w:hAnsi="Times New Roman" w:cs="Times New Roman"/>
          <w:lang w:eastAsia="lt-LT"/>
        </w:rPr>
      </w:pPr>
    </w:p>
    <w:p w14:paraId="7EA147F9" w14:textId="77777777" w:rsidR="000D04ED" w:rsidRPr="000D04ED" w:rsidRDefault="000D04ED" w:rsidP="000D04ED">
      <w:pPr>
        <w:spacing w:after="0" w:line="240" w:lineRule="auto"/>
        <w:rPr>
          <w:rFonts w:ascii="Times New Roman" w:eastAsia="Calibri" w:hAnsi="Times New Roman" w:cs="Times New Roman"/>
          <w:snapToGrid w:val="0"/>
        </w:rPr>
      </w:pPr>
      <w:r w:rsidRPr="000D04ED">
        <w:rPr>
          <w:rFonts w:ascii="Times New Roman" w:eastAsia="Calibri" w:hAnsi="Times New Roman" w:cs="Times New Roman"/>
        </w:rPr>
        <w:t>Kiekvienoje vaistinio preparato pakuotėje registruotojas turi pateikti paciento budrumo kortelę, kurios tekstas nurodytas III priede.</w:t>
      </w:r>
    </w:p>
    <w:p w14:paraId="0C530A94" w14:textId="77777777" w:rsidR="000D04ED" w:rsidRPr="000D04ED" w:rsidRDefault="000D04ED" w:rsidP="006C1D08">
      <w:pPr>
        <w:tabs>
          <w:tab w:val="left" w:pos="567"/>
        </w:tabs>
        <w:spacing w:after="0" w:line="240" w:lineRule="auto"/>
        <w:rPr>
          <w:rFonts w:ascii="Times New Roman" w:eastAsia="Times New Roman" w:hAnsi="Times New Roman" w:cs="Times New Roman"/>
          <w:lang w:eastAsia="lt-LT"/>
        </w:rPr>
      </w:pPr>
    </w:p>
    <w:bookmarkEnd w:id="8"/>
    <w:bookmarkEnd w:id="9"/>
    <w:p w14:paraId="7647E8CD" w14:textId="77777777" w:rsidR="000D04ED" w:rsidRPr="00CB7F08" w:rsidRDefault="000D04ED" w:rsidP="007E69FC">
      <w:pPr>
        <w:spacing w:after="0" w:line="240" w:lineRule="auto"/>
        <w:rPr>
          <w:rFonts w:ascii="Times New Roman" w:eastAsia="Times New Roman" w:hAnsi="Times New Roman" w:cs="Times New Roman"/>
          <w:noProof/>
        </w:rPr>
      </w:pPr>
    </w:p>
    <w:p w14:paraId="3860B0F7" w14:textId="67D0F912" w:rsidR="00FB7604" w:rsidRDefault="00FB7604" w:rsidP="00D0004E">
      <w:pPr>
        <w:rPr>
          <w:rFonts w:ascii="Times New Roman" w:eastAsia="Times New Roman" w:hAnsi="Times New Roman" w:cs="Times New Roman"/>
          <w:noProof/>
        </w:rPr>
      </w:pPr>
      <w:r>
        <w:rPr>
          <w:rFonts w:ascii="Times New Roman" w:eastAsia="Times New Roman" w:hAnsi="Times New Roman" w:cs="Times New Roman"/>
          <w:noProof/>
        </w:rPr>
        <w:br w:type="page"/>
      </w:r>
    </w:p>
    <w:p w14:paraId="56F012AF" w14:textId="77777777" w:rsidR="007E69FC" w:rsidRPr="00CB7F08" w:rsidRDefault="007E69FC" w:rsidP="007E69FC">
      <w:pPr>
        <w:spacing w:after="0" w:line="240" w:lineRule="auto"/>
        <w:rPr>
          <w:rFonts w:ascii="Times New Roman" w:eastAsia="Times New Roman" w:hAnsi="Times New Roman" w:cs="Times New Roman"/>
          <w:noProof/>
        </w:rPr>
      </w:pPr>
    </w:p>
    <w:p w14:paraId="5807F5CC" w14:textId="77777777" w:rsidR="007E69FC" w:rsidRPr="00CB7F08" w:rsidRDefault="007E69FC" w:rsidP="007E69FC">
      <w:pPr>
        <w:spacing w:after="0" w:line="240" w:lineRule="auto"/>
        <w:rPr>
          <w:rFonts w:ascii="Times New Roman" w:eastAsia="Times New Roman" w:hAnsi="Times New Roman" w:cs="Times New Roman"/>
          <w:noProof/>
        </w:rPr>
      </w:pPr>
    </w:p>
    <w:p w14:paraId="446D7B09" w14:textId="77777777" w:rsidR="007E69FC" w:rsidRPr="00CB7F08" w:rsidRDefault="007E69FC" w:rsidP="007E69FC">
      <w:pPr>
        <w:spacing w:after="0" w:line="240" w:lineRule="auto"/>
        <w:rPr>
          <w:rFonts w:ascii="Times New Roman" w:eastAsia="Times New Roman" w:hAnsi="Times New Roman" w:cs="Times New Roman"/>
          <w:noProof/>
        </w:rPr>
      </w:pPr>
    </w:p>
    <w:p w14:paraId="3715DFA3" w14:textId="77777777" w:rsidR="007E69FC" w:rsidRPr="00CB7F08" w:rsidRDefault="007E69FC" w:rsidP="007E69FC">
      <w:pPr>
        <w:spacing w:after="0" w:line="240" w:lineRule="auto"/>
        <w:rPr>
          <w:rFonts w:ascii="Times New Roman" w:eastAsia="Times New Roman" w:hAnsi="Times New Roman" w:cs="Times New Roman"/>
          <w:noProof/>
        </w:rPr>
      </w:pPr>
    </w:p>
    <w:p w14:paraId="5D31421C" w14:textId="77777777" w:rsidR="007E69FC" w:rsidRPr="00CB7F08" w:rsidRDefault="007E69FC" w:rsidP="007E69FC">
      <w:pPr>
        <w:spacing w:after="0" w:line="240" w:lineRule="auto"/>
        <w:rPr>
          <w:rFonts w:ascii="Times New Roman" w:eastAsia="Times New Roman" w:hAnsi="Times New Roman" w:cs="Times New Roman"/>
          <w:noProof/>
        </w:rPr>
      </w:pPr>
    </w:p>
    <w:p w14:paraId="45C21A77" w14:textId="77777777" w:rsidR="007E69FC" w:rsidRPr="00CB7F08" w:rsidRDefault="007E69FC" w:rsidP="007E69FC">
      <w:pPr>
        <w:spacing w:after="0" w:line="240" w:lineRule="auto"/>
        <w:rPr>
          <w:rFonts w:ascii="Times New Roman" w:eastAsia="Times New Roman" w:hAnsi="Times New Roman" w:cs="Times New Roman"/>
          <w:noProof/>
        </w:rPr>
      </w:pPr>
    </w:p>
    <w:p w14:paraId="427E2F75" w14:textId="77777777" w:rsidR="007E69FC" w:rsidRPr="00CB7F08" w:rsidRDefault="007E69FC" w:rsidP="007E69FC">
      <w:pPr>
        <w:spacing w:after="0" w:line="240" w:lineRule="auto"/>
        <w:rPr>
          <w:rFonts w:ascii="Times New Roman" w:eastAsia="Times New Roman" w:hAnsi="Times New Roman" w:cs="Times New Roman"/>
          <w:noProof/>
        </w:rPr>
      </w:pPr>
    </w:p>
    <w:p w14:paraId="7DEF6860" w14:textId="77777777" w:rsidR="007E69FC" w:rsidRPr="00CB7F08" w:rsidRDefault="007E69FC" w:rsidP="007E69FC">
      <w:pPr>
        <w:spacing w:after="0" w:line="240" w:lineRule="auto"/>
        <w:rPr>
          <w:rFonts w:ascii="Times New Roman" w:eastAsia="Times New Roman" w:hAnsi="Times New Roman" w:cs="Times New Roman"/>
          <w:noProof/>
        </w:rPr>
      </w:pPr>
    </w:p>
    <w:p w14:paraId="64843903" w14:textId="77777777" w:rsidR="007E69FC" w:rsidRPr="00CB7F08" w:rsidRDefault="007E69FC" w:rsidP="007E69FC">
      <w:pPr>
        <w:spacing w:after="0" w:line="240" w:lineRule="auto"/>
        <w:rPr>
          <w:rFonts w:ascii="Times New Roman" w:eastAsia="Times New Roman" w:hAnsi="Times New Roman" w:cs="Times New Roman"/>
          <w:noProof/>
        </w:rPr>
      </w:pPr>
    </w:p>
    <w:p w14:paraId="3F8C17F5" w14:textId="77777777" w:rsidR="007E69FC" w:rsidRPr="00CB7F08" w:rsidRDefault="007E69FC" w:rsidP="007E69FC">
      <w:pPr>
        <w:spacing w:after="0" w:line="240" w:lineRule="auto"/>
        <w:rPr>
          <w:rFonts w:ascii="Times New Roman" w:eastAsia="Times New Roman" w:hAnsi="Times New Roman" w:cs="Times New Roman"/>
          <w:noProof/>
        </w:rPr>
      </w:pPr>
    </w:p>
    <w:p w14:paraId="7C7FF31C" w14:textId="77777777" w:rsidR="007E69FC" w:rsidRPr="00CB7F08" w:rsidRDefault="007E69FC" w:rsidP="007E69FC">
      <w:pPr>
        <w:spacing w:after="0" w:line="240" w:lineRule="auto"/>
        <w:rPr>
          <w:rFonts w:ascii="Times New Roman" w:eastAsia="Times New Roman" w:hAnsi="Times New Roman" w:cs="Times New Roman"/>
          <w:noProof/>
        </w:rPr>
      </w:pPr>
    </w:p>
    <w:p w14:paraId="539E6298" w14:textId="77777777" w:rsidR="007E69FC" w:rsidRPr="00CB7F08" w:rsidRDefault="007E69FC" w:rsidP="007E69FC">
      <w:pPr>
        <w:spacing w:after="0" w:line="240" w:lineRule="auto"/>
        <w:rPr>
          <w:rFonts w:ascii="Times New Roman" w:eastAsia="Times New Roman" w:hAnsi="Times New Roman" w:cs="Times New Roman"/>
          <w:noProof/>
        </w:rPr>
      </w:pPr>
    </w:p>
    <w:p w14:paraId="7E3950EF" w14:textId="77777777" w:rsidR="007E69FC" w:rsidRPr="00CB7F08" w:rsidRDefault="007E69FC" w:rsidP="007E69FC">
      <w:pPr>
        <w:spacing w:after="0" w:line="240" w:lineRule="auto"/>
        <w:rPr>
          <w:rFonts w:ascii="Times New Roman" w:eastAsia="Times New Roman" w:hAnsi="Times New Roman" w:cs="Times New Roman"/>
          <w:noProof/>
        </w:rPr>
      </w:pPr>
    </w:p>
    <w:p w14:paraId="77E2DA5B" w14:textId="77777777" w:rsidR="007E69FC" w:rsidRPr="00CB7F08" w:rsidRDefault="007E69FC" w:rsidP="007E69FC">
      <w:pPr>
        <w:spacing w:after="0" w:line="240" w:lineRule="auto"/>
        <w:rPr>
          <w:rFonts w:ascii="Times New Roman" w:eastAsia="Times New Roman" w:hAnsi="Times New Roman" w:cs="Times New Roman"/>
          <w:noProof/>
        </w:rPr>
      </w:pPr>
    </w:p>
    <w:p w14:paraId="54DFC6E0" w14:textId="77777777" w:rsidR="007E69FC" w:rsidRPr="00CB7F08" w:rsidRDefault="007E69FC" w:rsidP="007E69FC">
      <w:pPr>
        <w:spacing w:after="0" w:line="240" w:lineRule="auto"/>
        <w:rPr>
          <w:rFonts w:ascii="Times New Roman" w:eastAsia="Times New Roman" w:hAnsi="Times New Roman" w:cs="Times New Roman"/>
          <w:noProof/>
        </w:rPr>
      </w:pPr>
    </w:p>
    <w:p w14:paraId="27DD55EB" w14:textId="77777777" w:rsidR="007E69FC" w:rsidRPr="00CB7F08" w:rsidRDefault="007E69FC" w:rsidP="007E69FC">
      <w:pPr>
        <w:spacing w:after="0" w:line="240" w:lineRule="auto"/>
        <w:rPr>
          <w:rFonts w:ascii="Times New Roman" w:eastAsia="Times New Roman" w:hAnsi="Times New Roman" w:cs="Times New Roman"/>
          <w:noProof/>
        </w:rPr>
      </w:pPr>
    </w:p>
    <w:p w14:paraId="7135EA57" w14:textId="77777777" w:rsidR="007E69FC" w:rsidRPr="00CB7F08" w:rsidRDefault="007E69FC" w:rsidP="007E69FC">
      <w:pPr>
        <w:spacing w:after="0" w:line="240" w:lineRule="auto"/>
        <w:rPr>
          <w:rFonts w:ascii="Times New Roman" w:eastAsia="Times New Roman" w:hAnsi="Times New Roman" w:cs="Times New Roman"/>
          <w:noProof/>
        </w:rPr>
      </w:pPr>
    </w:p>
    <w:p w14:paraId="3C6C00DE" w14:textId="77777777" w:rsidR="007E69FC" w:rsidRPr="00CB7F08" w:rsidRDefault="007E69FC" w:rsidP="007E69FC">
      <w:pPr>
        <w:spacing w:after="0" w:line="240" w:lineRule="auto"/>
        <w:rPr>
          <w:rFonts w:ascii="Times New Roman" w:eastAsia="Times New Roman" w:hAnsi="Times New Roman" w:cs="Times New Roman"/>
          <w:noProof/>
        </w:rPr>
      </w:pPr>
    </w:p>
    <w:p w14:paraId="166A28D5" w14:textId="77777777" w:rsidR="007E69FC" w:rsidRPr="00CB7F08" w:rsidRDefault="007E69FC" w:rsidP="007E69FC">
      <w:pPr>
        <w:spacing w:after="0" w:line="240" w:lineRule="auto"/>
        <w:rPr>
          <w:rFonts w:ascii="Times New Roman" w:eastAsia="Times New Roman" w:hAnsi="Times New Roman" w:cs="Times New Roman"/>
          <w:noProof/>
        </w:rPr>
      </w:pPr>
    </w:p>
    <w:p w14:paraId="01AD213D" w14:textId="77777777" w:rsidR="007E69FC" w:rsidRPr="00CB7F08" w:rsidRDefault="007E69FC" w:rsidP="007E69FC">
      <w:pPr>
        <w:spacing w:after="0" w:line="240" w:lineRule="auto"/>
        <w:rPr>
          <w:rFonts w:ascii="Times New Roman" w:eastAsia="Times New Roman" w:hAnsi="Times New Roman" w:cs="Times New Roman"/>
          <w:noProof/>
        </w:rPr>
      </w:pPr>
    </w:p>
    <w:p w14:paraId="69E0DAED" w14:textId="77777777" w:rsidR="007E69FC" w:rsidRPr="00CB7F08" w:rsidRDefault="007E69FC" w:rsidP="007E69FC">
      <w:pPr>
        <w:spacing w:after="0" w:line="240" w:lineRule="auto"/>
        <w:rPr>
          <w:rFonts w:ascii="Times New Roman" w:eastAsia="Times New Roman" w:hAnsi="Times New Roman" w:cs="Times New Roman"/>
          <w:noProof/>
        </w:rPr>
      </w:pPr>
    </w:p>
    <w:p w14:paraId="723BB806" w14:textId="77777777" w:rsidR="007E69FC" w:rsidRPr="00CB7F08" w:rsidRDefault="007E69FC" w:rsidP="007E69FC">
      <w:pPr>
        <w:spacing w:after="0" w:line="240" w:lineRule="auto"/>
        <w:rPr>
          <w:rFonts w:ascii="Times New Roman" w:eastAsia="Times New Roman" w:hAnsi="Times New Roman" w:cs="Times New Roman"/>
          <w:noProof/>
        </w:rPr>
      </w:pPr>
    </w:p>
    <w:p w14:paraId="780FADAB" w14:textId="77777777" w:rsidR="007E69FC" w:rsidRPr="006C1D08" w:rsidRDefault="007E69FC" w:rsidP="006C1D08">
      <w:pPr>
        <w:spacing w:after="0" w:line="240" w:lineRule="auto"/>
        <w:rPr>
          <w:rFonts w:ascii="Times New Roman" w:hAnsi="Times New Roman"/>
        </w:rPr>
      </w:pPr>
    </w:p>
    <w:p w14:paraId="1F872447" w14:textId="77777777" w:rsidR="007E69FC" w:rsidRPr="00CB7F08" w:rsidRDefault="007E69FC" w:rsidP="007E69FC">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4"/>
      <w:bookmarkStart w:id="11" w:name="_Toc129243259"/>
      <w:r w:rsidRPr="00CB7F08">
        <w:rPr>
          <w:rFonts w:ascii="Times New Roman" w:eastAsia="Times New Roman" w:hAnsi="Times New Roman" w:cs="Times New Roman"/>
          <w:b/>
          <w:caps/>
        </w:rPr>
        <w:t>III PRIEDAS</w:t>
      </w:r>
      <w:bookmarkEnd w:id="10"/>
      <w:bookmarkEnd w:id="11"/>
    </w:p>
    <w:p w14:paraId="1E87862C" w14:textId="77777777" w:rsidR="007E69FC" w:rsidRPr="00CB7F08" w:rsidRDefault="007E69FC" w:rsidP="007E69FC">
      <w:pPr>
        <w:spacing w:after="0" w:line="240" w:lineRule="auto"/>
        <w:jc w:val="center"/>
        <w:rPr>
          <w:rFonts w:ascii="Times New Roman" w:eastAsia="Times New Roman" w:hAnsi="Times New Roman" w:cs="Times New Roman"/>
          <w:noProof/>
        </w:rPr>
      </w:pPr>
    </w:p>
    <w:p w14:paraId="5032F94F" w14:textId="77777777" w:rsidR="007E69FC" w:rsidRPr="00CB7F08" w:rsidRDefault="007E69FC" w:rsidP="007E69FC">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CB7F08">
        <w:rPr>
          <w:rFonts w:ascii="Times New Roman" w:eastAsia="Times New Roman" w:hAnsi="Times New Roman" w:cs="Times New Roman"/>
          <w:b/>
          <w:caps/>
        </w:rPr>
        <w:t>ŽENKLINIMAS IR PAKUOTĖS LAPELIS</w:t>
      </w:r>
      <w:bookmarkEnd w:id="12"/>
      <w:bookmarkEnd w:id="13"/>
    </w:p>
    <w:p w14:paraId="4E9335CC" w14:textId="77777777" w:rsidR="007E69FC" w:rsidRPr="00CB7F08" w:rsidRDefault="007E69FC" w:rsidP="007E69FC">
      <w:pPr>
        <w:spacing w:after="200" w:line="276" w:lineRule="auto"/>
        <w:rPr>
          <w:rFonts w:ascii="Times New Roman" w:eastAsia="Calibri" w:hAnsi="Times New Roman" w:cs="Times New Roman"/>
        </w:rPr>
      </w:pPr>
    </w:p>
    <w:p w14:paraId="0083B4BF" w14:textId="77777777" w:rsidR="007E69FC" w:rsidRPr="00CB7F08" w:rsidRDefault="007E69FC" w:rsidP="007E69FC">
      <w:pPr>
        <w:spacing w:after="200" w:line="276" w:lineRule="auto"/>
        <w:rPr>
          <w:rFonts w:ascii="Times New Roman" w:eastAsia="Calibri" w:hAnsi="Times New Roman" w:cs="Times New Roman"/>
        </w:rPr>
      </w:pPr>
      <w:r w:rsidRPr="00CB7F08">
        <w:rPr>
          <w:rFonts w:ascii="Times New Roman" w:eastAsia="Calibri" w:hAnsi="Times New Roman" w:cs="Times New Roman"/>
        </w:rPr>
        <w:br w:type="page"/>
      </w:r>
    </w:p>
    <w:p w14:paraId="4795E9D8"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5D38EA0B"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6B779B62"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6690F450"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61F988B0"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3CFDA9CB"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6A67B320"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274FBF6C"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396F622F"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011677A6"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55F8D539"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618D535"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1B82DF7"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51C84328"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0AC53AFD"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B74AD23"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5622FE84"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178AEFE3"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8219A73"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C2F1674"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57D3077"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6EB91447"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4D4BD9D5"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71F0ABE6"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b/>
          <w:lang w:eastAsia="pl-PL"/>
        </w:rPr>
      </w:pPr>
    </w:p>
    <w:p w14:paraId="38FF897F" w14:textId="77777777" w:rsidR="007E69FC" w:rsidRPr="009A065C" w:rsidRDefault="007E69FC" w:rsidP="007E69FC">
      <w:pPr>
        <w:widowControl w:val="0"/>
        <w:autoSpaceDE w:val="0"/>
        <w:autoSpaceDN w:val="0"/>
        <w:adjustRightInd w:val="0"/>
        <w:spacing w:after="0" w:line="240" w:lineRule="auto"/>
        <w:jc w:val="center"/>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A. ŽENKLINIMAS</w:t>
      </w:r>
    </w:p>
    <w:p w14:paraId="3E4A9930" w14:textId="77777777" w:rsidR="007E69FC" w:rsidRPr="009A065C" w:rsidRDefault="007E69FC" w:rsidP="007E69FC">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pl-PL"/>
        </w:rPr>
      </w:pPr>
    </w:p>
    <w:p w14:paraId="4EE3AE4A" w14:textId="77777777" w:rsidR="007E69FC" w:rsidRPr="009A065C" w:rsidRDefault="007E69FC" w:rsidP="007E69FC">
      <w:pPr>
        <w:pageBreakBefore/>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bCs/>
          <w:lang w:eastAsia="pl-PL"/>
        </w:rPr>
      </w:pPr>
      <w:r w:rsidRPr="009A065C">
        <w:rPr>
          <w:rFonts w:ascii="Times New Roman" w:eastAsia="Times New Roman" w:hAnsi="Times New Roman" w:cs="Times New Roman"/>
          <w:b/>
          <w:lang w:eastAsia="pl-PL"/>
        </w:rPr>
        <w:lastRenderedPageBreak/>
        <w:t>INFORMACIJA ANT IŠORINĖS PAKUOTĖS</w:t>
      </w:r>
    </w:p>
    <w:p w14:paraId="0FA21D49"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bCs/>
          <w:lang w:eastAsia="pl-PL"/>
        </w:rPr>
      </w:pPr>
    </w:p>
    <w:p w14:paraId="594A292C"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SULANKSTOMA </w:t>
      </w:r>
      <w:r w:rsidRPr="009A065C">
        <w:rPr>
          <w:rFonts w:ascii="Times New Roman" w:eastAsia="Times New Roman" w:hAnsi="Times New Roman" w:cs="Times New Roman"/>
          <w:b/>
          <w:lang w:eastAsia="pl-PL"/>
        </w:rPr>
        <w:t xml:space="preserve">KARTONO DĖŽUTĖ </w:t>
      </w:r>
    </w:p>
    <w:p w14:paraId="0D1A6AE8"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9840BAA"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69C05A3D"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t>VAISTINIO PREPARATO PAVADINIMAS</w:t>
      </w:r>
    </w:p>
    <w:p w14:paraId="1352BC1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68058CD9" w14:textId="2EEEB643" w:rsidR="007E69FC" w:rsidRPr="009A065C" w:rsidRDefault="005A3031" w:rsidP="007E69FC">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lang w:eastAsia="pl-PL"/>
        </w:rPr>
        <w:t>Xiltess</w:t>
      </w:r>
      <w:r w:rsidR="007E69FC" w:rsidRPr="009A065C">
        <w:rPr>
          <w:rFonts w:ascii="Times New Roman" w:eastAsia="Times New Roman" w:hAnsi="Times New Roman" w:cs="Times New Roman"/>
          <w:lang w:eastAsia="pl-PL"/>
        </w:rPr>
        <w:t xml:space="preserve"> 2,5 mg plėvele dengtos tabletės </w:t>
      </w:r>
    </w:p>
    <w:p w14:paraId="37F95545"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73491C3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
    <w:p w14:paraId="56CD711B"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278F8F2"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5F3111E"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t>VEIKLIOJI (-IOS) MEDŽIAGA (-OS) IR JOS (-Ų) KIEKIS (-IAI)</w:t>
      </w:r>
    </w:p>
    <w:p w14:paraId="28E45E0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BF7F9E0" w14:textId="77777777" w:rsidR="007E69FC" w:rsidRDefault="007E69FC" w:rsidP="007E69FC">
      <w:pPr>
        <w:spacing w:after="0" w:line="240" w:lineRule="auto"/>
        <w:rPr>
          <w:rFonts w:ascii="Times New Roman" w:hAnsi="Times New Roman" w:cs="Times New Roman"/>
        </w:rPr>
      </w:pPr>
      <w:r w:rsidRPr="00EF538E">
        <w:rPr>
          <w:rFonts w:ascii="Times New Roman" w:hAnsi="Times New Roman" w:cs="Times New Roman"/>
        </w:rPr>
        <w:t xml:space="preserve">Kiekvienoje plėvele dengtoje tabletėje yra </w:t>
      </w:r>
      <w:r>
        <w:rPr>
          <w:rFonts w:ascii="Times New Roman" w:hAnsi="Times New Roman" w:cs="Times New Roman"/>
        </w:rPr>
        <w:t>2,5</w:t>
      </w:r>
      <w:r w:rsidRPr="00EF538E">
        <w:rPr>
          <w:rFonts w:ascii="Times New Roman" w:hAnsi="Times New Roman" w:cs="Times New Roman"/>
        </w:rPr>
        <w:t> mg rivaroksabano.</w:t>
      </w:r>
    </w:p>
    <w:p w14:paraId="5339DD37" w14:textId="77777777" w:rsidR="007E69FC" w:rsidRPr="00EF538E" w:rsidRDefault="007E69FC" w:rsidP="007E69FC">
      <w:pPr>
        <w:spacing w:after="0" w:line="240" w:lineRule="auto"/>
        <w:rPr>
          <w:rFonts w:ascii="Times New Roman" w:hAnsi="Times New Roman" w:cs="Times New Roman"/>
        </w:rPr>
      </w:pPr>
    </w:p>
    <w:p w14:paraId="6DE874D3"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9D6A76F"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t>PAGALBINIŲ MEDŽIAGŲ SĄRAŠAS</w:t>
      </w:r>
    </w:p>
    <w:p w14:paraId="0AE20CA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D0BB5B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6546E18E"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t>FARMACINĖ FORMA IR KIEKIS PAKUOTĖJE</w:t>
      </w:r>
    </w:p>
    <w:p w14:paraId="6B47E7A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08E5D5D"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highlight w:val="lightGray"/>
          <w:lang w:eastAsia="pl-PL"/>
        </w:rPr>
        <w:t>plėvele dengtos tabletės</w:t>
      </w:r>
    </w:p>
    <w:p w14:paraId="30A08A15"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9DE248B" w14:textId="77777777" w:rsidR="007E69FC" w:rsidRPr="00335DE2" w:rsidRDefault="007E69FC" w:rsidP="007E69FC">
      <w:pPr>
        <w:widowControl w:val="0"/>
        <w:autoSpaceDE w:val="0"/>
        <w:autoSpaceDN w:val="0"/>
        <w:adjustRightInd w:val="0"/>
        <w:spacing w:after="0" w:line="240" w:lineRule="auto"/>
        <w:rPr>
          <w:rFonts w:ascii="Times New Roman" w:eastAsia="Times New Roman" w:hAnsi="Times New Roman" w:cs="Times New Roman"/>
          <w:w w:val="105"/>
          <w:lang w:eastAsia="pl-PL"/>
        </w:rPr>
      </w:pPr>
      <w:r w:rsidRPr="00335DE2">
        <w:rPr>
          <w:rFonts w:ascii="Times New Roman" w:eastAsia="Times New Roman" w:hAnsi="Times New Roman" w:cs="Times New Roman"/>
          <w:w w:val="105"/>
          <w:lang w:eastAsia="pl-PL"/>
        </w:rPr>
        <w:t xml:space="preserve">56 </w:t>
      </w:r>
      <w:r w:rsidRPr="00335DE2">
        <w:rPr>
          <w:rFonts w:ascii="Times New Roman" w:eastAsia="Times New Roman" w:hAnsi="Times New Roman" w:cs="Times New Roman"/>
          <w:spacing w:val="-9"/>
          <w:w w:val="105"/>
          <w:lang w:eastAsia="pl-PL"/>
        </w:rPr>
        <w:t>plėvele dengtos tabletės</w:t>
      </w:r>
    </w:p>
    <w:p w14:paraId="7A2CA4F6"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9A065C">
        <w:rPr>
          <w:rFonts w:ascii="Times New Roman" w:eastAsia="Times New Roman" w:hAnsi="Times New Roman" w:cs="Times New Roman"/>
          <w:w w:val="105"/>
          <w:highlight w:val="lightGray"/>
          <w:lang w:eastAsia="pl-PL"/>
        </w:rPr>
        <w:t xml:space="preserve">98 </w:t>
      </w:r>
      <w:r w:rsidRPr="009A065C">
        <w:rPr>
          <w:rFonts w:ascii="Times New Roman" w:eastAsia="Times New Roman" w:hAnsi="Times New Roman" w:cs="Times New Roman"/>
          <w:spacing w:val="-9"/>
          <w:w w:val="105"/>
          <w:highlight w:val="lightGray"/>
          <w:lang w:eastAsia="pl-PL"/>
        </w:rPr>
        <w:t>plėvele dengtos tabletės</w:t>
      </w:r>
    </w:p>
    <w:p w14:paraId="1DC1619D"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Pr>
          <w:rFonts w:ascii="Times New Roman" w:eastAsia="Times New Roman" w:hAnsi="Times New Roman" w:cs="Times New Roman"/>
          <w:w w:val="105"/>
          <w:highlight w:val="lightGray"/>
          <w:lang w:eastAsia="pl-PL"/>
        </w:rPr>
        <w:t>100</w:t>
      </w:r>
      <w:r w:rsidRPr="009A065C">
        <w:rPr>
          <w:rFonts w:ascii="Times New Roman" w:eastAsia="Times New Roman" w:hAnsi="Times New Roman" w:cs="Times New Roman"/>
          <w:w w:val="105"/>
          <w:highlight w:val="lightGray"/>
          <w:lang w:eastAsia="pl-PL"/>
        </w:rPr>
        <w:t xml:space="preserve"> </w:t>
      </w:r>
      <w:r w:rsidRPr="009A065C">
        <w:rPr>
          <w:rFonts w:ascii="Times New Roman" w:eastAsia="Times New Roman" w:hAnsi="Times New Roman" w:cs="Times New Roman"/>
          <w:spacing w:val="-9"/>
          <w:w w:val="105"/>
          <w:highlight w:val="lightGray"/>
          <w:lang w:eastAsia="pl-PL"/>
        </w:rPr>
        <w:t>plėvele dengtos tabletės</w:t>
      </w:r>
    </w:p>
    <w:p w14:paraId="1ECA7B69"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8ED2789"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D129C0C"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t>VARTOJIMO METODAS IR BŪDAS (-AI)</w:t>
      </w:r>
    </w:p>
    <w:p w14:paraId="6DF933B3"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C4154D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Vartoti per burną.</w:t>
      </w:r>
    </w:p>
    <w:p w14:paraId="4160647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Prieš vartojimą perskaitykite pakuotės lapelį.</w:t>
      </w:r>
    </w:p>
    <w:p w14:paraId="29FC0BF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562F20B"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7FEC737F"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6.</w:t>
      </w:r>
      <w:r w:rsidRPr="009A065C">
        <w:rPr>
          <w:rFonts w:ascii="Times New Roman" w:eastAsia="Times New Roman" w:hAnsi="Times New Roman" w:cs="Times New Roman"/>
          <w:b/>
          <w:lang w:eastAsia="pl-PL"/>
        </w:rPr>
        <w:tab/>
        <w:t>SPECIALUS ĮSPĖJIMAS, KAD VAISTINĮ PREPARATĄ BŪTINA LAIKYTI VAIKAMS NEPASTEBIMOJE IR NEPASIEKIAMOJE VIETOJE</w:t>
      </w:r>
    </w:p>
    <w:p w14:paraId="2D17D7B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6BBFFDF"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Laikyti vaikams nepastebimoje ir nepasiekiamoje vietoje.</w:t>
      </w:r>
    </w:p>
    <w:p w14:paraId="7553C6C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9FEC0E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D3B1F55"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7.</w:t>
      </w:r>
      <w:r w:rsidRPr="009A065C">
        <w:rPr>
          <w:rFonts w:ascii="Times New Roman" w:eastAsia="Times New Roman" w:hAnsi="Times New Roman" w:cs="Times New Roman"/>
          <w:b/>
          <w:lang w:eastAsia="pl-PL"/>
        </w:rPr>
        <w:tab/>
        <w:t>KITAS (-I) SPECIALUS (-ŪS) ĮSPĖJIMAS (-AI) (JEI REIKIA)</w:t>
      </w:r>
    </w:p>
    <w:p w14:paraId="502DC94F"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790B5D7" w14:textId="77777777" w:rsidR="007E69FC" w:rsidRPr="009A065C" w:rsidRDefault="007E69FC" w:rsidP="007E69FC">
      <w:pPr>
        <w:widowControl w:val="0"/>
        <w:tabs>
          <w:tab w:val="left" w:pos="749"/>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559CC049"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8.</w:t>
      </w:r>
      <w:r w:rsidRPr="009A065C">
        <w:rPr>
          <w:rFonts w:ascii="Times New Roman" w:eastAsia="Times New Roman" w:hAnsi="Times New Roman" w:cs="Times New Roman"/>
          <w:b/>
          <w:lang w:eastAsia="pl-PL"/>
        </w:rPr>
        <w:tab/>
        <w:t>TINKAMUMO LAIKAS</w:t>
      </w:r>
    </w:p>
    <w:p w14:paraId="79899FC9" w14:textId="77777777" w:rsidR="007E69FC" w:rsidRPr="009A065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2FC3D81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EXP</w:t>
      </w:r>
    </w:p>
    <w:p w14:paraId="074667D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30A696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179E357" w14:textId="77777777" w:rsidR="007E69FC" w:rsidRPr="009A065C" w:rsidRDefault="007E69FC" w:rsidP="007E69FC">
      <w:pPr>
        <w:keepNext/>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9.</w:t>
      </w:r>
      <w:r w:rsidRPr="009A065C">
        <w:rPr>
          <w:rFonts w:ascii="Times New Roman" w:eastAsia="Times New Roman" w:hAnsi="Times New Roman" w:cs="Times New Roman"/>
          <w:b/>
          <w:lang w:eastAsia="pl-PL"/>
        </w:rPr>
        <w:tab/>
        <w:t>SPECIALIOS LAIKYMO SĄLYGOS</w:t>
      </w:r>
    </w:p>
    <w:p w14:paraId="2C135B6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7DA6F76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Laikyti gamintojo pakuotėje, kad vaistas būtų apsaugotas nuo drėgmės.</w:t>
      </w:r>
    </w:p>
    <w:p w14:paraId="096E1AF7" w14:textId="77777777" w:rsidR="007E69FC" w:rsidRPr="009A065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600D229C" w14:textId="77777777" w:rsidR="007E69FC" w:rsidRPr="009A065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72F5B34E"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10.</w:t>
      </w:r>
      <w:r w:rsidRPr="009A065C">
        <w:rPr>
          <w:rFonts w:ascii="Times New Roman" w:eastAsia="Times New Roman" w:hAnsi="Times New Roman" w:cs="Times New Roman"/>
          <w:b/>
          <w:lang w:eastAsia="pl-PL"/>
        </w:rPr>
        <w:tab/>
        <w:t xml:space="preserve">SPECIALIOS ATSARGUMO PRIEMONĖS DĖL NESUVARTOTO VAISTINIO </w:t>
      </w:r>
      <w:r w:rsidRPr="009A065C">
        <w:rPr>
          <w:rFonts w:ascii="Times New Roman" w:eastAsia="Times New Roman" w:hAnsi="Times New Roman" w:cs="Times New Roman"/>
          <w:b/>
          <w:lang w:eastAsia="pl-PL"/>
        </w:rPr>
        <w:lastRenderedPageBreak/>
        <w:t>PREPARATO AR JO ATLIEKŲ TVARKYMO (JEI REIKIA)</w:t>
      </w:r>
    </w:p>
    <w:p w14:paraId="56ECA21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F13DFD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8801D5E"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11.</w:t>
      </w:r>
      <w:r w:rsidRPr="009A065C">
        <w:rPr>
          <w:rFonts w:ascii="Times New Roman" w:eastAsia="Times New Roman" w:hAnsi="Times New Roman" w:cs="Times New Roman"/>
          <w:b/>
          <w:lang w:eastAsia="pl-PL"/>
        </w:rPr>
        <w:tab/>
        <w:t>REGISTRUOTOJO PAVADINIMAS IR ADRESAS</w:t>
      </w:r>
    </w:p>
    <w:p w14:paraId="75F37131"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74A6109" w14:textId="7A6B800A" w:rsidR="007E69FC" w:rsidRPr="003042C7" w:rsidRDefault="007E69FC" w:rsidP="007E69FC">
      <w:pPr>
        <w:tabs>
          <w:tab w:val="left" w:pos="567"/>
        </w:tabs>
        <w:spacing w:after="0" w:line="240" w:lineRule="auto"/>
        <w:rPr>
          <w:rFonts w:ascii="Times New Roman" w:eastAsia="Times New Roman" w:hAnsi="Times New Roman" w:cs="Times New Roman"/>
          <w:szCs w:val="20"/>
          <w:lang w:eastAsia="lt-LT" w:bidi="lt-LT"/>
        </w:rPr>
      </w:pPr>
      <w:proofErr w:type="spellStart"/>
      <w:r w:rsidRPr="003042C7">
        <w:rPr>
          <w:rFonts w:ascii="Times New Roman" w:eastAsia="Times New Roman" w:hAnsi="Times New Roman" w:cs="Times New Roman"/>
          <w:szCs w:val="20"/>
          <w:lang w:eastAsia="lt-LT" w:bidi="lt-LT"/>
        </w:rPr>
        <w:t>Egis</w:t>
      </w:r>
      <w:proofErr w:type="spellEnd"/>
      <w:r w:rsidRPr="003042C7">
        <w:rPr>
          <w:rFonts w:ascii="Times New Roman" w:eastAsia="Times New Roman" w:hAnsi="Times New Roman" w:cs="Times New Roman"/>
          <w:szCs w:val="20"/>
          <w:lang w:eastAsia="lt-LT" w:bidi="lt-LT"/>
        </w:rPr>
        <w:t xml:space="preserve"> </w:t>
      </w:r>
      <w:proofErr w:type="spellStart"/>
      <w:r w:rsidRPr="003042C7">
        <w:rPr>
          <w:rFonts w:ascii="Times New Roman" w:eastAsia="Times New Roman" w:hAnsi="Times New Roman" w:cs="Times New Roman"/>
          <w:szCs w:val="20"/>
          <w:lang w:eastAsia="lt-LT" w:bidi="lt-LT"/>
        </w:rPr>
        <w:t>Pharmaceuticals</w:t>
      </w:r>
      <w:proofErr w:type="spellEnd"/>
      <w:r w:rsidRPr="003042C7">
        <w:rPr>
          <w:rFonts w:ascii="Times New Roman" w:eastAsia="Times New Roman" w:hAnsi="Times New Roman" w:cs="Times New Roman"/>
          <w:szCs w:val="20"/>
          <w:lang w:eastAsia="lt-LT" w:bidi="lt-LT"/>
        </w:rPr>
        <w:t xml:space="preserve"> PLC</w:t>
      </w:r>
      <w:r w:rsidR="000263B9">
        <w:rPr>
          <w:rFonts w:ascii="Times New Roman" w:eastAsia="Times New Roman" w:hAnsi="Times New Roman" w:cs="Times New Roman"/>
          <w:szCs w:val="20"/>
          <w:lang w:eastAsia="lt-LT" w:bidi="lt-LT"/>
        </w:rPr>
        <w:t xml:space="preserve">, </w:t>
      </w:r>
      <w:proofErr w:type="spellStart"/>
      <w:r w:rsidR="000263B9">
        <w:rPr>
          <w:rFonts w:ascii="Times New Roman" w:eastAsia="Times New Roman" w:hAnsi="Times New Roman" w:cs="Times New Roman"/>
          <w:szCs w:val="20"/>
          <w:lang w:eastAsia="lt-LT" w:bidi="lt-LT"/>
        </w:rPr>
        <w:t>Site</w:t>
      </w:r>
      <w:proofErr w:type="spellEnd"/>
      <w:r w:rsidR="000263B9">
        <w:rPr>
          <w:rFonts w:ascii="Times New Roman" w:eastAsia="Times New Roman" w:hAnsi="Times New Roman" w:cs="Times New Roman"/>
          <w:szCs w:val="20"/>
          <w:lang w:eastAsia="lt-LT" w:bidi="lt-LT"/>
        </w:rPr>
        <w:t xml:space="preserve"> 1</w:t>
      </w:r>
    </w:p>
    <w:p w14:paraId="1B79500B" w14:textId="77777777" w:rsidR="007E69FC" w:rsidRPr="003042C7" w:rsidRDefault="007E69FC" w:rsidP="007E69FC">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 xml:space="preserve">1106 </w:t>
      </w:r>
      <w:proofErr w:type="spellStart"/>
      <w:r w:rsidRPr="003042C7">
        <w:rPr>
          <w:rFonts w:ascii="Times New Roman" w:eastAsia="Times New Roman" w:hAnsi="Times New Roman" w:cs="Times New Roman"/>
          <w:szCs w:val="20"/>
          <w:lang w:eastAsia="lt-LT" w:bidi="lt-LT"/>
        </w:rPr>
        <w:t>Budapest</w:t>
      </w:r>
      <w:proofErr w:type="spellEnd"/>
    </w:p>
    <w:p w14:paraId="18006B33" w14:textId="77777777" w:rsidR="007E69FC" w:rsidRPr="003042C7" w:rsidRDefault="007E69FC" w:rsidP="007E69FC">
      <w:pPr>
        <w:tabs>
          <w:tab w:val="left" w:pos="567"/>
        </w:tabs>
        <w:spacing w:after="0" w:line="240" w:lineRule="auto"/>
        <w:rPr>
          <w:rFonts w:ascii="Times New Roman" w:eastAsia="Times New Roman" w:hAnsi="Times New Roman" w:cs="Times New Roman"/>
          <w:szCs w:val="20"/>
          <w:lang w:eastAsia="lt-LT" w:bidi="lt-LT"/>
        </w:rPr>
      </w:pPr>
      <w:proofErr w:type="spellStart"/>
      <w:r w:rsidRPr="003042C7">
        <w:rPr>
          <w:rFonts w:ascii="Times New Roman" w:eastAsia="Times New Roman" w:hAnsi="Times New Roman" w:cs="Times New Roman"/>
          <w:szCs w:val="20"/>
          <w:lang w:eastAsia="lt-LT" w:bidi="lt-LT"/>
        </w:rPr>
        <w:t>Keresztúri</w:t>
      </w:r>
      <w:proofErr w:type="spellEnd"/>
      <w:r w:rsidRPr="003042C7">
        <w:rPr>
          <w:rFonts w:ascii="Times New Roman" w:eastAsia="Times New Roman" w:hAnsi="Times New Roman" w:cs="Times New Roman"/>
          <w:szCs w:val="20"/>
          <w:lang w:eastAsia="lt-LT" w:bidi="lt-LT"/>
        </w:rPr>
        <w:t xml:space="preserve"> </w:t>
      </w:r>
      <w:proofErr w:type="spellStart"/>
      <w:r w:rsidRPr="003042C7">
        <w:rPr>
          <w:rFonts w:ascii="Times New Roman" w:eastAsia="Times New Roman" w:hAnsi="Times New Roman" w:cs="Times New Roman"/>
          <w:szCs w:val="20"/>
          <w:lang w:eastAsia="lt-LT" w:bidi="lt-LT"/>
        </w:rPr>
        <w:t>út</w:t>
      </w:r>
      <w:proofErr w:type="spellEnd"/>
      <w:r w:rsidRPr="003042C7">
        <w:rPr>
          <w:rFonts w:ascii="Times New Roman" w:eastAsia="Times New Roman" w:hAnsi="Times New Roman" w:cs="Times New Roman"/>
          <w:szCs w:val="20"/>
          <w:lang w:eastAsia="lt-LT" w:bidi="lt-LT"/>
        </w:rPr>
        <w:t xml:space="preserve"> 30-38</w:t>
      </w:r>
    </w:p>
    <w:p w14:paraId="631D35A7" w14:textId="77777777" w:rsidR="007E69FC" w:rsidRDefault="007E69FC" w:rsidP="007E69FC">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Vengrija</w:t>
      </w:r>
    </w:p>
    <w:p w14:paraId="72A0355C" w14:textId="77777777" w:rsidR="007E69FC" w:rsidRPr="003042C7" w:rsidRDefault="007E69FC" w:rsidP="007E69FC">
      <w:pPr>
        <w:tabs>
          <w:tab w:val="left" w:pos="567"/>
        </w:tabs>
        <w:spacing w:after="0" w:line="240" w:lineRule="auto"/>
        <w:rPr>
          <w:rFonts w:ascii="Times New Roman" w:eastAsia="Times New Roman" w:hAnsi="Times New Roman" w:cs="Times New Roman"/>
          <w:szCs w:val="20"/>
          <w:lang w:eastAsia="lt-LT" w:bidi="lt-LT"/>
        </w:rPr>
      </w:pPr>
    </w:p>
    <w:p w14:paraId="072C07A1"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F2D730C"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12.</w:t>
      </w:r>
      <w:r w:rsidRPr="009A065C">
        <w:rPr>
          <w:rFonts w:ascii="Times New Roman" w:eastAsia="Times New Roman" w:hAnsi="Times New Roman" w:cs="Times New Roman"/>
          <w:b/>
          <w:lang w:eastAsia="pl-PL"/>
        </w:rPr>
        <w:tab/>
        <w:t xml:space="preserve">REGISTRACIJOS PAŽYMĖJIMO NUMERIS (-IAI) </w:t>
      </w:r>
    </w:p>
    <w:p w14:paraId="4DA358BE"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6B4DB1D" w14:textId="77777777" w:rsidR="00C655AF" w:rsidRPr="00C655AF" w:rsidRDefault="00C655AF" w:rsidP="00C655AF">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655AF">
        <w:rPr>
          <w:rFonts w:ascii="Times New Roman" w:eastAsia="Times New Roman" w:hAnsi="Times New Roman" w:cs="Times New Roman"/>
          <w:lang w:eastAsia="pl-PL"/>
        </w:rPr>
        <w:t xml:space="preserve">LT/1/23/5102/001 </w:t>
      </w:r>
      <w:r w:rsidRPr="00C655AF">
        <w:rPr>
          <w:rFonts w:ascii="Times New Roman" w:eastAsia="Times New Roman" w:hAnsi="Times New Roman" w:cs="Times New Roman"/>
          <w:highlight w:val="lightGray"/>
          <w:lang w:eastAsia="pl-PL"/>
        </w:rPr>
        <w:t>– N56</w:t>
      </w:r>
    </w:p>
    <w:p w14:paraId="1346E305" w14:textId="77777777" w:rsidR="00C655AF" w:rsidRPr="00C655AF" w:rsidRDefault="00C655AF" w:rsidP="00C655AF">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655AF">
        <w:rPr>
          <w:rFonts w:ascii="Times New Roman" w:eastAsia="Times New Roman" w:hAnsi="Times New Roman" w:cs="Times New Roman"/>
          <w:highlight w:val="lightGray"/>
          <w:lang w:eastAsia="pl-PL"/>
        </w:rPr>
        <w:t>LT/1/23/5102/002 – N98</w:t>
      </w:r>
    </w:p>
    <w:p w14:paraId="7AE2DCB8" w14:textId="58E62069" w:rsidR="00C655AF" w:rsidRPr="00C655AF" w:rsidRDefault="00C655AF" w:rsidP="00C655AF">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655AF">
        <w:rPr>
          <w:rFonts w:ascii="Times New Roman" w:eastAsia="Times New Roman" w:hAnsi="Times New Roman" w:cs="Times New Roman"/>
          <w:highlight w:val="lightGray"/>
          <w:lang w:eastAsia="pl-PL"/>
        </w:rPr>
        <w:t>LT/1/23/5102/003 – N100</w:t>
      </w:r>
    </w:p>
    <w:p w14:paraId="0F764D70" w14:textId="77777777" w:rsidR="00C655AF" w:rsidRDefault="00C655AF" w:rsidP="00C655AF">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87627C3"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7E03810"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i/>
          <w:lang w:eastAsia="pl-PL"/>
        </w:rPr>
      </w:pPr>
      <w:r w:rsidRPr="009A065C">
        <w:rPr>
          <w:rFonts w:ascii="Times New Roman" w:eastAsia="Times New Roman" w:hAnsi="Times New Roman" w:cs="Times New Roman"/>
          <w:b/>
          <w:lang w:eastAsia="pl-PL"/>
        </w:rPr>
        <w:t>13.</w:t>
      </w:r>
      <w:r w:rsidRPr="009A065C">
        <w:rPr>
          <w:rFonts w:ascii="Times New Roman" w:eastAsia="Times New Roman" w:hAnsi="Times New Roman" w:cs="Times New Roman"/>
          <w:b/>
          <w:lang w:eastAsia="pl-PL"/>
        </w:rPr>
        <w:tab/>
        <w:t>SERIJOS NUMERIS</w:t>
      </w:r>
    </w:p>
    <w:p w14:paraId="5FD37795"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i/>
          <w:lang w:eastAsia="pl-PL"/>
        </w:rPr>
      </w:pPr>
    </w:p>
    <w:p w14:paraId="4E9F6AB1"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roofErr w:type="spellStart"/>
      <w:r w:rsidRPr="009A065C">
        <w:rPr>
          <w:rFonts w:ascii="Times New Roman" w:eastAsia="Times New Roman" w:hAnsi="Times New Roman" w:cs="Times New Roman"/>
          <w:lang w:eastAsia="pl-PL"/>
        </w:rPr>
        <w:t>Lot</w:t>
      </w:r>
      <w:proofErr w:type="spellEnd"/>
    </w:p>
    <w:p w14:paraId="54CCE0CA"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2D89314"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98F3D1B" w14:textId="77777777" w:rsidR="007E69FC" w:rsidRPr="009A065C" w:rsidRDefault="007E69FC" w:rsidP="007E69FC">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14.</w:t>
      </w:r>
      <w:r w:rsidRPr="009A065C">
        <w:rPr>
          <w:rFonts w:ascii="Times New Roman" w:eastAsia="Times New Roman" w:hAnsi="Times New Roman" w:cs="Times New Roman"/>
          <w:b/>
          <w:lang w:eastAsia="pl-PL"/>
        </w:rPr>
        <w:tab/>
        <w:t>PARDAVIMO (IŠDAVIMO) TVARKA</w:t>
      </w:r>
    </w:p>
    <w:p w14:paraId="672822A7"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9C64573"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Receptinis vaistas.</w:t>
      </w:r>
    </w:p>
    <w:p w14:paraId="16630C05"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0D0DAFA" w14:textId="77777777" w:rsidR="007E69FC" w:rsidRPr="009A065C" w:rsidRDefault="007E69FC" w:rsidP="007E69FC">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76DADBF" w14:textId="77777777" w:rsidR="007E69FC" w:rsidRPr="009A065C" w:rsidRDefault="007E69FC" w:rsidP="007E69FC">
      <w:pPr>
        <w:widowControl w:val="0"/>
        <w:pBdr>
          <w:top w:val="single" w:sz="4" w:space="2"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15.</w:t>
      </w:r>
      <w:r w:rsidRPr="009A065C">
        <w:rPr>
          <w:rFonts w:ascii="Times New Roman" w:eastAsia="Times New Roman" w:hAnsi="Times New Roman" w:cs="Times New Roman"/>
          <w:b/>
          <w:lang w:eastAsia="pl-PL"/>
        </w:rPr>
        <w:tab/>
        <w:t>VARTOJIMO INSTRUKCIJA</w:t>
      </w:r>
    </w:p>
    <w:p w14:paraId="65AF34DA"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D8B7F7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BA4C946" w14:textId="77777777" w:rsidR="007E69FC" w:rsidRPr="009A065C" w:rsidRDefault="007E69FC" w:rsidP="007E69FC">
      <w:pPr>
        <w:widowControl w:val="0"/>
        <w:pBdr>
          <w:top w:val="single" w:sz="4" w:space="1" w:color="000000"/>
          <w:left w:val="single" w:sz="4" w:space="4" w:color="000000"/>
          <w:bottom w:val="single" w:sz="4" w:space="0"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b/>
          <w:lang w:eastAsia="pl-PL"/>
        </w:rPr>
        <w:t>16.</w:t>
      </w:r>
      <w:r w:rsidRPr="009A065C">
        <w:rPr>
          <w:rFonts w:ascii="Times New Roman" w:eastAsia="Times New Roman" w:hAnsi="Times New Roman" w:cs="Times New Roman"/>
          <w:b/>
          <w:lang w:eastAsia="pl-PL"/>
        </w:rPr>
        <w:tab/>
        <w:t>INFORMACIJA BRAILIO RAŠTU</w:t>
      </w:r>
    </w:p>
    <w:p w14:paraId="3BCA5740"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
    <w:p w14:paraId="5C81FD67" w14:textId="35F9680D" w:rsidR="007E69FC" w:rsidRPr="009A065C" w:rsidRDefault="005A3031"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007E69FC" w:rsidRPr="009A065C">
        <w:rPr>
          <w:rFonts w:ascii="Times New Roman" w:eastAsia="Times New Roman" w:hAnsi="Times New Roman" w:cs="Times New Roman"/>
          <w:lang w:eastAsia="pl-PL"/>
        </w:rPr>
        <w:t xml:space="preserve"> 2,5 mg</w:t>
      </w:r>
    </w:p>
    <w:p w14:paraId="01E3396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51CF35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2B1084F" w14:textId="77777777" w:rsidR="007E69FC" w:rsidRPr="009A065C" w:rsidRDefault="007E69FC" w:rsidP="007E69FC">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17.</w:t>
      </w:r>
      <w:r w:rsidRPr="009A065C">
        <w:rPr>
          <w:rFonts w:ascii="Times New Roman" w:eastAsia="Times New Roman" w:hAnsi="Times New Roman" w:cs="Times New Roman"/>
          <w:b/>
          <w:lang w:eastAsia="pl-PL"/>
        </w:rPr>
        <w:tab/>
        <w:t>UNIKALUS IDENTIFIKATORIUS – 2D BRŪKŠNINIS KODAS</w:t>
      </w:r>
    </w:p>
    <w:p w14:paraId="1C98A126" w14:textId="77777777" w:rsidR="007E69FC" w:rsidRPr="009A065C" w:rsidRDefault="007E69FC" w:rsidP="007E69FC">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266AECE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shd w:val="clear" w:color="auto" w:fill="C0C0C0"/>
          <w:lang w:eastAsia="pl-PL"/>
        </w:rPr>
        <w:t>2D brūkšninis kodas su nurodytu unikaliu identifikatoriumi.</w:t>
      </w:r>
    </w:p>
    <w:p w14:paraId="6F0FE376" w14:textId="77777777" w:rsidR="007E69FC" w:rsidRPr="009A065C" w:rsidRDefault="007E69FC" w:rsidP="007E69FC">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4F961BE1" w14:textId="77777777" w:rsidR="007E69FC" w:rsidRPr="009A065C" w:rsidRDefault="007E69FC" w:rsidP="007E69FC">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4CB863E0" w14:textId="77777777" w:rsidR="007E69FC" w:rsidRPr="009A065C" w:rsidRDefault="007E69FC" w:rsidP="007E69FC">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18.</w:t>
      </w:r>
      <w:r w:rsidRPr="009A065C">
        <w:rPr>
          <w:rFonts w:ascii="Times New Roman" w:eastAsia="Times New Roman" w:hAnsi="Times New Roman" w:cs="Times New Roman"/>
          <w:b/>
          <w:lang w:eastAsia="pl-PL"/>
        </w:rPr>
        <w:tab/>
        <w:t>UNIKALUS IDENTIFIKATORIUS – ŽMONĖMS SUPRANTAMI DUOMENYS</w:t>
      </w:r>
    </w:p>
    <w:p w14:paraId="58DC59BF" w14:textId="77777777" w:rsidR="007E69FC" w:rsidRPr="009A065C" w:rsidRDefault="007E69FC" w:rsidP="007E69FC">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186BD845"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PC: {numeris} </w:t>
      </w:r>
    </w:p>
    <w:p w14:paraId="7C548769"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lang w:eastAsia="pl-PL"/>
        </w:rPr>
        <w:t>SN: {numeris}</w:t>
      </w:r>
    </w:p>
    <w:p w14:paraId="51DBB7C3"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highlight w:val="lightGray"/>
          <w:lang w:eastAsia="pl-PL"/>
        </w:rPr>
        <w:t>NN: {numeris}</w:t>
      </w:r>
      <w:r w:rsidRPr="009A065C">
        <w:rPr>
          <w:rFonts w:ascii="Times New Roman" w:eastAsia="Times New Roman" w:hAnsi="Times New Roman" w:cs="Times New Roman"/>
          <w:lang w:eastAsia="pl-PL"/>
        </w:rPr>
        <w:t xml:space="preserve"> </w:t>
      </w:r>
    </w:p>
    <w:p w14:paraId="75258DFA" w14:textId="77777777" w:rsidR="007E69FC" w:rsidRDefault="007E69FC" w:rsidP="007E69FC">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3CC49D5E" w14:textId="77777777" w:rsidR="007E69FC" w:rsidRPr="009A065C" w:rsidRDefault="007E69FC" w:rsidP="007E69FC">
      <w:pPr>
        <w:spacing w:after="0" w:line="240" w:lineRule="auto"/>
        <w:rPr>
          <w:rFonts w:ascii="Times New Roman" w:eastAsia="Times New Roman" w:hAnsi="Times New Roman" w:cs="Times New Roman"/>
          <w:lang w:eastAsia="pl-PL"/>
        </w:rPr>
      </w:pPr>
    </w:p>
    <w:p w14:paraId="5DD5E834" w14:textId="77777777" w:rsidR="007E69FC" w:rsidRPr="009A065C" w:rsidRDefault="007E69FC" w:rsidP="007E69FC">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noProof/>
          <w:lang w:eastAsia="pl-PL"/>
        </w:rPr>
      </w:pPr>
      <w:r w:rsidRPr="009A065C">
        <w:rPr>
          <w:rFonts w:ascii="Times New Roman" w:eastAsia="Times New Roman" w:hAnsi="Times New Roman" w:cs="Times New Roman"/>
          <w:b/>
          <w:noProof/>
          <w:lang w:eastAsia="pl-PL"/>
        </w:rPr>
        <w:t>MINIMALI INFORMACIJA ANT LIZDINIŲ PLOKŠTELIŲ ARBA DVISLUOKSNIŲ JUOSTELIŲ</w:t>
      </w:r>
    </w:p>
    <w:p w14:paraId="7239F08C" w14:textId="77777777" w:rsidR="007E69FC" w:rsidRPr="009A065C" w:rsidRDefault="007E69FC" w:rsidP="007E69FC">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noProof/>
          <w:lang w:eastAsia="pl-PL"/>
        </w:rPr>
      </w:pPr>
    </w:p>
    <w:p w14:paraId="33CE2D03" w14:textId="2D935847" w:rsidR="007E69FC" w:rsidRPr="009A065C" w:rsidRDefault="00225F51" w:rsidP="007E69FC">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eastAsia="pl-PL"/>
        </w:rPr>
      </w:pPr>
      <w:r>
        <w:rPr>
          <w:rFonts w:ascii="Times New Roman" w:eastAsia="Times New Roman" w:hAnsi="Times New Roman" w:cs="Times New Roman"/>
          <w:b/>
          <w:lang w:eastAsia="pl-PL"/>
        </w:rPr>
        <w:t>LIZDINĖ PLOKŠTELĖ</w:t>
      </w:r>
    </w:p>
    <w:p w14:paraId="07A19333"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C98CD76"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6D0F2213" w14:textId="77777777" w:rsidR="007E69FC" w:rsidRPr="009A065C" w:rsidRDefault="007E69FC" w:rsidP="007E69F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VAISTINIO</w:t>
      </w:r>
      <w:r w:rsidRPr="009A065C">
        <w:rPr>
          <w:rFonts w:ascii="Times New Roman" w:eastAsia="Times New Roman" w:hAnsi="Times New Roman" w:cs="Times New Roman"/>
          <w:b/>
          <w:noProof/>
          <w:lang w:eastAsia="pl-PL"/>
        </w:rPr>
        <w:t xml:space="preserve"> PREPARATO PAVADINIMAS</w:t>
      </w:r>
    </w:p>
    <w:p w14:paraId="789B168E"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70BD35E7" w14:textId="3A5CE165" w:rsidR="007E69FC" w:rsidRPr="009A065C" w:rsidRDefault="005A3031" w:rsidP="007E69FC">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Pr>
          <w:rFonts w:ascii="Times New Roman" w:eastAsia="Times New Roman" w:hAnsi="Times New Roman" w:cs="Times New Roman"/>
          <w:lang w:eastAsia="pl-PL"/>
        </w:rPr>
        <w:t>Xiltess</w:t>
      </w:r>
      <w:r w:rsidR="007E69FC" w:rsidRPr="009A065C">
        <w:rPr>
          <w:rFonts w:ascii="Times New Roman" w:eastAsia="Times New Roman" w:hAnsi="Times New Roman" w:cs="Times New Roman"/>
          <w:lang w:eastAsia="pl-PL"/>
        </w:rPr>
        <w:t xml:space="preserve"> 2,5 mg plėvele dengtos tabletės </w:t>
      </w:r>
    </w:p>
    <w:p w14:paraId="25C9C38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85FA99A"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656176">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
    <w:p w14:paraId="18FA4753"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48EEE7A"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A5FA86C" w14:textId="77777777" w:rsidR="007E69FC" w:rsidRPr="009A065C" w:rsidRDefault="007E69FC" w:rsidP="007E69F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REGISTRUOTOJO pavadinimas</w:t>
      </w:r>
    </w:p>
    <w:p w14:paraId="12CCF28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B800C56"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Egis</w:t>
      </w:r>
    </w:p>
    <w:p w14:paraId="5A663866"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E8E963F"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F26A5A8" w14:textId="77777777" w:rsidR="007E69FC" w:rsidRPr="009A065C" w:rsidRDefault="007E69FC" w:rsidP="007E69FC">
      <w:pPr>
        <w:widowControl w:val="0"/>
        <w:pBdr>
          <w:top w:val="single" w:sz="4" w:space="1" w:color="auto"/>
          <w:left w:val="single" w:sz="4" w:space="4" w:color="auto"/>
          <w:bottom w:val="single" w:sz="4" w:space="2"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TINKAMUMO LAIKAS</w:t>
      </w:r>
    </w:p>
    <w:p w14:paraId="68AE15C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7985E41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EXP </w:t>
      </w:r>
    </w:p>
    <w:p w14:paraId="208BD857"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FF74BDC"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D2610FC" w14:textId="77777777" w:rsidR="007E69FC" w:rsidRPr="009A065C" w:rsidRDefault="007E69FC" w:rsidP="007E69FC">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SERIJOS NUMERIS</w:t>
      </w:r>
    </w:p>
    <w:p w14:paraId="78667A1F"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0E67EAA8" w14:textId="77777777" w:rsidR="007E69FC" w:rsidRPr="009A065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b/>
          <w:lang w:eastAsia="pl-PL"/>
        </w:rPr>
      </w:pPr>
      <w:proofErr w:type="spellStart"/>
      <w:r w:rsidRPr="009A065C">
        <w:rPr>
          <w:rFonts w:ascii="Times New Roman" w:eastAsia="Times New Roman" w:hAnsi="Times New Roman" w:cs="Times New Roman"/>
          <w:lang w:eastAsia="pl-PL"/>
        </w:rPr>
        <w:t>Lot</w:t>
      </w:r>
      <w:proofErr w:type="spellEnd"/>
      <w:r w:rsidRPr="009A065C">
        <w:rPr>
          <w:rFonts w:ascii="Times New Roman" w:eastAsia="Times New Roman" w:hAnsi="Times New Roman" w:cs="Times New Roman"/>
          <w:lang w:eastAsia="pl-PL"/>
        </w:rPr>
        <w:t xml:space="preserve"> </w:t>
      </w:r>
    </w:p>
    <w:p w14:paraId="43A1D804"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2E8F90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EA57641" w14:textId="77777777" w:rsidR="007E69FC" w:rsidRPr="009A065C" w:rsidRDefault="007E69FC" w:rsidP="007E69F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KITA</w:t>
      </w:r>
    </w:p>
    <w:p w14:paraId="1CB65BC1" w14:textId="77777777" w:rsidR="007E69FC" w:rsidRPr="009A065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1AEAC12C" w14:textId="77777777" w:rsidR="007E69FC" w:rsidRDefault="007E69FC" w:rsidP="007E69FC">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3B018875" w14:textId="77777777" w:rsid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44DCB151" w14:textId="77777777" w:rsidR="007E69FC" w:rsidRPr="00FC03F3" w:rsidRDefault="007E69FC" w:rsidP="007E69FC">
      <w:pPr>
        <w:spacing w:after="0"/>
        <w:ind w:left="108"/>
        <w:rPr>
          <w:rFonts w:ascii="Times New Roman" w:eastAsia="Times New Roman" w:hAnsi="Times New Roman" w:cs="Times New Roman"/>
          <w:color w:val="000000"/>
          <w:lang w:eastAsia="lt-LT"/>
        </w:rPr>
      </w:pPr>
    </w:p>
    <w:p w14:paraId="618B4ED5" w14:textId="77777777" w:rsidR="007E69FC" w:rsidRPr="00FC03F3" w:rsidRDefault="007E69FC" w:rsidP="007E69FC">
      <w:pPr>
        <w:pBdr>
          <w:top w:val="single" w:sz="4" w:space="0" w:color="000000"/>
          <w:left w:val="single" w:sz="4" w:space="0" w:color="000000"/>
          <w:bottom w:val="single" w:sz="4" w:space="0" w:color="000000"/>
          <w:right w:val="single" w:sz="4" w:space="0" w:color="000000"/>
        </w:pBdr>
        <w:spacing w:after="37"/>
        <w:ind w:left="103"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PACIENTO BUDRUMO KORTELĖ </w:t>
      </w:r>
    </w:p>
    <w:p w14:paraId="385C3C7D" w14:textId="77777777" w:rsidR="007E69FC" w:rsidRPr="00FC03F3" w:rsidRDefault="007E69FC" w:rsidP="007E69FC">
      <w:pPr>
        <w:spacing w:after="67"/>
        <w:ind w:left="108"/>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45894B98" w14:textId="77777777" w:rsidR="007E69FC" w:rsidRPr="00FC03F3" w:rsidRDefault="007E69FC" w:rsidP="007E69FC">
      <w:pPr>
        <w:spacing w:after="6" w:line="258" w:lineRule="auto"/>
        <w:ind w:left="103"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Paciento budrumo kortelė </w:t>
      </w:r>
    </w:p>
    <w:p w14:paraId="3F25EB4C" w14:textId="77777777" w:rsidR="007E69FC" w:rsidRPr="00335DE2" w:rsidRDefault="007E69FC" w:rsidP="007E69FC">
      <w:pPr>
        <w:widowControl w:val="0"/>
        <w:autoSpaceDE w:val="0"/>
        <w:autoSpaceDN w:val="0"/>
        <w:spacing w:line="240" w:lineRule="auto"/>
      </w:pPr>
    </w:p>
    <w:p w14:paraId="2CC09DB9" w14:textId="368F1A1F" w:rsidR="007E69FC" w:rsidRPr="00335DE2" w:rsidRDefault="005A3031" w:rsidP="007E69FC">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7E69FC" w:rsidRPr="00335DE2">
        <w:rPr>
          <w:rFonts w:ascii="Times New Roman" w:hAnsi="Times New Roman" w:cs="Times New Roman"/>
          <w:b/>
          <w:bCs/>
        </w:rPr>
        <w:t xml:space="preserve"> 2</w:t>
      </w:r>
      <w:r w:rsidR="00E05C05">
        <w:rPr>
          <w:rFonts w:ascii="Times New Roman" w:hAnsi="Times New Roman" w:cs="Times New Roman"/>
          <w:b/>
          <w:bCs/>
        </w:rPr>
        <w:t>,</w:t>
      </w:r>
      <w:r w:rsidR="007E69FC" w:rsidRPr="00335DE2">
        <w:rPr>
          <w:rFonts w:ascii="Times New Roman" w:hAnsi="Times New Roman" w:cs="Times New Roman"/>
          <w:b/>
          <w:bCs/>
        </w:rPr>
        <w:t xml:space="preserve">5 mg </w:t>
      </w:r>
      <w:r w:rsidR="007E69FC" w:rsidRPr="00335DE2">
        <w:rPr>
          <w:rFonts w:ascii="Times New Roman" w:hAnsi="Times New Roman" w:cs="Times New Roman"/>
          <w:b/>
          <w:bCs/>
          <w:highlight w:val="lightGray"/>
        </w:rPr>
        <w:t>(</w:t>
      </w:r>
      <w:r w:rsidR="007E69FC" w:rsidRPr="00FC03F3">
        <w:rPr>
          <w:rFonts w:ascii="Times New Roman" w:eastAsia="Times New Roman" w:hAnsi="Times New Roman" w:cs="Times New Roman"/>
          <w:b/>
          <w:bCs/>
          <w:color w:val="000000"/>
          <w:highlight w:val="lightGray"/>
          <w:lang w:eastAsia="lt-LT"/>
        </w:rPr>
        <w:t>varnele pažymėkite paskirtos dozės langel</w:t>
      </w:r>
      <w:r w:rsidR="007E69FC" w:rsidRPr="00335DE2">
        <w:rPr>
          <w:rFonts w:ascii="Times New Roman" w:hAnsi="Times New Roman" w:cs="Times New Roman"/>
          <w:b/>
          <w:bCs/>
          <w:highlight w:val="lightGray"/>
        </w:rPr>
        <w:t>į)</w:t>
      </w:r>
    </w:p>
    <w:p w14:paraId="746F973F" w14:textId="23B6F041" w:rsidR="007E69FC" w:rsidRPr="00335DE2" w:rsidRDefault="005A3031" w:rsidP="007E69FC">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7E69FC" w:rsidRPr="00335DE2">
        <w:rPr>
          <w:rFonts w:ascii="Times New Roman" w:hAnsi="Times New Roman" w:cs="Times New Roman"/>
          <w:b/>
        </w:rPr>
        <w:t xml:space="preserve"> 10 mg </w:t>
      </w:r>
      <w:r w:rsidR="007E69FC" w:rsidRPr="00335DE2">
        <w:rPr>
          <w:rFonts w:ascii="Times New Roman" w:hAnsi="Times New Roman" w:cs="Times New Roman"/>
          <w:b/>
          <w:bCs/>
          <w:highlight w:val="lightGray"/>
        </w:rPr>
        <w:t>(</w:t>
      </w:r>
      <w:r w:rsidR="007E69FC" w:rsidRPr="00FC03F3">
        <w:rPr>
          <w:rFonts w:ascii="Times New Roman" w:eastAsia="Times New Roman" w:hAnsi="Times New Roman" w:cs="Times New Roman"/>
          <w:b/>
          <w:bCs/>
          <w:color w:val="000000"/>
          <w:highlight w:val="lightGray"/>
          <w:lang w:eastAsia="lt-LT"/>
        </w:rPr>
        <w:t>varnele pažymėkite paskirtos dozės langel</w:t>
      </w:r>
      <w:r w:rsidR="007E69FC" w:rsidRPr="00335DE2">
        <w:rPr>
          <w:rFonts w:ascii="Times New Roman" w:hAnsi="Times New Roman" w:cs="Times New Roman"/>
          <w:b/>
          <w:bCs/>
          <w:highlight w:val="lightGray"/>
        </w:rPr>
        <w:t>į)</w:t>
      </w:r>
    </w:p>
    <w:p w14:paraId="780A524E" w14:textId="72CC8A22" w:rsidR="007E69FC" w:rsidRPr="00335DE2" w:rsidRDefault="005A3031" w:rsidP="007E69FC">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7E69FC" w:rsidRPr="00335DE2">
        <w:rPr>
          <w:rFonts w:ascii="Times New Roman" w:hAnsi="Times New Roman" w:cs="Times New Roman"/>
          <w:b/>
        </w:rPr>
        <w:t xml:space="preserve"> 15 mg </w:t>
      </w:r>
      <w:r w:rsidR="007E69FC" w:rsidRPr="00335DE2">
        <w:rPr>
          <w:rFonts w:ascii="Times New Roman" w:hAnsi="Times New Roman" w:cs="Times New Roman"/>
          <w:b/>
          <w:bCs/>
          <w:highlight w:val="lightGray"/>
        </w:rPr>
        <w:t>(</w:t>
      </w:r>
      <w:r w:rsidR="007E69FC" w:rsidRPr="00FC03F3">
        <w:rPr>
          <w:rFonts w:ascii="Times New Roman" w:eastAsia="Times New Roman" w:hAnsi="Times New Roman" w:cs="Times New Roman"/>
          <w:b/>
          <w:bCs/>
          <w:color w:val="000000"/>
          <w:highlight w:val="lightGray"/>
          <w:lang w:eastAsia="lt-LT"/>
        </w:rPr>
        <w:t>varnele pažymėkite paskirtos dozės langel</w:t>
      </w:r>
      <w:r w:rsidR="007E69FC" w:rsidRPr="00335DE2">
        <w:rPr>
          <w:rFonts w:ascii="Times New Roman" w:hAnsi="Times New Roman" w:cs="Times New Roman"/>
          <w:b/>
          <w:bCs/>
          <w:highlight w:val="lightGray"/>
        </w:rPr>
        <w:t>į)</w:t>
      </w:r>
    </w:p>
    <w:p w14:paraId="3F047572" w14:textId="3A99CD17" w:rsidR="007E69FC" w:rsidRPr="00335DE2" w:rsidRDefault="005A3031" w:rsidP="007E69FC">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Xiltess</w:t>
      </w:r>
      <w:r w:rsidR="007E69FC" w:rsidRPr="00335DE2">
        <w:rPr>
          <w:rFonts w:ascii="Times New Roman" w:hAnsi="Times New Roman" w:cs="Times New Roman"/>
          <w:b/>
        </w:rPr>
        <w:t xml:space="preserve"> 20 mg </w:t>
      </w:r>
      <w:r w:rsidR="007E69FC" w:rsidRPr="00335DE2">
        <w:rPr>
          <w:rFonts w:ascii="Times New Roman" w:hAnsi="Times New Roman" w:cs="Times New Roman"/>
          <w:b/>
          <w:bCs/>
          <w:highlight w:val="lightGray"/>
        </w:rPr>
        <w:t>(</w:t>
      </w:r>
      <w:r w:rsidR="007E69FC" w:rsidRPr="00FC03F3">
        <w:rPr>
          <w:rFonts w:ascii="Times New Roman" w:eastAsia="Times New Roman" w:hAnsi="Times New Roman" w:cs="Times New Roman"/>
          <w:b/>
          <w:bCs/>
          <w:color w:val="000000"/>
          <w:highlight w:val="lightGray"/>
          <w:lang w:eastAsia="lt-LT"/>
        </w:rPr>
        <w:t>varnele pažymėkite paskirtos dozės langel</w:t>
      </w:r>
      <w:r w:rsidR="007E69FC" w:rsidRPr="00335DE2">
        <w:rPr>
          <w:rFonts w:ascii="Times New Roman" w:hAnsi="Times New Roman" w:cs="Times New Roman"/>
          <w:b/>
          <w:bCs/>
          <w:highlight w:val="lightGray"/>
        </w:rPr>
        <w:t>į)</w:t>
      </w:r>
    </w:p>
    <w:p w14:paraId="291A5AAD" w14:textId="77777777" w:rsidR="007E69FC" w:rsidRDefault="007E69FC" w:rsidP="007E69FC">
      <w:pPr>
        <w:spacing w:after="5" w:line="335" w:lineRule="auto"/>
        <w:ind w:right="897" w:hanging="8"/>
        <w:rPr>
          <w:rFonts w:ascii="Times New Roman" w:eastAsia="Times New Roman" w:hAnsi="Times New Roman" w:cs="Times New Roman"/>
          <w:b/>
          <w:color w:val="000000"/>
          <w:lang w:eastAsia="lt-LT"/>
        </w:rPr>
      </w:pPr>
    </w:p>
    <w:p w14:paraId="73156487" w14:textId="77777777" w:rsidR="007E69FC" w:rsidRPr="008A5218"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Visada turėkite šią kortelę.</w:t>
      </w:r>
    </w:p>
    <w:p w14:paraId="16BE8C67"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Parodykite šią kortelę kiekvienam gydytojui arba odontologui prieš paskiriant Jums gydymą. </w:t>
      </w:r>
    </w:p>
    <w:p w14:paraId="271CFA8D"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1DC4B05E" w14:textId="5BF01184" w:rsidR="007E69FC" w:rsidRPr="00FC03F3" w:rsidRDefault="007E69FC" w:rsidP="007E69FC">
      <w:pPr>
        <w:keepNext/>
        <w:keepLines/>
        <w:spacing w:after="0" w:line="240" w:lineRule="auto"/>
        <w:ind w:hanging="10"/>
        <w:outlineLvl w:val="0"/>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Aš vartoju antikoaguliantą </w:t>
      </w:r>
      <w:r w:rsidR="005A3031">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 xml:space="preserve"> (rivaroksabaną) </w:t>
      </w:r>
    </w:p>
    <w:p w14:paraId="1DAEC205" w14:textId="77777777" w:rsidR="007E69FC"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5455F250" w14:textId="77777777" w:rsidR="007E69FC" w:rsidRPr="00FC03F3"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Adresas: </w:t>
      </w:r>
    </w:p>
    <w:p w14:paraId="003DBF42" w14:textId="77777777" w:rsidR="007E69FC" w:rsidRDefault="007E69FC" w:rsidP="007E69FC">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Gim</w:t>
      </w:r>
      <w:r>
        <w:rPr>
          <w:rFonts w:ascii="Times New Roman" w:eastAsia="Times New Roman" w:hAnsi="Times New Roman" w:cs="Times New Roman"/>
          <w:color w:val="000000"/>
          <w:lang w:eastAsia="lt-LT"/>
        </w:rPr>
        <w:t>imo</w:t>
      </w:r>
      <w:r w:rsidRPr="00FC03F3">
        <w:rPr>
          <w:rFonts w:ascii="Times New Roman" w:eastAsia="Times New Roman" w:hAnsi="Times New Roman" w:cs="Times New Roman"/>
          <w:color w:val="000000"/>
          <w:lang w:eastAsia="lt-LT"/>
        </w:rPr>
        <w:t xml:space="preserve"> data:</w:t>
      </w:r>
    </w:p>
    <w:p w14:paraId="5BDEF26F" w14:textId="77777777" w:rsidR="007E69FC" w:rsidRPr="00FC03F3" w:rsidRDefault="007E69FC" w:rsidP="007E69FC">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Svoris: </w:t>
      </w:r>
    </w:p>
    <w:p w14:paraId="130773A8" w14:textId="77777777" w:rsidR="007E69FC" w:rsidRPr="00FC03F3" w:rsidRDefault="007E69FC" w:rsidP="007E69FC">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Kiti vaistai / būklės: </w:t>
      </w:r>
    </w:p>
    <w:p w14:paraId="1FECA20A"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54112157" w14:textId="77777777" w:rsidR="007E69FC" w:rsidRPr="00FC03F3" w:rsidRDefault="007E69FC" w:rsidP="007E69FC">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Skubos atveju praneškite: </w:t>
      </w:r>
    </w:p>
    <w:p w14:paraId="3038D9ED" w14:textId="77777777" w:rsidR="007E69FC"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v</w:t>
      </w:r>
      <w:r>
        <w:rPr>
          <w:rFonts w:ascii="Times New Roman" w:eastAsia="Times New Roman" w:hAnsi="Times New Roman" w:cs="Times New Roman"/>
          <w:color w:val="000000"/>
          <w:lang w:eastAsia="lt-LT"/>
        </w:rPr>
        <w:t>ardas</w:t>
      </w:r>
      <w:r w:rsidRPr="00FC03F3">
        <w:rPr>
          <w:rFonts w:ascii="Times New Roman" w:eastAsia="Times New Roman" w:hAnsi="Times New Roman" w:cs="Times New Roman"/>
          <w:color w:val="000000"/>
          <w:lang w:eastAsia="lt-LT"/>
        </w:rPr>
        <w:t xml:space="preserve">, pavardė: </w:t>
      </w:r>
    </w:p>
    <w:p w14:paraId="100D3257" w14:textId="77777777" w:rsidR="007E69FC" w:rsidRPr="00FC03F3"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tel.</w:t>
      </w:r>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nr.</w:t>
      </w:r>
      <w:proofErr w:type="spellEnd"/>
      <w:r w:rsidRPr="00FC03F3">
        <w:rPr>
          <w:rFonts w:ascii="Times New Roman" w:eastAsia="Times New Roman" w:hAnsi="Times New Roman" w:cs="Times New Roman"/>
          <w:color w:val="000000"/>
          <w:lang w:eastAsia="lt-LT"/>
        </w:rPr>
        <w:t xml:space="preserve">: </w:t>
      </w:r>
    </w:p>
    <w:p w14:paraId="6550F3E4" w14:textId="77777777" w:rsidR="007E69FC" w:rsidRPr="00FC03F3" w:rsidRDefault="007E69FC" w:rsidP="007E69FC">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Gydytojo antspaudas: </w:t>
      </w:r>
    </w:p>
    <w:p w14:paraId="6DA96C2F"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i/>
          <w:color w:val="000000"/>
          <w:lang w:eastAsia="lt-LT"/>
        </w:rPr>
        <w:t xml:space="preserve"> </w:t>
      </w:r>
    </w:p>
    <w:p w14:paraId="17A838AB" w14:textId="77777777" w:rsidR="007E69FC" w:rsidRPr="00FC03F3" w:rsidRDefault="007E69FC" w:rsidP="007E69FC">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Taip pat praneškite: </w:t>
      </w:r>
    </w:p>
    <w:p w14:paraId="2B92B9AF" w14:textId="77777777" w:rsidR="007E69FC"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36EA45F1" w14:textId="77777777" w:rsidR="007E69FC" w:rsidRPr="00FC03F3"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Telefonas: </w:t>
      </w:r>
    </w:p>
    <w:p w14:paraId="548A0072" w14:textId="77777777" w:rsidR="007E69FC" w:rsidRPr="00FC03F3" w:rsidRDefault="007E69FC" w:rsidP="007E69FC">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Giminystės ryšys: </w:t>
      </w:r>
    </w:p>
    <w:p w14:paraId="4D4003B5"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2BDB1EFB" w14:textId="77777777" w:rsidR="007E69FC" w:rsidRPr="00FC03F3" w:rsidRDefault="007E69FC" w:rsidP="007E69FC">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Informacija sveikatos priežiūros specialistams: </w:t>
      </w:r>
    </w:p>
    <w:p w14:paraId="10405010" w14:textId="6DD2BB6B"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TNS reikšmių nustatyti nereikia, nes tai nėra patikimas tyrimo metodas </w:t>
      </w:r>
      <w:proofErr w:type="spellStart"/>
      <w:r w:rsidR="005A3031">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b/>
          <w:color w:val="000000"/>
          <w:vertAlign w:val="superscript"/>
          <w:lang w:eastAsia="lt-LT"/>
        </w:rPr>
        <w:t xml:space="preserve"> </w:t>
      </w:r>
      <w:proofErr w:type="spellStart"/>
      <w:r w:rsidRPr="00FC03F3">
        <w:rPr>
          <w:rFonts w:ascii="Times New Roman" w:eastAsia="Times New Roman" w:hAnsi="Times New Roman" w:cs="Times New Roman"/>
          <w:color w:val="000000"/>
          <w:lang w:eastAsia="lt-LT"/>
        </w:rPr>
        <w:t>antikoaguliaciniam</w:t>
      </w:r>
      <w:proofErr w:type="spellEnd"/>
      <w:r w:rsidRPr="00FC03F3">
        <w:rPr>
          <w:rFonts w:ascii="Times New Roman" w:eastAsia="Times New Roman" w:hAnsi="Times New Roman" w:cs="Times New Roman"/>
          <w:color w:val="000000"/>
          <w:lang w:eastAsia="lt-LT"/>
        </w:rPr>
        <w:t xml:space="preserve"> aktyvumui įvertinti. </w:t>
      </w:r>
    </w:p>
    <w:p w14:paraId="0E4C373A"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1CEF7581" w14:textId="14708584" w:rsidR="007E69FC" w:rsidRDefault="007E69FC" w:rsidP="007E69FC">
      <w:pPr>
        <w:spacing w:after="0" w:line="240" w:lineRule="auto"/>
        <w:ind w:hanging="8"/>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Ką turėčiau žinoti apie </w:t>
      </w:r>
      <w:r w:rsidR="005A3031">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w:t>
      </w:r>
    </w:p>
    <w:p w14:paraId="297B89A4" w14:textId="23227936" w:rsidR="007E69FC"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suskystina kraują, o tai apsaugo nuo pavojingų kraujo krešulių susidarymo.</w:t>
      </w:r>
    </w:p>
    <w:p w14:paraId="035C1FC4" w14:textId="5A22F380"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reikia vartoti tiksliai kaip nurodė gydytojas. Kad geriausiai apsisaugotumėte nuo kraujo krešulių susidarymo, </w:t>
      </w:r>
      <w:r w:rsidRPr="00FC03F3">
        <w:rPr>
          <w:rFonts w:ascii="Times New Roman" w:eastAsia="Times New Roman" w:hAnsi="Times New Roman" w:cs="Times New Roman"/>
          <w:b/>
          <w:bCs/>
          <w:color w:val="000000"/>
          <w:lang w:eastAsia="lt-LT"/>
        </w:rPr>
        <w:t>niekada nepraleiskite dozės</w:t>
      </w:r>
      <w:r w:rsidRPr="00FC03F3">
        <w:rPr>
          <w:rFonts w:ascii="Times New Roman" w:eastAsia="Times New Roman" w:hAnsi="Times New Roman" w:cs="Times New Roman"/>
          <w:color w:val="000000"/>
          <w:lang w:eastAsia="lt-LT"/>
        </w:rPr>
        <w:t xml:space="preserve">. </w:t>
      </w:r>
    </w:p>
    <w:p w14:paraId="003B44C0" w14:textId="16A20FD5"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Negalima nustoti vartoti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prieš tai nepasitarus su gydytoju, nes gali padidėti kraujo krešulių susidarymo rizika. </w:t>
      </w:r>
    </w:p>
    <w:p w14:paraId="7CC9231B" w14:textId="36BFFDDE"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Jeigu vartojate, neseniai vartojote ar ketinate pradėti vartoti kitų vaistų, prieš pradėdami vartoti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apie tai pasakykite savo sveikatos priežiūros specialistui. </w:t>
      </w:r>
    </w:p>
    <w:p w14:paraId="4B54CD34" w14:textId="4F5429AB"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Prieš atliekant bet kokią chirurginę ar invazinę procedūrą, savo sveikatos priežiūros specialistui pasakykite, kad vartojate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w:t>
      </w:r>
    </w:p>
    <w:p w14:paraId="0F5118A3"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352AE967" w14:textId="77777777" w:rsidR="007E69FC" w:rsidRPr="00FC03F3" w:rsidRDefault="007E69FC" w:rsidP="007E69FC">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Kada turėčiau kreiptis į savo sveikatos priežiūros specialistą? </w:t>
      </w:r>
    </w:p>
    <w:p w14:paraId="4A48D322" w14:textId="33028499" w:rsidR="007E69FC" w:rsidRPr="00FC03F3" w:rsidRDefault="007E69FC" w:rsidP="007E69FC">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Vartojant kraują skystinantį vaistą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svarbu žinoti, koks yra jo šalutinis poveikis. Dažniausias šalutinis poveikis yra kraujavimas. Jei žinote, kad Jums yra kraujavimo rizika, negalima pradėti vartoti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prieš tai nepasitarus su gydytoju. Nedelsdami pasakykite savo sveikatos priežiūros specialistui, jeigu pasireiškia tokie kraujavimo požymiai arba simptomai: </w:t>
      </w:r>
    </w:p>
    <w:p w14:paraId="66D89A76"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skausmas, </w:t>
      </w:r>
    </w:p>
    <w:p w14:paraId="1EAA9C47"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tinimas arba nemalonus jausmas, </w:t>
      </w:r>
    </w:p>
    <w:p w14:paraId="123A097E"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galvos skausmas, galvos svaigimas arba silpnumas, </w:t>
      </w:r>
    </w:p>
    <w:p w14:paraId="578AD501"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lastRenderedPageBreak/>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neįprastos mėlynės, kraujavimas iš nosies, kraujavimas iš dantenų, ilgai nepraeinantis kraujavimas įsipjovus, </w:t>
      </w:r>
    </w:p>
    <w:p w14:paraId="041A63FB"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gausesnis nei įprastai mėnesinių kraujavimas arba kraujavimas iš makšties, </w:t>
      </w:r>
    </w:p>
    <w:p w14:paraId="037A34C8"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kraujas šlapime, kuris gali būti rausvos arba rudos spalvos, raudonos arba juodos spalvos išmatos, </w:t>
      </w:r>
    </w:p>
    <w:p w14:paraId="024790A9" w14:textId="7777777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kraujo atkosėjimas arba vėmimas krauju ar į kavos tirščius panašiu skrandžio turiniu. </w:t>
      </w:r>
    </w:p>
    <w:p w14:paraId="0E85591F" w14:textId="77777777" w:rsidR="007E69FC" w:rsidRPr="00FC03F3" w:rsidRDefault="007E69FC" w:rsidP="007E69FC">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2CB8B6CF" w14:textId="2BE8A656" w:rsidR="007E69FC" w:rsidRPr="00FC03F3" w:rsidRDefault="007E69FC" w:rsidP="007E69FC">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Kaip vartoti </w:t>
      </w:r>
      <w:r w:rsidR="005A3031">
        <w:rPr>
          <w:rFonts w:ascii="Times New Roman" w:eastAsia="Times New Roman" w:hAnsi="Times New Roman" w:cs="Times New Roman"/>
          <w:b/>
          <w:color w:val="000000"/>
          <w:lang w:eastAsia="lt-LT"/>
        </w:rPr>
        <w:t>Xiltess</w:t>
      </w:r>
      <w:r w:rsidRPr="00FC03F3">
        <w:rPr>
          <w:rFonts w:ascii="Times New Roman" w:eastAsia="Times New Roman" w:hAnsi="Times New Roman" w:cs="Times New Roman"/>
          <w:b/>
          <w:color w:val="000000"/>
          <w:lang w:eastAsia="lt-LT"/>
        </w:rPr>
        <w:t xml:space="preserve">? </w:t>
      </w:r>
    </w:p>
    <w:p w14:paraId="4549E4B0" w14:textId="5BE98AB7" w:rsidR="007E69FC" w:rsidRPr="00FC03F3" w:rsidRDefault="007E69FC" w:rsidP="007E69FC">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Norint užtikrinti optimalią apsaugą, </w:t>
      </w:r>
      <w:r w:rsidR="005A3031">
        <w:rPr>
          <w:rFonts w:ascii="Times New Roman" w:eastAsia="Times New Roman" w:hAnsi="Times New Roman" w:cs="Times New Roman"/>
          <w:color w:val="000000"/>
          <w:lang w:eastAsia="lt-LT"/>
        </w:rPr>
        <w:t>Xiltess</w:t>
      </w:r>
      <w:r w:rsidRPr="00FC03F3">
        <w:rPr>
          <w:rFonts w:ascii="Times New Roman" w:eastAsia="Times New Roman" w:hAnsi="Times New Roman" w:cs="Times New Roman"/>
          <w:color w:val="000000"/>
          <w:lang w:eastAsia="lt-LT"/>
        </w:rPr>
        <w:t xml:space="preserve"> </w:t>
      </w:r>
    </w:p>
    <w:p w14:paraId="3ED70456" w14:textId="33D7C0A3" w:rsidR="007E69FC" w:rsidRPr="00FC03F3" w:rsidRDefault="007E69FC" w:rsidP="007E69FC">
      <w:pPr>
        <w:numPr>
          <w:ilvl w:val="0"/>
          <w:numId w:val="16"/>
        </w:numPr>
        <w:tabs>
          <w:tab w:val="left" w:pos="851"/>
        </w:tabs>
        <w:spacing w:after="0" w:line="240" w:lineRule="auto"/>
        <w:ind w:left="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2,5</w:t>
      </w:r>
      <w:r w:rsidR="00194291">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galima vartoti valgio metu arba nevalgius; </w:t>
      </w:r>
    </w:p>
    <w:p w14:paraId="59CE2D42" w14:textId="7705EF99" w:rsidR="007E69FC" w:rsidRDefault="007E69FC" w:rsidP="007E69FC">
      <w:pPr>
        <w:numPr>
          <w:ilvl w:val="0"/>
          <w:numId w:val="16"/>
        </w:numPr>
        <w:tabs>
          <w:tab w:val="left" w:pos="851"/>
        </w:tabs>
        <w:spacing w:after="0" w:line="240" w:lineRule="auto"/>
        <w:ind w:left="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10</w:t>
      </w:r>
      <w:r w:rsidR="00194291">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galima vartoti valgio metu arba nevalgius;</w:t>
      </w:r>
    </w:p>
    <w:p w14:paraId="55AB2AE5" w14:textId="39C5BE3D" w:rsidR="007E69FC" w:rsidRDefault="007E69FC" w:rsidP="007E69FC">
      <w:pPr>
        <w:numPr>
          <w:ilvl w:val="0"/>
          <w:numId w:val="16"/>
        </w:numPr>
        <w:tabs>
          <w:tab w:val="left" w:pos="851"/>
        </w:tabs>
        <w:spacing w:after="0" w:line="240" w:lineRule="auto"/>
        <w:ind w:left="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15</w:t>
      </w:r>
      <w:r w:rsidR="00194291">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reikia vartoti valgio metu;</w:t>
      </w:r>
    </w:p>
    <w:p w14:paraId="22997EF1" w14:textId="721FF529" w:rsidR="007E69FC" w:rsidRPr="00FC03F3" w:rsidRDefault="007E69FC" w:rsidP="007E69FC">
      <w:pPr>
        <w:numPr>
          <w:ilvl w:val="0"/>
          <w:numId w:val="16"/>
        </w:numPr>
        <w:tabs>
          <w:tab w:val="left" w:pos="851"/>
        </w:tabs>
        <w:spacing w:after="0" w:line="240" w:lineRule="auto"/>
        <w:ind w:left="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20</w:t>
      </w:r>
      <w:r w:rsidR="00194291">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reikia vartoti valgio metu. </w:t>
      </w:r>
    </w:p>
    <w:p w14:paraId="2658223B" w14:textId="27681A25" w:rsidR="007E69FC" w:rsidRDefault="007E69FC">
      <w:pPr>
        <w:rPr>
          <w:rFonts w:ascii="Times New Roman" w:hAnsi="Times New Roman" w:cs="Times New Roman"/>
        </w:rPr>
      </w:pPr>
      <w:r>
        <w:rPr>
          <w:rFonts w:ascii="Times New Roman" w:hAnsi="Times New Roman" w:cs="Times New Roman"/>
        </w:rPr>
        <w:br w:type="page"/>
      </w:r>
    </w:p>
    <w:p w14:paraId="53A912E7"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1847019C"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77158167"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0F12546B"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D3D340F"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002FD37"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DB8F1AF"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B1CA416"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24CFADD8"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E4D06BE"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7C08879A"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6E472451"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3A491D8E"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21FF9A3E"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65CD0534"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054D7D14"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08C40BEF"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640A94FB"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05025421"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45621B87"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5FC6E3F5"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6C2406A4"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3D1FBD36" w14:textId="77777777" w:rsidR="007E69FC" w:rsidRPr="007E69FC" w:rsidRDefault="007E69FC" w:rsidP="007E69FC">
      <w:pPr>
        <w:widowControl w:val="0"/>
        <w:autoSpaceDE w:val="0"/>
        <w:autoSpaceDN w:val="0"/>
        <w:adjustRightInd w:val="0"/>
        <w:spacing w:after="0" w:line="240" w:lineRule="auto"/>
        <w:outlineLvl w:val="0"/>
        <w:rPr>
          <w:rFonts w:ascii="Times New Roman" w:eastAsia="Times New Roman" w:hAnsi="Times New Roman" w:cs="Times New Roman"/>
          <w:lang w:eastAsia="pl-PL"/>
        </w:rPr>
      </w:pPr>
    </w:p>
    <w:p w14:paraId="7B4ADF50" w14:textId="77777777" w:rsidR="007E69FC" w:rsidRPr="007E69FC" w:rsidRDefault="007E69FC" w:rsidP="007E69FC">
      <w:pPr>
        <w:widowControl w:val="0"/>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B. PAKUOTĖS LAPELIS</w:t>
      </w:r>
    </w:p>
    <w:p w14:paraId="0265FBEC" w14:textId="77777777" w:rsidR="007E69FC" w:rsidRPr="007E69FC" w:rsidRDefault="007E69FC" w:rsidP="007E69FC">
      <w:pPr>
        <w:widowControl w:val="0"/>
        <w:autoSpaceDE w:val="0"/>
        <w:autoSpaceDN w:val="0"/>
        <w:adjustRightInd w:val="0"/>
        <w:spacing w:after="0" w:line="240" w:lineRule="auto"/>
        <w:jc w:val="center"/>
        <w:outlineLvl w:val="0"/>
        <w:rPr>
          <w:rFonts w:ascii="Times New Roman" w:eastAsia="Times New Roman" w:hAnsi="Times New Roman" w:cs="Times New Roman"/>
          <w:lang w:eastAsia="pl-PL"/>
        </w:rPr>
      </w:pPr>
      <w:r w:rsidRPr="007E69FC">
        <w:rPr>
          <w:rFonts w:ascii="Times New Roman" w:eastAsia="Times New Roman" w:hAnsi="Times New Roman" w:cs="Times New Roman"/>
          <w:lang w:eastAsia="pl-PL"/>
        </w:rPr>
        <w:br w:type="page"/>
      </w:r>
      <w:r w:rsidRPr="007E69FC">
        <w:rPr>
          <w:rFonts w:ascii="Times New Roman" w:eastAsia="Times New Roman" w:hAnsi="Times New Roman" w:cs="Times New Roman"/>
          <w:b/>
          <w:lang w:eastAsia="pl-PL"/>
        </w:rPr>
        <w:lastRenderedPageBreak/>
        <w:t>Pakuotės lapelis: informacija vartotojui</w:t>
      </w:r>
    </w:p>
    <w:p w14:paraId="1D7E49F4" w14:textId="77777777" w:rsidR="007E69FC" w:rsidRPr="007E69FC" w:rsidRDefault="007E69FC" w:rsidP="007E69FC">
      <w:pPr>
        <w:widowControl w:val="0"/>
        <w:shd w:val="clear" w:color="auto" w:fill="FFFFFF"/>
        <w:tabs>
          <w:tab w:val="center" w:pos="4536"/>
          <w:tab w:val="right" w:pos="8306"/>
        </w:tabs>
        <w:autoSpaceDE w:val="0"/>
        <w:autoSpaceDN w:val="0"/>
        <w:adjustRightInd w:val="0"/>
        <w:spacing w:after="0" w:line="100" w:lineRule="atLeast"/>
        <w:jc w:val="center"/>
        <w:rPr>
          <w:rFonts w:ascii="Times New Roman" w:eastAsia="Times New Roman" w:hAnsi="Times New Roman" w:cs="Times New Roman"/>
          <w:lang w:eastAsia="pl-PL"/>
        </w:rPr>
      </w:pPr>
    </w:p>
    <w:p w14:paraId="10E7D87B" w14:textId="01D61B81" w:rsidR="007E69FC" w:rsidRPr="007E69FC" w:rsidRDefault="005A3031" w:rsidP="007E69FC">
      <w:pPr>
        <w:widowControl w:val="0"/>
        <w:tabs>
          <w:tab w:val="left" w:pos="993"/>
          <w:tab w:val="center" w:pos="4536"/>
          <w:tab w:val="right" w:pos="8306"/>
        </w:tabs>
        <w:autoSpaceDE w:val="0"/>
        <w:autoSpaceDN w:val="0"/>
        <w:adjustRightInd w:val="0"/>
        <w:spacing w:after="0" w:line="100" w:lineRule="atLeast"/>
        <w:jc w:val="center"/>
        <w:rPr>
          <w:rFonts w:ascii="Times New Roman" w:eastAsia="Times New Roman" w:hAnsi="Times New Roman" w:cs="Times New Roman"/>
          <w:lang w:eastAsia="pl-PL"/>
        </w:rPr>
      </w:pPr>
      <w:r>
        <w:rPr>
          <w:rFonts w:ascii="Times New Roman" w:eastAsia="Times New Roman" w:hAnsi="Times New Roman" w:cs="Times New Roman"/>
          <w:b/>
          <w:lang w:eastAsia="pl-PL"/>
        </w:rPr>
        <w:t>Xiltess</w:t>
      </w:r>
      <w:r w:rsidR="007E69FC" w:rsidRPr="007E69FC">
        <w:rPr>
          <w:rFonts w:ascii="Times New Roman" w:eastAsia="Times New Roman" w:hAnsi="Times New Roman" w:cs="Times New Roman"/>
          <w:b/>
          <w:lang w:eastAsia="pl-PL"/>
        </w:rPr>
        <w:t xml:space="preserve"> 2,5 mg plėvele dengtos tabletės</w:t>
      </w:r>
    </w:p>
    <w:p w14:paraId="2968B210" w14:textId="77777777" w:rsidR="007E69FC" w:rsidRPr="007E69FC" w:rsidRDefault="007E69FC" w:rsidP="007E69FC">
      <w:pPr>
        <w:widowControl w:val="0"/>
        <w:tabs>
          <w:tab w:val="center" w:pos="4536"/>
          <w:tab w:val="right" w:pos="8306"/>
        </w:tabs>
        <w:autoSpaceDE w:val="0"/>
        <w:autoSpaceDN w:val="0"/>
        <w:adjustRightInd w:val="0"/>
        <w:spacing w:after="0" w:line="100" w:lineRule="atLeast"/>
        <w:jc w:val="center"/>
        <w:rPr>
          <w:rFonts w:ascii="Times New Roman" w:eastAsia="Times New Roman" w:hAnsi="Times New Roman" w:cs="Times New Roman"/>
          <w:b/>
          <w:lang w:eastAsia="pl-PL"/>
        </w:rPr>
      </w:pPr>
      <w:r w:rsidRPr="007E69FC">
        <w:rPr>
          <w:rFonts w:ascii="Times New Roman" w:eastAsia="Times New Roman" w:hAnsi="Times New Roman" w:cs="Times New Roman"/>
          <w:lang w:eastAsia="pl-PL"/>
        </w:rPr>
        <w:t>rivaroksabanas</w:t>
      </w:r>
    </w:p>
    <w:p w14:paraId="3083DF50" w14:textId="77777777" w:rsidR="007E69FC" w:rsidRPr="007E69FC" w:rsidRDefault="007E69FC" w:rsidP="007E69FC">
      <w:pPr>
        <w:widowControl w:val="0"/>
        <w:tabs>
          <w:tab w:val="center" w:pos="4536"/>
          <w:tab w:val="right" w:pos="8306"/>
        </w:tabs>
        <w:autoSpaceDE w:val="0"/>
        <w:autoSpaceDN w:val="0"/>
        <w:adjustRightInd w:val="0"/>
        <w:spacing w:after="0" w:line="100" w:lineRule="atLeast"/>
        <w:ind w:left="142" w:hanging="142"/>
        <w:rPr>
          <w:rFonts w:ascii="Times New Roman" w:eastAsia="Times New Roman" w:hAnsi="Times New Roman" w:cs="Times New Roman"/>
          <w:lang w:eastAsia="pl-PL"/>
        </w:rPr>
      </w:pPr>
    </w:p>
    <w:p w14:paraId="4E1ACF30" w14:textId="77777777" w:rsidR="007E69FC" w:rsidRPr="007E69FC" w:rsidRDefault="007E69FC" w:rsidP="007E69FC">
      <w:pPr>
        <w:widowControl w:val="0"/>
        <w:tabs>
          <w:tab w:val="center" w:pos="4536"/>
          <w:tab w:val="right" w:pos="8306"/>
        </w:tabs>
        <w:autoSpaceDE w:val="0"/>
        <w:autoSpaceDN w:val="0"/>
        <w:adjustRightInd w:val="0"/>
        <w:spacing w:after="0" w:line="100" w:lineRule="atLeast"/>
        <w:ind w:left="142" w:hanging="142"/>
        <w:rPr>
          <w:rFonts w:ascii="Times New Roman" w:eastAsia="Times New Roman" w:hAnsi="Times New Roman" w:cs="Times New Roman"/>
          <w:lang w:eastAsia="pl-PL"/>
        </w:rPr>
      </w:pPr>
    </w:p>
    <w:p w14:paraId="758B3715" w14:textId="77777777"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Atidžiai perskaitykite visą šį lapelį, prieš pradėdami vartoti vaistą, nes jame pateikiama Jums svarbi informacija.</w:t>
      </w:r>
    </w:p>
    <w:p w14:paraId="78CD07E1" w14:textId="77777777" w:rsidR="007E69FC" w:rsidRPr="007E69FC" w:rsidRDefault="007E69FC" w:rsidP="007E69FC">
      <w:pPr>
        <w:numPr>
          <w:ilvl w:val="0"/>
          <w:numId w:val="21"/>
        </w:numPr>
        <w:tabs>
          <w:tab w:val="left" w:pos="567"/>
          <w:tab w:val="center" w:pos="4536"/>
          <w:tab w:val="right" w:pos="8306"/>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Neišmeskite šio lapelio, nes vėl gali prireikti jį perskaityti. </w:t>
      </w:r>
    </w:p>
    <w:p w14:paraId="6CB42844" w14:textId="77777777" w:rsidR="007E69FC" w:rsidRPr="007E69FC" w:rsidRDefault="007E69FC" w:rsidP="007E69FC">
      <w:pPr>
        <w:numPr>
          <w:ilvl w:val="0"/>
          <w:numId w:val="21"/>
        </w:numPr>
        <w:tabs>
          <w:tab w:val="left" w:pos="567"/>
          <w:tab w:val="center" w:pos="4536"/>
          <w:tab w:val="right" w:pos="8306"/>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kiltų daugiau klausimų, kreipkitės į gydytoją arba vaistininką.</w:t>
      </w:r>
    </w:p>
    <w:p w14:paraId="56799756" w14:textId="77777777" w:rsidR="007E69FC" w:rsidRPr="007E69FC" w:rsidRDefault="007E69FC" w:rsidP="007E69FC">
      <w:pPr>
        <w:numPr>
          <w:ilvl w:val="0"/>
          <w:numId w:val="21"/>
        </w:numPr>
        <w:tabs>
          <w:tab w:val="left" w:pos="567"/>
        </w:tabs>
        <w:suppressAutoHyphens/>
        <w:spacing w:after="0" w:line="100" w:lineRule="atLeast"/>
        <w:ind w:left="567" w:right="-2"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Šis vaistas skirtas tik Jums, todėl kitiems žmonėms jo duoti negalima. Vaistas gali jiems pakenkti (net tiems, kurių ligos požymiai yra tokie patys kaip Jūsų).</w:t>
      </w:r>
      <w:r w:rsidRPr="007E69FC">
        <w:rPr>
          <w:rFonts w:ascii="Times New Roman" w:eastAsia="Times New Roman" w:hAnsi="Times New Roman" w:cs="Times New Roman"/>
          <w:color w:val="008000"/>
          <w:lang w:eastAsia="pl-PL"/>
        </w:rPr>
        <w:t xml:space="preserve"> </w:t>
      </w:r>
    </w:p>
    <w:p w14:paraId="11AFA7F8" w14:textId="77777777" w:rsidR="007E69FC" w:rsidRPr="007E69FC" w:rsidRDefault="007E69FC" w:rsidP="007E69FC">
      <w:pPr>
        <w:numPr>
          <w:ilvl w:val="0"/>
          <w:numId w:val="21"/>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pasireiškė šalutinis poveikis (net jeigu jis šiame lapelyje nenurodytas),</w:t>
      </w:r>
      <w:r w:rsidRPr="007E69FC">
        <w:rPr>
          <w:rFonts w:ascii="Times New Roman" w:eastAsia="Times New Roman" w:hAnsi="Times New Roman" w:cs="Times New Roman"/>
          <w:color w:val="FF0000"/>
          <w:lang w:eastAsia="pl-PL"/>
        </w:rPr>
        <w:t xml:space="preserve"> </w:t>
      </w:r>
      <w:r w:rsidRPr="007E69FC">
        <w:rPr>
          <w:rFonts w:ascii="Times New Roman" w:eastAsia="Times New Roman" w:hAnsi="Times New Roman" w:cs="Times New Roman"/>
          <w:lang w:eastAsia="pl-PL"/>
        </w:rPr>
        <w:t>kreipkitės į gydytoją arba vaistininką. Žr. 4 skyrių.</w:t>
      </w:r>
    </w:p>
    <w:p w14:paraId="1ACB93E3" w14:textId="77777777" w:rsidR="007E69FC" w:rsidRPr="007E69FC" w:rsidRDefault="007E69FC" w:rsidP="007E69FC">
      <w:pPr>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p>
    <w:p w14:paraId="0EF52730" w14:textId="77777777" w:rsidR="007E69FC" w:rsidRPr="007E69FC" w:rsidRDefault="007E69FC" w:rsidP="007E69FC">
      <w:pPr>
        <w:keepNext/>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Apie ką rašoma šiame lapelyje?</w:t>
      </w:r>
    </w:p>
    <w:p w14:paraId="6DED06FF" w14:textId="77777777" w:rsidR="007E69FC" w:rsidRPr="007E69FC" w:rsidRDefault="007E69FC" w:rsidP="007E69FC">
      <w:pPr>
        <w:widowControl w:val="0"/>
        <w:tabs>
          <w:tab w:val="center" w:pos="4536"/>
          <w:tab w:val="right" w:pos="8306"/>
        </w:tabs>
        <w:autoSpaceDE w:val="0"/>
        <w:autoSpaceDN w:val="0"/>
        <w:adjustRightInd w:val="0"/>
        <w:spacing w:after="0" w:line="100" w:lineRule="atLeast"/>
        <w:ind w:right="-2"/>
        <w:rPr>
          <w:rFonts w:ascii="Times New Roman" w:eastAsia="Times New Roman" w:hAnsi="Times New Roman" w:cs="Times New Roman"/>
          <w:lang w:eastAsia="pl-PL"/>
        </w:rPr>
      </w:pPr>
    </w:p>
    <w:p w14:paraId="39324512" w14:textId="5DC923DB"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1.</w:t>
      </w:r>
      <w:r w:rsidRPr="007E69FC">
        <w:rPr>
          <w:rFonts w:ascii="Times New Roman" w:eastAsia="Times New Roman" w:hAnsi="Times New Roman" w:cs="Times New Roman"/>
          <w:lang w:eastAsia="pl-PL"/>
        </w:rPr>
        <w:tab/>
        <w:t xml:space="preserve">Kas yra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ir kam jis vartojamas </w:t>
      </w:r>
    </w:p>
    <w:p w14:paraId="589094AF" w14:textId="05D4FB4F"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2.</w:t>
      </w:r>
      <w:r w:rsidRPr="007E69FC">
        <w:rPr>
          <w:rFonts w:ascii="Times New Roman" w:eastAsia="Times New Roman" w:hAnsi="Times New Roman" w:cs="Times New Roman"/>
          <w:lang w:eastAsia="pl-PL"/>
        </w:rPr>
        <w:tab/>
        <w:t xml:space="preserve">Kas žinotina prieš vartojant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14:paraId="3DA4F2EA" w14:textId="2FB0F19F"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3.</w:t>
      </w:r>
      <w:r w:rsidRPr="007E69FC">
        <w:rPr>
          <w:rFonts w:ascii="Times New Roman" w:eastAsia="Times New Roman" w:hAnsi="Times New Roman" w:cs="Times New Roman"/>
          <w:lang w:eastAsia="pl-PL"/>
        </w:rPr>
        <w:tab/>
        <w:t xml:space="preserve">Kaip vartoti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14:paraId="7C07BFB7" w14:textId="77777777"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4.</w:t>
      </w:r>
      <w:r w:rsidRPr="007E69FC">
        <w:rPr>
          <w:rFonts w:ascii="Times New Roman" w:eastAsia="Times New Roman" w:hAnsi="Times New Roman" w:cs="Times New Roman"/>
          <w:lang w:eastAsia="pl-PL"/>
        </w:rPr>
        <w:tab/>
        <w:t xml:space="preserve">Galimas šalutinis poveikis </w:t>
      </w:r>
    </w:p>
    <w:p w14:paraId="5052BEF9" w14:textId="4B46FFE5"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5.</w:t>
      </w:r>
      <w:r w:rsidRPr="007E69FC">
        <w:rPr>
          <w:rFonts w:ascii="Times New Roman" w:eastAsia="Times New Roman" w:hAnsi="Times New Roman" w:cs="Times New Roman"/>
          <w:lang w:eastAsia="pl-PL"/>
        </w:rPr>
        <w:tab/>
        <w:t xml:space="preserve">Kaip laikyti </w:t>
      </w:r>
      <w:r w:rsidR="005A3031">
        <w:rPr>
          <w:rFonts w:ascii="Times New Roman" w:eastAsia="Times New Roman" w:hAnsi="Times New Roman" w:cs="Times New Roman"/>
          <w:lang w:eastAsia="pl-PL"/>
        </w:rPr>
        <w:t>Xiltess</w:t>
      </w:r>
    </w:p>
    <w:p w14:paraId="11753B17" w14:textId="77777777" w:rsidR="007E69FC" w:rsidRPr="007E69FC" w:rsidRDefault="007E69FC" w:rsidP="007E69FC">
      <w:pPr>
        <w:widowControl w:val="0"/>
        <w:tabs>
          <w:tab w:val="left" w:pos="426"/>
          <w:tab w:val="center" w:pos="4536"/>
          <w:tab w:val="right" w:pos="8306"/>
        </w:tabs>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6.</w:t>
      </w:r>
      <w:r w:rsidRPr="007E69FC">
        <w:rPr>
          <w:rFonts w:ascii="Times New Roman" w:eastAsia="Times New Roman" w:hAnsi="Times New Roman" w:cs="Times New Roman"/>
          <w:lang w:eastAsia="pl-PL"/>
        </w:rPr>
        <w:tab/>
        <w:t>Pakuotės turinys ir kita informacija</w:t>
      </w:r>
    </w:p>
    <w:p w14:paraId="596892A8" w14:textId="77777777"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14:paraId="1BCF24CE" w14:textId="40CAA3A2"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1.</w:t>
      </w:r>
      <w:r w:rsidRPr="007E69FC">
        <w:rPr>
          <w:rFonts w:ascii="Times New Roman" w:eastAsia="Times New Roman" w:hAnsi="Times New Roman" w:cs="Times New Roman"/>
          <w:b/>
          <w:lang w:eastAsia="pl-PL"/>
        </w:rPr>
        <w:tab/>
        <w:t xml:space="preserve">Kas yra </w:t>
      </w:r>
      <w:r w:rsidR="005A3031">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ir kam jis vartojamas</w:t>
      </w:r>
    </w:p>
    <w:p w14:paraId="74C3AA48" w14:textId="77777777"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14:paraId="116875E2" w14:textId="0E009391"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yra paskirtos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2,5 mg plėvele dengtos tabletės, nes </w:t>
      </w:r>
    </w:p>
    <w:p w14:paraId="6F7F1DF7" w14:textId="77777777" w:rsidR="007E69FC" w:rsidRPr="007E69FC" w:rsidRDefault="007E69FC" w:rsidP="007E69FC">
      <w:pPr>
        <w:widowControl w:val="0"/>
        <w:numPr>
          <w:ilvl w:val="0"/>
          <w:numId w:val="26"/>
        </w:numPr>
        <w:tabs>
          <w:tab w:val="center" w:pos="4536"/>
          <w:tab w:val="right" w:pos="8306"/>
        </w:tabs>
        <w:autoSpaceDE w:val="0"/>
        <w:autoSpaceDN w:val="0"/>
        <w:adjustRightInd w:val="0"/>
        <w:spacing w:after="0" w:line="100" w:lineRule="atLeas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7AAD75C7" w14:textId="2B3946F6" w:rsidR="007E69FC" w:rsidRPr="007E69FC" w:rsidRDefault="007E69FC" w:rsidP="007E69FC">
      <w:pPr>
        <w:widowControl w:val="0"/>
        <w:tabs>
          <w:tab w:val="center" w:pos="4536"/>
          <w:tab w:val="right" w:pos="8306"/>
        </w:tabs>
        <w:autoSpaceDE w:val="0"/>
        <w:autoSpaceDN w:val="0"/>
        <w:adjustRightInd w:val="0"/>
        <w:spacing w:after="0" w:line="100" w:lineRule="atLeast"/>
        <w:ind w:left="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Suaugusiems pacientams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sumažina kito miokardo infarkto arba mirties nuo širdies ar kraujagyslių ligos riziką. </w:t>
      </w:r>
    </w:p>
    <w:p w14:paraId="6B8C469B" w14:textId="4E9B4372" w:rsidR="007E69FC" w:rsidRPr="007E69FC" w:rsidRDefault="007E69FC" w:rsidP="007E69FC">
      <w:pPr>
        <w:widowControl w:val="0"/>
        <w:tabs>
          <w:tab w:val="center" w:pos="4536"/>
          <w:tab w:val="right" w:pos="8306"/>
        </w:tabs>
        <w:autoSpaceDE w:val="0"/>
        <w:autoSpaceDN w:val="0"/>
        <w:adjustRightInd w:val="0"/>
        <w:spacing w:after="0" w:line="100" w:lineRule="atLeast"/>
        <w:ind w:left="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nebus skiriama vien tik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Jūsų gydytojas Jums taip pat paskirs: </w:t>
      </w:r>
    </w:p>
    <w:p w14:paraId="7F7D9720" w14:textId="77777777" w:rsidR="007E69FC" w:rsidRPr="007E69FC" w:rsidRDefault="007E69FC" w:rsidP="007E69FC">
      <w:pPr>
        <w:numPr>
          <w:ilvl w:val="0"/>
          <w:numId w:val="24"/>
        </w:numPr>
        <w:tabs>
          <w:tab w:val="center" w:pos="4536"/>
          <w:tab w:val="right" w:pos="8306"/>
        </w:tabs>
        <w:suppressAutoHyphens/>
        <w:spacing w:after="0" w:line="100" w:lineRule="atLeast"/>
        <w:ind w:left="851" w:hanging="284"/>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acetilsalicilo rūgšties (kuri dar žinoma kaip aspirinas) arba </w:t>
      </w:r>
    </w:p>
    <w:p w14:paraId="101B9958" w14:textId="77777777" w:rsidR="007E69FC" w:rsidRPr="007E69FC" w:rsidRDefault="007E69FC" w:rsidP="007E69FC">
      <w:pPr>
        <w:numPr>
          <w:ilvl w:val="0"/>
          <w:numId w:val="24"/>
        </w:numPr>
        <w:tabs>
          <w:tab w:val="center" w:pos="4536"/>
          <w:tab w:val="right" w:pos="8306"/>
        </w:tabs>
        <w:suppressAutoHyphens/>
        <w:spacing w:after="0" w:line="100" w:lineRule="atLeast"/>
        <w:ind w:left="851" w:hanging="284"/>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acetilsalicilo rūgšties kartu su </w:t>
      </w:r>
      <w:proofErr w:type="spellStart"/>
      <w:r w:rsidRPr="007E69FC">
        <w:rPr>
          <w:rFonts w:ascii="Times New Roman" w:eastAsia="Times New Roman" w:hAnsi="Times New Roman" w:cs="Times New Roman"/>
          <w:lang w:eastAsia="pl-PL"/>
        </w:rPr>
        <w:t>klopidogreliu</w:t>
      </w:r>
      <w:proofErr w:type="spellEnd"/>
      <w:r w:rsidRPr="007E69FC">
        <w:rPr>
          <w:rFonts w:ascii="Times New Roman" w:eastAsia="Times New Roman" w:hAnsi="Times New Roman" w:cs="Times New Roman"/>
          <w:lang w:eastAsia="pl-PL"/>
        </w:rPr>
        <w:t xml:space="preserve"> arba </w:t>
      </w:r>
      <w:proofErr w:type="spellStart"/>
      <w:r w:rsidRPr="007E69FC">
        <w:rPr>
          <w:rFonts w:ascii="Times New Roman" w:eastAsia="Times New Roman" w:hAnsi="Times New Roman" w:cs="Times New Roman"/>
          <w:lang w:eastAsia="pl-PL"/>
        </w:rPr>
        <w:t>tiklopidinu</w:t>
      </w:r>
      <w:proofErr w:type="spellEnd"/>
      <w:r w:rsidRPr="007E69FC">
        <w:rPr>
          <w:rFonts w:ascii="Times New Roman" w:eastAsia="Times New Roman" w:hAnsi="Times New Roman" w:cs="Times New Roman"/>
          <w:lang w:eastAsia="pl-PL"/>
        </w:rPr>
        <w:t xml:space="preserve">. </w:t>
      </w:r>
    </w:p>
    <w:p w14:paraId="0DD67C0B" w14:textId="77777777"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arba </w:t>
      </w:r>
    </w:p>
    <w:p w14:paraId="786178E0" w14:textId="77777777" w:rsidR="007E69FC" w:rsidRPr="007E69FC" w:rsidRDefault="007E69FC" w:rsidP="007E69FC">
      <w:pPr>
        <w:widowControl w:val="0"/>
        <w:tabs>
          <w:tab w:val="center" w:pos="4536"/>
          <w:tab w:val="right" w:pos="8306"/>
        </w:tabs>
        <w:autoSpaceDE w:val="0"/>
        <w:autoSpaceDN w:val="0"/>
        <w:adjustRightInd w:val="0"/>
        <w:spacing w:after="0" w:line="100" w:lineRule="atLeast"/>
        <w:rPr>
          <w:rFonts w:ascii="Times New Roman" w:eastAsia="Times New Roman" w:hAnsi="Times New Roman" w:cs="Times New Roman"/>
          <w:lang w:eastAsia="pl-PL"/>
        </w:rPr>
      </w:pPr>
    </w:p>
    <w:p w14:paraId="4E672322" w14:textId="77777777" w:rsidR="007E69FC" w:rsidRPr="007E69FC" w:rsidRDefault="007E69FC" w:rsidP="007E69FC">
      <w:pPr>
        <w:numPr>
          <w:ilvl w:val="0"/>
          <w:numId w:val="25"/>
        </w:numPr>
        <w:tabs>
          <w:tab w:val="left" w:pos="567"/>
          <w:tab w:val="center" w:pos="4536"/>
          <w:tab w:val="right" w:pos="8306"/>
        </w:tabs>
        <w:suppressAutoHyphens/>
        <w:spacing w:after="0" w:line="100" w:lineRule="atLeast"/>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t xml:space="preserve">Jums diagnozuota didelė kraujo krešulio susidarymo rizika dėl vainikinių arterijų ligos arba periferinių arterijų ligos, kuri sukelia simptomus. </w:t>
      </w:r>
    </w:p>
    <w:p w14:paraId="65BBAFA2" w14:textId="3B1CC54E" w:rsidR="007E69FC" w:rsidRPr="007E69FC" w:rsidRDefault="005A3031" w:rsidP="007E69FC">
      <w:pPr>
        <w:tabs>
          <w:tab w:val="left" w:pos="567"/>
          <w:tab w:val="center" w:pos="4536"/>
          <w:tab w:val="right" w:pos="8306"/>
        </w:tabs>
        <w:suppressAutoHyphens/>
        <w:spacing w:after="0" w:line="100" w:lineRule="atLeast"/>
        <w:ind w:left="567"/>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007E69FC" w:rsidRPr="007E69FC">
        <w:rPr>
          <w:rFonts w:ascii="Times New Roman" w:eastAsia="Times New Roman" w:hAnsi="Times New Roman" w:cs="Times New Roman"/>
          <w:lang w:eastAsia="pl-PL"/>
        </w:rPr>
        <w:t xml:space="preserve"> mažina kraujo krešulių susidarymo (</w:t>
      </w:r>
      <w:proofErr w:type="spellStart"/>
      <w:r w:rsidR="007E69FC" w:rsidRPr="007E69FC">
        <w:rPr>
          <w:rFonts w:ascii="Times New Roman" w:eastAsia="Times New Roman" w:hAnsi="Times New Roman" w:cs="Times New Roman"/>
          <w:lang w:eastAsia="pl-PL"/>
        </w:rPr>
        <w:t>aterotrombozinių</w:t>
      </w:r>
      <w:proofErr w:type="spellEnd"/>
      <w:r w:rsidR="007E69FC" w:rsidRPr="007E69FC">
        <w:rPr>
          <w:rFonts w:ascii="Times New Roman" w:eastAsia="Times New Roman" w:hAnsi="Times New Roman" w:cs="Times New Roman"/>
          <w:lang w:eastAsia="pl-PL"/>
        </w:rPr>
        <w:t xml:space="preserve"> reiškinių) riziką suaugusiesiems. </w:t>
      </w:r>
    </w:p>
    <w:p w14:paraId="6C4DC359" w14:textId="377BF64D" w:rsidR="007E69FC" w:rsidRPr="007E69FC" w:rsidRDefault="007E69FC" w:rsidP="007E69FC">
      <w:pPr>
        <w:tabs>
          <w:tab w:val="left" w:pos="567"/>
          <w:tab w:val="center" w:pos="4536"/>
          <w:tab w:val="right" w:pos="8306"/>
        </w:tabs>
        <w:suppressAutoHyphens/>
        <w:spacing w:after="0" w:line="100" w:lineRule="atLeast"/>
        <w:ind w:left="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Jums nebus skiriama vien tik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Jūsų gydytojas Jums nurodys vartoti ir acetilsalicilo rūgšties. </w:t>
      </w:r>
    </w:p>
    <w:p w14:paraId="7E4C23F1" w14:textId="2CC986FC" w:rsidR="007E69FC" w:rsidRPr="007E69FC" w:rsidRDefault="007E69FC" w:rsidP="007E69FC">
      <w:pPr>
        <w:widowControl w:val="0"/>
        <w:tabs>
          <w:tab w:val="left" w:pos="567"/>
        </w:tabs>
        <w:autoSpaceDE w:val="0"/>
        <w:autoSpaceDN w:val="0"/>
        <w:adjustRightInd w:val="0"/>
        <w:spacing w:after="0" w:line="100" w:lineRule="atLeast"/>
        <w:ind w:left="567"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kuriais atvejais, jeigu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Jums skiriamas po procedūros, kai reikia atverti susiaurėjusią arba užsikimšusią kojos arteriją kraujotakai atkurti, gydytojas gali Jums išrašyti ir klopidogrelį, kurį trumpai reikės vartoti kartu su acetilsalicilo rūgštimi.</w:t>
      </w:r>
    </w:p>
    <w:p w14:paraId="4A0BC312" w14:textId="77777777" w:rsidR="007E69FC" w:rsidRPr="007E69FC" w:rsidRDefault="007E69FC" w:rsidP="007E69FC">
      <w:pPr>
        <w:widowControl w:val="0"/>
        <w:tabs>
          <w:tab w:val="left" w:pos="567"/>
        </w:tabs>
        <w:autoSpaceDE w:val="0"/>
        <w:autoSpaceDN w:val="0"/>
        <w:adjustRightInd w:val="0"/>
        <w:spacing w:after="0" w:line="100" w:lineRule="atLeast"/>
        <w:ind w:right="-2"/>
        <w:rPr>
          <w:rFonts w:ascii="Times New Roman" w:eastAsia="Times New Roman" w:hAnsi="Times New Roman" w:cs="Times New Roman"/>
          <w:lang w:eastAsia="pl-PL"/>
        </w:rPr>
      </w:pPr>
    </w:p>
    <w:p w14:paraId="40476062" w14:textId="671B1E81" w:rsidR="007E69FC" w:rsidRPr="007E69FC" w:rsidRDefault="005A3031"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007E69FC" w:rsidRPr="007E69FC">
        <w:rPr>
          <w:rFonts w:ascii="Times New Roman" w:eastAsia="Times New Roman" w:hAnsi="Times New Roman" w:cs="Times New Roman"/>
          <w:lang w:eastAsia="pl-PL"/>
        </w:rPr>
        <w:t xml:space="preserve"> sudėtyje yra veikliosios medžiagos </w:t>
      </w:r>
      <w:proofErr w:type="spellStart"/>
      <w:r w:rsidR="007E69FC" w:rsidRPr="007E69FC">
        <w:rPr>
          <w:rFonts w:ascii="Times New Roman" w:eastAsia="Times New Roman" w:hAnsi="Times New Roman" w:cs="Times New Roman"/>
          <w:lang w:eastAsia="pl-PL"/>
        </w:rPr>
        <w:t>rivaroksabano</w:t>
      </w:r>
      <w:proofErr w:type="spellEnd"/>
      <w:r w:rsidR="007E69FC" w:rsidRPr="007E69FC">
        <w:rPr>
          <w:rFonts w:ascii="Times New Roman" w:eastAsia="Times New Roman" w:hAnsi="Times New Roman" w:cs="Times New Roman"/>
          <w:lang w:eastAsia="pl-PL"/>
        </w:rPr>
        <w:t xml:space="preserve">, kuris priklauso </w:t>
      </w:r>
      <w:proofErr w:type="spellStart"/>
      <w:r w:rsidR="007E69FC" w:rsidRPr="007E69FC">
        <w:rPr>
          <w:rFonts w:ascii="Times New Roman" w:eastAsia="Times New Roman" w:hAnsi="Times New Roman" w:cs="Times New Roman"/>
          <w:lang w:eastAsia="pl-PL"/>
        </w:rPr>
        <w:t>antitrombozinių</w:t>
      </w:r>
      <w:proofErr w:type="spellEnd"/>
      <w:r w:rsidR="007E69FC" w:rsidRPr="007E69FC">
        <w:rPr>
          <w:rFonts w:ascii="Times New Roman" w:eastAsia="Times New Roman" w:hAnsi="Times New Roman" w:cs="Times New Roman"/>
          <w:lang w:eastAsia="pl-PL"/>
        </w:rPr>
        <w:t xml:space="preserve"> vaistų grupei. Jis veikia blokuodamas kraujo krešėjimo faktorių (</w:t>
      </w:r>
      <w:proofErr w:type="spellStart"/>
      <w:r w:rsidR="007E69FC" w:rsidRPr="007E69FC">
        <w:rPr>
          <w:rFonts w:ascii="Times New Roman" w:eastAsia="Times New Roman" w:hAnsi="Times New Roman" w:cs="Times New Roman"/>
          <w:lang w:eastAsia="pl-PL"/>
        </w:rPr>
        <w:t>Xa</w:t>
      </w:r>
      <w:proofErr w:type="spellEnd"/>
      <w:r w:rsidR="007E69FC" w:rsidRPr="007E69FC">
        <w:rPr>
          <w:rFonts w:ascii="Times New Roman" w:eastAsia="Times New Roman" w:hAnsi="Times New Roman" w:cs="Times New Roman"/>
          <w:lang w:eastAsia="pl-PL"/>
        </w:rPr>
        <w:t xml:space="preserve"> faktorių) ir taip sumažindamas polinkį formuotis kraujo krešuliams.</w:t>
      </w:r>
    </w:p>
    <w:p w14:paraId="0D495716"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519EA568"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4E3C6C62" w14:textId="1A61B4F1"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i/>
          <w:lang w:eastAsia="pl-PL"/>
        </w:rPr>
      </w:pPr>
      <w:r w:rsidRPr="007E69FC">
        <w:rPr>
          <w:rFonts w:ascii="Times New Roman" w:eastAsia="Times New Roman" w:hAnsi="Times New Roman" w:cs="Times New Roman"/>
          <w:b/>
          <w:lang w:eastAsia="pl-PL"/>
        </w:rPr>
        <w:t>2.</w:t>
      </w:r>
      <w:r w:rsidRPr="007E69FC">
        <w:rPr>
          <w:rFonts w:ascii="Times New Roman" w:eastAsia="Times New Roman" w:hAnsi="Times New Roman" w:cs="Times New Roman"/>
          <w:b/>
          <w:lang w:eastAsia="pl-PL"/>
        </w:rPr>
        <w:tab/>
        <w:t xml:space="preserve">Kas žinotina prieš vartojant </w:t>
      </w:r>
      <w:r w:rsidR="005A3031">
        <w:rPr>
          <w:rFonts w:ascii="Times New Roman" w:eastAsia="Times New Roman" w:hAnsi="Times New Roman" w:cs="Times New Roman"/>
          <w:b/>
          <w:lang w:eastAsia="pl-PL"/>
        </w:rPr>
        <w:t>Xiltess</w:t>
      </w:r>
    </w:p>
    <w:p w14:paraId="7F16D120"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i/>
          <w:lang w:eastAsia="pl-PL"/>
        </w:rPr>
      </w:pPr>
    </w:p>
    <w:p w14:paraId="2961BD8D" w14:textId="61138C13" w:rsidR="007E69FC" w:rsidRPr="007E69FC" w:rsidRDefault="005A3031" w:rsidP="007E69FC">
      <w:pPr>
        <w:widowControl w:val="0"/>
        <w:autoSpaceDE w:val="0"/>
        <w:autoSpaceDN w:val="0"/>
        <w:adjustRightInd w:val="0"/>
        <w:spacing w:after="0" w:line="100" w:lineRule="atLeast"/>
        <w:rPr>
          <w:rFonts w:ascii="Times New Roman" w:eastAsia="Times New Roman" w:hAnsi="Times New Roman" w:cs="Times New Roman"/>
          <w:lang w:eastAsia="pl-PL"/>
        </w:rPr>
      </w:pPr>
      <w:r>
        <w:rPr>
          <w:rFonts w:ascii="Times New Roman" w:eastAsia="Times New Roman" w:hAnsi="Times New Roman" w:cs="Times New Roman"/>
          <w:b/>
          <w:lang w:eastAsia="pl-PL"/>
        </w:rPr>
        <w:t>Xiltess</w:t>
      </w:r>
      <w:r w:rsidR="007E69FC" w:rsidRPr="007E69FC">
        <w:rPr>
          <w:rFonts w:ascii="Times New Roman" w:eastAsia="Times New Roman" w:hAnsi="Times New Roman" w:cs="Times New Roman"/>
          <w:b/>
          <w:lang w:eastAsia="pl-PL"/>
        </w:rPr>
        <w:t xml:space="preserve"> vartoti draudžiama:</w:t>
      </w:r>
    </w:p>
    <w:p w14:paraId="25B186B1" w14:textId="77777777" w:rsidR="007E69FC" w:rsidRPr="007E69FC" w:rsidRDefault="007E69FC" w:rsidP="007E69FC">
      <w:pPr>
        <w:widowControl w:val="0"/>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yra </w:t>
      </w:r>
      <w:r w:rsidRPr="007E69FC">
        <w:rPr>
          <w:rFonts w:ascii="Times New Roman" w:eastAsia="Times New Roman" w:hAnsi="Times New Roman" w:cs="Times New Roman"/>
          <w:bCs/>
          <w:lang w:eastAsia="pl-PL"/>
        </w:rPr>
        <w:t>alergija</w:t>
      </w:r>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rivaroksabanui</w:t>
      </w:r>
      <w:proofErr w:type="spellEnd"/>
      <w:r w:rsidRPr="007E69FC">
        <w:rPr>
          <w:rFonts w:ascii="Times New Roman" w:eastAsia="Times New Roman" w:hAnsi="Times New Roman" w:cs="Times New Roman"/>
          <w:lang w:eastAsia="pl-PL"/>
        </w:rPr>
        <w:t xml:space="preserve"> arba bet kuriai pagalbinei šio vaisto medžiagai (jos išvardytos 6 skyriuje); </w:t>
      </w:r>
    </w:p>
    <w:p w14:paraId="2688FE2F" w14:textId="77777777"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708C084B" w14:textId="77777777" w:rsidR="007E69FC" w:rsidRPr="007E69FC" w:rsidRDefault="007E69FC" w:rsidP="007E69FC">
      <w:pPr>
        <w:numPr>
          <w:ilvl w:val="0"/>
          <w:numId w:val="34"/>
        </w:numPr>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lastRenderedPageBreak/>
        <w:t>jeigu stipriai kraujuojate;</w:t>
      </w:r>
    </w:p>
    <w:p w14:paraId="4727206E" w14:textId="77777777" w:rsidR="007E69FC" w:rsidRPr="007E69FC" w:rsidRDefault="007E69FC" w:rsidP="007E69FC">
      <w:pPr>
        <w:widowControl w:val="0"/>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Jums yra liga arba būklė, dėl kurios padidėja stipraus kraujavimo rizika (pvz., skrandžio opa, galvos smegenų pažeidimas arba kraujavimas į smegenis, neseniai atlikta chirurginė smegenų arba akių operacija);</w:t>
      </w:r>
    </w:p>
    <w:p w14:paraId="4313E71D" w14:textId="77777777" w:rsidR="007E69FC" w:rsidRPr="007E69FC" w:rsidRDefault="007E69FC" w:rsidP="007E69FC">
      <w:pPr>
        <w:widowControl w:val="0"/>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vartojate vaistų, apsaugančių nuo kraujo krešulių susidarymo (pvz., </w:t>
      </w:r>
      <w:proofErr w:type="spellStart"/>
      <w:r w:rsidRPr="007E69FC">
        <w:rPr>
          <w:rFonts w:ascii="Times New Roman" w:eastAsia="Times New Roman" w:hAnsi="Times New Roman" w:cs="Times New Roman"/>
          <w:lang w:eastAsia="pl-PL"/>
        </w:rPr>
        <w:t>varfarino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dabigatrano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apiksabano</w:t>
      </w:r>
      <w:proofErr w:type="spellEnd"/>
      <w:r w:rsidRPr="007E69FC">
        <w:rPr>
          <w:rFonts w:ascii="Times New Roman" w:eastAsia="Times New Roman" w:hAnsi="Times New Roman" w:cs="Times New Roman"/>
          <w:lang w:eastAsia="pl-PL"/>
        </w:rPr>
        <w:t xml:space="preserve"> arba heparino), išskyrus atvejus, kai keičiamas nuo kraujo krešulių apsaugantis gydymas arba kai per venos ar arterijos kateterį Jums leidžiama heparino, kad šis kateteris išliktų pralaidus;</w:t>
      </w:r>
    </w:p>
    <w:p w14:paraId="6D96247D" w14:textId="77777777" w:rsidR="007E69FC" w:rsidRPr="007E69FC" w:rsidRDefault="007E69FC" w:rsidP="007E69FC">
      <w:pPr>
        <w:numPr>
          <w:ilvl w:val="0"/>
          <w:numId w:val="3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7E69FC">
        <w:rPr>
          <w:rFonts w:ascii="Times New Roman" w:eastAsia="Calibri" w:hAnsi="Times New Roman" w:cs="Times New Roman"/>
          <w:color w:val="000000"/>
        </w:rPr>
        <w:t>jeigu Jums nustatytas ūminis koronarinis sindromas ir anksčiau Jums buvo kraujavimas į smegenis arba kraujo krešulys smegenyse (insultas);</w:t>
      </w:r>
    </w:p>
    <w:p w14:paraId="3402D143" w14:textId="77777777" w:rsidR="007E69FC" w:rsidRPr="007E69FC" w:rsidRDefault="007E69FC" w:rsidP="007E69FC">
      <w:pPr>
        <w:numPr>
          <w:ilvl w:val="0"/>
          <w:numId w:val="34"/>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pl-PL"/>
        </w:rPr>
      </w:pPr>
      <w:r w:rsidRPr="007E69FC">
        <w:rPr>
          <w:rFonts w:ascii="Times New Roman" w:eastAsia="Calibri" w:hAnsi="Times New Roman" w:cs="Times New Roman"/>
          <w:color w:val="000000"/>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7E69FC">
        <w:rPr>
          <w:rFonts w:ascii="Times New Roman" w:eastAsia="Calibri" w:hAnsi="Times New Roman" w:cs="Times New Roman"/>
          <w:color w:val="000000"/>
        </w:rPr>
        <w:t>lakūninis</w:t>
      </w:r>
      <w:proofErr w:type="spellEnd"/>
      <w:r w:rsidRPr="007E69FC">
        <w:rPr>
          <w:rFonts w:ascii="Times New Roman" w:eastAsia="Calibri" w:hAnsi="Times New Roman" w:cs="Times New Roman"/>
          <w:color w:val="000000"/>
        </w:rPr>
        <w:t xml:space="preserve"> insultas), arba galvos smegenyse buvo krešulys (išeminis, </w:t>
      </w:r>
      <w:proofErr w:type="spellStart"/>
      <w:r w:rsidRPr="007E69FC">
        <w:rPr>
          <w:rFonts w:ascii="Times New Roman" w:eastAsia="Calibri" w:hAnsi="Times New Roman" w:cs="Times New Roman"/>
          <w:color w:val="000000"/>
        </w:rPr>
        <w:t>nelakūninis</w:t>
      </w:r>
      <w:proofErr w:type="spellEnd"/>
      <w:r w:rsidRPr="007E69FC">
        <w:rPr>
          <w:rFonts w:ascii="Times New Roman" w:eastAsia="Calibri" w:hAnsi="Times New Roman" w:cs="Times New Roman"/>
          <w:color w:val="000000"/>
        </w:rPr>
        <w:t xml:space="preserve"> insultas);</w:t>
      </w:r>
    </w:p>
    <w:p w14:paraId="6B22C8EF" w14:textId="77777777" w:rsidR="007E69FC" w:rsidRPr="007E69FC" w:rsidRDefault="007E69FC" w:rsidP="007E69FC">
      <w:pPr>
        <w:widowControl w:val="0"/>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sergate kepenų liga ir todėl gali būti padidėjusi kraujavimo rizika;</w:t>
      </w:r>
    </w:p>
    <w:p w14:paraId="3083719C" w14:textId="77777777" w:rsidR="007E69FC" w:rsidRPr="007E69FC" w:rsidRDefault="007E69FC" w:rsidP="007E69FC">
      <w:pPr>
        <w:widowControl w:val="0"/>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esate nėščia ar žindote kūdikį.</w:t>
      </w:r>
    </w:p>
    <w:p w14:paraId="3DAA4005" w14:textId="77777777" w:rsidR="007E69FC" w:rsidRPr="007E69FC" w:rsidRDefault="007E69FC" w:rsidP="007E69FC">
      <w:pPr>
        <w:widowControl w:val="0"/>
        <w:autoSpaceDE w:val="0"/>
        <w:autoSpaceDN w:val="0"/>
        <w:adjustRightInd w:val="0"/>
        <w:spacing w:after="0" w:line="100" w:lineRule="atLeast"/>
        <w:ind w:left="567" w:hanging="567"/>
        <w:rPr>
          <w:rFonts w:ascii="Times New Roman" w:eastAsia="Times New Roman" w:hAnsi="Times New Roman" w:cs="Times New Roman"/>
          <w:lang w:eastAsia="pl-PL"/>
        </w:rPr>
      </w:pPr>
    </w:p>
    <w:p w14:paraId="4766CB32" w14:textId="5F821ABF" w:rsidR="007E69FC" w:rsidRPr="007E69FC" w:rsidRDefault="007E69FC" w:rsidP="007E69FC">
      <w:pPr>
        <w:widowControl w:val="0"/>
        <w:autoSpaceDE w:val="0"/>
        <w:autoSpaceDN w:val="0"/>
        <w:adjustRightInd w:val="0"/>
        <w:spacing w:after="0" w:line="100" w:lineRule="atLeast"/>
        <w:ind w:left="567" w:hanging="567"/>
        <w:rPr>
          <w:rFonts w:ascii="Times New Roman" w:eastAsia="Times New Roman" w:hAnsi="Times New Roman" w:cs="Times New Roman"/>
          <w:shd w:val="clear" w:color="auto" w:fill="FFFF00"/>
          <w:lang w:eastAsia="pl-PL"/>
        </w:rPr>
      </w:pPr>
      <w:r w:rsidRPr="007E69FC">
        <w:rPr>
          <w:rFonts w:ascii="Times New Roman" w:eastAsia="Times New Roman" w:hAnsi="Times New Roman" w:cs="Times New Roman"/>
          <w:lang w:eastAsia="pl-PL"/>
        </w:rPr>
        <w:t xml:space="preserve">Jeigu Jums tinka bet kuris iš minėtų atvejų, </w:t>
      </w:r>
      <w:r w:rsidRPr="007E69FC">
        <w:rPr>
          <w:rFonts w:ascii="Times New Roman" w:eastAsia="Times New Roman" w:hAnsi="Times New Roman" w:cs="Times New Roman"/>
          <w:b/>
          <w:lang w:eastAsia="pl-PL"/>
        </w:rPr>
        <w:t xml:space="preserve">nevartokite </w:t>
      </w:r>
      <w:r w:rsidR="005A3031">
        <w:rPr>
          <w:rFonts w:ascii="Times New Roman" w:eastAsia="Times New Roman" w:hAnsi="Times New Roman" w:cs="Times New Roman"/>
          <w:b/>
          <w:lang w:eastAsia="pl-PL"/>
        </w:rPr>
        <w:t>Xiltess</w:t>
      </w:r>
      <w:r w:rsidRPr="007E69FC">
        <w:rPr>
          <w:rFonts w:ascii="Times New Roman" w:eastAsia="Times New Roman" w:hAnsi="Times New Roman" w:cs="Times New Roman"/>
          <w:b/>
          <w:lang w:eastAsia="pl-PL"/>
        </w:rPr>
        <w:t xml:space="preserve"> ir pasakykite savo gydytojui.</w:t>
      </w:r>
      <w:r w:rsidRPr="007E69FC">
        <w:rPr>
          <w:rFonts w:ascii="Times New Roman" w:eastAsia="Times New Roman" w:hAnsi="Times New Roman" w:cs="Times New Roman"/>
          <w:lang w:eastAsia="pl-PL"/>
        </w:rPr>
        <w:t xml:space="preserve"> </w:t>
      </w:r>
    </w:p>
    <w:p w14:paraId="4D8E0CAA"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shd w:val="clear" w:color="auto" w:fill="FFFF00"/>
          <w:lang w:eastAsia="pl-PL"/>
        </w:rPr>
      </w:pPr>
    </w:p>
    <w:p w14:paraId="5D88A4E1"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 xml:space="preserve">Įspėjimai ir atsargumo priemonės </w:t>
      </w:r>
    </w:p>
    <w:p w14:paraId="5E2A44BF" w14:textId="11B9DEA4"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Pasitarkite su gydytoju arba vaistininku, prieš pradėdami vartoti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14:paraId="169C3AA4" w14:textId="4854A899" w:rsidR="007E69FC" w:rsidRPr="007E69FC" w:rsidRDefault="005A3031"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Xiltess</w:t>
      </w:r>
      <w:r w:rsidR="007E69FC" w:rsidRPr="007E69FC">
        <w:rPr>
          <w:rFonts w:ascii="Times New Roman" w:eastAsia="Times New Roman" w:hAnsi="Times New Roman" w:cs="Times New Roman"/>
          <w:lang w:eastAsia="pl-PL"/>
        </w:rPr>
        <w:t xml:space="preserve"> negalima vartoti kartu su kitais kraujo krešėjimą mažinančiais vaistais, tokiais kaip </w:t>
      </w:r>
      <w:proofErr w:type="spellStart"/>
      <w:r w:rsidR="007E69FC" w:rsidRPr="007E69FC">
        <w:rPr>
          <w:rFonts w:ascii="Times New Roman" w:eastAsia="Times New Roman" w:hAnsi="Times New Roman" w:cs="Times New Roman"/>
          <w:lang w:eastAsia="pl-PL"/>
        </w:rPr>
        <w:t>prazugrelis</w:t>
      </w:r>
      <w:proofErr w:type="spellEnd"/>
      <w:r w:rsidR="007E69FC" w:rsidRPr="007E69FC">
        <w:rPr>
          <w:rFonts w:ascii="Times New Roman" w:eastAsia="Times New Roman" w:hAnsi="Times New Roman" w:cs="Times New Roman"/>
          <w:lang w:eastAsia="pl-PL"/>
        </w:rPr>
        <w:t xml:space="preserve"> arba </w:t>
      </w:r>
      <w:proofErr w:type="spellStart"/>
      <w:r w:rsidR="007E69FC" w:rsidRPr="007E69FC">
        <w:rPr>
          <w:rFonts w:ascii="Times New Roman" w:eastAsia="Times New Roman" w:hAnsi="Times New Roman" w:cs="Times New Roman"/>
          <w:lang w:eastAsia="pl-PL"/>
        </w:rPr>
        <w:t>tikagreloras</w:t>
      </w:r>
      <w:proofErr w:type="spellEnd"/>
      <w:r w:rsidR="007E69FC" w:rsidRPr="007E69FC">
        <w:rPr>
          <w:rFonts w:ascii="Times New Roman" w:eastAsia="Times New Roman" w:hAnsi="Times New Roman" w:cs="Times New Roman"/>
          <w:lang w:eastAsia="pl-PL"/>
        </w:rPr>
        <w:t xml:space="preserve"> (šiems vaistams nepriskiriami </w:t>
      </w:r>
      <w:proofErr w:type="spellStart"/>
      <w:r w:rsidR="007E69FC" w:rsidRPr="007E69FC">
        <w:rPr>
          <w:rFonts w:ascii="Times New Roman" w:eastAsia="Times New Roman" w:hAnsi="Times New Roman" w:cs="Times New Roman"/>
          <w:lang w:eastAsia="pl-PL"/>
        </w:rPr>
        <w:t>acetilsalicilo</w:t>
      </w:r>
      <w:proofErr w:type="spellEnd"/>
      <w:r w:rsidR="007E69FC" w:rsidRPr="007E69FC">
        <w:rPr>
          <w:rFonts w:ascii="Times New Roman" w:eastAsia="Times New Roman" w:hAnsi="Times New Roman" w:cs="Times New Roman"/>
          <w:lang w:eastAsia="pl-PL"/>
        </w:rPr>
        <w:t xml:space="preserve"> rūgštis ir </w:t>
      </w:r>
      <w:proofErr w:type="spellStart"/>
      <w:r w:rsidR="007E69FC" w:rsidRPr="007E69FC">
        <w:rPr>
          <w:rFonts w:ascii="Times New Roman" w:eastAsia="Times New Roman" w:hAnsi="Times New Roman" w:cs="Times New Roman"/>
          <w:lang w:eastAsia="pl-PL"/>
        </w:rPr>
        <w:t>klopidogrelis</w:t>
      </w:r>
      <w:proofErr w:type="spellEnd"/>
      <w:r w:rsidR="007E69FC" w:rsidRPr="007E69FC">
        <w:rPr>
          <w:rFonts w:ascii="Times New Roman" w:eastAsia="Times New Roman" w:hAnsi="Times New Roman" w:cs="Times New Roman"/>
          <w:lang w:eastAsia="pl-PL"/>
        </w:rPr>
        <w:t xml:space="preserve"> ar </w:t>
      </w:r>
      <w:proofErr w:type="spellStart"/>
      <w:r w:rsidR="007E69FC" w:rsidRPr="007E69FC">
        <w:rPr>
          <w:rFonts w:ascii="Times New Roman" w:eastAsia="Times New Roman" w:hAnsi="Times New Roman" w:cs="Times New Roman"/>
          <w:lang w:eastAsia="pl-PL"/>
        </w:rPr>
        <w:t>tiklopidinas</w:t>
      </w:r>
      <w:proofErr w:type="spellEnd"/>
      <w:r w:rsidR="007E69FC" w:rsidRPr="007E69FC">
        <w:rPr>
          <w:rFonts w:ascii="Times New Roman" w:eastAsia="Times New Roman" w:hAnsi="Times New Roman" w:cs="Times New Roman"/>
          <w:lang w:eastAsia="pl-PL"/>
        </w:rPr>
        <w:t>).</w:t>
      </w:r>
    </w:p>
    <w:p w14:paraId="02826499"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5F59EBD7"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Specialių atsargumo priemonių reikia: </w:t>
      </w:r>
    </w:p>
    <w:p w14:paraId="17B98209" w14:textId="77777777" w:rsidR="007E69FC" w:rsidRPr="007E69FC" w:rsidRDefault="007E69FC" w:rsidP="007E69FC">
      <w:pPr>
        <w:numPr>
          <w:ilvl w:val="0"/>
          <w:numId w:val="17"/>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Jums yra padidėjusi kraujavimo rizika, kuri galima šiais atvejais: </w:t>
      </w:r>
    </w:p>
    <w:p w14:paraId="42BE3F1A" w14:textId="4F0D1F4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sunki inkstų liga, nes inkstų funkcija gali turėti įtakos Jūsų organizmą veikiančio vaisto kiekiui; </w:t>
      </w:r>
    </w:p>
    <w:p w14:paraId="1787AC41" w14:textId="6B9E9774"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vartojate kitų vaistų, apsaugančių nuo kraujo krešulių susidarymo (pvz., </w:t>
      </w:r>
      <w:proofErr w:type="spellStart"/>
      <w:r w:rsidRPr="007E69FC">
        <w:rPr>
          <w:rFonts w:ascii="Times New Roman" w:eastAsia="Times New Roman" w:hAnsi="Times New Roman" w:cs="Times New Roman"/>
          <w:lang w:eastAsia="pl-PL"/>
        </w:rPr>
        <w:t>varfarino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dabigatrano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apiksabano</w:t>
      </w:r>
      <w:proofErr w:type="spellEnd"/>
      <w:r w:rsidRPr="007E69FC">
        <w:rPr>
          <w:rFonts w:ascii="Times New Roman" w:eastAsia="Times New Roman" w:hAnsi="Times New Roman" w:cs="Times New Roman"/>
          <w:lang w:eastAsia="pl-PL"/>
        </w:rPr>
        <w:t xml:space="preserve"> arba heparino), kai keičiamas nuo kraujo krešulių apsaugantis gydymas arba kai per venos ar arterijos kateterį Jums leidžiama heparino, kad šis kateteris išliktų pralaidus (žr. poskyrį „Kiti vaistai ir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p>
    <w:p w14:paraId="4AE7EAFE" w14:textId="7777777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kraujavimo sutrikimai;</w:t>
      </w:r>
    </w:p>
    <w:p w14:paraId="3E2EE0A6" w14:textId="4575CA86" w:rsidR="007E69FC" w:rsidRPr="007E69FC" w:rsidRDefault="007E69FC" w:rsidP="007E69FC">
      <w:pPr>
        <w:numPr>
          <w:ilvl w:val="0"/>
          <w:numId w:val="18"/>
        </w:numPr>
        <w:tabs>
          <w:tab w:val="left" w:pos="567"/>
        </w:tabs>
        <w:suppressAutoHyphens/>
        <w:spacing w:after="0" w:line="260" w:lineRule="exac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aukštas kraujospūdis, </w:t>
      </w:r>
      <w:r w:rsidR="007A73E4">
        <w:rPr>
          <w:rFonts w:ascii="Times New Roman" w:eastAsia="Times New Roman" w:hAnsi="Times New Roman" w:cs="Times New Roman"/>
          <w:lang w:eastAsia="pl-PL"/>
        </w:rPr>
        <w:t>nesureguliuotas</w:t>
      </w:r>
      <w:r w:rsidR="007A73E4"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lang w:eastAsia="pl-PL"/>
        </w:rPr>
        <w:t xml:space="preserve">gydymu; </w:t>
      </w:r>
    </w:p>
    <w:p w14:paraId="276D19FF" w14:textId="7777777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skrandžio arba žarnyno ligos, galinčios sukelti kraujavimą, pvz., žarnyno arba skrandžio uždegimas, arba stemplės uždegimas, pvz., dėl </w:t>
      </w:r>
      <w:proofErr w:type="spellStart"/>
      <w:r w:rsidRPr="007E69FC">
        <w:rPr>
          <w:rFonts w:ascii="Times New Roman" w:eastAsia="Times New Roman" w:hAnsi="Times New Roman" w:cs="Times New Roman"/>
          <w:lang w:eastAsia="pl-PL"/>
        </w:rPr>
        <w:t>gastroezofaginio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refliukso</w:t>
      </w:r>
      <w:proofErr w:type="spellEnd"/>
      <w:r w:rsidRPr="007E69FC">
        <w:rPr>
          <w:rFonts w:ascii="Times New Roman" w:eastAsia="Times New Roman" w:hAnsi="Times New Roman" w:cs="Times New Roman"/>
          <w:lang w:eastAsia="pl-PL"/>
        </w:rPr>
        <w:t xml:space="preserve"> ligos (ligos, kai skrandžio rūgštis atpilama į stemplę) arba navikai, esantys skrandyje, žarnyne, lytiniuose takuose ar šlapimo takuose; </w:t>
      </w:r>
    </w:p>
    <w:p w14:paraId="1F8B0F60" w14:textId="77777777" w:rsidR="007E69FC" w:rsidRPr="007E69FC" w:rsidRDefault="007E69FC" w:rsidP="007E69FC">
      <w:pPr>
        <w:numPr>
          <w:ilvl w:val="0"/>
          <w:numId w:val="18"/>
        </w:numPr>
        <w:tabs>
          <w:tab w:val="num" w:pos="0"/>
          <w:tab w:val="left" w:pos="567"/>
        </w:tabs>
        <w:suppressAutoHyphens/>
        <w:spacing w:after="0" w:line="260" w:lineRule="exact"/>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akių dugno kraujagyslių sutrikimai arba pažeidimai (</w:t>
      </w:r>
      <w:proofErr w:type="spellStart"/>
      <w:r w:rsidRPr="007E69FC">
        <w:rPr>
          <w:rFonts w:ascii="Times New Roman" w:eastAsia="Times New Roman" w:hAnsi="Times New Roman" w:cs="Times New Roman"/>
          <w:lang w:eastAsia="pl-PL"/>
        </w:rPr>
        <w:t>retinopatija</w:t>
      </w:r>
      <w:proofErr w:type="spellEnd"/>
      <w:r w:rsidRPr="007E69FC">
        <w:rPr>
          <w:rFonts w:ascii="Times New Roman" w:eastAsia="Times New Roman" w:hAnsi="Times New Roman" w:cs="Times New Roman"/>
          <w:lang w:eastAsia="pl-PL"/>
        </w:rPr>
        <w:t xml:space="preserve">); </w:t>
      </w:r>
    </w:p>
    <w:p w14:paraId="34D99125" w14:textId="7777777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plaučių liga, kuria sergant bronchai yra išsiplėtę ir prisipildę pūlių (</w:t>
      </w:r>
      <w:proofErr w:type="spellStart"/>
      <w:r w:rsidRPr="007E69FC">
        <w:rPr>
          <w:rFonts w:ascii="Times New Roman" w:eastAsia="Times New Roman" w:hAnsi="Times New Roman" w:cs="Times New Roman"/>
          <w:lang w:eastAsia="pl-PL"/>
        </w:rPr>
        <w:t>bronchektazės</w:t>
      </w:r>
      <w:proofErr w:type="spellEnd"/>
      <w:r w:rsidRPr="007E69FC">
        <w:rPr>
          <w:rFonts w:ascii="Times New Roman" w:eastAsia="Times New Roman" w:hAnsi="Times New Roman" w:cs="Times New Roman"/>
          <w:lang w:eastAsia="pl-PL"/>
        </w:rPr>
        <w:t xml:space="preserve">), arba anksčiau buvęs kraujavimas iš plaučių; </w:t>
      </w:r>
    </w:p>
    <w:p w14:paraId="19A205EC" w14:textId="7777777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esate vyresnis nei 75 metų amžiaus;</w:t>
      </w:r>
    </w:p>
    <w:p w14:paraId="77C9DB2A" w14:textId="77777777"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sveriate mažiau kaip 60 kg;</w:t>
      </w:r>
    </w:p>
    <w:p w14:paraId="15E9CF73" w14:textId="52E74774" w:rsidR="007E69FC" w:rsidRPr="007E69FC" w:rsidRDefault="007E69FC" w:rsidP="007E69FC">
      <w:pPr>
        <w:numPr>
          <w:ilvl w:val="0"/>
          <w:numId w:val="18"/>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sergate vainikinių arterijų liga su sunkiu simptominiu širdies nepakankamumu</w:t>
      </w:r>
      <w:r w:rsidR="007A73E4">
        <w:rPr>
          <w:rFonts w:ascii="Times New Roman" w:eastAsia="Times New Roman" w:hAnsi="Times New Roman" w:cs="Times New Roman"/>
          <w:lang w:eastAsia="pl-PL"/>
        </w:rPr>
        <w:t>;</w:t>
      </w:r>
    </w:p>
    <w:p w14:paraId="45C8258D" w14:textId="77777777" w:rsidR="007E69FC" w:rsidRPr="007E69FC" w:rsidRDefault="007E69FC" w:rsidP="007E69FC">
      <w:pPr>
        <w:numPr>
          <w:ilvl w:val="0"/>
          <w:numId w:val="17"/>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Jums protezuoti širdies vožtuvai; </w:t>
      </w:r>
    </w:p>
    <w:p w14:paraId="2A556399" w14:textId="77777777" w:rsidR="007E69FC" w:rsidRPr="007E69FC" w:rsidRDefault="007E69FC" w:rsidP="007E69FC">
      <w:pPr>
        <w:numPr>
          <w:ilvl w:val="0"/>
          <w:numId w:val="17"/>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žinote, kad sergate liga, vadinama </w:t>
      </w:r>
      <w:proofErr w:type="spellStart"/>
      <w:r w:rsidRPr="007E69FC">
        <w:rPr>
          <w:rFonts w:ascii="Times New Roman" w:eastAsia="Times New Roman" w:hAnsi="Times New Roman" w:cs="Times New Roman"/>
          <w:lang w:eastAsia="pl-PL"/>
        </w:rPr>
        <w:t>antifosfolipidiniu</w:t>
      </w:r>
      <w:proofErr w:type="spellEnd"/>
      <w:r w:rsidRPr="007E69FC">
        <w:rPr>
          <w:rFonts w:ascii="Times New Roman" w:eastAsia="Times New Roman" w:hAnsi="Times New Roman" w:cs="Times New Roman"/>
          <w:lang w:eastAsia="pl-PL"/>
        </w:rPr>
        <w:t xml:space="preserve"> sindromu (imuninės sistemos sutrikimas, dėl kurio padidėja kraujo krešulių susidarymo rizika), pasakykite apie tai savo gydytojui, kuris nuspręs, ar reikės keisti jums taikomą gydymą. </w:t>
      </w:r>
    </w:p>
    <w:p w14:paraId="28DAA21A"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668977CA" w14:textId="32005523"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lang w:eastAsia="pl-PL"/>
        </w:rPr>
        <w:t xml:space="preserve">prieš pradedant vartoti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b/>
          <w:bCs/>
          <w:lang w:eastAsia="pl-PL"/>
        </w:rPr>
        <w:t>pasakykite savo gydytojui</w:t>
      </w:r>
      <w:r w:rsidRPr="007E69FC">
        <w:rPr>
          <w:rFonts w:ascii="Times New Roman" w:eastAsia="Times New Roman" w:hAnsi="Times New Roman" w:cs="Times New Roman"/>
          <w:lang w:eastAsia="pl-PL"/>
        </w:rPr>
        <w:t xml:space="preserve">. Jūsų gydytojas nuspręs, ar skirti Jums šio vaisto ir ar atidžiau Jus stebėti. </w:t>
      </w:r>
    </w:p>
    <w:p w14:paraId="42C57100"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B8CE711" w14:textId="08DBD5B5" w:rsidR="007E69FC" w:rsidRPr="007E69FC" w:rsidRDefault="007E69FC" w:rsidP="007E69FC">
      <w:pPr>
        <w:numPr>
          <w:ilvl w:val="0"/>
          <w:numId w:val="17"/>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svarbu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prieš ir po operacijos, tiksliai tuo laiku, kaip pasakė Jūsų gydytojas;</w:t>
      </w:r>
    </w:p>
    <w:p w14:paraId="57893763" w14:textId="77777777" w:rsidR="007E69FC" w:rsidRPr="007E69FC" w:rsidRDefault="007E69FC" w:rsidP="007E69FC">
      <w:pPr>
        <w:numPr>
          <w:ilvl w:val="0"/>
          <w:numId w:val="17"/>
        </w:numPr>
        <w:tabs>
          <w:tab w:val="left" w:pos="567"/>
        </w:tabs>
        <w:suppressAutoHyphens/>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Jūsų operacijos metu bus įterpiamas kateteris arba leidžiami vaistai į stuburo kanalą (pvz., </w:t>
      </w:r>
      <w:proofErr w:type="spellStart"/>
      <w:r w:rsidRPr="007E69FC">
        <w:rPr>
          <w:rFonts w:ascii="Times New Roman" w:eastAsia="Times New Roman" w:hAnsi="Times New Roman" w:cs="Times New Roman"/>
          <w:lang w:eastAsia="pl-PL"/>
        </w:rPr>
        <w:t>epidurinė</w:t>
      </w:r>
      <w:proofErr w:type="spellEnd"/>
      <w:r w:rsidRPr="007E69FC">
        <w:rPr>
          <w:rFonts w:ascii="Times New Roman" w:eastAsia="Times New Roman" w:hAnsi="Times New Roman" w:cs="Times New Roman"/>
          <w:lang w:eastAsia="pl-PL"/>
        </w:rPr>
        <w:t xml:space="preserve"> ar </w:t>
      </w:r>
      <w:proofErr w:type="spellStart"/>
      <w:r w:rsidRPr="007E69FC">
        <w:rPr>
          <w:rFonts w:ascii="Times New Roman" w:eastAsia="Times New Roman" w:hAnsi="Times New Roman" w:cs="Times New Roman"/>
          <w:lang w:eastAsia="pl-PL"/>
        </w:rPr>
        <w:t>spinalinė</w:t>
      </w:r>
      <w:proofErr w:type="spellEnd"/>
      <w:r w:rsidRPr="007E69FC">
        <w:rPr>
          <w:rFonts w:ascii="Times New Roman" w:eastAsia="Times New Roman" w:hAnsi="Times New Roman" w:cs="Times New Roman"/>
          <w:lang w:eastAsia="pl-PL"/>
        </w:rPr>
        <w:t xml:space="preserve"> anestezija arba skausmo slopinimas): </w:t>
      </w:r>
    </w:p>
    <w:p w14:paraId="461EC45B" w14:textId="0C4D7D89"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labai svarbu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prieš nurodytas procedūras ar kateterio išėmimą ir po jų tiksliai tuo laiku, kaip pasakė gydytojas; </w:t>
      </w:r>
    </w:p>
    <w:p w14:paraId="255FA669"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lastRenderedPageBreak/>
        <w:t xml:space="preserve">nedelsdami pasakykite savo gydytojui, jei po anestezijos pajusite kojų tirpimą ar silpnumą, arba žarnyno ar šlapimo pūslės veiklos sutrikimą, nes gali prireikti skubios pagalbos. </w:t>
      </w:r>
    </w:p>
    <w:p w14:paraId="617FCB55" w14:textId="77777777" w:rsidR="007E69FC" w:rsidRPr="007E69FC" w:rsidRDefault="007E69FC" w:rsidP="007E69FC">
      <w:pPr>
        <w:widowControl w:val="0"/>
        <w:autoSpaceDE w:val="0"/>
        <w:autoSpaceDN w:val="0"/>
        <w:adjustRightInd w:val="0"/>
        <w:spacing w:after="0" w:line="100" w:lineRule="atLeast"/>
        <w:ind w:left="360"/>
        <w:rPr>
          <w:rFonts w:ascii="Times New Roman" w:eastAsia="Times New Roman" w:hAnsi="Times New Roman" w:cs="Times New Roman"/>
          <w:b/>
          <w:lang w:eastAsia="pl-PL"/>
        </w:rPr>
      </w:pPr>
    </w:p>
    <w:p w14:paraId="7EA856C3"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Vaikams ir paaugliams</w:t>
      </w:r>
    </w:p>
    <w:p w14:paraId="1B1583B5" w14:textId="03EE6EE0" w:rsidR="007E69FC" w:rsidRPr="007E69FC" w:rsidRDefault="005A3031"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Xiltess</w:t>
      </w:r>
      <w:r w:rsidR="007E69FC" w:rsidRPr="007E69FC">
        <w:rPr>
          <w:rFonts w:ascii="Times New Roman" w:eastAsia="Times New Roman" w:hAnsi="Times New Roman" w:cs="Times New Roman"/>
          <w:lang w:eastAsia="pl-PL"/>
        </w:rPr>
        <w:t xml:space="preserve"> 2,5 mg plėvele dengtų tablečių </w:t>
      </w:r>
      <w:r w:rsidR="007E69FC" w:rsidRPr="007E69FC">
        <w:rPr>
          <w:rFonts w:ascii="Times New Roman" w:eastAsia="Times New Roman" w:hAnsi="Times New Roman" w:cs="Times New Roman"/>
          <w:b/>
          <w:bCs/>
          <w:lang w:eastAsia="pl-PL"/>
        </w:rPr>
        <w:t>nerekomenduojama vartoti jaunesniems kaip 18 metų amžiaus asmenims</w:t>
      </w:r>
      <w:r w:rsidR="007E69FC" w:rsidRPr="007E69FC">
        <w:rPr>
          <w:rFonts w:ascii="Times New Roman" w:eastAsia="Times New Roman" w:hAnsi="Times New Roman" w:cs="Times New Roman"/>
          <w:lang w:eastAsia="pl-PL"/>
        </w:rPr>
        <w:t xml:space="preserve">. Nėra pakankamai informacijos apie jų vartojimą vaikams ir paaugliams. </w:t>
      </w:r>
    </w:p>
    <w:p w14:paraId="236A7CD0"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47430B08" w14:textId="098CC2B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Kiti vaistai ir </w:t>
      </w:r>
      <w:r w:rsidR="005A3031">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14:paraId="720B1914"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Jeigu vartojate ar neseniai vartojote kitų vaistų, įskaitant įsigytus be recepto, arba dėl to nesate tikri, apie tai pasakykite gydytojui arba vaistininkui. </w:t>
      </w:r>
    </w:p>
    <w:p w14:paraId="2ECE190A"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3A36961" w14:textId="77777777" w:rsidR="007E69FC" w:rsidRPr="007E69FC" w:rsidRDefault="007E69FC" w:rsidP="007E69FC">
      <w:pPr>
        <w:widowControl w:val="0"/>
        <w:numPr>
          <w:ilvl w:val="0"/>
          <w:numId w:val="22"/>
        </w:numPr>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Jeigu vartojate: </w:t>
      </w:r>
    </w:p>
    <w:p w14:paraId="1F0E726D"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kitų vaistų nuo grybelinės infekcijos (pvz., </w:t>
      </w:r>
      <w:proofErr w:type="spellStart"/>
      <w:r w:rsidRPr="007E69FC">
        <w:rPr>
          <w:rFonts w:ascii="Times New Roman" w:eastAsia="Times New Roman" w:hAnsi="Times New Roman" w:cs="Times New Roman"/>
          <w:lang w:eastAsia="pl-PL"/>
        </w:rPr>
        <w:t>ketokonazolo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itrakonazolo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vorikonazolo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pozakonazolo</w:t>
      </w:r>
      <w:proofErr w:type="spellEnd"/>
      <w:r w:rsidRPr="007E69FC">
        <w:rPr>
          <w:rFonts w:ascii="Times New Roman" w:eastAsia="Times New Roman" w:hAnsi="Times New Roman" w:cs="Times New Roman"/>
          <w:lang w:eastAsia="pl-PL"/>
        </w:rPr>
        <w:t>), nebent jie būtų vartojami tik ant odos;</w:t>
      </w:r>
    </w:p>
    <w:p w14:paraId="08487E51"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proofErr w:type="spellStart"/>
      <w:r w:rsidRPr="007E69FC">
        <w:rPr>
          <w:rFonts w:ascii="Times New Roman" w:eastAsia="Times New Roman" w:hAnsi="Times New Roman" w:cs="Times New Roman"/>
          <w:lang w:eastAsia="pl-PL"/>
        </w:rPr>
        <w:t>ketokonazolo</w:t>
      </w:r>
      <w:proofErr w:type="spellEnd"/>
      <w:r w:rsidRPr="007E69FC">
        <w:rPr>
          <w:rFonts w:ascii="Times New Roman" w:eastAsia="Times New Roman" w:hAnsi="Times New Roman" w:cs="Times New Roman"/>
          <w:lang w:eastAsia="pl-PL"/>
        </w:rPr>
        <w:t xml:space="preserve"> tablečių (vartojamų gydyti </w:t>
      </w:r>
      <w:proofErr w:type="spellStart"/>
      <w:r w:rsidRPr="007E69FC">
        <w:rPr>
          <w:rFonts w:ascii="Times New Roman" w:eastAsia="Times New Roman" w:hAnsi="Times New Roman" w:cs="Times New Roman"/>
          <w:lang w:eastAsia="pl-PL"/>
        </w:rPr>
        <w:t>Kušingo</w:t>
      </w:r>
      <w:proofErr w:type="spellEnd"/>
      <w:r w:rsidRPr="007E69FC">
        <w:rPr>
          <w:rFonts w:ascii="Times New Roman" w:eastAsia="Times New Roman" w:hAnsi="Times New Roman" w:cs="Times New Roman"/>
          <w:lang w:eastAsia="pl-PL"/>
        </w:rPr>
        <w:t xml:space="preserve"> sindromą – kai organizmas gamina per daug kortizolio);</w:t>
      </w:r>
    </w:p>
    <w:p w14:paraId="60229E2C"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vaistų nuo bakterinių infekcijų (pvz., </w:t>
      </w:r>
      <w:proofErr w:type="spellStart"/>
      <w:r w:rsidRPr="007E69FC">
        <w:rPr>
          <w:rFonts w:ascii="Times New Roman" w:eastAsia="Times New Roman" w:hAnsi="Times New Roman" w:cs="Times New Roman"/>
          <w:lang w:eastAsia="pl-PL"/>
        </w:rPr>
        <w:t>klaritromicino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eritromicino</w:t>
      </w:r>
      <w:proofErr w:type="spellEnd"/>
      <w:r w:rsidRPr="007E69FC">
        <w:rPr>
          <w:rFonts w:ascii="Times New Roman" w:eastAsia="Times New Roman" w:hAnsi="Times New Roman" w:cs="Times New Roman"/>
          <w:lang w:eastAsia="pl-PL"/>
        </w:rPr>
        <w:t xml:space="preserve">); </w:t>
      </w:r>
    </w:p>
    <w:p w14:paraId="2B1AF965"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w:t>
      </w:r>
      <w:proofErr w:type="spellStart"/>
      <w:r w:rsidRPr="007E69FC">
        <w:rPr>
          <w:rFonts w:ascii="Times New Roman" w:eastAsia="Times New Roman" w:hAnsi="Times New Roman" w:cs="Times New Roman"/>
          <w:lang w:eastAsia="pl-PL"/>
        </w:rPr>
        <w:t>priešvirusinių</w:t>
      </w:r>
      <w:proofErr w:type="spellEnd"/>
      <w:r w:rsidRPr="007E69FC">
        <w:rPr>
          <w:rFonts w:ascii="Times New Roman" w:eastAsia="Times New Roman" w:hAnsi="Times New Roman" w:cs="Times New Roman"/>
          <w:lang w:eastAsia="pl-PL"/>
        </w:rPr>
        <w:t xml:space="preserve"> vaistų nuo ŽIV / AIDS (pvz., </w:t>
      </w:r>
      <w:proofErr w:type="spellStart"/>
      <w:r w:rsidRPr="007E69FC">
        <w:rPr>
          <w:rFonts w:ascii="Times New Roman" w:eastAsia="Times New Roman" w:hAnsi="Times New Roman" w:cs="Times New Roman"/>
          <w:lang w:eastAsia="pl-PL"/>
        </w:rPr>
        <w:t>ritonaviro</w:t>
      </w:r>
      <w:proofErr w:type="spellEnd"/>
      <w:r w:rsidRPr="007E69FC">
        <w:rPr>
          <w:rFonts w:ascii="Times New Roman" w:eastAsia="Times New Roman" w:hAnsi="Times New Roman" w:cs="Times New Roman"/>
          <w:lang w:eastAsia="pl-PL"/>
        </w:rPr>
        <w:t xml:space="preserve">); </w:t>
      </w:r>
    </w:p>
    <w:p w14:paraId="44DE5163"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kitų vaistų, skirtų krešėjimui mažinti (pvz., </w:t>
      </w:r>
      <w:proofErr w:type="spellStart"/>
      <w:r w:rsidRPr="007E69FC">
        <w:rPr>
          <w:rFonts w:ascii="Times New Roman" w:eastAsia="Times New Roman" w:hAnsi="Times New Roman" w:cs="Times New Roman"/>
          <w:lang w:eastAsia="pl-PL"/>
        </w:rPr>
        <w:t>enoksaparino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klopidogrelio</w:t>
      </w:r>
      <w:proofErr w:type="spellEnd"/>
      <w:r w:rsidRPr="007E69FC">
        <w:rPr>
          <w:rFonts w:ascii="Times New Roman" w:eastAsia="Times New Roman" w:hAnsi="Times New Roman" w:cs="Times New Roman"/>
          <w:lang w:eastAsia="pl-PL"/>
        </w:rPr>
        <w:t xml:space="preserve"> ar vitamino K antagonistų, tokių kaip </w:t>
      </w:r>
      <w:proofErr w:type="spellStart"/>
      <w:r w:rsidRPr="007E69FC">
        <w:rPr>
          <w:rFonts w:ascii="Times New Roman" w:eastAsia="Times New Roman" w:hAnsi="Times New Roman" w:cs="Times New Roman"/>
          <w:lang w:eastAsia="pl-PL"/>
        </w:rPr>
        <w:t>varfarinas</w:t>
      </w:r>
      <w:proofErr w:type="spellEnd"/>
      <w:r w:rsidRPr="007E69FC">
        <w:rPr>
          <w:rFonts w:ascii="Times New Roman" w:eastAsia="Times New Roman" w:hAnsi="Times New Roman" w:cs="Times New Roman"/>
          <w:lang w:eastAsia="pl-PL"/>
        </w:rPr>
        <w:t xml:space="preserve"> ir </w:t>
      </w:r>
      <w:proofErr w:type="spellStart"/>
      <w:r w:rsidRPr="007E69FC">
        <w:rPr>
          <w:rFonts w:ascii="Times New Roman" w:eastAsia="Times New Roman" w:hAnsi="Times New Roman" w:cs="Times New Roman"/>
          <w:lang w:eastAsia="pl-PL"/>
        </w:rPr>
        <w:t>acenokumarolis</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prazugrelis</w:t>
      </w:r>
      <w:proofErr w:type="spellEnd"/>
      <w:r w:rsidRPr="007E69FC">
        <w:rPr>
          <w:rFonts w:ascii="Times New Roman" w:eastAsia="Times New Roman" w:hAnsi="Times New Roman" w:cs="Times New Roman"/>
          <w:lang w:eastAsia="pl-PL"/>
        </w:rPr>
        <w:t xml:space="preserve"> ir tikagreloras (žr. skyrių „Įspėjimai ir atsargumo priemonės“); </w:t>
      </w:r>
    </w:p>
    <w:p w14:paraId="1FE51790"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vaistų nuo uždegimo ir skausmą malšinančių vaistų (pvz., naprokseno arba acetilsalicilo rūgšties); </w:t>
      </w:r>
    </w:p>
    <w:p w14:paraId="32C5A590"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proofErr w:type="spellStart"/>
      <w:r w:rsidRPr="007E69FC">
        <w:rPr>
          <w:rFonts w:ascii="Times New Roman" w:eastAsia="Times New Roman" w:hAnsi="Times New Roman" w:cs="Times New Roman"/>
          <w:lang w:eastAsia="pl-PL"/>
        </w:rPr>
        <w:t>dronedarono</w:t>
      </w:r>
      <w:proofErr w:type="spellEnd"/>
      <w:r w:rsidRPr="007E69FC">
        <w:rPr>
          <w:rFonts w:ascii="Times New Roman" w:eastAsia="Times New Roman" w:hAnsi="Times New Roman" w:cs="Times New Roman"/>
          <w:lang w:eastAsia="pl-PL"/>
        </w:rPr>
        <w:t>, vaisto nuo nenormalaus širdies plakimo;</w:t>
      </w:r>
    </w:p>
    <w:p w14:paraId="636D4C45" w14:textId="77777777" w:rsidR="007E69FC" w:rsidRPr="007E69FC" w:rsidRDefault="007E69FC" w:rsidP="007E69FC">
      <w:pPr>
        <w:numPr>
          <w:ilvl w:val="0"/>
          <w:numId w:val="18"/>
        </w:numPr>
        <w:tabs>
          <w:tab w:val="num" w:pos="0"/>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kai kurių vaistų nuo depresijos (selektyvių </w:t>
      </w:r>
      <w:proofErr w:type="spellStart"/>
      <w:r w:rsidRPr="007E69FC">
        <w:rPr>
          <w:rFonts w:ascii="Times New Roman" w:eastAsia="Times New Roman" w:hAnsi="Times New Roman" w:cs="Times New Roman"/>
          <w:lang w:eastAsia="pl-PL"/>
        </w:rPr>
        <w:t>serotonino</w:t>
      </w:r>
      <w:proofErr w:type="spellEnd"/>
      <w:r w:rsidRPr="007E69FC">
        <w:rPr>
          <w:rFonts w:ascii="Times New Roman" w:eastAsia="Times New Roman" w:hAnsi="Times New Roman" w:cs="Times New Roman"/>
          <w:lang w:eastAsia="pl-PL"/>
        </w:rPr>
        <w:t xml:space="preserve"> reabsorbcijos inhibitorių [SSRI] arba </w:t>
      </w:r>
      <w:proofErr w:type="spellStart"/>
      <w:r w:rsidRPr="007E69FC">
        <w:rPr>
          <w:rFonts w:ascii="Times New Roman" w:eastAsia="Times New Roman" w:hAnsi="Times New Roman" w:cs="Times New Roman"/>
          <w:lang w:eastAsia="pl-PL"/>
        </w:rPr>
        <w:t>serotonino-norepinefrino</w:t>
      </w:r>
      <w:proofErr w:type="spellEnd"/>
      <w:r w:rsidRPr="007E69FC">
        <w:rPr>
          <w:rFonts w:ascii="Times New Roman" w:eastAsia="Times New Roman" w:hAnsi="Times New Roman" w:cs="Times New Roman"/>
          <w:lang w:eastAsia="pl-PL"/>
        </w:rPr>
        <w:t xml:space="preserve"> reabsorbcijos inhibitorių [SNRI]). </w:t>
      </w:r>
    </w:p>
    <w:p w14:paraId="7313CD6D"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59BCD10C" w14:textId="2D18668B"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lang w:eastAsia="pl-PL"/>
        </w:rPr>
        <w:t xml:space="preserve">prieš pradedant vartoti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b/>
          <w:bCs/>
          <w:lang w:eastAsia="pl-PL"/>
        </w:rPr>
        <w:t>pasakykite Jūsų gydytojui</w:t>
      </w:r>
      <w:r w:rsidRPr="007E69FC">
        <w:rPr>
          <w:rFonts w:ascii="Times New Roman" w:eastAsia="Times New Roman" w:hAnsi="Times New Roman" w:cs="Times New Roman"/>
          <w:lang w:eastAsia="pl-PL"/>
        </w:rPr>
        <w:t xml:space="preserve">, nes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veiksmingumas gali padidėti. Gydytojas nuspręs, ar skirti Jums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ir ar Jus atidžiau stebėti. </w:t>
      </w:r>
    </w:p>
    <w:p w14:paraId="3BAC9C57"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bCs/>
          <w:lang w:eastAsia="pl-PL"/>
        </w:rPr>
      </w:pPr>
      <w:r w:rsidRPr="007E69FC">
        <w:rPr>
          <w:rFonts w:ascii="Times New Roman" w:eastAsia="Times New Roman" w:hAnsi="Times New Roman" w:cs="Times New Roman"/>
          <w:lang w:eastAsia="pl-PL"/>
        </w:rPr>
        <w:t>Jeigu gydytojas mano, kad Jums yra padidėjusi skrandžio ar žarnyno opų rizika, jis taip pat gali skirti profilaktinį gydymą nuo opų.</w:t>
      </w:r>
    </w:p>
    <w:p w14:paraId="67F68D6B"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bCs/>
          <w:lang w:eastAsia="pl-PL"/>
        </w:rPr>
      </w:pPr>
    </w:p>
    <w:p w14:paraId="789C3D93" w14:textId="77777777" w:rsidR="007E69FC" w:rsidRPr="007E69FC" w:rsidRDefault="007E69FC" w:rsidP="007E69FC">
      <w:pPr>
        <w:widowControl w:val="0"/>
        <w:numPr>
          <w:ilvl w:val="0"/>
          <w:numId w:val="22"/>
        </w:numPr>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Jeigu vartojate: </w:t>
      </w:r>
    </w:p>
    <w:p w14:paraId="1CF32C56" w14:textId="77777777" w:rsidR="007E69FC" w:rsidRPr="007E69FC" w:rsidRDefault="007E69FC" w:rsidP="007E69FC">
      <w:pPr>
        <w:numPr>
          <w:ilvl w:val="0"/>
          <w:numId w:val="19"/>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kai kurių vaistų nuo epilepsijos (</w:t>
      </w:r>
      <w:proofErr w:type="spellStart"/>
      <w:r w:rsidRPr="007E69FC">
        <w:rPr>
          <w:rFonts w:ascii="Times New Roman" w:eastAsia="Times New Roman" w:hAnsi="Times New Roman" w:cs="Times New Roman"/>
          <w:lang w:eastAsia="pl-PL"/>
        </w:rPr>
        <w:t>fenitoino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karbamazepino</w:t>
      </w:r>
      <w:proofErr w:type="spellEnd"/>
      <w:r w:rsidRPr="007E69FC">
        <w:rPr>
          <w:rFonts w:ascii="Times New Roman" w:eastAsia="Times New Roman" w:hAnsi="Times New Roman" w:cs="Times New Roman"/>
          <w:lang w:eastAsia="pl-PL"/>
        </w:rPr>
        <w:t xml:space="preserve">, </w:t>
      </w:r>
      <w:proofErr w:type="spellStart"/>
      <w:r w:rsidRPr="007E69FC">
        <w:rPr>
          <w:rFonts w:ascii="Times New Roman" w:eastAsia="Times New Roman" w:hAnsi="Times New Roman" w:cs="Times New Roman"/>
          <w:lang w:eastAsia="pl-PL"/>
        </w:rPr>
        <w:t>fenobarbitalio</w:t>
      </w:r>
      <w:proofErr w:type="spellEnd"/>
      <w:r w:rsidRPr="007E69FC">
        <w:rPr>
          <w:rFonts w:ascii="Times New Roman" w:eastAsia="Times New Roman" w:hAnsi="Times New Roman" w:cs="Times New Roman"/>
          <w:lang w:eastAsia="pl-PL"/>
        </w:rPr>
        <w:t xml:space="preserve">); </w:t>
      </w:r>
    </w:p>
    <w:p w14:paraId="37F8A381" w14:textId="77777777" w:rsidR="007E69FC" w:rsidRPr="007E69FC" w:rsidRDefault="007E69FC" w:rsidP="007E69FC">
      <w:pPr>
        <w:numPr>
          <w:ilvl w:val="0"/>
          <w:numId w:val="19"/>
        </w:numPr>
        <w:tabs>
          <w:tab w:val="left" w:pos="567"/>
        </w:tabs>
        <w:suppressAutoHyphens/>
        <w:spacing w:after="0" w:line="260" w:lineRule="exact"/>
        <w:ind w:left="567" w:hanging="283"/>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jonažolių (</w:t>
      </w:r>
      <w:proofErr w:type="spellStart"/>
      <w:r w:rsidRPr="007E69FC">
        <w:rPr>
          <w:rFonts w:ascii="Times New Roman" w:eastAsia="Times New Roman" w:hAnsi="Times New Roman" w:cs="Times New Roman"/>
          <w:i/>
          <w:iCs/>
          <w:lang w:eastAsia="pl-PL"/>
        </w:rPr>
        <w:t>Hypericum</w:t>
      </w:r>
      <w:proofErr w:type="spellEnd"/>
      <w:r w:rsidRPr="007E69FC">
        <w:rPr>
          <w:rFonts w:ascii="Times New Roman" w:eastAsia="Times New Roman" w:hAnsi="Times New Roman" w:cs="Times New Roman"/>
          <w:i/>
          <w:iCs/>
          <w:lang w:eastAsia="pl-PL"/>
        </w:rPr>
        <w:t xml:space="preserve"> </w:t>
      </w:r>
      <w:proofErr w:type="spellStart"/>
      <w:r w:rsidRPr="007E69FC">
        <w:rPr>
          <w:rFonts w:ascii="Times New Roman" w:eastAsia="Times New Roman" w:hAnsi="Times New Roman" w:cs="Times New Roman"/>
          <w:i/>
          <w:iCs/>
          <w:lang w:eastAsia="pl-PL"/>
        </w:rPr>
        <w:t>perforatum</w:t>
      </w:r>
      <w:proofErr w:type="spellEnd"/>
      <w:r w:rsidRPr="007E69FC">
        <w:rPr>
          <w:rFonts w:ascii="Times New Roman" w:eastAsia="Times New Roman" w:hAnsi="Times New Roman" w:cs="Times New Roman"/>
          <w:lang w:eastAsia="pl-PL"/>
        </w:rPr>
        <w:t xml:space="preserve">), augalinio preparato depresijai gydyti; </w:t>
      </w:r>
    </w:p>
    <w:p w14:paraId="58A5518C" w14:textId="77777777" w:rsidR="007E69FC" w:rsidRPr="007E69FC" w:rsidRDefault="007E69FC" w:rsidP="007E69FC">
      <w:pPr>
        <w:numPr>
          <w:ilvl w:val="0"/>
          <w:numId w:val="19"/>
        </w:numPr>
        <w:tabs>
          <w:tab w:val="left" w:pos="567"/>
        </w:tabs>
        <w:suppressAutoHyphens/>
        <w:spacing w:after="0" w:line="260" w:lineRule="exact"/>
        <w:ind w:left="567" w:hanging="283"/>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antibiotiko </w:t>
      </w:r>
      <w:proofErr w:type="spellStart"/>
      <w:r w:rsidRPr="007E69FC">
        <w:rPr>
          <w:rFonts w:ascii="Times New Roman" w:eastAsia="Times New Roman" w:hAnsi="Times New Roman" w:cs="Times New Roman"/>
          <w:lang w:eastAsia="pl-PL"/>
        </w:rPr>
        <w:t>rifampicino</w:t>
      </w:r>
      <w:proofErr w:type="spellEnd"/>
      <w:r w:rsidRPr="007E69FC">
        <w:rPr>
          <w:rFonts w:ascii="Times New Roman" w:eastAsia="Times New Roman" w:hAnsi="Times New Roman" w:cs="Times New Roman"/>
          <w:lang w:eastAsia="pl-PL"/>
        </w:rPr>
        <w:t xml:space="preserve">. </w:t>
      </w:r>
    </w:p>
    <w:p w14:paraId="59363EDA"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1116069E" w14:textId="17C855E2"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Jeigu Jums tinka bet kuris iš minėtų atvejų, </w:t>
      </w:r>
      <w:r w:rsidRPr="007E69FC">
        <w:rPr>
          <w:rFonts w:ascii="Times New Roman" w:eastAsia="Times New Roman" w:hAnsi="Times New Roman" w:cs="Times New Roman"/>
          <w:bCs/>
          <w:lang w:eastAsia="pl-PL"/>
        </w:rPr>
        <w:t xml:space="preserve">prieš pradedant vartoti </w:t>
      </w:r>
      <w:r w:rsidR="005A3031">
        <w:rPr>
          <w:rFonts w:ascii="Times New Roman" w:eastAsia="Times New Roman" w:hAnsi="Times New Roman" w:cs="Times New Roman"/>
          <w:bCs/>
          <w:lang w:eastAsia="pl-PL"/>
        </w:rPr>
        <w:t>Xiltess</w:t>
      </w:r>
      <w:r w:rsidRPr="007E69FC">
        <w:rPr>
          <w:rFonts w:ascii="Times New Roman" w:eastAsia="Times New Roman" w:hAnsi="Times New Roman" w:cs="Times New Roman"/>
          <w:b/>
          <w:bCs/>
          <w:lang w:eastAsia="pl-PL"/>
        </w:rPr>
        <w:t xml:space="preserve"> pasakykite gydytojui, </w:t>
      </w:r>
      <w:r w:rsidRPr="007E69FC">
        <w:rPr>
          <w:rFonts w:ascii="Times New Roman" w:eastAsia="Times New Roman" w:hAnsi="Times New Roman" w:cs="Times New Roman"/>
          <w:bCs/>
          <w:lang w:eastAsia="pl-PL"/>
        </w:rPr>
        <w:t xml:space="preserve">nes </w:t>
      </w:r>
      <w:r w:rsidR="005A3031">
        <w:rPr>
          <w:rFonts w:ascii="Times New Roman" w:eastAsia="Times New Roman" w:hAnsi="Times New Roman" w:cs="Times New Roman"/>
          <w:bCs/>
          <w:lang w:eastAsia="pl-PL"/>
        </w:rPr>
        <w:t>Xiltess</w:t>
      </w:r>
      <w:r w:rsidRPr="007E69FC">
        <w:rPr>
          <w:rFonts w:ascii="Times New Roman" w:eastAsia="Times New Roman" w:hAnsi="Times New Roman" w:cs="Times New Roman"/>
          <w:bCs/>
          <w:lang w:eastAsia="pl-PL"/>
        </w:rPr>
        <w:t xml:space="preserve"> veiksmingumas gali sumažėti. Gydytojas nuspręs, ar skirti Jums </w:t>
      </w:r>
      <w:r w:rsidR="005A3031">
        <w:rPr>
          <w:rFonts w:ascii="Times New Roman" w:eastAsia="Times New Roman" w:hAnsi="Times New Roman" w:cs="Times New Roman"/>
          <w:bCs/>
          <w:lang w:eastAsia="pl-PL"/>
        </w:rPr>
        <w:t>Xiltess</w:t>
      </w:r>
      <w:r w:rsidRPr="007E69FC">
        <w:rPr>
          <w:rFonts w:ascii="Times New Roman" w:eastAsia="Times New Roman" w:hAnsi="Times New Roman" w:cs="Times New Roman"/>
          <w:bCs/>
          <w:lang w:eastAsia="pl-PL"/>
        </w:rPr>
        <w:t xml:space="preserve"> ir ar Jus atidžiau stebėti.</w:t>
      </w:r>
      <w:r w:rsidRPr="007E69FC">
        <w:rPr>
          <w:rFonts w:ascii="Times New Roman" w:eastAsia="Times New Roman" w:hAnsi="Times New Roman" w:cs="Times New Roman"/>
          <w:lang w:eastAsia="pl-PL"/>
        </w:rPr>
        <w:t xml:space="preserve"> </w:t>
      </w:r>
    </w:p>
    <w:p w14:paraId="15089193"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04C57465"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Nėštumas ir žindymo laikotarpis </w:t>
      </w:r>
    </w:p>
    <w:p w14:paraId="260EFED1" w14:textId="0DACFFA4"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Jei esate nėščia arba žindote,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vartoti </w:t>
      </w:r>
      <w:r w:rsidR="007A73E4">
        <w:rPr>
          <w:rFonts w:ascii="Times New Roman" w:eastAsia="Times New Roman" w:hAnsi="Times New Roman" w:cs="Times New Roman"/>
          <w:lang w:eastAsia="pl-PL"/>
        </w:rPr>
        <w:t>draudžiama</w:t>
      </w:r>
      <w:r w:rsidRPr="007E69FC">
        <w:rPr>
          <w:rFonts w:ascii="Times New Roman" w:eastAsia="Times New Roman" w:hAnsi="Times New Roman" w:cs="Times New Roman"/>
          <w:lang w:eastAsia="pl-PL"/>
        </w:rPr>
        <w:t xml:space="preserve">. Jei yra galimybė pastoti, kol vartojate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naudokitės patikimu kontracepcijos metodu. Jei vartojant šio vaisto pastojote, nedelsdama pasakykite savo gydytojui, kuris nuspręs, kaip būsite gydoma. </w:t>
      </w:r>
    </w:p>
    <w:p w14:paraId="28524D47"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786B5CDB"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Vairavimas ir mechanizmų valdymas </w:t>
      </w:r>
    </w:p>
    <w:p w14:paraId="49D62303" w14:textId="3B9D4489"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Vartojant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gali pasireikšti svaigulys (dažnas šalutinis poveikis) arba apalpimas (nedažnas šalutinis poveikis) (žr. 4 skyrių „Galimas šalutinis poveikis“). Jeigu Jums pasireiškia šie simptomai, vairuoti, važiuoti dviračiu ar naudoti bet kokių įrankių arba valdyti mechanizmų negalima. </w:t>
      </w:r>
    </w:p>
    <w:p w14:paraId="370A01D5"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15F516C2" w14:textId="40D7E988" w:rsidR="007E69FC" w:rsidRPr="007E69FC" w:rsidRDefault="005A3031" w:rsidP="007E69FC">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bCs/>
          <w:lang w:eastAsia="pl-PL"/>
        </w:rPr>
        <w:t>Xiltess</w:t>
      </w:r>
      <w:r w:rsidR="007E69FC" w:rsidRPr="007E69FC">
        <w:rPr>
          <w:rFonts w:ascii="Times New Roman" w:eastAsia="Times New Roman" w:hAnsi="Times New Roman" w:cs="Times New Roman"/>
          <w:b/>
          <w:bCs/>
          <w:lang w:eastAsia="pl-PL"/>
        </w:rPr>
        <w:t xml:space="preserve"> sudėtyje yra  natrio </w:t>
      </w:r>
    </w:p>
    <w:p w14:paraId="7676C3CD"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Šio vaisto plėvele dengtoje tabletėje yra mažiau kaip 1 </w:t>
      </w:r>
      <w:proofErr w:type="spellStart"/>
      <w:r w:rsidRPr="007E69FC">
        <w:rPr>
          <w:rFonts w:ascii="Times New Roman" w:eastAsia="Times New Roman" w:hAnsi="Times New Roman" w:cs="Times New Roman"/>
          <w:lang w:eastAsia="pl-PL"/>
        </w:rPr>
        <w:t>mmol</w:t>
      </w:r>
      <w:proofErr w:type="spellEnd"/>
      <w:r w:rsidRPr="007E69FC">
        <w:rPr>
          <w:rFonts w:ascii="Times New Roman" w:eastAsia="Times New Roman" w:hAnsi="Times New Roman" w:cs="Times New Roman"/>
          <w:lang w:eastAsia="pl-PL"/>
        </w:rPr>
        <w:t xml:space="preserve"> (23 mg) natrio, t. y. jis beveik neturi reikšmės.</w:t>
      </w:r>
    </w:p>
    <w:p w14:paraId="45427992"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223EB7AC"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5B190EF5" w14:textId="5481B355"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lastRenderedPageBreak/>
        <w:t>3.</w:t>
      </w:r>
      <w:r w:rsidRPr="007E69FC">
        <w:rPr>
          <w:rFonts w:ascii="Times New Roman" w:eastAsia="Times New Roman" w:hAnsi="Times New Roman" w:cs="Times New Roman"/>
          <w:b/>
          <w:lang w:eastAsia="pl-PL"/>
        </w:rPr>
        <w:tab/>
        <w:t xml:space="preserve">Kaip vartoti </w:t>
      </w:r>
      <w:r w:rsidR="005A3031">
        <w:rPr>
          <w:rFonts w:ascii="Times New Roman" w:eastAsia="Times New Roman" w:hAnsi="Times New Roman" w:cs="Times New Roman"/>
          <w:b/>
          <w:lang w:eastAsia="pl-PL"/>
        </w:rPr>
        <w:t>Xiltess</w:t>
      </w:r>
    </w:p>
    <w:p w14:paraId="6B5FC629"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54420815"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Visada vartokite šį vaistą tiksliai kaip nurodė gydytojas. Jeigu abejojate, kreipkitės į gydytoją arba vaistininką.</w:t>
      </w:r>
    </w:p>
    <w:p w14:paraId="043CEAC5"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30073294"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Kiek vartoti </w:t>
      </w:r>
    </w:p>
    <w:p w14:paraId="1F2C1549" w14:textId="599C6F31"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Rekomenduojama dozė yra viena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2,5 mg plėvele dengta tabletė du kartus per parą.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vartokite kasdien maždaug tuo pačiu metu (pvz., vieną tabletę ryte ir vieną tabletę vakare).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2,5 mg plėvele dengtą tabletę galima vartoti valgio metu arba nevalgius. </w:t>
      </w:r>
    </w:p>
    <w:p w14:paraId="793949DD" w14:textId="77777777"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p>
    <w:p w14:paraId="25D393E8" w14:textId="1C11530B"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Jeigu sunku nuryti visą tabletę, pasikalbėkite su gydytoju apie kitus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vartojimo būdus. Prieš pat vartojant, tabletę galima sutraiškyti ir sumaišyti su vandeniu arba obuolių tyre. </w:t>
      </w:r>
    </w:p>
    <w:p w14:paraId="40DDDF0F" w14:textId="5634FC89"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 reikia, gydytojas gali Jums paskirti vartoti sutraiškytą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tabletę ir per skrandžio vamzdelį. </w:t>
      </w:r>
    </w:p>
    <w:p w14:paraId="1AC309A2" w14:textId="77777777"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p>
    <w:p w14:paraId="475554C2" w14:textId="3D9DBC58"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Jums nebus paskirta vien tik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w:t>
      </w:r>
    </w:p>
    <w:p w14:paraId="2FA16634" w14:textId="66E4172A"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Gydytojas Jums pasakys, kad vartotumėte ir acetilsalicilo rūgšties. Jeigu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Jums skiriamas po ūminio koronarinio sindromo, gydytojas gali nurodyti vartoti ir klopidogrelio arba tiklopidino. </w:t>
      </w:r>
    </w:p>
    <w:p w14:paraId="5DDA968E" w14:textId="253CCF93"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Times New Roman" w:hAnsi="Times New Roman" w:cs="Times New Roman"/>
          <w:lang w:eastAsia="pl-PL"/>
        </w:rPr>
        <w:t xml:space="preserve">Jeigu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Jums skiriamas po procedūros, kai reikia atverti susiaurėjusią arba užsikimšusią kojos arteriją kraujotakai atkurti, gydytojas gali Jums išrašyti ir klopidogrelį, kurį trumpai reikės vartoti kartu su acetilsalicilo rūgštimi.</w:t>
      </w:r>
    </w:p>
    <w:p w14:paraId="25CEB23C" w14:textId="77777777"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p>
    <w:p w14:paraId="059869D0" w14:textId="77777777"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Gydytojas pasakys, kiek šių vaistų vartoti (paprastai per parą reikia vartoti 75–100 mg acetilsalicilo rūgšties arba 75–100 mg acetilsalicilo rūgšties kartu su 75 mg klopidogrelio arba standartine tiklopidino paros doze).</w:t>
      </w:r>
    </w:p>
    <w:p w14:paraId="43200503"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3E6D23A0" w14:textId="35D92A49"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Kada pradėti vartoti </w:t>
      </w:r>
      <w:r w:rsidR="005A3031">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14:paraId="7BFC7B4D" w14:textId="689BA0FE"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Po ūminio koronarinio sindromo gydymą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reikia pradėti kuo anksčiau, stabilizavus ūminį koronarinį sindromą: per 24 valandas Jus paguldžius į ligoninę ir kai įprastai nutraukiamas </w:t>
      </w:r>
      <w:proofErr w:type="spellStart"/>
      <w:r w:rsidRPr="007E69FC">
        <w:rPr>
          <w:rFonts w:ascii="Times New Roman" w:eastAsia="Calibri" w:hAnsi="Times New Roman" w:cs="Times New Roman"/>
          <w:lang w:eastAsia="pl-PL"/>
        </w:rPr>
        <w:t>parenteralinis</w:t>
      </w:r>
      <w:proofErr w:type="spellEnd"/>
      <w:r w:rsidRPr="007E69FC">
        <w:rPr>
          <w:rFonts w:ascii="Times New Roman" w:eastAsia="Calibri" w:hAnsi="Times New Roman" w:cs="Times New Roman"/>
          <w:lang w:eastAsia="pl-PL"/>
        </w:rPr>
        <w:t xml:space="preserve"> (skiriamas injekcijomis) nuo krešulių apsaugantis gydymas. </w:t>
      </w:r>
    </w:p>
    <w:p w14:paraId="2013326F" w14:textId="772BD7B3"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Jeigu Jums diagnozuota vainikinių arterijų liga arba periferinių arterijų liga, gydytojas Jums nurodys, kada pradėti gydymą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w:t>
      </w:r>
    </w:p>
    <w:p w14:paraId="1B8290BC" w14:textId="77777777" w:rsidR="007E69FC" w:rsidRPr="007E69FC" w:rsidRDefault="007E69FC" w:rsidP="007E69FC">
      <w:pPr>
        <w:widowControl w:val="0"/>
        <w:autoSpaceDE w:val="0"/>
        <w:autoSpaceDN w:val="0"/>
        <w:adjustRightInd w:val="0"/>
        <w:spacing w:after="0" w:line="240" w:lineRule="auto"/>
        <w:rPr>
          <w:rFonts w:ascii="Times New Roman" w:eastAsia="Calibri" w:hAnsi="Times New Roman" w:cs="Times New Roman"/>
          <w:lang w:eastAsia="pl-PL"/>
        </w:rPr>
      </w:pPr>
      <w:r w:rsidRPr="007E69FC">
        <w:rPr>
          <w:rFonts w:ascii="Times New Roman" w:eastAsia="Calibri" w:hAnsi="Times New Roman" w:cs="Times New Roman"/>
          <w:lang w:eastAsia="pl-PL"/>
        </w:rPr>
        <w:t xml:space="preserve">Jūsų gydytojas nuspręs, kiek laiko reikės tęsti gydymą. </w:t>
      </w:r>
    </w:p>
    <w:p w14:paraId="7AF74FEA"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7CC1B91E" w14:textId="366E4891"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Ką daryti pavartojus per didelę </w:t>
      </w:r>
      <w:r w:rsidR="005A3031">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dozę </w:t>
      </w:r>
    </w:p>
    <w:p w14:paraId="2EE7B081" w14:textId="49390AEF"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Nedelsdami kreipkitės į savo gydytoją, jei išgėrėte per daug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tablečių. Pavartojus per daug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didėja kraujavimo rizika. </w:t>
      </w:r>
    </w:p>
    <w:p w14:paraId="096B2167"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6DED2C67" w14:textId="455A8602"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Pamiršus pavartoti </w:t>
      </w:r>
      <w:r w:rsidR="005A3031">
        <w:rPr>
          <w:rFonts w:ascii="Times New Roman" w:eastAsia="Times New Roman" w:hAnsi="Times New Roman" w:cs="Times New Roman"/>
          <w:b/>
          <w:bCs/>
          <w:lang w:eastAsia="pl-PL"/>
        </w:rPr>
        <w:t>Xiltess</w:t>
      </w:r>
      <w:r w:rsidRPr="007E69FC">
        <w:rPr>
          <w:rFonts w:ascii="Times New Roman" w:eastAsia="Times New Roman" w:hAnsi="Times New Roman" w:cs="Times New Roman"/>
          <w:b/>
          <w:bCs/>
          <w:lang w:eastAsia="pl-PL"/>
        </w:rPr>
        <w:t xml:space="preserve"> </w:t>
      </w:r>
    </w:p>
    <w:p w14:paraId="3ECD7044"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Negalima vartoti dvigubos dozės norint kompensuoti praleistą tabletę.</w:t>
      </w:r>
    </w:p>
    <w:p w14:paraId="6A58BC7D"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Jei pamiršote išgerti tabletę, kitą dozę gerkite įprastu laiku. </w:t>
      </w:r>
    </w:p>
    <w:p w14:paraId="6943F4CE"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6F13642A" w14:textId="2471FD2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Times New Roman" w:hAnsi="Times New Roman" w:cs="Times New Roman"/>
          <w:b/>
          <w:lang w:eastAsia="pl-PL"/>
        </w:rPr>
        <w:t xml:space="preserve">Nustojus vartoti </w:t>
      </w:r>
      <w:r w:rsidR="005A3031">
        <w:rPr>
          <w:rFonts w:ascii="Times New Roman" w:eastAsia="Times New Roman" w:hAnsi="Times New Roman" w:cs="Times New Roman"/>
          <w:b/>
          <w:lang w:eastAsia="pl-PL"/>
        </w:rPr>
        <w:t>Xiltess</w:t>
      </w:r>
    </w:p>
    <w:p w14:paraId="55F69D96" w14:textId="3D61A65C" w:rsidR="007E69FC" w:rsidRPr="007E69FC" w:rsidRDefault="005A3031" w:rsidP="007E69FC">
      <w:pPr>
        <w:widowControl w:val="0"/>
        <w:autoSpaceDE w:val="0"/>
        <w:autoSpaceDN w:val="0"/>
        <w:adjustRightInd w:val="0"/>
        <w:spacing w:after="0" w:line="240" w:lineRule="auto"/>
        <w:rPr>
          <w:rFonts w:ascii="Times New Roman" w:eastAsia="Calibri" w:hAnsi="Times New Roman" w:cs="Times New Roman"/>
          <w:lang w:eastAsia="pl-PL"/>
        </w:rPr>
      </w:pPr>
      <w:r>
        <w:rPr>
          <w:rFonts w:ascii="Times New Roman" w:eastAsia="Calibri" w:hAnsi="Times New Roman" w:cs="Times New Roman"/>
          <w:lang w:eastAsia="pl-PL"/>
        </w:rPr>
        <w:t>Xiltess</w:t>
      </w:r>
      <w:r w:rsidR="007E69FC" w:rsidRPr="007E69FC">
        <w:rPr>
          <w:rFonts w:ascii="Times New Roman" w:eastAsia="Calibri" w:hAnsi="Times New Roman" w:cs="Times New Roman"/>
          <w:lang w:eastAsia="pl-PL"/>
        </w:rPr>
        <w:t xml:space="preserve"> vartokite nuolat, tiek laiko, kiek Jums paskyrė gydytojas. </w:t>
      </w:r>
    </w:p>
    <w:p w14:paraId="710866EB" w14:textId="09945B82"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r w:rsidRPr="007E69FC">
        <w:rPr>
          <w:rFonts w:ascii="Times New Roman" w:eastAsia="Calibri" w:hAnsi="Times New Roman" w:cs="Times New Roman"/>
          <w:lang w:eastAsia="pl-PL"/>
        </w:rPr>
        <w:t xml:space="preserve">Nenutraukite </w:t>
      </w:r>
      <w:r w:rsidR="005A3031">
        <w:rPr>
          <w:rFonts w:ascii="Times New Roman" w:eastAsia="Calibri" w:hAnsi="Times New Roman" w:cs="Times New Roman"/>
          <w:lang w:eastAsia="pl-PL"/>
        </w:rPr>
        <w:t>Xiltess</w:t>
      </w:r>
      <w:r w:rsidRPr="007E69FC">
        <w:rPr>
          <w:rFonts w:ascii="Times New Roman" w:eastAsia="Calibri" w:hAnsi="Times New Roman" w:cs="Times New Roman"/>
          <w:lang w:eastAsia="pl-PL"/>
        </w:rPr>
        <w:t xml:space="preserve"> vartojimo prieš tai nepasitarę su gydytoju. Jeigu nustosite vartoti šį vaistą, gali padidėti kito miokardo infarkto, insulto arba mirties nuo širdies ar kraujagyslių ligos rizika.</w:t>
      </w:r>
    </w:p>
    <w:p w14:paraId="6A6146FF" w14:textId="77777777" w:rsidR="007E69FC" w:rsidRPr="007E69FC" w:rsidRDefault="007E69FC" w:rsidP="007E69FC">
      <w:pPr>
        <w:widowControl w:val="0"/>
        <w:autoSpaceDE w:val="0"/>
        <w:autoSpaceDN w:val="0"/>
        <w:adjustRightInd w:val="0"/>
        <w:spacing w:after="0" w:line="100" w:lineRule="atLeast"/>
        <w:ind w:right="-2"/>
        <w:rPr>
          <w:rFonts w:ascii="Times New Roman" w:eastAsia="Times New Roman" w:hAnsi="Times New Roman" w:cs="Times New Roman"/>
          <w:lang w:eastAsia="pl-PL"/>
        </w:rPr>
      </w:pPr>
    </w:p>
    <w:p w14:paraId="30ED87C5" w14:textId="77777777" w:rsidR="007E69FC" w:rsidRPr="007E69FC" w:rsidRDefault="007E69FC" w:rsidP="007E69FC">
      <w:pPr>
        <w:widowControl w:val="0"/>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Jeigu kiltų daugiau klausimų dėl šio vaisto vartojimo, kreipkitės į gydytoją arba vaistininką.</w:t>
      </w:r>
    </w:p>
    <w:p w14:paraId="237E4FF5"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lang w:eastAsia="pl-PL"/>
        </w:rPr>
      </w:pPr>
    </w:p>
    <w:p w14:paraId="3FCE371B"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lang w:eastAsia="pl-PL"/>
        </w:rPr>
      </w:pPr>
    </w:p>
    <w:p w14:paraId="6524DD20" w14:textId="77777777"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4.</w:t>
      </w:r>
      <w:r w:rsidRPr="007E69FC">
        <w:rPr>
          <w:rFonts w:ascii="Times New Roman" w:eastAsia="Times New Roman" w:hAnsi="Times New Roman" w:cs="Times New Roman"/>
          <w:b/>
          <w:lang w:eastAsia="pl-PL"/>
        </w:rPr>
        <w:tab/>
        <w:t>Galimas šalutinis poveikis</w:t>
      </w:r>
    </w:p>
    <w:p w14:paraId="5243F80E" w14:textId="77777777" w:rsidR="007E69FC" w:rsidRPr="007E69FC" w:rsidRDefault="007E69FC" w:rsidP="007E69FC">
      <w:pPr>
        <w:widowControl w:val="0"/>
        <w:autoSpaceDE w:val="0"/>
        <w:autoSpaceDN w:val="0"/>
        <w:adjustRightInd w:val="0"/>
        <w:spacing w:after="0" w:line="100" w:lineRule="atLeast"/>
        <w:rPr>
          <w:rFonts w:ascii="Times New Roman" w:eastAsia="Times New Roman" w:hAnsi="Times New Roman" w:cs="Times New Roman"/>
          <w:lang w:eastAsia="pl-PL"/>
        </w:rPr>
      </w:pPr>
    </w:p>
    <w:p w14:paraId="14900C5A" w14:textId="77777777" w:rsidR="007E69FC" w:rsidRPr="007E69FC" w:rsidRDefault="007E69FC" w:rsidP="007E69FC">
      <w:pPr>
        <w:widowControl w:val="0"/>
        <w:autoSpaceDE w:val="0"/>
        <w:autoSpaceDN w:val="0"/>
        <w:adjustRightInd w:val="0"/>
        <w:spacing w:after="0" w:line="100" w:lineRule="atLeast"/>
        <w:ind w:right="-29"/>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Šis vaistas, kaip ir visi kiti, gali sukelti šalutinį poveikį, nors jis pasireiškia ne visiems žmonėms.</w:t>
      </w:r>
    </w:p>
    <w:p w14:paraId="7536954F" w14:textId="77777777" w:rsidR="007E69FC" w:rsidRPr="007E69FC" w:rsidRDefault="007E69FC" w:rsidP="007E69FC">
      <w:pPr>
        <w:widowControl w:val="0"/>
        <w:autoSpaceDE w:val="0"/>
        <w:autoSpaceDN w:val="0"/>
        <w:adjustRightInd w:val="0"/>
        <w:spacing w:after="0" w:line="240" w:lineRule="auto"/>
        <w:ind w:right="-29"/>
        <w:rPr>
          <w:rFonts w:ascii="Times New Roman" w:eastAsia="Times New Roman" w:hAnsi="Times New Roman" w:cs="Times New Roman"/>
          <w:lang w:eastAsia="pl-PL"/>
        </w:rPr>
      </w:pPr>
    </w:p>
    <w:p w14:paraId="4A0AF5E1" w14:textId="30597CEA"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 xml:space="preserve">Kaip ir kiti panašūs vaistai, mažinantys kraujo krešulių susidarymą, </w:t>
      </w:r>
      <w:r w:rsidR="005A3031">
        <w:rPr>
          <w:rFonts w:ascii="Times New Roman" w:eastAsia="Times New Roman" w:hAnsi="Times New Roman" w:cs="Times New Roman"/>
          <w:lang w:eastAsia="pl-PL"/>
        </w:rPr>
        <w:t>Xiltess</w:t>
      </w:r>
      <w:r w:rsidRPr="007E69FC">
        <w:rPr>
          <w:rFonts w:ascii="Times New Roman" w:eastAsia="Times New Roman" w:hAnsi="Times New Roman" w:cs="Times New Roman"/>
          <w:lang w:eastAsia="pl-PL"/>
        </w:rPr>
        <w:t xml:space="preserve"> gali sukelti kraujavimą, kuris gali būti pavojingas gyvybei. Per didelis kraujavimas gali sukelti staigų kraujospūdžio kritimą (šoką). Kai kuriais atvejais kraujavimas gali būti nepastebimas. </w:t>
      </w:r>
    </w:p>
    <w:p w14:paraId="21878E15"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68629132"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lastRenderedPageBreak/>
        <w:t xml:space="preserve">Nedelsdami pasakykite savo gydytojui, jei pasireiškia bet kuris iš šių šalutinio poveikio reiškinių: </w:t>
      </w:r>
    </w:p>
    <w:p w14:paraId="286915A4" w14:textId="77777777" w:rsidR="007E69FC" w:rsidRPr="007E69FC" w:rsidRDefault="007E69FC" w:rsidP="007E69FC">
      <w:pPr>
        <w:numPr>
          <w:ilvl w:val="0"/>
          <w:numId w:val="28"/>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b/>
          <w:bCs/>
          <w:lang w:eastAsia="pl-PL"/>
        </w:rPr>
        <w:t xml:space="preserve">Kraujavimo požymiai </w:t>
      </w:r>
    </w:p>
    <w:p w14:paraId="626FEC53" w14:textId="77777777" w:rsidR="007E69FC" w:rsidRPr="007E69FC" w:rsidRDefault="007E69FC" w:rsidP="007E69FC">
      <w:pPr>
        <w:numPr>
          <w:ilvl w:val="0"/>
          <w:numId w:val="22"/>
        </w:numPr>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smegenis ar į kaukolės vidų (simptomams priskiriama galvos skausmas, silpnumas vienoje kūno pusėje, vėmimas, traukuliai, sumažėjęs sąmonės lygis ir sprando sąstingis. </w:t>
      </w:r>
    </w:p>
    <w:p w14:paraId="7ACA0B62" w14:textId="77777777" w:rsidR="007E69FC" w:rsidRPr="007E69FC" w:rsidRDefault="007E69FC" w:rsidP="007E69FC">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t xml:space="preserve">Tai sunki, neatidėliotina medicininė būklė. Nedelsdami kreipkitės medicinos pagalbos!) </w:t>
      </w:r>
    </w:p>
    <w:p w14:paraId="3423A9A3" w14:textId="77777777" w:rsidR="007E69FC" w:rsidRPr="007E69FC" w:rsidRDefault="007E69FC" w:rsidP="007E69FC">
      <w:pPr>
        <w:numPr>
          <w:ilvl w:val="0"/>
          <w:numId w:val="27"/>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ilgai trunkantis ar sunkus kraujavimas; </w:t>
      </w:r>
    </w:p>
    <w:p w14:paraId="572F8F94" w14:textId="77777777" w:rsidR="007E69FC" w:rsidRPr="007E69FC" w:rsidRDefault="007E69FC" w:rsidP="007E69FC">
      <w:pPr>
        <w:numPr>
          <w:ilvl w:val="0"/>
          <w:numId w:val="27"/>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neįprastas silpnumas, nuovargis, blyškumas, svaigulys, galvos skausmas, nepaaiškinamas tinimas, dusulys, krūtinės skausmas arba krūtinės angina. </w:t>
      </w:r>
    </w:p>
    <w:p w14:paraId="56A417E7" w14:textId="77777777" w:rsidR="007E69FC" w:rsidRPr="007E69FC" w:rsidRDefault="007E69FC" w:rsidP="007E69FC">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Jūsų gydytojas gali nuspręsti Jus atidžiau stebėti arba pakeisti gydymą. </w:t>
      </w:r>
    </w:p>
    <w:p w14:paraId="7035CB69"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5AC97AD2" w14:textId="77777777" w:rsidR="007E69FC" w:rsidRPr="007E69FC" w:rsidRDefault="007E69FC" w:rsidP="007E69FC">
      <w:pPr>
        <w:numPr>
          <w:ilvl w:val="0"/>
          <w:numId w:val="28"/>
        </w:numPr>
        <w:tabs>
          <w:tab w:val="left" w:pos="567"/>
        </w:tabs>
        <w:suppressAutoHyphens/>
        <w:spacing w:after="0" w:line="260" w:lineRule="exact"/>
        <w:ind w:left="567" w:hanging="567"/>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Sunkių odos reakcijų požymiai </w:t>
      </w:r>
    </w:p>
    <w:p w14:paraId="7E79B7E8" w14:textId="77777777" w:rsidR="007E69FC" w:rsidRPr="007E69FC" w:rsidRDefault="007E69FC" w:rsidP="007E69FC">
      <w:pPr>
        <w:numPr>
          <w:ilvl w:val="0"/>
          <w:numId w:val="3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plintantis intensyvus odos išbėrimas, pūslės arba gleivinių pažeidimai, pvz., burnos arba akių (</w:t>
      </w:r>
      <w:proofErr w:type="spellStart"/>
      <w:r w:rsidRPr="007E69FC">
        <w:rPr>
          <w:rFonts w:ascii="Times New Roman" w:eastAsia="Times New Roman" w:hAnsi="Times New Roman" w:cs="Times New Roman"/>
          <w:lang w:eastAsia="pl-PL"/>
        </w:rPr>
        <w:t>Stivenso</w:t>
      </w:r>
      <w:proofErr w:type="spellEnd"/>
      <w:r w:rsidRPr="007E69FC">
        <w:rPr>
          <w:rFonts w:ascii="Times New Roman" w:eastAsia="Times New Roman" w:hAnsi="Times New Roman" w:cs="Times New Roman"/>
          <w:lang w:eastAsia="pl-PL"/>
        </w:rPr>
        <w:t>-Džonsono [</w:t>
      </w:r>
      <w:proofErr w:type="spellStart"/>
      <w:r w:rsidRPr="007E69FC">
        <w:rPr>
          <w:rFonts w:ascii="Times New Roman" w:eastAsia="Times New Roman" w:hAnsi="Times New Roman" w:cs="Times New Roman"/>
          <w:i/>
          <w:iCs/>
          <w:lang w:eastAsia="pl-PL"/>
        </w:rPr>
        <w:t>Stevens-Johnson</w:t>
      </w:r>
      <w:proofErr w:type="spellEnd"/>
      <w:r w:rsidRPr="007E69FC">
        <w:rPr>
          <w:rFonts w:ascii="Times New Roman" w:eastAsia="Times New Roman" w:hAnsi="Times New Roman" w:cs="Times New Roman"/>
          <w:lang w:eastAsia="pl-PL"/>
        </w:rPr>
        <w:t xml:space="preserve">] sindromas ir [arba] toksinė epidermio </w:t>
      </w:r>
      <w:proofErr w:type="spellStart"/>
      <w:r w:rsidRPr="007E69FC">
        <w:rPr>
          <w:rFonts w:ascii="Times New Roman" w:eastAsia="Times New Roman" w:hAnsi="Times New Roman" w:cs="Times New Roman"/>
          <w:lang w:eastAsia="pl-PL"/>
        </w:rPr>
        <w:t>nekrolizė</w:t>
      </w:r>
      <w:proofErr w:type="spellEnd"/>
      <w:r w:rsidRPr="007E69FC">
        <w:rPr>
          <w:rFonts w:ascii="Times New Roman" w:eastAsia="Times New Roman" w:hAnsi="Times New Roman" w:cs="Times New Roman"/>
          <w:lang w:eastAsia="pl-PL"/>
        </w:rPr>
        <w:t xml:space="preserve">). </w:t>
      </w:r>
    </w:p>
    <w:p w14:paraId="1E913585" w14:textId="77777777" w:rsidR="007E69FC" w:rsidRPr="007E69FC" w:rsidRDefault="007E69FC" w:rsidP="007E69FC">
      <w:pPr>
        <w:numPr>
          <w:ilvl w:val="0"/>
          <w:numId w:val="3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vaisto sukelti išbėrimas, karščiavimas, vidaus organų uždegimas, nenormalūs kraujo rodiklių pokyčiai ir sisteminis pažeidimas (DRESS sindromas). </w:t>
      </w:r>
    </w:p>
    <w:p w14:paraId="43BEFB12"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Šie šalutinio poveikio reiškiniai yra labai reti (gali pasireikšti rečiau kaip 1 iš 10 000 asmenų). </w:t>
      </w:r>
    </w:p>
    <w:p w14:paraId="10B2AD85"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31B781D6" w14:textId="77777777" w:rsidR="007E69FC" w:rsidRPr="007E69FC" w:rsidRDefault="007E69FC" w:rsidP="007E69FC">
      <w:pPr>
        <w:numPr>
          <w:ilvl w:val="0"/>
          <w:numId w:val="28"/>
        </w:numPr>
        <w:tabs>
          <w:tab w:val="left" w:pos="567"/>
        </w:tabs>
        <w:suppressAutoHyphens/>
        <w:spacing w:after="0" w:line="260" w:lineRule="exact"/>
        <w:ind w:left="567" w:hanging="567"/>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Sunkių alerginių reakcijų požymiai </w:t>
      </w:r>
    </w:p>
    <w:p w14:paraId="67FCC342" w14:textId="77777777" w:rsidR="007E69FC" w:rsidRPr="007E69FC" w:rsidRDefault="007E69FC" w:rsidP="007E69FC">
      <w:pPr>
        <w:numPr>
          <w:ilvl w:val="0"/>
          <w:numId w:val="29"/>
        </w:numPr>
        <w:autoSpaceDE w:val="0"/>
        <w:autoSpaceDN w:val="0"/>
        <w:adjustRightInd w:val="0"/>
        <w:spacing w:after="0" w:line="240" w:lineRule="auto"/>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veido, lūpų, burnos, liežuvio ir ryklės tinimas, apsunkintas rijimas, dilgėlinė ir apsunkintas kvėpavimas, staigus kraujospūdžio sumažėjimas. </w:t>
      </w:r>
    </w:p>
    <w:p w14:paraId="66DBB6FB"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lang w:eastAsia="pl-PL"/>
        </w:rPr>
        <w:t>Sunkios alerginės reakcijos yra labai retos (anafilaksinės reakcijos, įskaitant anafilaksinį šoką; gali pasireikšti rečiau kaip 1 iš 10 000 asmenų) ir nedažnos (</w:t>
      </w:r>
      <w:proofErr w:type="spellStart"/>
      <w:r w:rsidRPr="007E69FC">
        <w:rPr>
          <w:rFonts w:ascii="Times New Roman" w:eastAsia="Times New Roman" w:hAnsi="Times New Roman" w:cs="Times New Roman"/>
          <w:lang w:eastAsia="pl-PL"/>
        </w:rPr>
        <w:t>angioneurozinė</w:t>
      </w:r>
      <w:proofErr w:type="spellEnd"/>
      <w:r w:rsidRPr="007E69FC">
        <w:rPr>
          <w:rFonts w:ascii="Times New Roman" w:eastAsia="Times New Roman" w:hAnsi="Times New Roman" w:cs="Times New Roman"/>
          <w:lang w:eastAsia="pl-PL"/>
        </w:rPr>
        <w:t xml:space="preserve"> ir alerginė edema; gali pasireikšti rečiau kaip 1 iš 100 asmenų).</w:t>
      </w:r>
    </w:p>
    <w:p w14:paraId="1607ACA1"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p>
    <w:p w14:paraId="3F76501D"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Bendras galimo šalutinio poveikio reiškinių sąrašas:</w:t>
      </w:r>
    </w:p>
    <w:p w14:paraId="38EC4825"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b/>
          <w:bCs/>
          <w:lang w:eastAsia="pl-PL"/>
        </w:rPr>
      </w:pPr>
      <w:r w:rsidRPr="007E69FC">
        <w:rPr>
          <w:rFonts w:ascii="Times New Roman" w:eastAsia="Times New Roman" w:hAnsi="Times New Roman" w:cs="Times New Roman"/>
          <w:b/>
          <w:bCs/>
          <w:lang w:eastAsia="pl-PL"/>
        </w:rPr>
        <w:t xml:space="preserve"> </w:t>
      </w:r>
    </w:p>
    <w:p w14:paraId="5B988496" w14:textId="77777777" w:rsidR="007E69FC" w:rsidRPr="007E69FC" w:rsidRDefault="007E69FC" w:rsidP="007E69FC">
      <w:pPr>
        <w:widowControl w:val="0"/>
        <w:tabs>
          <w:tab w:val="left" w:pos="567"/>
        </w:tabs>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Dažni šalutinio poveikio reiškiniai (gali pasireikšti rečiau kaip 1 iš 10 asmenų)</w:t>
      </w:r>
      <w:r w:rsidRPr="007E69FC">
        <w:rPr>
          <w:rFonts w:ascii="Times New Roman" w:eastAsia="Times New Roman" w:hAnsi="Times New Roman" w:cs="Times New Roman"/>
          <w:b/>
          <w:bCs/>
          <w:lang w:eastAsia="pl-PL"/>
        </w:rPr>
        <w:t>:</w:t>
      </w:r>
      <w:r w:rsidRPr="007E69FC">
        <w:rPr>
          <w:rFonts w:ascii="Times New Roman" w:eastAsia="Times New Roman" w:hAnsi="Times New Roman" w:cs="Times New Roman"/>
          <w:lang w:eastAsia="pl-PL"/>
        </w:rPr>
        <w:t xml:space="preserve"> </w:t>
      </w:r>
    </w:p>
    <w:p w14:paraId="052363D5"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raudonųjų kraujo ląstelių kiekio sumažėjimas, dėl ko oda gali būti blyški, o Jūs galite jausti silpnumą ar dusulį;</w:t>
      </w:r>
    </w:p>
    <w:p w14:paraId="39B9A717"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iš skrandžio ar žarnyno, kraujavimas iš šlapimo ir lytinių organų (įskaitant kraują šlapime ir gausų mėnesinių kraujavimą), kraujavimas iš nosies, kraujavimas iš dantenų; </w:t>
      </w:r>
    </w:p>
    <w:p w14:paraId="224BE67D"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akį (įskaitant kraujavimą iš akių baltymo); </w:t>
      </w:r>
    </w:p>
    <w:p w14:paraId="54D607AD"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į audinius arba kūno ertmes (kraujosruvos, mėlynės); </w:t>
      </w:r>
    </w:p>
    <w:p w14:paraId="31F14F84"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kraujo atkosėjimas; </w:t>
      </w:r>
    </w:p>
    <w:p w14:paraId="1184425D"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iš odos arba po oda; </w:t>
      </w:r>
    </w:p>
    <w:p w14:paraId="19F2A13C"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kraujavimas po operacijos; </w:t>
      </w:r>
    </w:p>
    <w:p w14:paraId="0C203E29"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ar skysčio sunkimasis iš chirurginės žaizdos;</w:t>
      </w:r>
    </w:p>
    <w:p w14:paraId="4BFD69AF"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galūnių tinimas;</w:t>
      </w:r>
    </w:p>
    <w:p w14:paraId="53CC40A8"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galūnių skausmas;</w:t>
      </w:r>
    </w:p>
    <w:p w14:paraId="5DD93DF4" w14:textId="3626CDAA"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 xml:space="preserve">susilpnėjusi inkstų </w:t>
      </w:r>
      <w:r w:rsidR="001D5190">
        <w:rPr>
          <w:rFonts w:ascii="Times New Roman" w:eastAsia="Times New Roman" w:hAnsi="Times New Roman" w:cs="Times New Roman"/>
          <w:lang w:eastAsia="pl-PL"/>
        </w:rPr>
        <w:t>funkcija</w:t>
      </w:r>
      <w:r w:rsidR="001D5190" w:rsidRPr="007E69FC">
        <w:rPr>
          <w:rFonts w:ascii="Times New Roman" w:eastAsia="Times New Roman" w:hAnsi="Times New Roman" w:cs="Times New Roman"/>
          <w:lang w:eastAsia="pl-PL"/>
        </w:rPr>
        <w:t xml:space="preserve"> </w:t>
      </w:r>
      <w:r w:rsidRPr="007E69FC">
        <w:rPr>
          <w:rFonts w:ascii="Times New Roman" w:eastAsia="Times New Roman" w:hAnsi="Times New Roman" w:cs="Times New Roman"/>
          <w:lang w:eastAsia="pl-PL"/>
        </w:rPr>
        <w:t>(gali būti pastebėta Jūsų gydytojo atliktuose tyrimuose);</w:t>
      </w:r>
    </w:p>
    <w:p w14:paraId="722A9A12"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karščiavimas;</w:t>
      </w:r>
    </w:p>
    <w:p w14:paraId="67659BF9"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pilvo skausmas, nevirškinimas, pykinimas, vėmimas, vidurių užkietėjimas, viduriavimas;</w:t>
      </w:r>
    </w:p>
    <w:p w14:paraId="401D8DFA"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sumažėjęs kraujospūdis (simptomai gali būti svaigulys ar alpimas stojantis);</w:t>
      </w:r>
    </w:p>
    <w:p w14:paraId="48DC8696"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jėgos ir energijos sumažėjimas (silpnumas, nuovargis), galvos skausmas, svaigulys;</w:t>
      </w:r>
    </w:p>
    <w:p w14:paraId="4F240F5E"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išbėrimas, odos niežulys;</w:t>
      </w:r>
    </w:p>
    <w:p w14:paraId="356E720D"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tyrimai gali rodyti kai kurių kepenų fermentų aktyvumo padidėjimą.</w:t>
      </w:r>
    </w:p>
    <w:p w14:paraId="691A1B96"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p>
    <w:p w14:paraId="29A1328B" w14:textId="77777777" w:rsidR="007E69FC" w:rsidRPr="007E69FC" w:rsidRDefault="007E69FC" w:rsidP="007E69FC">
      <w:pPr>
        <w:widowControl w:val="0"/>
        <w:autoSpaceDE w:val="0"/>
        <w:autoSpaceDN w:val="0"/>
        <w:adjustRightInd w:val="0"/>
        <w:spacing w:after="0" w:line="240" w:lineRule="auto"/>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Nedažni šalutinio poveikio reiškiniai (gali pasireikšti rečiau kaip 1 iš 100 asmenų)</w:t>
      </w:r>
      <w:r w:rsidRPr="007E69FC">
        <w:rPr>
          <w:rFonts w:ascii="Times New Roman" w:eastAsia="Times New Roman" w:hAnsi="Times New Roman" w:cs="Times New Roman"/>
          <w:lang w:eastAsia="pl-PL"/>
        </w:rPr>
        <w:t>:</w:t>
      </w:r>
    </w:p>
    <w:p w14:paraId="281CCB4D"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smegenis ar į kaukolės vidų (žr. aukščiau „Kraujavimo požymiai“);</w:t>
      </w:r>
    </w:p>
    <w:p w14:paraId="73B0036A"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sąnarį, sukeliantis skausmą ir tinimą;</w:t>
      </w:r>
    </w:p>
    <w:p w14:paraId="427FED6C" w14:textId="77777777" w:rsidR="007E69FC" w:rsidRPr="007E69FC" w:rsidRDefault="007E69FC" w:rsidP="007E69FC">
      <w:pPr>
        <w:numPr>
          <w:ilvl w:val="0"/>
          <w:numId w:val="20"/>
        </w:numPr>
        <w:tabs>
          <w:tab w:val="left" w:pos="567"/>
        </w:tabs>
        <w:suppressAutoHyphens/>
        <w:spacing w:after="0" w:line="260" w:lineRule="exact"/>
        <w:ind w:left="567" w:right="-29" w:hanging="567"/>
        <w:rPr>
          <w:rFonts w:ascii="Times New Roman" w:eastAsia="Times New Roman" w:hAnsi="Times New Roman" w:cs="Times New Roman"/>
          <w:lang w:eastAsia="pl-PL"/>
        </w:rPr>
      </w:pPr>
      <w:proofErr w:type="spellStart"/>
      <w:r w:rsidRPr="007E69FC">
        <w:rPr>
          <w:rFonts w:ascii="Times New Roman" w:eastAsia="Times New Roman" w:hAnsi="Times New Roman" w:cs="Times New Roman"/>
          <w:lang w:eastAsia="pl-PL"/>
        </w:rPr>
        <w:t>trombocitopenija</w:t>
      </w:r>
      <w:proofErr w:type="spellEnd"/>
      <w:r w:rsidRPr="007E69FC">
        <w:rPr>
          <w:rFonts w:ascii="Times New Roman" w:eastAsia="Times New Roman" w:hAnsi="Times New Roman" w:cs="Times New Roman"/>
          <w:lang w:eastAsia="pl-PL"/>
        </w:rPr>
        <w:t xml:space="preserve"> ( sumažėjęs kraujo plokštelių, kurios padeda kraujyje susidaryti krešuliui, skaičius);</w:t>
      </w:r>
    </w:p>
    <w:p w14:paraId="40C42213"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alerginės reakcijos, įskaitant alergines odos reakcijas;</w:t>
      </w:r>
    </w:p>
    <w:p w14:paraId="3F5C0493" w14:textId="77777777" w:rsidR="007E69FC" w:rsidRPr="007E69FC" w:rsidRDefault="007E69FC" w:rsidP="007E69FC">
      <w:pPr>
        <w:numPr>
          <w:ilvl w:val="0"/>
          <w:numId w:val="20"/>
        </w:numPr>
        <w:tabs>
          <w:tab w:val="left" w:pos="567"/>
        </w:tabs>
        <w:suppressAutoHyphens/>
        <w:spacing w:after="0" w:line="260" w:lineRule="exact"/>
        <w:ind w:right="-29" w:hanging="720"/>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susilpnėjusi kepenų funkcija (gali būti pastebėta Jūsų gydytojo atliktuose tyrimuose);</w:t>
      </w:r>
    </w:p>
    <w:p w14:paraId="482854CB" w14:textId="77777777" w:rsidR="007E69FC" w:rsidRPr="007E69FC" w:rsidRDefault="007E69FC" w:rsidP="007E69FC">
      <w:pPr>
        <w:numPr>
          <w:ilvl w:val="0"/>
          <w:numId w:val="20"/>
        </w:numPr>
        <w:tabs>
          <w:tab w:val="left" w:pos="567"/>
        </w:tabs>
        <w:suppressAutoHyphens/>
        <w:spacing w:after="0" w:line="260" w:lineRule="exact"/>
        <w:ind w:left="567" w:right="-29" w:hanging="567"/>
        <w:contextualSpacing/>
        <w:rPr>
          <w:rFonts w:ascii="Times New Roman" w:eastAsia="Times New Roman" w:hAnsi="Times New Roman" w:cs="Times New Roman"/>
          <w:lang w:eastAsia="pl-PL"/>
        </w:rPr>
      </w:pPr>
      <w:r w:rsidRPr="007E69FC">
        <w:rPr>
          <w:rFonts w:ascii="Times New Roman" w:eastAsia="Times New Roman" w:hAnsi="Times New Roman" w:cs="Times New Roman"/>
          <w:lang w:eastAsia="pl-PL"/>
        </w:rPr>
        <w:lastRenderedPageBreak/>
        <w:t xml:space="preserve">kraujo tyrimai gali rodyti </w:t>
      </w:r>
      <w:proofErr w:type="spellStart"/>
      <w:r w:rsidRPr="007E69FC">
        <w:rPr>
          <w:rFonts w:ascii="Times New Roman" w:eastAsia="Times New Roman" w:hAnsi="Times New Roman" w:cs="Times New Roman"/>
          <w:lang w:eastAsia="pl-PL"/>
        </w:rPr>
        <w:t>bilirubino</w:t>
      </w:r>
      <w:proofErr w:type="spellEnd"/>
      <w:r w:rsidRPr="007E69FC">
        <w:rPr>
          <w:rFonts w:ascii="Times New Roman" w:eastAsia="Times New Roman" w:hAnsi="Times New Roman" w:cs="Times New Roman"/>
          <w:lang w:eastAsia="pl-PL"/>
        </w:rPr>
        <w:t>, kai kurių kasos ar kepenų fermentų kiekio arba trombocitų skaičiaus padidėjimą;</w:t>
      </w:r>
    </w:p>
    <w:p w14:paraId="4E49BDF8" w14:textId="09ACC2A3" w:rsidR="007E69FC" w:rsidRPr="007E69FC" w:rsidRDefault="001D5190"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Pr>
          <w:rFonts w:ascii="Times New Roman" w:eastAsia="Times New Roman" w:hAnsi="Times New Roman" w:cs="Times New Roman"/>
          <w:lang w:eastAsia="pl-PL"/>
        </w:rPr>
        <w:t>ap</w:t>
      </w:r>
      <w:r w:rsidR="007E69FC" w:rsidRPr="007E69FC">
        <w:rPr>
          <w:rFonts w:ascii="Times New Roman" w:eastAsia="Times New Roman" w:hAnsi="Times New Roman" w:cs="Times New Roman"/>
          <w:lang w:eastAsia="pl-PL"/>
        </w:rPr>
        <w:t>alpimas;</w:t>
      </w:r>
    </w:p>
    <w:p w14:paraId="7E09C535"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bloga savijauta;</w:t>
      </w:r>
    </w:p>
    <w:p w14:paraId="57DF7498"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dažnesnis širdies plakimas;</w:t>
      </w:r>
    </w:p>
    <w:p w14:paraId="3288CC41" w14:textId="77777777" w:rsidR="007E69FC" w:rsidRPr="007E69FC" w:rsidRDefault="007E69FC" w:rsidP="007E69FC">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burnos džiūvimas;</w:t>
      </w:r>
    </w:p>
    <w:p w14:paraId="451095B5" w14:textId="77777777" w:rsidR="007E69FC" w:rsidRPr="007E69FC" w:rsidRDefault="007E69FC" w:rsidP="007E69FC">
      <w:pPr>
        <w:numPr>
          <w:ilvl w:val="0"/>
          <w:numId w:val="20"/>
        </w:numPr>
        <w:tabs>
          <w:tab w:val="left" w:pos="567"/>
        </w:tabs>
        <w:suppressAutoHyphens/>
        <w:spacing w:after="0" w:line="260" w:lineRule="exact"/>
        <w:ind w:left="567" w:right="-29"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dilgėlinė.</w:t>
      </w:r>
    </w:p>
    <w:p w14:paraId="284C0E28" w14:textId="77777777" w:rsidR="007E69FC" w:rsidRPr="007E69FC" w:rsidRDefault="007E69FC" w:rsidP="007E69FC">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ab/>
      </w:r>
    </w:p>
    <w:p w14:paraId="08C7E05D" w14:textId="77777777" w:rsidR="007E69FC" w:rsidRPr="007E69FC" w:rsidRDefault="007E69FC" w:rsidP="007E69FC">
      <w:pPr>
        <w:widowControl w:val="0"/>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Reti šalutinio poveikio reiškiniai (gali pasireikšti rečiau kaip 1 iš 1 000 asmenų)</w:t>
      </w:r>
      <w:r w:rsidRPr="007E69FC">
        <w:rPr>
          <w:rFonts w:ascii="Times New Roman" w:eastAsia="Times New Roman" w:hAnsi="Times New Roman" w:cs="Times New Roman"/>
          <w:lang w:eastAsia="pl-PL"/>
        </w:rPr>
        <w:t>:</w:t>
      </w:r>
    </w:p>
    <w:p w14:paraId="76F6FC5D" w14:textId="77E12D69" w:rsidR="007E69FC" w:rsidRPr="007E69FC" w:rsidRDefault="007E69FC" w:rsidP="00CD7C96">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kraujavimas į raumenį;</w:t>
      </w:r>
    </w:p>
    <w:p w14:paraId="7C3C7EE8" w14:textId="77777777" w:rsidR="007E69FC" w:rsidRPr="007E69FC" w:rsidRDefault="007E69FC" w:rsidP="00CD7C96">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proofErr w:type="spellStart"/>
      <w:r w:rsidRPr="007E69FC">
        <w:rPr>
          <w:rFonts w:ascii="Times New Roman" w:eastAsia="Times New Roman" w:hAnsi="Times New Roman" w:cs="Times New Roman"/>
          <w:lang w:eastAsia="pl-PL"/>
        </w:rPr>
        <w:t>cholestazė</w:t>
      </w:r>
      <w:proofErr w:type="spellEnd"/>
      <w:r w:rsidRPr="007E69FC">
        <w:rPr>
          <w:rFonts w:ascii="Times New Roman" w:eastAsia="Times New Roman" w:hAnsi="Times New Roman" w:cs="Times New Roman"/>
          <w:lang w:eastAsia="pl-PL"/>
        </w:rPr>
        <w:t xml:space="preserve"> (sumažėjęs tulžies nutekėjimas), hepatitas, įskaitant </w:t>
      </w:r>
      <w:proofErr w:type="spellStart"/>
      <w:r w:rsidRPr="007E69FC">
        <w:rPr>
          <w:rFonts w:ascii="Times New Roman" w:eastAsia="Times New Roman" w:hAnsi="Times New Roman" w:cs="Times New Roman"/>
          <w:lang w:eastAsia="pl-PL"/>
        </w:rPr>
        <w:t>hepatoceliulinį</w:t>
      </w:r>
      <w:proofErr w:type="spellEnd"/>
      <w:r w:rsidRPr="007E69FC">
        <w:rPr>
          <w:rFonts w:ascii="Times New Roman" w:eastAsia="Times New Roman" w:hAnsi="Times New Roman" w:cs="Times New Roman"/>
          <w:lang w:eastAsia="pl-PL"/>
        </w:rPr>
        <w:t xml:space="preserve"> pakenkimą (kepenų uždegimas, įskaitant kepenų pakenkimą);</w:t>
      </w:r>
    </w:p>
    <w:p w14:paraId="37DD85B0" w14:textId="77777777" w:rsidR="007E69FC" w:rsidRPr="007E69FC" w:rsidRDefault="007E69FC" w:rsidP="00CD7C96">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odos ir akių pageltimas (gelta);</w:t>
      </w:r>
    </w:p>
    <w:p w14:paraId="485E9112" w14:textId="1498017E" w:rsidR="007E69FC" w:rsidRPr="007E69FC" w:rsidRDefault="007E69FC" w:rsidP="00CD7C96">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lokalus patinimas;</w:t>
      </w:r>
    </w:p>
    <w:p w14:paraId="6EF03B19" w14:textId="267E0B6D" w:rsidR="007E69FC" w:rsidRPr="007E69FC" w:rsidRDefault="007E69FC" w:rsidP="00CD7C96">
      <w:pPr>
        <w:numPr>
          <w:ilvl w:val="0"/>
          <w:numId w:val="20"/>
        </w:numPr>
        <w:tabs>
          <w:tab w:val="left" w:pos="567"/>
        </w:tabs>
        <w:suppressAutoHyphens/>
        <w:spacing w:after="0" w:line="260" w:lineRule="exact"/>
        <w:ind w:left="567" w:hanging="567"/>
        <w:rPr>
          <w:rFonts w:ascii="Times New Roman" w:eastAsia="Times New Roman" w:hAnsi="Times New Roman" w:cs="Times New Roman"/>
          <w:lang w:eastAsia="pl-PL"/>
        </w:rPr>
      </w:pPr>
      <w:r w:rsidRPr="007E69FC">
        <w:rPr>
          <w:rFonts w:ascii="Times New Roman" w:eastAsia="Times New Roman" w:hAnsi="Times New Roman" w:cs="Times New Roman"/>
          <w:lang w:eastAsia="pl-PL"/>
        </w:rPr>
        <w:t>kraujo susikaupimas (</w:t>
      </w:r>
      <w:proofErr w:type="spellStart"/>
      <w:r w:rsidRPr="007E69FC">
        <w:rPr>
          <w:rFonts w:ascii="Times New Roman" w:eastAsia="Times New Roman" w:hAnsi="Times New Roman" w:cs="Times New Roman"/>
          <w:lang w:eastAsia="pl-PL"/>
        </w:rPr>
        <w:t>hematoma</w:t>
      </w:r>
      <w:proofErr w:type="spellEnd"/>
      <w:r w:rsidRPr="007E69FC">
        <w:rPr>
          <w:rFonts w:ascii="Times New Roman" w:eastAsia="Times New Roman" w:hAnsi="Times New Roman" w:cs="Times New Roman"/>
          <w:lang w:eastAsia="pl-PL"/>
        </w:rPr>
        <w:t>) kirkšnyje – širdies procedūros, kai į kojos arteriją įstatomas kateteris, komplikacija (</w:t>
      </w:r>
      <w:proofErr w:type="spellStart"/>
      <w:r w:rsidRPr="007E69FC">
        <w:rPr>
          <w:rFonts w:ascii="Times New Roman" w:eastAsia="Times New Roman" w:hAnsi="Times New Roman" w:cs="Times New Roman"/>
          <w:lang w:eastAsia="pl-PL"/>
        </w:rPr>
        <w:t>pseudoaneurizma</w:t>
      </w:r>
      <w:proofErr w:type="spellEnd"/>
      <w:r w:rsidRPr="007E69FC">
        <w:rPr>
          <w:rFonts w:ascii="Times New Roman" w:eastAsia="Times New Roman" w:hAnsi="Times New Roman" w:cs="Times New Roman"/>
          <w:lang w:eastAsia="pl-PL"/>
        </w:rPr>
        <w:t>).</w:t>
      </w:r>
    </w:p>
    <w:p w14:paraId="11182CF0" w14:textId="77777777" w:rsidR="007E69FC" w:rsidRDefault="007E69FC" w:rsidP="007E69FC">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p>
    <w:p w14:paraId="667E3B97" w14:textId="218DEADD" w:rsidR="00CD2979" w:rsidRDefault="00CD2979" w:rsidP="007E69FC">
      <w:pPr>
        <w:widowControl w:val="0"/>
        <w:autoSpaceDE w:val="0"/>
        <w:autoSpaceDN w:val="0"/>
        <w:adjustRightInd w:val="0"/>
        <w:spacing w:after="0" w:line="240" w:lineRule="auto"/>
        <w:ind w:left="567" w:right="-29" w:hanging="567"/>
        <w:rPr>
          <w:rFonts w:ascii="Times New Roman" w:eastAsia="Times New Roman" w:hAnsi="Times New Roman" w:cs="Times New Roman"/>
          <w:b/>
          <w:bCs/>
          <w:noProof/>
          <w:snapToGrid w:val="0"/>
        </w:rPr>
      </w:pPr>
      <w:r w:rsidRPr="00CD2979">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p>
    <w:p w14:paraId="29744014" w14:textId="0DFE29EA" w:rsidR="00CD2979" w:rsidRPr="00CD7C96" w:rsidRDefault="00CD2979" w:rsidP="00CD7C96">
      <w:pPr>
        <w:numPr>
          <w:ilvl w:val="0"/>
          <w:numId w:val="20"/>
        </w:numPr>
        <w:tabs>
          <w:tab w:val="left" w:pos="567"/>
        </w:tabs>
        <w:suppressAutoHyphens/>
        <w:spacing w:after="0" w:line="260" w:lineRule="exact"/>
        <w:ind w:left="567" w:right="-29" w:hanging="567"/>
        <w:rPr>
          <w:rFonts w:ascii="Times New Roman" w:eastAsia="Times New Roman" w:hAnsi="Times New Roman" w:cs="Times New Roman"/>
          <w:lang w:eastAsia="pl-PL"/>
        </w:rPr>
      </w:pPr>
      <w:proofErr w:type="spellStart"/>
      <w:r w:rsidRPr="00CD7C96">
        <w:rPr>
          <w:rFonts w:ascii="Times New Roman" w:eastAsia="Times New Roman" w:hAnsi="Times New Roman" w:cs="Times New Roman"/>
          <w:lang w:eastAsia="pl-PL"/>
        </w:rPr>
        <w:t>eozinofilų</w:t>
      </w:r>
      <w:proofErr w:type="spellEnd"/>
      <w:r w:rsidRPr="00CD7C96">
        <w:rPr>
          <w:rFonts w:ascii="Times New Roman" w:eastAsia="Times New Roman" w:hAnsi="Times New Roman" w:cs="Times New Roman"/>
          <w:lang w:eastAsia="pl-PL"/>
        </w:rPr>
        <w:t xml:space="preserve">, tam tikros rūšies baltųjų </w:t>
      </w:r>
      <w:proofErr w:type="spellStart"/>
      <w:r w:rsidRPr="00CD7C96">
        <w:rPr>
          <w:rFonts w:ascii="Times New Roman" w:eastAsia="Times New Roman" w:hAnsi="Times New Roman" w:cs="Times New Roman"/>
          <w:lang w:eastAsia="pl-PL"/>
        </w:rPr>
        <w:t>granulocitinių</w:t>
      </w:r>
      <w:proofErr w:type="spellEnd"/>
      <w:r w:rsidRPr="00CD7C96">
        <w:rPr>
          <w:rFonts w:ascii="Times New Roman" w:eastAsia="Times New Roman" w:hAnsi="Times New Roman" w:cs="Times New Roman"/>
          <w:lang w:eastAsia="pl-PL"/>
        </w:rPr>
        <w:t xml:space="preserve"> kraujo kūnelių sankaupos, kurios sukelia uždegimą plaučiuose (</w:t>
      </w:r>
      <w:proofErr w:type="spellStart"/>
      <w:r w:rsidRPr="00CD7C96">
        <w:rPr>
          <w:rFonts w:ascii="Times New Roman" w:eastAsia="Times New Roman" w:hAnsi="Times New Roman" w:cs="Times New Roman"/>
          <w:lang w:eastAsia="pl-PL"/>
        </w:rPr>
        <w:t>eozinofilinė</w:t>
      </w:r>
      <w:proofErr w:type="spellEnd"/>
      <w:r w:rsidRPr="00CD7C96">
        <w:rPr>
          <w:rFonts w:ascii="Times New Roman" w:eastAsia="Times New Roman" w:hAnsi="Times New Roman" w:cs="Times New Roman"/>
          <w:lang w:eastAsia="pl-PL"/>
        </w:rPr>
        <w:t xml:space="preserve"> pneumonija).</w:t>
      </w:r>
    </w:p>
    <w:p w14:paraId="2AA5DFBD" w14:textId="77777777" w:rsidR="00CD2979" w:rsidRPr="007E69FC" w:rsidRDefault="00CD2979" w:rsidP="007E69FC">
      <w:pPr>
        <w:widowControl w:val="0"/>
        <w:autoSpaceDE w:val="0"/>
        <w:autoSpaceDN w:val="0"/>
        <w:adjustRightInd w:val="0"/>
        <w:spacing w:after="0" w:line="240" w:lineRule="auto"/>
        <w:ind w:left="567" w:right="-29" w:hanging="567"/>
        <w:rPr>
          <w:rFonts w:ascii="Times New Roman" w:eastAsia="Times New Roman" w:hAnsi="Times New Roman" w:cs="Times New Roman"/>
          <w:lang w:eastAsia="pl-PL"/>
        </w:rPr>
      </w:pPr>
    </w:p>
    <w:p w14:paraId="6780BA98" w14:textId="77777777" w:rsidR="007E69FC" w:rsidRPr="007E69FC" w:rsidRDefault="007E69FC" w:rsidP="007E69FC">
      <w:pPr>
        <w:widowControl w:val="0"/>
        <w:tabs>
          <w:tab w:val="left" w:pos="567"/>
        </w:tabs>
        <w:autoSpaceDE w:val="0"/>
        <w:autoSpaceDN w:val="0"/>
        <w:adjustRightInd w:val="0"/>
        <w:spacing w:after="0" w:line="240" w:lineRule="auto"/>
        <w:ind w:right="-29"/>
        <w:rPr>
          <w:rFonts w:ascii="Times New Roman" w:eastAsia="Times New Roman" w:hAnsi="Times New Roman" w:cs="Times New Roman"/>
          <w:lang w:eastAsia="pl-PL"/>
        </w:rPr>
      </w:pPr>
      <w:r w:rsidRPr="007E69FC">
        <w:rPr>
          <w:rFonts w:ascii="Times New Roman" w:eastAsia="Times New Roman" w:hAnsi="Times New Roman" w:cs="Times New Roman"/>
          <w:b/>
          <w:bCs/>
          <w:snapToGrid w:val="0"/>
          <w:lang w:eastAsia="pl-PL"/>
        </w:rPr>
        <w:t>Šalutinio poveikio reiškiniai, kurių dažnis nežinomas (negali būti apskaičiuotas pagal turimus duomenis)</w:t>
      </w:r>
      <w:r w:rsidRPr="007E69FC">
        <w:rPr>
          <w:rFonts w:ascii="Times New Roman" w:eastAsia="Times New Roman" w:hAnsi="Times New Roman" w:cs="Times New Roman"/>
          <w:lang w:eastAsia="pl-PL"/>
        </w:rPr>
        <w:t>:</w:t>
      </w:r>
    </w:p>
    <w:p w14:paraId="50833707" w14:textId="1FC90DA5" w:rsidR="007E69FC" w:rsidRPr="00F3142B" w:rsidRDefault="007E69FC" w:rsidP="002D5409">
      <w:pPr>
        <w:pStyle w:val="Sraopastraipa"/>
        <w:numPr>
          <w:ilvl w:val="0"/>
          <w:numId w:val="47"/>
        </w:numPr>
        <w:adjustRightInd w:val="0"/>
        <w:ind w:left="567" w:hanging="567"/>
        <w:rPr>
          <w:lang w:eastAsia="pl-PL"/>
        </w:rPr>
      </w:pPr>
      <w:r w:rsidRPr="00F3142B">
        <w:rPr>
          <w:lang w:eastAsia="pl-PL"/>
        </w:rPr>
        <w:t>inkstų nepakankamumas po stipraus kraujavimo;</w:t>
      </w:r>
    </w:p>
    <w:p w14:paraId="3EB37F11" w14:textId="2F3EAAF6" w:rsidR="00F3142B" w:rsidRPr="00F3142B" w:rsidRDefault="00F3142B" w:rsidP="002D5409">
      <w:pPr>
        <w:pStyle w:val="Sraopastraipa"/>
        <w:numPr>
          <w:ilvl w:val="0"/>
          <w:numId w:val="47"/>
        </w:numPr>
        <w:adjustRightInd w:val="0"/>
        <w:ind w:left="567" w:hanging="567"/>
        <w:rPr>
          <w:lang w:eastAsia="pl-PL"/>
        </w:rPr>
      </w:pPr>
      <w:r w:rsidRPr="00F3142B">
        <w:rPr>
          <w:lang w:eastAsia="pl-PL"/>
        </w:rPr>
        <w:t xml:space="preserve">kraujavimas iš inkstų, kartais su krauju šlapime, dėl kurio sutrinka normali inkstų veikla (su antikoaguliantais susijusi </w:t>
      </w:r>
      <w:proofErr w:type="spellStart"/>
      <w:r w:rsidRPr="00F3142B">
        <w:rPr>
          <w:lang w:eastAsia="pl-PL"/>
        </w:rPr>
        <w:t>nefropatija</w:t>
      </w:r>
      <w:proofErr w:type="spellEnd"/>
      <w:r>
        <w:rPr>
          <w:lang w:eastAsia="pl-PL"/>
        </w:rPr>
        <w:t>);</w:t>
      </w:r>
    </w:p>
    <w:p w14:paraId="54E2F144" w14:textId="7F1D2FDB" w:rsidR="007E69FC" w:rsidRPr="007E69FC" w:rsidRDefault="007E69FC" w:rsidP="002D5409">
      <w:pPr>
        <w:pStyle w:val="Sraopastraipa"/>
        <w:numPr>
          <w:ilvl w:val="0"/>
          <w:numId w:val="47"/>
        </w:numPr>
        <w:adjustRightInd w:val="0"/>
        <w:ind w:left="567" w:hanging="567"/>
        <w:rPr>
          <w:lang w:eastAsia="pl-PL"/>
        </w:rPr>
      </w:pPr>
      <w:r w:rsidRPr="007E69FC">
        <w:rPr>
          <w:lang w:eastAsia="pl-PL"/>
        </w:rPr>
        <w:t>padidėjęs spaudimas kojų ar rankų raumenyse po kraujavimo, dėl ko gali skaudėti, tinti, sutrikti jutimas, pasireikšti tirpimas ar paralyžius (suspaudimo sindromas po kraujavimo).</w:t>
      </w:r>
    </w:p>
    <w:p w14:paraId="214EA2DC" w14:textId="77777777" w:rsidR="007E69FC" w:rsidRPr="007E69FC" w:rsidRDefault="007E69FC" w:rsidP="007E69FC">
      <w:pPr>
        <w:widowControl w:val="0"/>
        <w:autoSpaceDE w:val="0"/>
        <w:autoSpaceDN w:val="0"/>
        <w:adjustRightInd w:val="0"/>
        <w:spacing w:after="0" w:line="240" w:lineRule="auto"/>
        <w:ind w:right="-29"/>
        <w:rPr>
          <w:rFonts w:ascii="Times New Roman" w:eastAsia="Times New Roman" w:hAnsi="Times New Roman" w:cs="Times New Roman"/>
          <w:lang w:eastAsia="pl-PL"/>
        </w:rPr>
      </w:pPr>
    </w:p>
    <w:p w14:paraId="60CA8DA3" w14:textId="77777777" w:rsidR="007E69FC" w:rsidRPr="007E69FC" w:rsidRDefault="007E69FC" w:rsidP="007E69FC">
      <w:pPr>
        <w:tabs>
          <w:tab w:val="left" w:pos="567"/>
        </w:tabs>
        <w:snapToGrid w:val="0"/>
        <w:spacing w:after="0" w:line="240" w:lineRule="auto"/>
        <w:outlineLvl w:val="0"/>
        <w:rPr>
          <w:rFonts w:ascii="Times New Roman" w:eastAsia="Times New Roman" w:hAnsi="Times New Roman" w:cs="Times New Roman"/>
          <w:b/>
        </w:rPr>
      </w:pPr>
      <w:r w:rsidRPr="007E69FC">
        <w:rPr>
          <w:rFonts w:ascii="Times New Roman" w:eastAsia="Times New Roman" w:hAnsi="Times New Roman" w:cs="Times New Roman"/>
          <w:b/>
        </w:rPr>
        <w:t>Pranešimas apie šalutinį poveikį</w:t>
      </w:r>
    </w:p>
    <w:p w14:paraId="55A89D80" w14:textId="77777777" w:rsidR="007E69FC" w:rsidRPr="007E69FC" w:rsidRDefault="007E69FC" w:rsidP="007E69FC">
      <w:pPr>
        <w:tabs>
          <w:tab w:val="left" w:pos="567"/>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color w:val="000000"/>
        </w:rPr>
        <w:t xml:space="preserve">Jeigu pasireiškė šalutinis poveikis, įskaitant šiame lapelyje nenurodytą, pasakykite gydytojui arba vaistininkui. </w:t>
      </w:r>
      <w:r w:rsidRPr="007E69FC">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7E69FC">
          <w:rPr>
            <w:rFonts w:ascii="Times New Roman" w:eastAsia="Times New Roman" w:hAnsi="Times New Roman" w:cs="Times New Roman"/>
            <w:snapToGrid w:val="0"/>
            <w:color w:val="0000FF"/>
            <w:u w:val="single"/>
          </w:rPr>
          <w:t>https://vapris.vvkt.lt/vvkt-web/public/nrv</w:t>
        </w:r>
      </w:hyperlink>
      <w:r w:rsidRPr="007E69FC">
        <w:rPr>
          <w:rFonts w:ascii="Times New Roman" w:eastAsia="Times New Roman" w:hAnsi="Times New Roman" w:cs="Times New Roman"/>
          <w:snapToGrid w:val="0"/>
        </w:rPr>
        <w:t xml:space="preserve"> arba užpildant Paciento pranešimo apie įtariamą nepageidaujamą reakciją (ĮNR) formą, kuri skelbiama </w:t>
      </w:r>
      <w:hyperlink r:id="rId20" w:history="1">
        <w:r w:rsidRPr="007E69FC">
          <w:rPr>
            <w:rFonts w:ascii="Times New Roman" w:eastAsia="Times New Roman" w:hAnsi="Times New Roman" w:cs="Times New Roman"/>
            <w:snapToGrid w:val="0"/>
            <w:color w:val="0000FF"/>
            <w:u w:val="single"/>
          </w:rPr>
          <w:t>https://www.vvkt.lt/index.php?4004286486</w:t>
        </w:r>
      </w:hyperlink>
      <w:r w:rsidRPr="007E69FC">
        <w:rPr>
          <w:rFonts w:ascii="Times New Roman" w:eastAsia="Times New Roman" w:hAnsi="Times New Roman" w:cs="Times New Roman"/>
          <w:snapToGrid w:val="0"/>
        </w:rPr>
        <w:t xml:space="preserve">, ir atsiunčiant elektroniniu paštu (adresu </w:t>
      </w:r>
      <w:hyperlink r:id="rId21" w:history="1">
        <w:r w:rsidRPr="007E69FC">
          <w:rPr>
            <w:rFonts w:ascii="Times New Roman" w:eastAsia="Times New Roman" w:hAnsi="Times New Roman" w:cs="Times New Roman"/>
            <w:snapToGrid w:val="0"/>
            <w:color w:val="0000FF"/>
            <w:u w:val="single"/>
          </w:rPr>
          <w:t>NepageidaujamaR@vvkt.lt</w:t>
        </w:r>
      </w:hyperlink>
      <w:r w:rsidRPr="007E69FC">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40AF17EF" w14:textId="1DA7E510" w:rsidR="007E69FC" w:rsidRDefault="007E69FC" w:rsidP="007E69FC">
      <w:pPr>
        <w:tabs>
          <w:tab w:val="left" w:pos="567"/>
        </w:tabs>
        <w:snapToGrid w:val="0"/>
        <w:spacing w:after="0" w:line="240" w:lineRule="auto"/>
        <w:rPr>
          <w:rFonts w:ascii="Times New Roman" w:eastAsia="Times New Roman" w:hAnsi="Times New Roman" w:cs="Times New Roman"/>
        </w:rPr>
      </w:pPr>
    </w:p>
    <w:p w14:paraId="4D0B4A10" w14:textId="77777777" w:rsidR="003001AF" w:rsidRPr="007E69FC" w:rsidRDefault="003001AF" w:rsidP="007E69FC">
      <w:pPr>
        <w:tabs>
          <w:tab w:val="left" w:pos="567"/>
        </w:tabs>
        <w:snapToGrid w:val="0"/>
        <w:spacing w:after="0" w:line="240" w:lineRule="auto"/>
        <w:rPr>
          <w:rFonts w:ascii="Times New Roman" w:eastAsia="Times New Roman" w:hAnsi="Times New Roman" w:cs="Times New Roman"/>
        </w:rPr>
      </w:pPr>
    </w:p>
    <w:p w14:paraId="1835FCE6" w14:textId="21BE246A" w:rsidR="007E69FC" w:rsidRPr="007E69FC" w:rsidRDefault="007E69FC" w:rsidP="007E69FC">
      <w:pPr>
        <w:widowControl w:val="0"/>
        <w:numPr>
          <w:ilvl w:val="0"/>
          <w:numId w:val="33"/>
        </w:numPr>
        <w:autoSpaceDE w:val="0"/>
        <w:autoSpaceDN w:val="0"/>
        <w:adjustRightInd w:val="0"/>
        <w:spacing w:after="0" w:line="240" w:lineRule="auto"/>
        <w:ind w:left="567" w:hanging="567"/>
        <w:contextualSpacing/>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 xml:space="preserve">Kaip laikyti </w:t>
      </w:r>
      <w:r w:rsidR="005A3031">
        <w:rPr>
          <w:rFonts w:ascii="Times New Roman" w:eastAsia="Times New Roman" w:hAnsi="Times New Roman" w:cs="Times New Roman"/>
          <w:b/>
          <w:lang w:eastAsia="pl-PL"/>
        </w:rPr>
        <w:t>Xiltess</w:t>
      </w:r>
    </w:p>
    <w:p w14:paraId="6A33CB8F"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60151C24"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Šį vaistą laikykite vaikams nepastebimoje ir nepasiekiamoje vietoje.</w:t>
      </w:r>
    </w:p>
    <w:p w14:paraId="24E58033"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1373E651"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60577755"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1689E3C7"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color w:val="000000"/>
          <w:lang w:eastAsia="lt-LT" w:bidi="lt-LT"/>
        </w:rPr>
      </w:pPr>
      <w:r w:rsidRPr="007E69FC">
        <w:rPr>
          <w:rFonts w:ascii="Times New Roman" w:eastAsia="Times New Roman" w:hAnsi="Times New Roman" w:cs="Times New Roman"/>
          <w:color w:val="000000"/>
          <w:lang w:eastAsia="lt-LT" w:bidi="lt-LT"/>
        </w:rPr>
        <w:t>Laikyti gamintojo pakuotėje, kad vaistas būtų apsaugotas nuo drėgmės.</w:t>
      </w:r>
    </w:p>
    <w:p w14:paraId="42F41259"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Šio vaisto laikymui specialių temperatūros sąlygų nereikalaujama.</w:t>
      </w:r>
    </w:p>
    <w:p w14:paraId="2870BDFF" w14:textId="77777777" w:rsidR="007E69FC" w:rsidRPr="007E69FC" w:rsidRDefault="007E69FC" w:rsidP="007E69FC">
      <w:pPr>
        <w:tabs>
          <w:tab w:val="left" w:pos="720"/>
        </w:tabs>
        <w:snapToGrid w:val="0"/>
        <w:spacing w:after="0" w:line="240" w:lineRule="auto"/>
        <w:ind w:right="-2"/>
        <w:rPr>
          <w:rFonts w:ascii="Times New Roman" w:eastAsia="Times New Roman" w:hAnsi="Times New Roman" w:cs="Times New Roman"/>
          <w:u w:val="single"/>
        </w:rPr>
      </w:pPr>
    </w:p>
    <w:p w14:paraId="08359510" w14:textId="77777777" w:rsidR="007E69FC" w:rsidRPr="007E69FC" w:rsidRDefault="007E69FC" w:rsidP="007E69FC">
      <w:pPr>
        <w:tabs>
          <w:tab w:val="left" w:pos="720"/>
        </w:tabs>
        <w:snapToGrid w:val="0"/>
        <w:spacing w:after="0" w:line="240" w:lineRule="auto"/>
        <w:ind w:right="-2"/>
        <w:rPr>
          <w:rFonts w:ascii="Times New Roman" w:eastAsia="Times New Roman" w:hAnsi="Times New Roman" w:cs="Times New Roman"/>
          <w:u w:val="single"/>
        </w:rPr>
      </w:pPr>
      <w:r w:rsidRPr="007E69FC">
        <w:rPr>
          <w:rFonts w:ascii="Times New Roman" w:eastAsia="Times New Roman" w:hAnsi="Times New Roman" w:cs="Times New Roman"/>
          <w:u w:val="single"/>
        </w:rPr>
        <w:t>Sutraiškytos tabletės</w:t>
      </w:r>
    </w:p>
    <w:p w14:paraId="0AA44DD9" w14:textId="77777777" w:rsidR="007E69FC" w:rsidRPr="007E69FC" w:rsidRDefault="007E69FC" w:rsidP="007E69FC">
      <w:pPr>
        <w:tabs>
          <w:tab w:val="left" w:pos="720"/>
        </w:tabs>
        <w:snapToGrid w:val="0"/>
        <w:spacing w:after="0" w:line="240" w:lineRule="auto"/>
        <w:ind w:right="-2"/>
        <w:rPr>
          <w:rFonts w:ascii="Times New Roman" w:eastAsia="Times New Roman" w:hAnsi="Times New Roman" w:cs="Times New Roman"/>
        </w:rPr>
      </w:pPr>
      <w:r w:rsidRPr="007E69FC">
        <w:rPr>
          <w:rFonts w:ascii="Times New Roman" w:eastAsia="Times New Roman" w:hAnsi="Times New Roman" w:cs="Times New Roman"/>
        </w:rPr>
        <w:t>Sutraiškytos tabletės išlieka stabilios vandenyje arba obuolių tyrėje iki 4 valandų.</w:t>
      </w:r>
    </w:p>
    <w:p w14:paraId="5C4B38CD" w14:textId="77777777" w:rsidR="007E69FC" w:rsidRPr="007E69FC" w:rsidRDefault="007E69FC" w:rsidP="007E69FC">
      <w:pPr>
        <w:tabs>
          <w:tab w:val="left" w:pos="720"/>
        </w:tabs>
        <w:snapToGrid w:val="0"/>
        <w:spacing w:after="0" w:line="240" w:lineRule="auto"/>
        <w:ind w:right="-2"/>
        <w:rPr>
          <w:rFonts w:ascii="Times New Roman" w:eastAsia="Times New Roman" w:hAnsi="Times New Roman" w:cs="Times New Roman"/>
        </w:rPr>
      </w:pPr>
    </w:p>
    <w:p w14:paraId="4CCEE870"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i/>
          <w:iCs/>
          <w:color w:val="000000"/>
          <w:lang w:eastAsia="lt-LT" w:bidi="lt-LT"/>
        </w:rPr>
      </w:pPr>
      <w:r w:rsidRPr="007E69FC">
        <w:rPr>
          <w:rFonts w:ascii="Times New Roman" w:eastAsia="Times New Roman" w:hAnsi="Times New Roman" w:cs="Times New Roman"/>
          <w:color w:val="000000"/>
          <w:lang w:eastAsia="lt-LT" w:bidi="lt-LT"/>
        </w:rPr>
        <w:t>Vaistų negalima išmesti į kanalizaciją arba su buitinėmis atliekomis. Kaip išmesti nereikalingus vaistus, klauskite vaistininko. Šios priemonės padės apsaugoti aplinką.</w:t>
      </w:r>
    </w:p>
    <w:p w14:paraId="38B7F3F8"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04173E6C"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0AC27A19" w14:textId="77777777" w:rsidR="007E69FC" w:rsidRPr="007E69FC" w:rsidRDefault="007E69FC" w:rsidP="007E69FC">
      <w:pPr>
        <w:widowControl w:val="0"/>
        <w:numPr>
          <w:ilvl w:val="0"/>
          <w:numId w:val="33"/>
        </w:numPr>
        <w:autoSpaceDE w:val="0"/>
        <w:autoSpaceDN w:val="0"/>
        <w:adjustRightInd w:val="0"/>
        <w:spacing w:after="0" w:line="240" w:lineRule="auto"/>
        <w:ind w:left="567" w:hanging="567"/>
        <w:contextualSpacing/>
        <w:rPr>
          <w:rFonts w:ascii="Times New Roman" w:eastAsia="Times New Roman" w:hAnsi="Times New Roman" w:cs="Times New Roman"/>
          <w:b/>
          <w:lang w:eastAsia="pl-PL"/>
        </w:rPr>
      </w:pPr>
      <w:r w:rsidRPr="007E69FC">
        <w:rPr>
          <w:rFonts w:ascii="Times New Roman" w:eastAsia="Times New Roman" w:hAnsi="Times New Roman" w:cs="Times New Roman"/>
          <w:b/>
          <w:lang w:eastAsia="pl-PL"/>
        </w:rPr>
        <w:t>Pakuotės turinys ir kita informacija</w:t>
      </w:r>
    </w:p>
    <w:p w14:paraId="61D2C1C9" w14:textId="77777777" w:rsidR="007E69FC" w:rsidRPr="007E69FC" w:rsidRDefault="007E69FC" w:rsidP="007E69FC">
      <w:pPr>
        <w:keepNext/>
        <w:tabs>
          <w:tab w:val="left" w:pos="720"/>
        </w:tabs>
        <w:snapToGrid w:val="0"/>
        <w:spacing w:after="0" w:line="240" w:lineRule="auto"/>
        <w:rPr>
          <w:rFonts w:ascii="Times New Roman" w:eastAsia="Times New Roman" w:hAnsi="Times New Roman" w:cs="Times New Roman"/>
        </w:rPr>
      </w:pPr>
    </w:p>
    <w:p w14:paraId="6D611867" w14:textId="6EBBECC4" w:rsidR="007E69FC" w:rsidRPr="007E69FC" w:rsidRDefault="005A3031" w:rsidP="007E69FC">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007E69FC" w:rsidRPr="007E69FC">
        <w:rPr>
          <w:rFonts w:ascii="Times New Roman" w:eastAsia="Times New Roman" w:hAnsi="Times New Roman" w:cs="Times New Roman"/>
          <w:b/>
        </w:rPr>
        <w:t xml:space="preserve"> sudėtis </w:t>
      </w:r>
    </w:p>
    <w:p w14:paraId="40F22632" w14:textId="77777777" w:rsidR="007E69FC" w:rsidRPr="007E69FC" w:rsidRDefault="007E69FC" w:rsidP="007E69FC">
      <w:pPr>
        <w:keepNext/>
        <w:numPr>
          <w:ilvl w:val="0"/>
          <w:numId w:val="31"/>
        </w:numPr>
        <w:tabs>
          <w:tab w:val="left" w:pos="720"/>
        </w:tabs>
        <w:snapToGrid w:val="0"/>
        <w:spacing w:after="0" w:line="240" w:lineRule="auto"/>
        <w:ind w:left="567" w:hanging="567"/>
        <w:rPr>
          <w:rFonts w:ascii="Times New Roman" w:eastAsia="Times New Roman" w:hAnsi="Times New Roman" w:cs="Times New Roman"/>
          <w:i/>
          <w:iCs/>
        </w:rPr>
      </w:pPr>
      <w:r w:rsidRPr="007E69FC">
        <w:rPr>
          <w:rFonts w:ascii="Times New Roman" w:eastAsia="Times New Roman" w:hAnsi="Times New Roman" w:cs="Times New Roman"/>
        </w:rPr>
        <w:t>Veiklioji  medžiaga yra rivaroksabanas. Kiekvienoje plėvele dengtoje tabletėje yra 2,5 mg rivaroksabano.</w:t>
      </w:r>
    </w:p>
    <w:p w14:paraId="24B032E5" w14:textId="77777777" w:rsidR="007E69FC" w:rsidRPr="007E69FC" w:rsidRDefault="007E69FC" w:rsidP="007E69FC">
      <w:pPr>
        <w:keepNext/>
        <w:numPr>
          <w:ilvl w:val="0"/>
          <w:numId w:val="31"/>
        </w:numPr>
        <w:tabs>
          <w:tab w:val="left" w:pos="720"/>
        </w:tabs>
        <w:snapToGrid w:val="0"/>
        <w:spacing w:after="0" w:line="240" w:lineRule="auto"/>
        <w:ind w:left="567" w:hanging="567"/>
        <w:rPr>
          <w:rFonts w:ascii="Times New Roman" w:eastAsia="Times New Roman" w:hAnsi="Times New Roman" w:cs="Times New Roman"/>
        </w:rPr>
      </w:pPr>
      <w:r w:rsidRPr="007E69FC">
        <w:rPr>
          <w:rFonts w:ascii="Times New Roman" w:eastAsia="Times New Roman" w:hAnsi="Times New Roman" w:cs="Times New Roman"/>
        </w:rPr>
        <w:t>Pagalbinės medžiagos yra:</w:t>
      </w:r>
    </w:p>
    <w:p w14:paraId="169D2FCB" w14:textId="3F5AE8F5" w:rsidR="007E69FC" w:rsidRPr="007E69FC" w:rsidRDefault="007E69FC" w:rsidP="007E69FC">
      <w:pPr>
        <w:numPr>
          <w:ilvl w:val="0"/>
          <w:numId w:val="32"/>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7E69FC">
        <w:rPr>
          <w:rFonts w:ascii="Times New Roman" w:eastAsia="Times New Roman" w:hAnsi="Times New Roman" w:cs="Times New Roman"/>
          <w:lang w:eastAsia="lt-LT" w:bidi="lt-LT"/>
        </w:rPr>
        <w:t xml:space="preserve">tabletės šerdis: </w:t>
      </w:r>
      <w:proofErr w:type="spellStart"/>
      <w:r w:rsidRPr="007E69FC">
        <w:rPr>
          <w:rFonts w:ascii="Times New Roman" w:eastAsia="Times New Roman" w:hAnsi="Times New Roman" w:cs="Times New Roman"/>
          <w:lang w:eastAsia="lt-LT" w:bidi="lt-LT"/>
        </w:rPr>
        <w:t>mikrokristalinė</w:t>
      </w:r>
      <w:proofErr w:type="spellEnd"/>
      <w:r w:rsidRPr="007E69FC">
        <w:rPr>
          <w:rFonts w:ascii="Times New Roman" w:eastAsia="Times New Roman" w:hAnsi="Times New Roman" w:cs="Times New Roman"/>
          <w:lang w:eastAsia="lt-LT" w:bidi="lt-LT"/>
        </w:rPr>
        <w:t xml:space="preserve"> celiuliozė, </w:t>
      </w:r>
      <w:proofErr w:type="spellStart"/>
      <w:r w:rsidRPr="007E69FC">
        <w:rPr>
          <w:rFonts w:ascii="Times New Roman" w:eastAsia="Times New Roman" w:hAnsi="Times New Roman" w:cs="Times New Roman"/>
          <w:lang w:eastAsia="lt-LT" w:bidi="lt-LT"/>
        </w:rPr>
        <w:t>kroskarmeliozės</w:t>
      </w:r>
      <w:proofErr w:type="spellEnd"/>
      <w:r w:rsidRPr="007E69FC">
        <w:rPr>
          <w:rFonts w:ascii="Times New Roman" w:eastAsia="Times New Roman" w:hAnsi="Times New Roman" w:cs="Times New Roman"/>
          <w:lang w:eastAsia="lt-LT" w:bidi="lt-LT"/>
        </w:rPr>
        <w:t xml:space="preserve"> natrio druska, </w:t>
      </w:r>
      <w:proofErr w:type="spellStart"/>
      <w:r w:rsidRPr="007E69FC">
        <w:rPr>
          <w:rFonts w:ascii="Times New Roman" w:eastAsia="Times New Roman" w:hAnsi="Times New Roman" w:cs="Times New Roman"/>
          <w:lang w:eastAsia="lt-LT" w:bidi="lt-LT"/>
        </w:rPr>
        <w:t>hidroksipropilceliuliozė</w:t>
      </w:r>
      <w:proofErr w:type="spellEnd"/>
      <w:r w:rsidRPr="007E69FC">
        <w:rPr>
          <w:rFonts w:ascii="Times New Roman" w:eastAsia="Times New Roman" w:hAnsi="Times New Roman" w:cs="Times New Roman"/>
          <w:lang w:eastAsia="lt-LT" w:bidi="lt-LT"/>
        </w:rPr>
        <w:t xml:space="preserve">, natrio </w:t>
      </w:r>
      <w:proofErr w:type="spellStart"/>
      <w:r w:rsidRPr="007E69FC">
        <w:rPr>
          <w:rFonts w:ascii="Times New Roman" w:eastAsia="Times New Roman" w:hAnsi="Times New Roman" w:cs="Times New Roman"/>
          <w:lang w:eastAsia="lt-LT" w:bidi="lt-LT"/>
        </w:rPr>
        <w:t>laurilsulfatas</w:t>
      </w:r>
      <w:proofErr w:type="spellEnd"/>
      <w:r w:rsidRPr="007E69FC">
        <w:rPr>
          <w:rFonts w:ascii="Times New Roman" w:eastAsia="Times New Roman" w:hAnsi="Times New Roman" w:cs="Times New Roman"/>
          <w:lang w:eastAsia="lt-LT" w:bidi="lt-LT"/>
        </w:rPr>
        <w:t xml:space="preserve">,  magnio </w:t>
      </w:r>
      <w:proofErr w:type="spellStart"/>
      <w:r w:rsidRPr="007E69FC">
        <w:rPr>
          <w:rFonts w:ascii="Times New Roman" w:eastAsia="Times New Roman" w:hAnsi="Times New Roman" w:cs="Times New Roman"/>
          <w:lang w:eastAsia="lt-LT" w:bidi="lt-LT"/>
        </w:rPr>
        <w:t>stearatas</w:t>
      </w:r>
      <w:proofErr w:type="spellEnd"/>
      <w:r w:rsidRPr="007E69FC">
        <w:rPr>
          <w:rFonts w:ascii="Times New Roman" w:eastAsia="Times New Roman" w:hAnsi="Times New Roman" w:cs="Times New Roman"/>
          <w:lang w:eastAsia="lt-LT" w:bidi="lt-LT"/>
        </w:rPr>
        <w:t>, koloidinis silicio dioksidas, bevandenis.</w:t>
      </w:r>
    </w:p>
    <w:p w14:paraId="273F45DB" w14:textId="3C8D25D6" w:rsidR="007E69FC" w:rsidRPr="007E69FC" w:rsidRDefault="007E69FC" w:rsidP="007E69FC">
      <w:pPr>
        <w:numPr>
          <w:ilvl w:val="0"/>
          <w:numId w:val="32"/>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7E69FC">
        <w:rPr>
          <w:rFonts w:ascii="Times New Roman" w:eastAsia="Times New Roman" w:hAnsi="Times New Roman" w:cs="Times New Roman"/>
          <w:lang w:eastAsia="lt-LT" w:bidi="lt-LT"/>
        </w:rPr>
        <w:t xml:space="preserve">plėvelė: </w:t>
      </w:r>
      <w:proofErr w:type="spellStart"/>
      <w:r w:rsidRPr="007E69FC">
        <w:rPr>
          <w:rFonts w:ascii="Times New Roman" w:eastAsia="Times New Roman" w:hAnsi="Times New Roman" w:cs="Times New Roman"/>
          <w:lang w:eastAsia="lt-LT" w:bidi="lt-LT"/>
        </w:rPr>
        <w:t>hipromeliozė</w:t>
      </w:r>
      <w:proofErr w:type="spellEnd"/>
      <w:r w:rsidRPr="007E69FC">
        <w:rPr>
          <w:rFonts w:ascii="Times New Roman" w:eastAsia="Times New Roman" w:hAnsi="Times New Roman" w:cs="Times New Roman"/>
          <w:lang w:eastAsia="lt-LT" w:bidi="lt-LT"/>
        </w:rPr>
        <w:t xml:space="preserve"> 3 </w:t>
      </w:r>
      <w:proofErr w:type="spellStart"/>
      <w:r w:rsidRPr="007E69FC">
        <w:rPr>
          <w:rFonts w:ascii="Times New Roman" w:eastAsia="Times New Roman" w:hAnsi="Times New Roman" w:cs="Times New Roman"/>
          <w:lang w:eastAsia="lt-LT" w:bidi="lt-LT"/>
        </w:rPr>
        <w:t>cPs</w:t>
      </w:r>
      <w:proofErr w:type="spellEnd"/>
      <w:r w:rsidRPr="007E69FC">
        <w:rPr>
          <w:rFonts w:ascii="Times New Roman" w:eastAsia="Times New Roman" w:hAnsi="Times New Roman" w:cs="Times New Roman"/>
          <w:lang w:eastAsia="lt-LT" w:bidi="lt-LT"/>
        </w:rPr>
        <w:t xml:space="preserve"> (E464), makrogolis 3350 (E1521), talkas (E553b),</w:t>
      </w:r>
      <w:r w:rsidR="00A576A2">
        <w:rPr>
          <w:rFonts w:ascii="Times New Roman" w:eastAsia="Times New Roman" w:hAnsi="Times New Roman" w:cs="Times New Roman"/>
          <w:lang w:eastAsia="lt-LT" w:bidi="lt-LT"/>
        </w:rPr>
        <w:t xml:space="preserve"> </w:t>
      </w:r>
      <w:r w:rsidRPr="007E69FC">
        <w:rPr>
          <w:rFonts w:ascii="Times New Roman" w:eastAsia="Times New Roman" w:hAnsi="Times New Roman" w:cs="Times New Roman"/>
          <w:lang w:eastAsia="lt-LT" w:bidi="lt-LT"/>
        </w:rPr>
        <w:t>titano dioksidas (E171), raudonasis geležies oksidas (E172).</w:t>
      </w:r>
    </w:p>
    <w:p w14:paraId="4167A47F"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401E6FFB" w14:textId="055502B0" w:rsidR="007E69FC" w:rsidRPr="007E69FC" w:rsidRDefault="005A3031" w:rsidP="007E69FC">
      <w:pPr>
        <w:tabs>
          <w:tab w:val="left" w:pos="720"/>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Xiltess</w:t>
      </w:r>
      <w:r w:rsidR="007E69FC" w:rsidRPr="007E69FC">
        <w:rPr>
          <w:rFonts w:ascii="Times New Roman" w:eastAsia="Times New Roman" w:hAnsi="Times New Roman" w:cs="Times New Roman"/>
          <w:b/>
        </w:rPr>
        <w:t xml:space="preserve"> išvaizda ir kiekis pakuotėje</w:t>
      </w:r>
    </w:p>
    <w:p w14:paraId="6ABAD3D6"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1C5DA8EA" w14:textId="101FCE6E" w:rsidR="007E69FC" w:rsidRPr="007E69FC" w:rsidRDefault="005A3031" w:rsidP="007E69FC">
      <w:pPr>
        <w:tabs>
          <w:tab w:val="left" w:pos="720"/>
        </w:tabs>
        <w:snapToGrid w:val="0"/>
        <w:spacing w:after="0" w:line="240" w:lineRule="auto"/>
        <w:rPr>
          <w:rFonts w:ascii="Times New Roman" w:eastAsia="Times New Roman" w:hAnsi="Times New Roman" w:cs="Times New Roman"/>
        </w:rPr>
      </w:pPr>
      <w:r w:rsidRPr="006C1D08">
        <w:rPr>
          <w:rFonts w:ascii="Times New Roman" w:eastAsia="Times New Roman" w:hAnsi="Times New Roman" w:cs="Times New Roman"/>
        </w:rPr>
        <w:t>Xiltess</w:t>
      </w:r>
      <w:r w:rsidR="007E69FC" w:rsidRPr="006C1D08">
        <w:rPr>
          <w:rFonts w:ascii="Times New Roman" w:eastAsia="Times New Roman" w:hAnsi="Times New Roman" w:cs="Times New Roman"/>
        </w:rPr>
        <w:t xml:space="preserve"> 2,5 mg plėvele dengtos tabletės</w:t>
      </w:r>
      <w:r w:rsidR="0032412F">
        <w:rPr>
          <w:rFonts w:ascii="Times New Roman" w:eastAsia="Times New Roman" w:hAnsi="Times New Roman" w:cs="Times New Roman"/>
        </w:rPr>
        <w:t xml:space="preserve"> </w:t>
      </w:r>
      <w:r w:rsidR="00514880">
        <w:rPr>
          <w:rFonts w:ascii="Times New Roman" w:eastAsia="Times New Roman" w:hAnsi="Times New Roman" w:cs="Times New Roman"/>
        </w:rPr>
        <w:t xml:space="preserve">yra </w:t>
      </w:r>
      <w:r w:rsidR="007E69FC" w:rsidRPr="007E69FC">
        <w:rPr>
          <w:rFonts w:ascii="Times New Roman" w:eastAsia="Times New Roman" w:hAnsi="Times New Roman" w:cs="Times New Roman"/>
        </w:rPr>
        <w:t xml:space="preserve">apvalios, abipus išgaubtos, rožinės </w:t>
      </w:r>
      <w:r w:rsidR="00485E18">
        <w:rPr>
          <w:rFonts w:ascii="Times New Roman" w:eastAsia="Times New Roman" w:hAnsi="Times New Roman" w:cs="Times New Roman"/>
        </w:rPr>
        <w:t xml:space="preserve">spalvos </w:t>
      </w:r>
      <w:r w:rsidR="007E69FC" w:rsidRPr="007E69FC">
        <w:rPr>
          <w:rFonts w:ascii="Times New Roman" w:eastAsia="Times New Roman" w:hAnsi="Times New Roman" w:cs="Times New Roman"/>
        </w:rPr>
        <w:t>plėvele dengtos tabletės, maždaug 8,1</w:t>
      </w:r>
      <w:r w:rsidR="00514880">
        <w:rPr>
          <w:rFonts w:ascii="Times New Roman" w:eastAsia="Times New Roman" w:hAnsi="Times New Roman" w:cs="Times New Roman"/>
        </w:rPr>
        <w:t> </w:t>
      </w:r>
      <w:r w:rsidR="007E69FC" w:rsidRPr="007E69FC">
        <w:rPr>
          <w:rFonts w:ascii="Times New Roman" w:eastAsia="Times New Roman" w:hAnsi="Times New Roman" w:cs="Times New Roman"/>
        </w:rPr>
        <w:t>mm skersmens, su užrašu E841 vienoje pusėje, kita pusė lygi.</w:t>
      </w:r>
    </w:p>
    <w:p w14:paraId="5025C943"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b/>
          <w:bCs/>
        </w:rPr>
      </w:pPr>
    </w:p>
    <w:p w14:paraId="54A6E847"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OPA/Al/PVC//Al</w:t>
      </w:r>
      <w:r w:rsidRPr="007E69FC">
        <w:rPr>
          <w:rFonts w:ascii="Times New Roman" w:eastAsia="Times New Roman" w:hAnsi="Times New Roman" w:cs="Times New Roman"/>
          <w:b/>
          <w:bCs/>
        </w:rPr>
        <w:t xml:space="preserve"> </w:t>
      </w:r>
      <w:r w:rsidRPr="007E69FC">
        <w:rPr>
          <w:rFonts w:ascii="Times New Roman" w:eastAsia="Times New Roman" w:hAnsi="Times New Roman" w:cs="Times New Roman"/>
        </w:rPr>
        <w:t>lizdinės plokštelės sulankstomose kartono dėžutėse po 56, 98 arba 100 plėvele dengtų tablečių.</w:t>
      </w:r>
    </w:p>
    <w:p w14:paraId="2229DCF0" w14:textId="77777777" w:rsidR="007E69FC" w:rsidRPr="007E69FC" w:rsidRDefault="007E69FC" w:rsidP="007E69FC">
      <w:pPr>
        <w:tabs>
          <w:tab w:val="left" w:pos="567"/>
        </w:tabs>
        <w:snapToGrid w:val="0"/>
        <w:spacing w:after="0" w:line="240" w:lineRule="auto"/>
        <w:rPr>
          <w:rFonts w:ascii="Times New Roman" w:eastAsia="Calibri" w:hAnsi="Times New Roman" w:cs="Times New Roman"/>
          <w:bCs/>
          <w:iCs/>
        </w:rPr>
      </w:pPr>
    </w:p>
    <w:p w14:paraId="3B0DA14E" w14:textId="77777777" w:rsidR="007E69FC" w:rsidRPr="007E69FC" w:rsidRDefault="007E69FC" w:rsidP="007E69FC">
      <w:pPr>
        <w:tabs>
          <w:tab w:val="left" w:pos="567"/>
        </w:tabs>
        <w:snapToGrid w:val="0"/>
        <w:spacing w:after="0" w:line="240" w:lineRule="auto"/>
        <w:rPr>
          <w:rFonts w:ascii="Times New Roman" w:eastAsia="Calibri" w:hAnsi="Times New Roman" w:cs="Times New Roman"/>
          <w:bCs/>
          <w:iCs/>
        </w:rPr>
      </w:pPr>
      <w:r w:rsidRPr="007E69FC">
        <w:rPr>
          <w:rFonts w:ascii="Times New Roman" w:eastAsia="Calibri" w:hAnsi="Times New Roman" w:cs="Times New Roman"/>
          <w:bCs/>
          <w:iCs/>
        </w:rPr>
        <w:t xml:space="preserve">Vienoje lizdinėje plokštelė yra 10 arba 14 plėvele dengtų tablečių, priklausomai nuo pakuotės dydžio. </w:t>
      </w:r>
    </w:p>
    <w:p w14:paraId="14F1F711" w14:textId="77777777" w:rsidR="007E69FC" w:rsidRPr="007E69FC" w:rsidRDefault="007E69FC" w:rsidP="007E69FC">
      <w:pPr>
        <w:tabs>
          <w:tab w:val="left" w:pos="567"/>
        </w:tabs>
        <w:snapToGrid w:val="0"/>
        <w:spacing w:after="0" w:line="240" w:lineRule="auto"/>
        <w:rPr>
          <w:rFonts w:ascii="Times New Roman" w:eastAsia="Calibri" w:hAnsi="Times New Roman" w:cs="Times New Roman"/>
          <w:bCs/>
          <w:i/>
        </w:rPr>
      </w:pPr>
    </w:p>
    <w:p w14:paraId="21A016D4"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Gali būti tiekiamos ne visų dydžių pakuotės.</w:t>
      </w:r>
    </w:p>
    <w:p w14:paraId="159879B7"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15822BE3" w14:textId="77777777" w:rsidR="007E69FC" w:rsidRPr="007E69FC" w:rsidRDefault="007E69FC" w:rsidP="007E69FC">
      <w:pPr>
        <w:keepNext/>
        <w:tabs>
          <w:tab w:val="left" w:pos="720"/>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Registruotojas ir gamintojas</w:t>
      </w:r>
    </w:p>
    <w:p w14:paraId="3DDA651A"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i/>
          <w:iCs/>
        </w:rPr>
      </w:pPr>
      <w:r w:rsidRPr="007E69FC">
        <w:rPr>
          <w:rFonts w:ascii="Times New Roman" w:eastAsia="Times New Roman" w:hAnsi="Times New Roman" w:cs="Times New Roman"/>
          <w:i/>
          <w:iCs/>
        </w:rPr>
        <w:t>Registruotojas</w:t>
      </w:r>
    </w:p>
    <w:p w14:paraId="7E6574C7" w14:textId="77777777" w:rsidR="007E69FC" w:rsidRPr="007E69FC" w:rsidRDefault="007E69FC" w:rsidP="007E69FC">
      <w:pPr>
        <w:autoSpaceDE w:val="0"/>
        <w:autoSpaceDN w:val="0"/>
        <w:adjustRightInd w:val="0"/>
        <w:spacing w:after="0" w:line="240" w:lineRule="auto"/>
        <w:rPr>
          <w:rFonts w:ascii="Times New Roman" w:eastAsia="Times New Roman" w:hAnsi="Times New Roman" w:cs="Times New Roman"/>
          <w:color w:val="000000"/>
        </w:rPr>
      </w:pPr>
      <w:proofErr w:type="spellStart"/>
      <w:r w:rsidRPr="007E69FC">
        <w:rPr>
          <w:rFonts w:ascii="Times New Roman" w:eastAsia="Times New Roman" w:hAnsi="Times New Roman" w:cs="Times New Roman"/>
          <w:color w:val="000000"/>
        </w:rPr>
        <w:t>Egis</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Pharmaceuticals</w:t>
      </w:r>
      <w:proofErr w:type="spellEnd"/>
      <w:r w:rsidRPr="007E69FC">
        <w:rPr>
          <w:rFonts w:ascii="Times New Roman" w:eastAsia="Times New Roman" w:hAnsi="Times New Roman" w:cs="Times New Roman"/>
          <w:color w:val="000000"/>
        </w:rPr>
        <w:t xml:space="preserve"> PLC, </w:t>
      </w:r>
      <w:proofErr w:type="spellStart"/>
      <w:r w:rsidRPr="007E69FC">
        <w:rPr>
          <w:rFonts w:ascii="Times New Roman" w:eastAsia="Times New Roman" w:hAnsi="Times New Roman" w:cs="Times New Roman"/>
          <w:color w:val="000000"/>
        </w:rPr>
        <w:t>Site</w:t>
      </w:r>
      <w:proofErr w:type="spellEnd"/>
      <w:r w:rsidRPr="007E69FC">
        <w:rPr>
          <w:rFonts w:ascii="Times New Roman" w:eastAsia="Times New Roman" w:hAnsi="Times New Roman" w:cs="Times New Roman"/>
          <w:color w:val="000000"/>
        </w:rPr>
        <w:t xml:space="preserve"> 1</w:t>
      </w:r>
    </w:p>
    <w:p w14:paraId="153DEA6F"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 xml:space="preserve">1106 </w:t>
      </w:r>
      <w:proofErr w:type="spellStart"/>
      <w:r w:rsidRPr="007E69FC">
        <w:rPr>
          <w:rFonts w:ascii="Times New Roman" w:eastAsia="Times New Roman" w:hAnsi="Times New Roman" w:cs="Times New Roman"/>
          <w:color w:val="000000"/>
        </w:rPr>
        <w:t>Budapest</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Keresztúri</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út</w:t>
      </w:r>
      <w:proofErr w:type="spellEnd"/>
      <w:r w:rsidRPr="007E69FC">
        <w:rPr>
          <w:rFonts w:ascii="Times New Roman" w:eastAsia="Times New Roman" w:hAnsi="Times New Roman" w:cs="Times New Roman"/>
          <w:color w:val="000000"/>
        </w:rPr>
        <w:t xml:space="preserve"> 30-38</w:t>
      </w:r>
    </w:p>
    <w:p w14:paraId="03576CC9"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Vengrija</w:t>
      </w:r>
    </w:p>
    <w:p w14:paraId="4BF500EF"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p>
    <w:p w14:paraId="1131A738"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i/>
          <w:iCs/>
        </w:rPr>
        <w:t>Gamintoja</w:t>
      </w:r>
      <w:r w:rsidRPr="007E69FC">
        <w:rPr>
          <w:rFonts w:ascii="Times New Roman" w:eastAsia="Times New Roman" w:hAnsi="Times New Roman" w:cs="Times New Roman"/>
        </w:rPr>
        <w:t>s</w:t>
      </w:r>
    </w:p>
    <w:p w14:paraId="38E8D361" w14:textId="77777777" w:rsidR="007E69FC" w:rsidRPr="007E69FC" w:rsidRDefault="007E69FC" w:rsidP="007E69FC">
      <w:pPr>
        <w:autoSpaceDE w:val="0"/>
        <w:autoSpaceDN w:val="0"/>
        <w:adjustRightInd w:val="0"/>
        <w:spacing w:after="0" w:line="240" w:lineRule="auto"/>
        <w:rPr>
          <w:rFonts w:ascii="Times New Roman" w:eastAsia="Times New Roman" w:hAnsi="Times New Roman" w:cs="Times New Roman"/>
          <w:color w:val="000000"/>
        </w:rPr>
      </w:pPr>
      <w:proofErr w:type="spellStart"/>
      <w:r w:rsidRPr="007E69FC">
        <w:rPr>
          <w:rFonts w:ascii="Times New Roman" w:eastAsia="Times New Roman" w:hAnsi="Times New Roman" w:cs="Times New Roman"/>
          <w:color w:val="000000"/>
        </w:rPr>
        <w:t>Egis</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Pharmaceuticals</w:t>
      </w:r>
      <w:proofErr w:type="spellEnd"/>
      <w:r w:rsidRPr="007E69FC">
        <w:rPr>
          <w:rFonts w:ascii="Times New Roman" w:eastAsia="Times New Roman" w:hAnsi="Times New Roman" w:cs="Times New Roman"/>
          <w:color w:val="000000"/>
        </w:rPr>
        <w:t xml:space="preserve"> PLC, </w:t>
      </w:r>
      <w:proofErr w:type="spellStart"/>
      <w:r w:rsidRPr="007E69FC">
        <w:rPr>
          <w:rFonts w:ascii="Times New Roman" w:eastAsia="Times New Roman" w:hAnsi="Times New Roman" w:cs="Times New Roman"/>
          <w:color w:val="000000"/>
        </w:rPr>
        <w:t>Site</w:t>
      </w:r>
      <w:proofErr w:type="spellEnd"/>
      <w:r w:rsidRPr="007E69FC">
        <w:rPr>
          <w:rFonts w:ascii="Times New Roman" w:eastAsia="Times New Roman" w:hAnsi="Times New Roman" w:cs="Times New Roman"/>
          <w:color w:val="000000"/>
        </w:rPr>
        <w:t xml:space="preserve"> 2. </w:t>
      </w:r>
    </w:p>
    <w:p w14:paraId="57020761" w14:textId="77777777" w:rsidR="007E69FC" w:rsidRPr="007E69FC" w:rsidRDefault="007E69FC" w:rsidP="007E69FC">
      <w:pPr>
        <w:spacing w:after="0" w:line="240" w:lineRule="auto"/>
        <w:rPr>
          <w:rFonts w:ascii="Times New Roman" w:eastAsia="Times New Roman" w:hAnsi="Times New Roman" w:cs="Times New Roman"/>
          <w:color w:val="000000"/>
        </w:rPr>
      </w:pPr>
      <w:r w:rsidRPr="007E69FC">
        <w:rPr>
          <w:rFonts w:ascii="Times New Roman" w:eastAsia="Times New Roman" w:hAnsi="Times New Roman" w:cs="Times New Roman"/>
          <w:color w:val="000000"/>
        </w:rPr>
        <w:t xml:space="preserve">1165 </w:t>
      </w:r>
      <w:proofErr w:type="spellStart"/>
      <w:r w:rsidRPr="007E69FC">
        <w:rPr>
          <w:rFonts w:ascii="Times New Roman" w:eastAsia="Times New Roman" w:hAnsi="Times New Roman" w:cs="Times New Roman"/>
          <w:color w:val="000000"/>
        </w:rPr>
        <w:t>Budapest</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Bökényföldi</w:t>
      </w:r>
      <w:proofErr w:type="spellEnd"/>
      <w:r w:rsidRPr="007E69FC">
        <w:rPr>
          <w:rFonts w:ascii="Times New Roman" w:eastAsia="Times New Roman" w:hAnsi="Times New Roman" w:cs="Times New Roman"/>
          <w:color w:val="000000"/>
        </w:rPr>
        <w:t xml:space="preserve"> </w:t>
      </w:r>
      <w:proofErr w:type="spellStart"/>
      <w:r w:rsidRPr="007E69FC">
        <w:rPr>
          <w:rFonts w:ascii="Times New Roman" w:eastAsia="Times New Roman" w:hAnsi="Times New Roman" w:cs="Times New Roman"/>
          <w:color w:val="000000"/>
        </w:rPr>
        <w:t>út</w:t>
      </w:r>
      <w:proofErr w:type="spellEnd"/>
      <w:r w:rsidRPr="007E69FC">
        <w:rPr>
          <w:rFonts w:ascii="Times New Roman" w:eastAsia="Times New Roman" w:hAnsi="Times New Roman" w:cs="Times New Roman"/>
          <w:color w:val="000000"/>
        </w:rPr>
        <w:t xml:space="preserve"> 118-120</w:t>
      </w:r>
    </w:p>
    <w:p w14:paraId="03E1F799" w14:textId="221B0335" w:rsidR="007E69FC" w:rsidRPr="007E69FC" w:rsidRDefault="007E69FC" w:rsidP="007E69FC">
      <w:pPr>
        <w:spacing w:after="0" w:line="240" w:lineRule="auto"/>
        <w:rPr>
          <w:rFonts w:ascii="Times New Roman" w:eastAsia="SimSun" w:hAnsi="Times New Roman" w:cs="Times New Roman"/>
          <w:color w:val="000000"/>
          <w:lang w:eastAsia="es-ES"/>
        </w:rPr>
      </w:pPr>
      <w:r>
        <w:rPr>
          <w:rFonts w:ascii="Times New Roman" w:eastAsia="Times New Roman" w:hAnsi="Times New Roman" w:cs="Times New Roman"/>
          <w:color w:val="000000"/>
        </w:rPr>
        <w:t>V</w:t>
      </w:r>
      <w:r w:rsidRPr="007E69FC">
        <w:rPr>
          <w:rFonts w:ascii="Times New Roman" w:eastAsia="Times New Roman" w:hAnsi="Times New Roman" w:cs="Times New Roman"/>
          <w:color w:val="000000"/>
        </w:rPr>
        <w:t>engrija</w:t>
      </w:r>
    </w:p>
    <w:p w14:paraId="0EE45684" w14:textId="77777777" w:rsidR="007E69FC" w:rsidRPr="007E69FC" w:rsidRDefault="007E69FC" w:rsidP="007E69FC">
      <w:pPr>
        <w:shd w:val="clear" w:color="auto" w:fill="FFFFFF"/>
        <w:tabs>
          <w:tab w:val="left" w:pos="567"/>
        </w:tabs>
        <w:snapToGrid w:val="0"/>
        <w:spacing w:after="0" w:line="240" w:lineRule="auto"/>
        <w:rPr>
          <w:rFonts w:ascii="Times New Roman" w:eastAsia="Times New Roman" w:hAnsi="Times New Roman" w:cs="Times New Roman"/>
          <w:color w:val="222222"/>
        </w:rPr>
      </w:pPr>
    </w:p>
    <w:p w14:paraId="68D7C6B0"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Jeigu apie šį vaistą norite sužinoti daugiau, kreipkitės į vietinį registruotojo atstovą:</w:t>
      </w:r>
    </w:p>
    <w:p w14:paraId="097E2449"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 xml:space="preserve">EGIS </w:t>
      </w:r>
      <w:proofErr w:type="spellStart"/>
      <w:r w:rsidRPr="007E69FC">
        <w:rPr>
          <w:rFonts w:ascii="Times New Roman" w:eastAsia="Times New Roman" w:hAnsi="Times New Roman" w:cs="Times New Roman"/>
        </w:rPr>
        <w:t>Pharmaceuticals</w:t>
      </w:r>
      <w:proofErr w:type="spellEnd"/>
      <w:r w:rsidRPr="007E69FC">
        <w:rPr>
          <w:rFonts w:ascii="Times New Roman" w:eastAsia="Times New Roman" w:hAnsi="Times New Roman" w:cs="Times New Roman"/>
        </w:rPr>
        <w:t xml:space="preserve"> PLC atstovybė</w:t>
      </w:r>
    </w:p>
    <w:p w14:paraId="4742B54C"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Ukmergės g. 369A</w:t>
      </w:r>
    </w:p>
    <w:p w14:paraId="653207F6"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LT-12142 Vilnius</w:t>
      </w:r>
    </w:p>
    <w:p w14:paraId="4E02DBD0" w14:textId="77777777" w:rsidR="007E69FC" w:rsidRPr="007E69FC" w:rsidRDefault="007E69FC" w:rsidP="007E69FC">
      <w:pPr>
        <w:tabs>
          <w:tab w:val="left" w:pos="720"/>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Tel: (8 5) 23 14 658</w:t>
      </w:r>
    </w:p>
    <w:p w14:paraId="5EB7AA47" w14:textId="77777777" w:rsidR="007E69FC" w:rsidRPr="007E69FC" w:rsidRDefault="007E69FC" w:rsidP="007E69FC">
      <w:pPr>
        <w:tabs>
          <w:tab w:val="left" w:pos="567"/>
        </w:tabs>
        <w:snapToGrid w:val="0"/>
        <w:spacing w:after="0" w:line="240" w:lineRule="auto"/>
        <w:rPr>
          <w:rFonts w:ascii="Times New Roman" w:eastAsia="Times New Roman" w:hAnsi="Times New Roman" w:cs="Times New Roman"/>
        </w:rPr>
      </w:pPr>
    </w:p>
    <w:p w14:paraId="470C5F54" w14:textId="77777777" w:rsidR="007E69FC" w:rsidRPr="007E69FC" w:rsidRDefault="007E69FC" w:rsidP="007E69FC">
      <w:pPr>
        <w:tabs>
          <w:tab w:val="left" w:pos="567"/>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Šis vaistas Europos ekonominės erdvės valstybėse narėse registruotas tokiais pavadinimais:</w:t>
      </w:r>
    </w:p>
    <w:p w14:paraId="65660C23" w14:textId="77777777" w:rsidR="00795729" w:rsidRPr="007E69FC" w:rsidRDefault="00795729" w:rsidP="007E69FC">
      <w:pPr>
        <w:numPr>
          <w:ilvl w:val="12"/>
          <w:numId w:val="0"/>
        </w:numPr>
        <w:tabs>
          <w:tab w:val="left" w:pos="567"/>
        </w:tabs>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005"/>
      </w:tblGrid>
      <w:tr w:rsidR="007E69FC" w:rsidRPr="007E69FC" w14:paraId="5F8797AD" w14:textId="77777777" w:rsidTr="00E05C05">
        <w:tc>
          <w:tcPr>
            <w:tcW w:w="2547" w:type="dxa"/>
            <w:shd w:val="clear" w:color="auto" w:fill="auto"/>
          </w:tcPr>
          <w:p w14:paraId="03A414D3"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Nyderlandai</w:t>
            </w:r>
          </w:p>
        </w:tc>
        <w:tc>
          <w:tcPr>
            <w:tcW w:w="6005" w:type="dxa"/>
            <w:shd w:val="clear" w:color="auto" w:fill="auto"/>
          </w:tcPr>
          <w:p w14:paraId="3F7DFE0A" w14:textId="7B84B874"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007E69FC" w:rsidRPr="007E69FC">
              <w:rPr>
                <w:rFonts w:ascii="Times New Roman" w:eastAsia="Times New Roman" w:hAnsi="Times New Roman" w:cs="Times New Roman"/>
                <w:lang w:eastAsia="lt-LT"/>
              </w:rPr>
              <w:t xml:space="preserve"> 2,5 mg, 10 mg, 15 mg, 20 mg</w:t>
            </w:r>
            <w:r w:rsidR="00E05C05">
              <w:rPr>
                <w:rFonts w:ascii="Times New Roman" w:eastAsia="Times New Roman" w:hAnsi="Times New Roman" w:cs="Times New Roman"/>
                <w:lang w:eastAsia="lt-LT"/>
              </w:rPr>
              <w:t xml:space="preserve"> </w:t>
            </w:r>
            <w:proofErr w:type="spellStart"/>
            <w:r w:rsidR="007E69FC" w:rsidRPr="007E69FC">
              <w:rPr>
                <w:rFonts w:ascii="Times New Roman" w:eastAsia="Times New Roman" w:hAnsi="Times New Roman" w:cs="Times New Roman"/>
                <w:lang w:eastAsia="lt-LT"/>
              </w:rPr>
              <w:t>filmomhulde</w:t>
            </w:r>
            <w:proofErr w:type="spellEnd"/>
            <w:r w:rsidR="007E69FC" w:rsidRPr="007E69FC">
              <w:rPr>
                <w:rFonts w:ascii="Times New Roman" w:eastAsia="Times New Roman" w:hAnsi="Times New Roman" w:cs="Times New Roman"/>
                <w:lang w:eastAsia="lt-LT"/>
              </w:rPr>
              <w:t xml:space="preserve"> </w:t>
            </w:r>
            <w:proofErr w:type="spellStart"/>
            <w:r w:rsidR="007E69FC" w:rsidRPr="007E69FC">
              <w:rPr>
                <w:rFonts w:ascii="Times New Roman" w:eastAsia="Times New Roman" w:hAnsi="Times New Roman" w:cs="Times New Roman"/>
                <w:lang w:eastAsia="lt-LT"/>
              </w:rPr>
              <w:t>tabletten</w:t>
            </w:r>
            <w:proofErr w:type="spellEnd"/>
          </w:p>
        </w:tc>
      </w:tr>
      <w:tr w:rsidR="007E69FC" w:rsidRPr="007E69FC" w14:paraId="19D2C317" w14:textId="77777777" w:rsidTr="00E05C05">
        <w:tc>
          <w:tcPr>
            <w:tcW w:w="2547" w:type="dxa"/>
            <w:shd w:val="clear" w:color="auto" w:fill="auto"/>
          </w:tcPr>
          <w:p w14:paraId="6FD2C413"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Bulgarija</w:t>
            </w:r>
          </w:p>
        </w:tc>
        <w:tc>
          <w:tcPr>
            <w:tcW w:w="6005" w:type="dxa"/>
            <w:shd w:val="clear" w:color="auto" w:fill="auto"/>
          </w:tcPr>
          <w:p w14:paraId="6E244BF3" w14:textId="70527296" w:rsidR="007E69FC" w:rsidRPr="007E69FC" w:rsidRDefault="005A3031" w:rsidP="007E69FC">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7E69FC" w:rsidRPr="007E69FC">
              <w:rPr>
                <w:rFonts w:ascii="Times New Roman" w:eastAsia="Times New Roman" w:hAnsi="Times New Roman" w:cs="Times New Roman"/>
              </w:rPr>
              <w:t xml:space="preserve"> 2,5 mg, 10 mg, 15 mg, 20 mg</w:t>
            </w:r>
            <w:r w:rsidR="00E05C05">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филмирани</w:t>
            </w:r>
            <w:proofErr w:type="spellEnd"/>
            <w:r w:rsidR="007E69FC" w:rsidRPr="007E69FC">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таблетки</w:t>
            </w:r>
            <w:proofErr w:type="spellEnd"/>
          </w:p>
          <w:p w14:paraId="345AC8B6" w14:textId="257F8049"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Xiltess</w:t>
            </w:r>
            <w:r w:rsidR="007E69FC" w:rsidRPr="007E69FC">
              <w:rPr>
                <w:rFonts w:ascii="Times New Roman" w:eastAsia="Times New Roman" w:hAnsi="Times New Roman" w:cs="Times New Roman"/>
                <w:lang w:eastAsia="lt-LT"/>
              </w:rPr>
              <w:t xml:space="preserve"> 2,5 mg, 10 mg, 15 mg, 20 mg</w:t>
            </w:r>
            <w:r w:rsidR="00E05C05">
              <w:rPr>
                <w:rFonts w:ascii="Times New Roman" w:eastAsia="Times New Roman" w:hAnsi="Times New Roman" w:cs="Times New Roman"/>
                <w:lang w:eastAsia="lt-LT"/>
              </w:rPr>
              <w:t xml:space="preserve"> </w:t>
            </w:r>
            <w:proofErr w:type="spellStart"/>
            <w:r w:rsidR="007E69FC" w:rsidRPr="007E69FC">
              <w:rPr>
                <w:rFonts w:ascii="Times New Roman" w:eastAsia="Times New Roman" w:hAnsi="Times New Roman" w:cs="Times New Roman"/>
                <w:lang w:eastAsia="lt-LT"/>
              </w:rPr>
              <w:t>film-coated</w:t>
            </w:r>
            <w:proofErr w:type="spellEnd"/>
            <w:r w:rsidR="007E69FC" w:rsidRPr="007E69FC">
              <w:rPr>
                <w:rFonts w:ascii="Times New Roman" w:eastAsia="Times New Roman" w:hAnsi="Times New Roman" w:cs="Times New Roman"/>
                <w:lang w:eastAsia="lt-LT"/>
              </w:rPr>
              <w:t xml:space="preserve"> </w:t>
            </w:r>
            <w:proofErr w:type="spellStart"/>
            <w:r w:rsidR="007E69FC" w:rsidRPr="007E69FC">
              <w:rPr>
                <w:rFonts w:ascii="Times New Roman" w:eastAsia="Times New Roman" w:hAnsi="Times New Roman" w:cs="Times New Roman"/>
                <w:lang w:eastAsia="lt-LT"/>
              </w:rPr>
              <w:t>tablets</w:t>
            </w:r>
            <w:proofErr w:type="spellEnd"/>
          </w:p>
        </w:tc>
      </w:tr>
      <w:tr w:rsidR="007E69FC" w:rsidRPr="007E69FC" w14:paraId="462671BC" w14:textId="77777777" w:rsidTr="00E05C05">
        <w:tc>
          <w:tcPr>
            <w:tcW w:w="2547" w:type="dxa"/>
            <w:shd w:val="clear" w:color="auto" w:fill="auto"/>
          </w:tcPr>
          <w:p w14:paraId="4592FC15"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Čekija</w:t>
            </w:r>
          </w:p>
        </w:tc>
        <w:tc>
          <w:tcPr>
            <w:tcW w:w="6005" w:type="dxa"/>
            <w:shd w:val="clear" w:color="auto" w:fill="auto"/>
          </w:tcPr>
          <w:p w14:paraId="78112E34" w14:textId="64C6D6B0" w:rsidR="007E69FC" w:rsidRPr="007E69FC" w:rsidRDefault="005A3031" w:rsidP="00795729">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7E69FC" w:rsidRPr="007E69FC" w14:paraId="011FC9BE" w14:textId="77777777" w:rsidTr="00E05C05">
        <w:tc>
          <w:tcPr>
            <w:tcW w:w="2547" w:type="dxa"/>
            <w:shd w:val="clear" w:color="auto" w:fill="auto"/>
          </w:tcPr>
          <w:p w14:paraId="4BE6020D"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Vengrija</w:t>
            </w:r>
          </w:p>
        </w:tc>
        <w:tc>
          <w:tcPr>
            <w:tcW w:w="6005" w:type="dxa"/>
            <w:shd w:val="clear" w:color="auto" w:fill="auto"/>
          </w:tcPr>
          <w:p w14:paraId="7F7D3323" w14:textId="6D6DD773" w:rsidR="007E69FC" w:rsidRPr="007E69FC" w:rsidRDefault="007E69FC" w:rsidP="00E05C05">
            <w:pPr>
              <w:numPr>
                <w:ilvl w:val="12"/>
                <w:numId w:val="0"/>
              </w:numPr>
              <w:tabs>
                <w:tab w:val="left" w:pos="567"/>
              </w:tabs>
              <w:snapToGrid w:val="0"/>
              <w:spacing w:after="0" w:line="240" w:lineRule="auto"/>
              <w:rPr>
                <w:rFonts w:ascii="Times New Roman" w:eastAsia="Times New Roman" w:hAnsi="Times New Roman" w:cs="Times New Roman"/>
              </w:rPr>
            </w:pPr>
            <w:r w:rsidRPr="007E69FC">
              <w:rPr>
                <w:rFonts w:ascii="Times New Roman" w:eastAsia="Times New Roman" w:hAnsi="Times New Roman" w:cs="Times New Roman"/>
              </w:rPr>
              <w:t>Xiltess 2,5 mg, 10 mg, 15 mg, 20 mg</w:t>
            </w:r>
            <w:r w:rsidR="00E05C0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filmtabletta</w:t>
            </w:r>
            <w:proofErr w:type="spellEnd"/>
          </w:p>
        </w:tc>
      </w:tr>
      <w:tr w:rsidR="007E69FC" w:rsidRPr="007E69FC" w14:paraId="3E5E08E9" w14:textId="77777777" w:rsidTr="00E05C05">
        <w:tc>
          <w:tcPr>
            <w:tcW w:w="2547" w:type="dxa"/>
            <w:shd w:val="clear" w:color="auto" w:fill="auto"/>
          </w:tcPr>
          <w:p w14:paraId="3B8B3399"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Lietuva</w:t>
            </w:r>
          </w:p>
        </w:tc>
        <w:tc>
          <w:tcPr>
            <w:tcW w:w="6005" w:type="dxa"/>
            <w:shd w:val="clear" w:color="auto" w:fill="auto"/>
          </w:tcPr>
          <w:p w14:paraId="4F8F0FCD" w14:textId="2C085332"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7E69FC" w:rsidRPr="007E69FC">
              <w:rPr>
                <w:rFonts w:ascii="Times New Roman" w:eastAsia="Times New Roman" w:hAnsi="Times New Roman" w:cs="Times New Roman"/>
              </w:rPr>
              <w:t xml:space="preserve"> 2,5 mg, 10 mg, 15 mg, 20 mg</w:t>
            </w:r>
            <w:r w:rsidR="00E05C05">
              <w:rPr>
                <w:rFonts w:ascii="Times New Roman" w:eastAsia="Times New Roman" w:hAnsi="Times New Roman" w:cs="Times New Roman"/>
              </w:rPr>
              <w:t xml:space="preserve"> </w:t>
            </w:r>
            <w:r w:rsidR="007E69FC" w:rsidRPr="007E69FC">
              <w:rPr>
                <w:rFonts w:ascii="Times New Roman" w:eastAsia="Times New Roman" w:hAnsi="Times New Roman" w:cs="Times New Roman"/>
              </w:rPr>
              <w:t>plėvele dengtos tabletės</w:t>
            </w:r>
          </w:p>
        </w:tc>
      </w:tr>
      <w:tr w:rsidR="007E69FC" w:rsidRPr="007E69FC" w14:paraId="3DC6949F" w14:textId="77777777" w:rsidTr="00E05C05">
        <w:tc>
          <w:tcPr>
            <w:tcW w:w="2547" w:type="dxa"/>
            <w:shd w:val="clear" w:color="auto" w:fill="auto"/>
          </w:tcPr>
          <w:p w14:paraId="38889987"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Latvija</w:t>
            </w:r>
          </w:p>
        </w:tc>
        <w:tc>
          <w:tcPr>
            <w:tcW w:w="6005" w:type="dxa"/>
            <w:shd w:val="clear" w:color="auto" w:fill="auto"/>
          </w:tcPr>
          <w:p w14:paraId="25DA2B94" w14:textId="192D403A"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7E69FC" w:rsidRPr="007E69FC">
              <w:rPr>
                <w:rFonts w:ascii="Times New Roman" w:eastAsia="Times New Roman" w:hAnsi="Times New Roman" w:cs="Times New Roman"/>
              </w:rPr>
              <w:t xml:space="preserve"> 2,5 mg, 10 mg, 15 mg, 20 mg</w:t>
            </w:r>
            <w:r w:rsidR="00E05C05">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apvalkotās</w:t>
            </w:r>
            <w:proofErr w:type="spellEnd"/>
            <w:r w:rsidR="007E69FC" w:rsidRPr="007E69FC">
              <w:rPr>
                <w:rFonts w:ascii="Times New Roman" w:eastAsia="Times New Roman" w:hAnsi="Times New Roman" w:cs="Times New Roman"/>
              </w:rPr>
              <w:t xml:space="preserve"> tabletes</w:t>
            </w:r>
          </w:p>
        </w:tc>
      </w:tr>
      <w:tr w:rsidR="007E69FC" w:rsidRPr="007E69FC" w14:paraId="6EA0C7AE" w14:textId="77777777" w:rsidTr="00E05C05">
        <w:tc>
          <w:tcPr>
            <w:tcW w:w="2547" w:type="dxa"/>
            <w:shd w:val="clear" w:color="auto" w:fill="auto"/>
          </w:tcPr>
          <w:p w14:paraId="06407906"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Lenkija</w:t>
            </w:r>
          </w:p>
        </w:tc>
        <w:tc>
          <w:tcPr>
            <w:tcW w:w="6005" w:type="dxa"/>
            <w:shd w:val="clear" w:color="auto" w:fill="auto"/>
          </w:tcPr>
          <w:p w14:paraId="3B6D63F7" w14:textId="0BD5F43D" w:rsidR="007E69FC" w:rsidRPr="007E69FC" w:rsidRDefault="005A3031" w:rsidP="00795729">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p>
        </w:tc>
      </w:tr>
      <w:tr w:rsidR="007E69FC" w:rsidRPr="007E69FC" w14:paraId="496BDE8C" w14:textId="77777777" w:rsidTr="00E05C05">
        <w:tc>
          <w:tcPr>
            <w:tcW w:w="2547" w:type="dxa"/>
            <w:shd w:val="clear" w:color="auto" w:fill="auto"/>
          </w:tcPr>
          <w:p w14:paraId="29194CF5"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Rumunija</w:t>
            </w:r>
          </w:p>
        </w:tc>
        <w:tc>
          <w:tcPr>
            <w:tcW w:w="6005" w:type="dxa"/>
            <w:shd w:val="clear" w:color="auto" w:fill="auto"/>
          </w:tcPr>
          <w:p w14:paraId="537BA4BE" w14:textId="477B4226"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7E69FC" w:rsidRPr="007E69FC">
              <w:rPr>
                <w:rFonts w:ascii="Times New Roman" w:eastAsia="Times New Roman" w:hAnsi="Times New Roman" w:cs="Times New Roman"/>
              </w:rPr>
              <w:t xml:space="preserve"> 2,5 mg, 10 mg, 15 mg, 20 mg</w:t>
            </w:r>
            <w:r w:rsidR="00E05C05">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comprimate</w:t>
            </w:r>
            <w:proofErr w:type="spellEnd"/>
            <w:r w:rsidR="007E69FC" w:rsidRPr="007E69FC">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filmate</w:t>
            </w:r>
            <w:proofErr w:type="spellEnd"/>
          </w:p>
        </w:tc>
      </w:tr>
      <w:tr w:rsidR="007E69FC" w:rsidRPr="007E69FC" w14:paraId="31C1D2AF" w14:textId="77777777" w:rsidTr="00E05C05">
        <w:tc>
          <w:tcPr>
            <w:tcW w:w="2547" w:type="dxa"/>
            <w:shd w:val="clear" w:color="auto" w:fill="auto"/>
          </w:tcPr>
          <w:p w14:paraId="4A456C50" w14:textId="77777777" w:rsidR="007E69FC" w:rsidRPr="007E69FC" w:rsidRDefault="007E69FC" w:rsidP="007E69FC">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Slovakija</w:t>
            </w:r>
          </w:p>
        </w:tc>
        <w:tc>
          <w:tcPr>
            <w:tcW w:w="6005" w:type="dxa"/>
            <w:shd w:val="clear" w:color="auto" w:fill="auto"/>
          </w:tcPr>
          <w:p w14:paraId="36A9F8FD" w14:textId="00F490E5" w:rsidR="007E69FC" w:rsidRPr="007E69FC" w:rsidRDefault="005A3031" w:rsidP="00E05C05">
            <w:pPr>
              <w:numPr>
                <w:ilvl w:val="12"/>
                <w:numId w:val="0"/>
              </w:num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Xiltess</w:t>
            </w:r>
            <w:r w:rsidR="007E69FC" w:rsidRPr="007E69FC">
              <w:rPr>
                <w:rFonts w:ascii="Times New Roman" w:eastAsia="Times New Roman" w:hAnsi="Times New Roman" w:cs="Times New Roman"/>
              </w:rPr>
              <w:t xml:space="preserve"> 2,5 mg, 10 mg, 15 mg, 20 mg</w:t>
            </w:r>
            <w:r w:rsidR="00E05C05">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filmom</w:t>
            </w:r>
            <w:proofErr w:type="spellEnd"/>
            <w:r w:rsidR="007E69FC" w:rsidRPr="007E69FC">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obalené</w:t>
            </w:r>
            <w:proofErr w:type="spellEnd"/>
            <w:r w:rsidR="007E69FC" w:rsidRPr="007E69FC">
              <w:rPr>
                <w:rFonts w:ascii="Times New Roman" w:eastAsia="Times New Roman" w:hAnsi="Times New Roman" w:cs="Times New Roman"/>
              </w:rPr>
              <w:t xml:space="preserve"> </w:t>
            </w:r>
            <w:proofErr w:type="spellStart"/>
            <w:r w:rsidR="007E69FC" w:rsidRPr="007E69FC">
              <w:rPr>
                <w:rFonts w:ascii="Times New Roman" w:eastAsia="Times New Roman" w:hAnsi="Times New Roman" w:cs="Times New Roman"/>
              </w:rPr>
              <w:t>tablety</w:t>
            </w:r>
            <w:proofErr w:type="spellEnd"/>
          </w:p>
        </w:tc>
      </w:tr>
    </w:tbl>
    <w:p w14:paraId="73BC5611" w14:textId="77777777" w:rsidR="007E69FC" w:rsidRPr="007E69FC" w:rsidRDefault="007E69FC" w:rsidP="007E69FC">
      <w:pPr>
        <w:tabs>
          <w:tab w:val="left" w:pos="567"/>
        </w:tabs>
        <w:snapToGrid w:val="0"/>
        <w:spacing w:after="0" w:line="240" w:lineRule="auto"/>
        <w:ind w:hanging="567"/>
        <w:rPr>
          <w:rFonts w:ascii="Times New Roman" w:eastAsia="Times New Roman" w:hAnsi="Times New Roman" w:cs="Times New Roman"/>
        </w:rPr>
      </w:pPr>
    </w:p>
    <w:p w14:paraId="1B3EC9DB" w14:textId="1DC1D840" w:rsidR="007E69FC" w:rsidRPr="007E69FC" w:rsidRDefault="007E69FC" w:rsidP="007E69FC">
      <w:pPr>
        <w:tabs>
          <w:tab w:val="left" w:pos="720"/>
        </w:tabs>
        <w:snapToGrid w:val="0"/>
        <w:spacing w:after="0" w:line="240" w:lineRule="auto"/>
        <w:rPr>
          <w:rFonts w:ascii="Times New Roman" w:eastAsia="Times New Roman" w:hAnsi="Times New Roman" w:cs="Times New Roman"/>
          <w:b/>
        </w:rPr>
      </w:pPr>
      <w:r w:rsidRPr="007E69FC">
        <w:rPr>
          <w:rFonts w:ascii="Times New Roman" w:eastAsia="Times New Roman" w:hAnsi="Times New Roman" w:cs="Times New Roman"/>
          <w:b/>
        </w:rPr>
        <w:t>Šis pakuotės lapelis paskutinį kartą peržiūrėtas</w:t>
      </w:r>
      <w:r w:rsidR="00531314">
        <w:rPr>
          <w:rFonts w:ascii="Times New Roman" w:eastAsia="Times New Roman" w:hAnsi="Times New Roman" w:cs="Times New Roman"/>
          <w:b/>
        </w:rPr>
        <w:t xml:space="preserve"> </w:t>
      </w:r>
      <w:r w:rsidR="002D5409">
        <w:rPr>
          <w:rFonts w:ascii="Times New Roman" w:eastAsia="Times New Roman" w:hAnsi="Times New Roman" w:cs="Times New Roman"/>
          <w:b/>
        </w:rPr>
        <w:t>2023-10-10</w:t>
      </w:r>
      <w:r w:rsidR="001506E0">
        <w:rPr>
          <w:rFonts w:ascii="Times New Roman" w:eastAsia="Times New Roman" w:hAnsi="Times New Roman" w:cs="Times New Roman"/>
          <w:b/>
        </w:rPr>
        <w:t>.</w:t>
      </w:r>
    </w:p>
    <w:p w14:paraId="52D29DD1" w14:textId="77777777" w:rsidR="007E69FC" w:rsidRPr="007E69FC" w:rsidRDefault="007E69FC" w:rsidP="007E69FC">
      <w:pPr>
        <w:tabs>
          <w:tab w:val="left" w:pos="567"/>
        </w:tabs>
        <w:snapToGrid w:val="0"/>
        <w:spacing w:after="0" w:line="240" w:lineRule="auto"/>
        <w:rPr>
          <w:rFonts w:ascii="Times New Roman" w:eastAsia="Times New Roman" w:hAnsi="Times New Roman" w:cs="Times New Roman"/>
          <w:i/>
          <w:color w:val="008000"/>
        </w:rPr>
      </w:pPr>
    </w:p>
    <w:p w14:paraId="5FBFD76E" w14:textId="0C149DE6" w:rsidR="00867275" w:rsidRDefault="007E69FC" w:rsidP="0068027E">
      <w:pPr>
        <w:spacing w:after="0" w:line="240" w:lineRule="auto"/>
        <w:rPr>
          <w:rFonts w:ascii="Times New Roman" w:eastAsia="Times New Roman" w:hAnsi="Times New Roman" w:cs="Times New Roman"/>
        </w:rPr>
      </w:pPr>
      <w:r w:rsidRPr="007E69FC">
        <w:rPr>
          <w:rFonts w:ascii="Times New Roman" w:eastAsia="Times New Roman" w:hAnsi="Times New Roman" w:cs="Times New Roman"/>
        </w:rPr>
        <w:lastRenderedPageBreak/>
        <w:t>Išsami informacija apie šį vaistą pateikiama Valstybinės vaistų kontrolės tarnybos prie Lietuvos Respublikos sveikatos apsaugos ministerijos tinklalapyje</w:t>
      </w:r>
      <w:r w:rsidRPr="007E69FC">
        <w:rPr>
          <w:rFonts w:ascii="Times New Roman" w:eastAsia="Times New Roman" w:hAnsi="Times New Roman" w:cs="Times New Roman"/>
          <w:i/>
        </w:rPr>
        <w:t xml:space="preserve"> </w:t>
      </w:r>
      <w:hyperlink r:id="rId22">
        <w:r w:rsidRPr="007E69FC">
          <w:rPr>
            <w:rFonts w:ascii="Times New Roman" w:eastAsia="SimSun" w:hAnsi="Times New Roman" w:cs="Times New Roman"/>
            <w:color w:val="0000FF"/>
            <w:u w:val="single"/>
          </w:rPr>
          <w:t>http://www.vvkt.lt/</w:t>
        </w:r>
      </w:hyperlink>
      <w:r w:rsidRPr="007E69FC">
        <w:rPr>
          <w:rFonts w:ascii="Times New Roman" w:eastAsia="Times New Roman" w:hAnsi="Times New Roman" w:cs="Times New Roman"/>
        </w:rPr>
        <w:t>.</w:t>
      </w:r>
    </w:p>
    <w:p w14:paraId="0DFA4425" w14:textId="0BAF2488" w:rsidR="00BA2BB0" w:rsidRDefault="00BA2BB0" w:rsidP="0068027E">
      <w:pPr>
        <w:spacing w:after="0" w:line="240" w:lineRule="auto"/>
        <w:rPr>
          <w:rFonts w:ascii="Times New Roman" w:eastAsia="Times New Roman" w:hAnsi="Times New Roman" w:cs="Times New Roman"/>
        </w:rPr>
      </w:pPr>
    </w:p>
    <w:p w14:paraId="59193BFD" w14:textId="77777777" w:rsidR="00BA2BB0" w:rsidRPr="007F2054" w:rsidRDefault="00BA2BB0" w:rsidP="0068027E">
      <w:pPr>
        <w:spacing w:after="0" w:line="240" w:lineRule="auto"/>
        <w:rPr>
          <w:rFonts w:ascii="Times New Roman" w:hAnsi="Times New Roman" w:cs="Times New Roman"/>
        </w:rPr>
      </w:pPr>
      <w:bookmarkStart w:id="14" w:name="_GoBack"/>
      <w:bookmarkEnd w:id="14"/>
    </w:p>
    <w:sectPr w:rsidR="00BA2BB0" w:rsidRPr="007F2054" w:rsidSect="0092244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E6CB" w14:textId="77777777" w:rsidR="004C3C4D" w:rsidRDefault="004C3C4D" w:rsidP="0016548F">
      <w:pPr>
        <w:spacing w:after="0" w:line="240" w:lineRule="auto"/>
      </w:pPr>
      <w:r>
        <w:separator/>
      </w:r>
    </w:p>
  </w:endnote>
  <w:endnote w:type="continuationSeparator" w:id="0">
    <w:p w14:paraId="1B52A02C" w14:textId="77777777" w:rsidR="004C3C4D" w:rsidRDefault="004C3C4D" w:rsidP="0016548F">
      <w:pPr>
        <w:spacing w:after="0" w:line="240" w:lineRule="auto"/>
      </w:pPr>
      <w:r>
        <w:continuationSeparator/>
      </w:r>
    </w:p>
  </w:endnote>
  <w:endnote w:type="continuationNotice" w:id="1">
    <w:p w14:paraId="246486F8" w14:textId="77777777" w:rsidR="004C3C4D" w:rsidRDefault="004C3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1"/>
    <w:family w:val="auto"/>
    <w:pitch w:val="variable"/>
    <w:sig w:usb0="800000AF"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FE03" w14:textId="77777777" w:rsidR="004215B0" w:rsidRDefault="004215B0">
    <w:pPr>
      <w:pStyle w:val="Pagrindinistekstas"/>
      <w:spacing w:line="14" w:lineRule="auto"/>
      <w:ind w:left="0"/>
      <w:rPr>
        <w:sz w:val="14"/>
      </w:rPr>
    </w:pPr>
    <w:r>
      <w:rPr>
        <w:noProof/>
        <w:lang w:eastAsia="lt-LT"/>
      </w:rPr>
      <mc:AlternateContent>
        <mc:Choice Requires="wps">
          <w:drawing>
            <wp:anchor distT="0" distB="0" distL="114300" distR="114300" simplePos="0" relativeHeight="251659264" behindDoc="1" locked="0" layoutInCell="1" allowOverlap="1" wp14:anchorId="4A742700" wp14:editId="6508F4E1">
              <wp:simplePos x="0" y="0"/>
              <wp:positionH relativeFrom="page">
                <wp:posOffset>3616325</wp:posOffset>
              </wp:positionH>
              <wp:positionV relativeFrom="page">
                <wp:posOffset>10071100</wp:posOffset>
              </wp:positionV>
              <wp:extent cx="266700" cy="166370"/>
              <wp:effectExtent l="0" t="0" r="0" b="508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2270" w14:textId="3BA6496F" w:rsidR="004215B0" w:rsidRPr="0016548F" w:rsidRDefault="004215B0">
                          <w:pPr>
                            <w:spacing w:before="12"/>
                            <w:ind w:left="60"/>
                            <w:rPr>
                              <w:rFonts w:ascii="Times New Roman" w:hAnsi="Times New Roman" w:cs="Times New Roman"/>
                              <w:sz w:val="16"/>
                              <w:szCs w:val="16"/>
                            </w:rPr>
                          </w:pPr>
                          <w:r w:rsidRPr="0016548F">
                            <w:rPr>
                              <w:rFonts w:ascii="Times New Roman" w:hAnsi="Times New Roman" w:cs="Times New Roman"/>
                              <w:sz w:val="16"/>
                              <w:szCs w:val="16"/>
                            </w:rPr>
                            <w:fldChar w:fldCharType="begin"/>
                          </w:r>
                          <w:r w:rsidRPr="0016548F">
                            <w:rPr>
                              <w:rFonts w:ascii="Times New Roman" w:hAnsi="Times New Roman" w:cs="Times New Roman"/>
                              <w:sz w:val="16"/>
                              <w:szCs w:val="16"/>
                            </w:rPr>
                            <w:instrText xml:space="preserve"> PAGE </w:instrText>
                          </w:r>
                          <w:r w:rsidRPr="0016548F">
                            <w:rPr>
                              <w:rFonts w:ascii="Times New Roman" w:hAnsi="Times New Roman" w:cs="Times New Roman"/>
                              <w:sz w:val="16"/>
                              <w:szCs w:val="16"/>
                            </w:rPr>
                            <w:fldChar w:fldCharType="separate"/>
                          </w:r>
                          <w:r w:rsidR="00BA2BB0">
                            <w:rPr>
                              <w:rFonts w:ascii="Times New Roman" w:hAnsi="Times New Roman" w:cs="Times New Roman"/>
                              <w:noProof/>
                              <w:sz w:val="16"/>
                              <w:szCs w:val="16"/>
                            </w:rPr>
                            <w:t>48</w:t>
                          </w:r>
                          <w:r w:rsidRPr="0016548F">
                            <w:rPr>
                              <w:rFonts w:ascii="Times New Roman" w:hAnsi="Times New Roman" w:cs="Times New Roman"/>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42700" id="_x0000_t202" coordsize="21600,21600" o:spt="202" path="m,l,21600r21600,l21600,xe">
              <v:stroke joinstyle="miter"/>
              <v:path gradientshapeok="t" o:connecttype="rect"/>
            </v:shapetype>
            <v:shape id="Text Box 1" o:spid="_x0000_s1026" type="#_x0000_t202" style="position:absolute;margin-left:284.75pt;margin-top:793pt;width:21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fqrQ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" filled="f" stroked="f">
              <v:textbox inset="0,0,0,0">
                <w:txbxContent>
                  <w:p w14:paraId="44012270" w14:textId="3BA6496F" w:rsidR="004215B0" w:rsidRPr="0016548F" w:rsidRDefault="004215B0">
                    <w:pPr>
                      <w:spacing w:before="12"/>
                      <w:ind w:left="60"/>
                      <w:rPr>
                        <w:rFonts w:ascii="Times New Roman" w:hAnsi="Times New Roman" w:cs="Times New Roman"/>
                        <w:sz w:val="16"/>
                        <w:szCs w:val="16"/>
                      </w:rPr>
                    </w:pPr>
                    <w:r w:rsidRPr="0016548F">
                      <w:rPr>
                        <w:rFonts w:ascii="Times New Roman" w:hAnsi="Times New Roman" w:cs="Times New Roman"/>
                        <w:sz w:val="16"/>
                        <w:szCs w:val="16"/>
                      </w:rPr>
                      <w:fldChar w:fldCharType="begin"/>
                    </w:r>
                    <w:r w:rsidRPr="0016548F">
                      <w:rPr>
                        <w:rFonts w:ascii="Times New Roman" w:hAnsi="Times New Roman" w:cs="Times New Roman"/>
                        <w:sz w:val="16"/>
                        <w:szCs w:val="16"/>
                      </w:rPr>
                      <w:instrText xml:space="preserve"> PAGE </w:instrText>
                    </w:r>
                    <w:r w:rsidRPr="0016548F">
                      <w:rPr>
                        <w:rFonts w:ascii="Times New Roman" w:hAnsi="Times New Roman" w:cs="Times New Roman"/>
                        <w:sz w:val="16"/>
                        <w:szCs w:val="16"/>
                      </w:rPr>
                      <w:fldChar w:fldCharType="separate"/>
                    </w:r>
                    <w:r w:rsidR="00BA2BB0">
                      <w:rPr>
                        <w:rFonts w:ascii="Times New Roman" w:hAnsi="Times New Roman" w:cs="Times New Roman"/>
                        <w:noProof/>
                        <w:sz w:val="16"/>
                        <w:szCs w:val="16"/>
                      </w:rPr>
                      <w:t>48</w:t>
                    </w:r>
                    <w:r w:rsidRPr="0016548F">
                      <w:rPr>
                        <w:rFonts w:ascii="Times New Roman" w:hAnsi="Times New Roman" w:cs="Times New Roman"/>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4E98" w14:textId="77777777" w:rsidR="004C3C4D" w:rsidRDefault="004C3C4D" w:rsidP="0016548F">
      <w:pPr>
        <w:spacing w:after="0" w:line="240" w:lineRule="auto"/>
      </w:pPr>
      <w:r>
        <w:separator/>
      </w:r>
    </w:p>
  </w:footnote>
  <w:footnote w:type="continuationSeparator" w:id="0">
    <w:p w14:paraId="5815263E" w14:textId="77777777" w:rsidR="004C3C4D" w:rsidRDefault="004C3C4D" w:rsidP="0016548F">
      <w:pPr>
        <w:spacing w:after="0" w:line="240" w:lineRule="auto"/>
      </w:pPr>
      <w:r>
        <w:continuationSeparator/>
      </w:r>
    </w:p>
  </w:footnote>
  <w:footnote w:type="continuationNotice" w:id="1">
    <w:p w14:paraId="5F1A7DEF" w14:textId="77777777" w:rsidR="004C3C4D" w:rsidRDefault="004C3C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7"/>
    <w:multiLevelType w:val="multilevel"/>
    <w:tmpl w:val="00000007"/>
    <w:name w:val="WWNum7"/>
    <w:lvl w:ilvl="0">
      <w:start w:val="1"/>
      <w:numFmt w:val="bullet"/>
      <w:lvlText w:val="•"/>
      <w:lvlJc w:val="left"/>
      <w:pPr>
        <w:tabs>
          <w:tab w:val="num" w:pos="-76"/>
        </w:tabs>
        <w:ind w:left="644"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215C06"/>
    <w:multiLevelType w:val="hybridMultilevel"/>
    <w:tmpl w:val="20EA3260"/>
    <w:lvl w:ilvl="0" w:tplc="F1AC0BE2">
      <w:start w:val="1"/>
      <w:numFmt w:val="bullet"/>
      <w:lvlText w:val="-"/>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68E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C32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6A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4BC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073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24C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7A80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833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C093B"/>
    <w:multiLevelType w:val="hybridMultilevel"/>
    <w:tmpl w:val="8C82D852"/>
    <w:lvl w:ilvl="0" w:tplc="4966603A">
      <w:start w:val="1"/>
      <w:numFmt w:val="lowerLetter"/>
      <w:lvlText w:val="%1)"/>
      <w:lvlJc w:val="left"/>
      <w:pPr>
        <w:ind w:left="1580" w:hanging="562"/>
      </w:pPr>
      <w:rPr>
        <w:rFonts w:ascii="Times New Roman" w:eastAsia="Times New Roman" w:hAnsi="Times New Roman" w:cs="Times New Roman" w:hint="default"/>
        <w:spacing w:val="-1"/>
        <w:w w:val="99"/>
        <w:sz w:val="22"/>
        <w:szCs w:val="22"/>
        <w:lang w:val="lt-LT" w:eastAsia="en-US" w:bidi="ar-SA"/>
      </w:rPr>
    </w:lvl>
    <w:lvl w:ilvl="1" w:tplc="1C22BB68">
      <w:numFmt w:val="bullet"/>
      <w:lvlText w:val="•"/>
      <w:lvlJc w:val="left"/>
      <w:pPr>
        <w:ind w:left="2514" w:hanging="562"/>
      </w:pPr>
      <w:rPr>
        <w:rFonts w:hint="default"/>
        <w:lang w:val="lt-LT" w:eastAsia="en-US" w:bidi="ar-SA"/>
      </w:rPr>
    </w:lvl>
    <w:lvl w:ilvl="2" w:tplc="33E8B840">
      <w:numFmt w:val="bullet"/>
      <w:lvlText w:val="•"/>
      <w:lvlJc w:val="left"/>
      <w:pPr>
        <w:ind w:left="3449" w:hanging="562"/>
      </w:pPr>
      <w:rPr>
        <w:rFonts w:hint="default"/>
        <w:lang w:val="lt-LT" w:eastAsia="en-US" w:bidi="ar-SA"/>
      </w:rPr>
    </w:lvl>
    <w:lvl w:ilvl="3" w:tplc="0DB2A378">
      <w:numFmt w:val="bullet"/>
      <w:lvlText w:val="•"/>
      <w:lvlJc w:val="left"/>
      <w:pPr>
        <w:ind w:left="4383" w:hanging="562"/>
      </w:pPr>
      <w:rPr>
        <w:rFonts w:hint="default"/>
        <w:lang w:val="lt-LT" w:eastAsia="en-US" w:bidi="ar-SA"/>
      </w:rPr>
    </w:lvl>
    <w:lvl w:ilvl="4" w:tplc="C2885F08">
      <w:numFmt w:val="bullet"/>
      <w:lvlText w:val="•"/>
      <w:lvlJc w:val="left"/>
      <w:pPr>
        <w:ind w:left="5318" w:hanging="562"/>
      </w:pPr>
      <w:rPr>
        <w:rFonts w:hint="default"/>
        <w:lang w:val="lt-LT" w:eastAsia="en-US" w:bidi="ar-SA"/>
      </w:rPr>
    </w:lvl>
    <w:lvl w:ilvl="5" w:tplc="1430DDF8">
      <w:numFmt w:val="bullet"/>
      <w:lvlText w:val="•"/>
      <w:lvlJc w:val="left"/>
      <w:pPr>
        <w:ind w:left="6253" w:hanging="562"/>
      </w:pPr>
      <w:rPr>
        <w:rFonts w:hint="default"/>
        <w:lang w:val="lt-LT" w:eastAsia="en-US" w:bidi="ar-SA"/>
      </w:rPr>
    </w:lvl>
    <w:lvl w:ilvl="6" w:tplc="0DA60D08">
      <w:numFmt w:val="bullet"/>
      <w:lvlText w:val="•"/>
      <w:lvlJc w:val="left"/>
      <w:pPr>
        <w:ind w:left="7187" w:hanging="562"/>
      </w:pPr>
      <w:rPr>
        <w:rFonts w:hint="default"/>
        <w:lang w:val="lt-LT" w:eastAsia="en-US" w:bidi="ar-SA"/>
      </w:rPr>
    </w:lvl>
    <w:lvl w:ilvl="7" w:tplc="5BD46330">
      <w:numFmt w:val="bullet"/>
      <w:lvlText w:val="•"/>
      <w:lvlJc w:val="left"/>
      <w:pPr>
        <w:ind w:left="8122" w:hanging="562"/>
      </w:pPr>
      <w:rPr>
        <w:rFonts w:hint="default"/>
        <w:lang w:val="lt-LT" w:eastAsia="en-US" w:bidi="ar-SA"/>
      </w:rPr>
    </w:lvl>
    <w:lvl w:ilvl="8" w:tplc="8FDA0888">
      <w:numFmt w:val="bullet"/>
      <w:lvlText w:val="•"/>
      <w:lvlJc w:val="left"/>
      <w:pPr>
        <w:ind w:left="9057" w:hanging="562"/>
      </w:pPr>
      <w:rPr>
        <w:rFonts w:hint="default"/>
        <w:lang w:val="lt-LT" w:eastAsia="en-US" w:bidi="ar-SA"/>
      </w:rPr>
    </w:lvl>
  </w:abstractNum>
  <w:abstractNum w:abstractNumId="10"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8E0971"/>
    <w:multiLevelType w:val="hybridMultilevel"/>
    <w:tmpl w:val="BEBCB6F6"/>
    <w:lvl w:ilvl="0" w:tplc="32A8E2FA">
      <w:start w:val="3"/>
      <w:numFmt w:val="upperLetter"/>
      <w:lvlText w:val="%1."/>
      <w:lvlJc w:val="left"/>
      <w:pPr>
        <w:ind w:left="720" w:hanging="36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04326D"/>
    <w:multiLevelType w:val="multilevel"/>
    <w:tmpl w:val="D8C82522"/>
    <w:lvl w:ilvl="0">
      <w:start w:val="4"/>
      <w:numFmt w:val="decimal"/>
      <w:lvlText w:val="%1"/>
      <w:lvlJc w:val="left"/>
      <w:pPr>
        <w:ind w:left="1584" w:hanging="568"/>
      </w:pPr>
      <w:rPr>
        <w:rFonts w:hint="default"/>
        <w:lang w:val="lt-LT" w:eastAsia="en-US" w:bidi="ar-SA"/>
      </w:rPr>
    </w:lvl>
    <w:lvl w:ilvl="1">
      <w:start w:val="2"/>
      <w:numFmt w:val="decimal"/>
      <w:lvlText w:val="%1.%2"/>
      <w:lvlJc w:val="left"/>
      <w:pPr>
        <w:ind w:left="1584"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4"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A752D9D"/>
    <w:multiLevelType w:val="hybridMultilevel"/>
    <w:tmpl w:val="7DCA244A"/>
    <w:lvl w:ilvl="0" w:tplc="618CAA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557650"/>
    <w:multiLevelType w:val="hybridMultilevel"/>
    <w:tmpl w:val="78C22172"/>
    <w:lvl w:ilvl="0" w:tplc="C87A676C">
      <w:start w:val="6"/>
      <w:numFmt w:val="bullet"/>
      <w:lvlText w:val="•"/>
      <w:lvlJc w:val="left"/>
      <w:pPr>
        <w:ind w:left="1004" w:hanging="360"/>
      </w:pPr>
      <w:rPr>
        <w:rFonts w:ascii="Times New Roman" w:eastAsiaTheme="minorHAnsi"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22281F21"/>
    <w:multiLevelType w:val="hybridMultilevel"/>
    <w:tmpl w:val="D8E2FA9A"/>
    <w:lvl w:ilvl="0" w:tplc="925EAF5C">
      <w:start w:val="1"/>
      <w:numFmt w:val="lowerLetter"/>
      <w:lvlText w:val="%1)"/>
      <w:lvlJc w:val="left"/>
      <w:pPr>
        <w:ind w:left="1378" w:hanging="361"/>
      </w:pPr>
      <w:rPr>
        <w:rFonts w:ascii="Times New Roman" w:eastAsia="Times New Roman" w:hAnsi="Times New Roman" w:cs="Times New Roman" w:hint="default"/>
        <w:spacing w:val="-1"/>
        <w:w w:val="99"/>
        <w:sz w:val="22"/>
        <w:szCs w:val="22"/>
        <w:lang w:val="lt-LT" w:eastAsia="en-US" w:bidi="ar-SA"/>
      </w:rPr>
    </w:lvl>
    <w:lvl w:ilvl="1" w:tplc="EB78E9A2">
      <w:numFmt w:val="bullet"/>
      <w:lvlText w:val="•"/>
      <w:lvlJc w:val="left"/>
      <w:pPr>
        <w:ind w:left="2334" w:hanging="361"/>
      </w:pPr>
      <w:rPr>
        <w:rFonts w:hint="default"/>
        <w:lang w:val="lt-LT" w:eastAsia="en-US" w:bidi="ar-SA"/>
      </w:rPr>
    </w:lvl>
    <w:lvl w:ilvl="2" w:tplc="710097CE">
      <w:numFmt w:val="bullet"/>
      <w:lvlText w:val="•"/>
      <w:lvlJc w:val="left"/>
      <w:pPr>
        <w:ind w:left="3289" w:hanging="361"/>
      </w:pPr>
      <w:rPr>
        <w:rFonts w:hint="default"/>
        <w:lang w:val="lt-LT" w:eastAsia="en-US" w:bidi="ar-SA"/>
      </w:rPr>
    </w:lvl>
    <w:lvl w:ilvl="3" w:tplc="69B0EB94">
      <w:numFmt w:val="bullet"/>
      <w:lvlText w:val="•"/>
      <w:lvlJc w:val="left"/>
      <w:pPr>
        <w:ind w:left="4243" w:hanging="361"/>
      </w:pPr>
      <w:rPr>
        <w:rFonts w:hint="default"/>
        <w:lang w:val="lt-LT" w:eastAsia="en-US" w:bidi="ar-SA"/>
      </w:rPr>
    </w:lvl>
    <w:lvl w:ilvl="4" w:tplc="219A76D4">
      <w:numFmt w:val="bullet"/>
      <w:lvlText w:val="•"/>
      <w:lvlJc w:val="left"/>
      <w:pPr>
        <w:ind w:left="5198" w:hanging="361"/>
      </w:pPr>
      <w:rPr>
        <w:rFonts w:hint="default"/>
        <w:lang w:val="lt-LT" w:eastAsia="en-US" w:bidi="ar-SA"/>
      </w:rPr>
    </w:lvl>
    <w:lvl w:ilvl="5" w:tplc="FEFEDEB8">
      <w:numFmt w:val="bullet"/>
      <w:lvlText w:val="•"/>
      <w:lvlJc w:val="left"/>
      <w:pPr>
        <w:ind w:left="6153" w:hanging="361"/>
      </w:pPr>
      <w:rPr>
        <w:rFonts w:hint="default"/>
        <w:lang w:val="lt-LT" w:eastAsia="en-US" w:bidi="ar-SA"/>
      </w:rPr>
    </w:lvl>
    <w:lvl w:ilvl="6" w:tplc="CF9C4C08">
      <w:numFmt w:val="bullet"/>
      <w:lvlText w:val="•"/>
      <w:lvlJc w:val="left"/>
      <w:pPr>
        <w:ind w:left="7107" w:hanging="361"/>
      </w:pPr>
      <w:rPr>
        <w:rFonts w:hint="default"/>
        <w:lang w:val="lt-LT" w:eastAsia="en-US" w:bidi="ar-SA"/>
      </w:rPr>
    </w:lvl>
    <w:lvl w:ilvl="7" w:tplc="3A289EA4">
      <w:numFmt w:val="bullet"/>
      <w:lvlText w:val="•"/>
      <w:lvlJc w:val="left"/>
      <w:pPr>
        <w:ind w:left="8062" w:hanging="361"/>
      </w:pPr>
      <w:rPr>
        <w:rFonts w:hint="default"/>
        <w:lang w:val="lt-LT" w:eastAsia="en-US" w:bidi="ar-SA"/>
      </w:rPr>
    </w:lvl>
    <w:lvl w:ilvl="8" w:tplc="A77E3C1C">
      <w:numFmt w:val="bullet"/>
      <w:lvlText w:val="•"/>
      <w:lvlJc w:val="left"/>
      <w:pPr>
        <w:ind w:left="9017" w:hanging="361"/>
      </w:pPr>
      <w:rPr>
        <w:rFonts w:hint="default"/>
        <w:lang w:val="lt-LT" w:eastAsia="en-US" w:bidi="ar-SA"/>
      </w:rPr>
    </w:lvl>
  </w:abstractNum>
  <w:abstractNum w:abstractNumId="19" w15:restartNumberingAfterBreak="0">
    <w:nsid w:val="23552D37"/>
    <w:multiLevelType w:val="multilevel"/>
    <w:tmpl w:val="5AFA801E"/>
    <w:lvl w:ilvl="0">
      <w:start w:val="6"/>
      <w:numFmt w:val="decimal"/>
      <w:lvlText w:val="%1."/>
      <w:lvlJc w:val="left"/>
      <w:pPr>
        <w:ind w:left="1580" w:hanging="562"/>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20" w15:restartNumberingAfterBreak="0">
    <w:nsid w:val="280C1C18"/>
    <w:multiLevelType w:val="hybridMultilevel"/>
    <w:tmpl w:val="FC70FA96"/>
    <w:lvl w:ilvl="0" w:tplc="194AA39C">
      <w:start w:val="1"/>
      <w:numFmt w:val="lowerLetter"/>
      <w:lvlText w:val="%1)"/>
      <w:lvlJc w:val="left"/>
      <w:pPr>
        <w:ind w:left="1378" w:hanging="360"/>
      </w:pPr>
      <w:rPr>
        <w:rFonts w:ascii="Times New Roman" w:eastAsia="Times New Roman" w:hAnsi="Times New Roman" w:cs="Times New Roman" w:hint="default"/>
        <w:spacing w:val="-1"/>
        <w:w w:val="99"/>
        <w:sz w:val="22"/>
        <w:szCs w:val="22"/>
        <w:lang w:val="lt-LT" w:eastAsia="en-US" w:bidi="ar-SA"/>
      </w:rPr>
    </w:lvl>
    <w:lvl w:ilvl="1" w:tplc="13D415FE">
      <w:numFmt w:val="bullet"/>
      <w:lvlText w:val="•"/>
      <w:lvlJc w:val="left"/>
      <w:pPr>
        <w:ind w:left="2334" w:hanging="360"/>
      </w:pPr>
      <w:rPr>
        <w:rFonts w:hint="default"/>
        <w:lang w:val="lt-LT" w:eastAsia="en-US" w:bidi="ar-SA"/>
      </w:rPr>
    </w:lvl>
    <w:lvl w:ilvl="2" w:tplc="39864548">
      <w:numFmt w:val="bullet"/>
      <w:lvlText w:val="•"/>
      <w:lvlJc w:val="left"/>
      <w:pPr>
        <w:ind w:left="3289" w:hanging="360"/>
      </w:pPr>
      <w:rPr>
        <w:rFonts w:hint="default"/>
        <w:lang w:val="lt-LT" w:eastAsia="en-US" w:bidi="ar-SA"/>
      </w:rPr>
    </w:lvl>
    <w:lvl w:ilvl="3" w:tplc="3E0820F8">
      <w:numFmt w:val="bullet"/>
      <w:lvlText w:val="•"/>
      <w:lvlJc w:val="left"/>
      <w:pPr>
        <w:ind w:left="4243" w:hanging="360"/>
      </w:pPr>
      <w:rPr>
        <w:rFonts w:hint="default"/>
        <w:lang w:val="lt-LT" w:eastAsia="en-US" w:bidi="ar-SA"/>
      </w:rPr>
    </w:lvl>
    <w:lvl w:ilvl="4" w:tplc="47E8EC78">
      <w:numFmt w:val="bullet"/>
      <w:lvlText w:val="•"/>
      <w:lvlJc w:val="left"/>
      <w:pPr>
        <w:ind w:left="5198" w:hanging="360"/>
      </w:pPr>
      <w:rPr>
        <w:rFonts w:hint="default"/>
        <w:lang w:val="lt-LT" w:eastAsia="en-US" w:bidi="ar-SA"/>
      </w:rPr>
    </w:lvl>
    <w:lvl w:ilvl="5" w:tplc="6FEC0F66">
      <w:numFmt w:val="bullet"/>
      <w:lvlText w:val="•"/>
      <w:lvlJc w:val="left"/>
      <w:pPr>
        <w:ind w:left="6153" w:hanging="360"/>
      </w:pPr>
      <w:rPr>
        <w:rFonts w:hint="default"/>
        <w:lang w:val="lt-LT" w:eastAsia="en-US" w:bidi="ar-SA"/>
      </w:rPr>
    </w:lvl>
    <w:lvl w:ilvl="6" w:tplc="28A0E01A">
      <w:numFmt w:val="bullet"/>
      <w:lvlText w:val="•"/>
      <w:lvlJc w:val="left"/>
      <w:pPr>
        <w:ind w:left="7107" w:hanging="360"/>
      </w:pPr>
      <w:rPr>
        <w:rFonts w:hint="default"/>
        <w:lang w:val="lt-LT" w:eastAsia="en-US" w:bidi="ar-SA"/>
      </w:rPr>
    </w:lvl>
    <w:lvl w:ilvl="7" w:tplc="D7B6FBAA">
      <w:numFmt w:val="bullet"/>
      <w:lvlText w:val="•"/>
      <w:lvlJc w:val="left"/>
      <w:pPr>
        <w:ind w:left="8062" w:hanging="360"/>
      </w:pPr>
      <w:rPr>
        <w:rFonts w:hint="default"/>
        <w:lang w:val="lt-LT" w:eastAsia="en-US" w:bidi="ar-SA"/>
      </w:rPr>
    </w:lvl>
    <w:lvl w:ilvl="8" w:tplc="5E52D5C2">
      <w:numFmt w:val="bullet"/>
      <w:lvlText w:val="•"/>
      <w:lvlJc w:val="left"/>
      <w:pPr>
        <w:ind w:left="9017" w:hanging="360"/>
      </w:pPr>
      <w:rPr>
        <w:rFonts w:hint="default"/>
        <w:lang w:val="lt-LT" w:eastAsia="en-US" w:bidi="ar-SA"/>
      </w:rPr>
    </w:lvl>
  </w:abstractNum>
  <w:abstractNum w:abstractNumId="21"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0E107E"/>
    <w:multiLevelType w:val="multilevel"/>
    <w:tmpl w:val="F4B2D228"/>
    <w:lvl w:ilvl="0">
      <w:start w:val="4"/>
      <w:numFmt w:val="decimal"/>
      <w:lvlText w:val="%1"/>
      <w:lvlJc w:val="left"/>
      <w:pPr>
        <w:ind w:left="1585" w:hanging="568"/>
      </w:pPr>
      <w:rPr>
        <w:rFonts w:hint="default"/>
        <w:lang w:val="lt-LT" w:eastAsia="en-US" w:bidi="ar-SA"/>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24" w15:restartNumberingAfterBreak="0">
    <w:nsid w:val="3229064F"/>
    <w:multiLevelType w:val="hybridMultilevel"/>
    <w:tmpl w:val="10889F62"/>
    <w:lvl w:ilvl="0" w:tplc="D87A6F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EE1F89"/>
    <w:multiLevelType w:val="hybridMultilevel"/>
    <w:tmpl w:val="135E3BE8"/>
    <w:lvl w:ilvl="0" w:tplc="C3E83E98">
      <w:start w:val="1"/>
      <w:numFmt w:val="lowerLetter"/>
      <w:lvlText w:val="%1)"/>
      <w:lvlJc w:val="left"/>
      <w:pPr>
        <w:ind w:left="1378" w:hanging="360"/>
      </w:pPr>
      <w:rPr>
        <w:rFonts w:ascii="Times New Roman" w:eastAsia="Times New Roman" w:hAnsi="Times New Roman" w:cs="Times New Roman" w:hint="default"/>
        <w:spacing w:val="-1"/>
        <w:w w:val="99"/>
        <w:sz w:val="22"/>
        <w:szCs w:val="22"/>
        <w:lang w:val="lt-LT" w:eastAsia="en-US" w:bidi="ar-SA"/>
      </w:rPr>
    </w:lvl>
    <w:lvl w:ilvl="1" w:tplc="CA26B002">
      <w:numFmt w:val="bullet"/>
      <w:lvlText w:val="•"/>
      <w:lvlJc w:val="left"/>
      <w:pPr>
        <w:ind w:left="2334" w:hanging="360"/>
      </w:pPr>
      <w:rPr>
        <w:rFonts w:hint="default"/>
        <w:lang w:val="lt-LT" w:eastAsia="en-US" w:bidi="ar-SA"/>
      </w:rPr>
    </w:lvl>
    <w:lvl w:ilvl="2" w:tplc="C4B62260">
      <w:numFmt w:val="bullet"/>
      <w:lvlText w:val="•"/>
      <w:lvlJc w:val="left"/>
      <w:pPr>
        <w:ind w:left="3289" w:hanging="360"/>
      </w:pPr>
      <w:rPr>
        <w:rFonts w:hint="default"/>
        <w:lang w:val="lt-LT" w:eastAsia="en-US" w:bidi="ar-SA"/>
      </w:rPr>
    </w:lvl>
    <w:lvl w:ilvl="3" w:tplc="072692C6">
      <w:numFmt w:val="bullet"/>
      <w:lvlText w:val="•"/>
      <w:lvlJc w:val="left"/>
      <w:pPr>
        <w:ind w:left="4243" w:hanging="360"/>
      </w:pPr>
      <w:rPr>
        <w:rFonts w:hint="default"/>
        <w:lang w:val="lt-LT" w:eastAsia="en-US" w:bidi="ar-SA"/>
      </w:rPr>
    </w:lvl>
    <w:lvl w:ilvl="4" w:tplc="5F2EE5BC">
      <w:numFmt w:val="bullet"/>
      <w:lvlText w:val="•"/>
      <w:lvlJc w:val="left"/>
      <w:pPr>
        <w:ind w:left="5198" w:hanging="360"/>
      </w:pPr>
      <w:rPr>
        <w:rFonts w:hint="default"/>
        <w:lang w:val="lt-LT" w:eastAsia="en-US" w:bidi="ar-SA"/>
      </w:rPr>
    </w:lvl>
    <w:lvl w:ilvl="5" w:tplc="00B6AD62">
      <w:numFmt w:val="bullet"/>
      <w:lvlText w:val="•"/>
      <w:lvlJc w:val="left"/>
      <w:pPr>
        <w:ind w:left="6153" w:hanging="360"/>
      </w:pPr>
      <w:rPr>
        <w:rFonts w:hint="default"/>
        <w:lang w:val="lt-LT" w:eastAsia="en-US" w:bidi="ar-SA"/>
      </w:rPr>
    </w:lvl>
    <w:lvl w:ilvl="6" w:tplc="0BE0FB46">
      <w:numFmt w:val="bullet"/>
      <w:lvlText w:val="•"/>
      <w:lvlJc w:val="left"/>
      <w:pPr>
        <w:ind w:left="7107" w:hanging="360"/>
      </w:pPr>
      <w:rPr>
        <w:rFonts w:hint="default"/>
        <w:lang w:val="lt-LT" w:eastAsia="en-US" w:bidi="ar-SA"/>
      </w:rPr>
    </w:lvl>
    <w:lvl w:ilvl="7" w:tplc="407AE2B6">
      <w:numFmt w:val="bullet"/>
      <w:lvlText w:val="•"/>
      <w:lvlJc w:val="left"/>
      <w:pPr>
        <w:ind w:left="8062" w:hanging="360"/>
      </w:pPr>
      <w:rPr>
        <w:rFonts w:hint="default"/>
        <w:lang w:val="lt-LT" w:eastAsia="en-US" w:bidi="ar-SA"/>
      </w:rPr>
    </w:lvl>
    <w:lvl w:ilvl="8" w:tplc="0F42BE4E">
      <w:numFmt w:val="bullet"/>
      <w:lvlText w:val="•"/>
      <w:lvlJc w:val="left"/>
      <w:pPr>
        <w:ind w:left="9017" w:hanging="360"/>
      </w:pPr>
      <w:rPr>
        <w:rFonts w:hint="default"/>
        <w:lang w:val="lt-LT" w:eastAsia="en-US" w:bidi="ar-SA"/>
      </w:rPr>
    </w:lvl>
  </w:abstractNum>
  <w:abstractNum w:abstractNumId="26" w15:restartNumberingAfterBreak="0">
    <w:nsid w:val="34E31AF6"/>
    <w:multiLevelType w:val="hybridMultilevel"/>
    <w:tmpl w:val="EB56DCA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0922A4"/>
    <w:multiLevelType w:val="hybridMultilevel"/>
    <w:tmpl w:val="21B8DF24"/>
    <w:lvl w:ilvl="0" w:tplc="75F4AE8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C87A676C">
      <w:start w:val="6"/>
      <w:numFmt w:val="bullet"/>
      <w:lvlText w:val="•"/>
      <w:lvlJc w:val="left"/>
      <w:pPr>
        <w:ind w:left="2160" w:hanging="360"/>
      </w:pPr>
      <w:rPr>
        <w:rFonts w:ascii="Times New Roman" w:eastAsiaTheme="minorHAns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801070"/>
    <w:multiLevelType w:val="hybridMultilevel"/>
    <w:tmpl w:val="9F724FF8"/>
    <w:lvl w:ilvl="0" w:tplc="38661B36">
      <w:numFmt w:val="bullet"/>
      <w:lvlText w:val="*"/>
      <w:lvlJc w:val="left"/>
      <w:pPr>
        <w:ind w:left="1018" w:hanging="166"/>
      </w:pPr>
      <w:rPr>
        <w:rFonts w:ascii="Times New Roman" w:eastAsia="Times New Roman" w:hAnsi="Times New Roman" w:cs="Times New Roman" w:hint="default"/>
        <w:w w:val="99"/>
        <w:sz w:val="22"/>
        <w:szCs w:val="22"/>
        <w:lang w:val="lt-LT" w:eastAsia="en-US" w:bidi="ar-SA"/>
      </w:rPr>
    </w:lvl>
    <w:lvl w:ilvl="1" w:tplc="6AC0C7AA">
      <w:numFmt w:val="bullet"/>
      <w:lvlText w:val="•"/>
      <w:lvlJc w:val="left"/>
      <w:pPr>
        <w:ind w:left="2010" w:hanging="166"/>
      </w:pPr>
      <w:rPr>
        <w:rFonts w:hint="default"/>
        <w:lang w:val="lt-LT" w:eastAsia="en-US" w:bidi="ar-SA"/>
      </w:rPr>
    </w:lvl>
    <w:lvl w:ilvl="2" w:tplc="748A3BC6">
      <w:numFmt w:val="bullet"/>
      <w:lvlText w:val="•"/>
      <w:lvlJc w:val="left"/>
      <w:pPr>
        <w:ind w:left="3001" w:hanging="166"/>
      </w:pPr>
      <w:rPr>
        <w:rFonts w:hint="default"/>
        <w:lang w:val="lt-LT" w:eastAsia="en-US" w:bidi="ar-SA"/>
      </w:rPr>
    </w:lvl>
    <w:lvl w:ilvl="3" w:tplc="86D63040">
      <w:numFmt w:val="bullet"/>
      <w:lvlText w:val="•"/>
      <w:lvlJc w:val="left"/>
      <w:pPr>
        <w:ind w:left="3991" w:hanging="166"/>
      </w:pPr>
      <w:rPr>
        <w:rFonts w:hint="default"/>
        <w:lang w:val="lt-LT" w:eastAsia="en-US" w:bidi="ar-SA"/>
      </w:rPr>
    </w:lvl>
    <w:lvl w:ilvl="4" w:tplc="76703F92">
      <w:numFmt w:val="bullet"/>
      <w:lvlText w:val="•"/>
      <w:lvlJc w:val="left"/>
      <w:pPr>
        <w:ind w:left="4982" w:hanging="166"/>
      </w:pPr>
      <w:rPr>
        <w:rFonts w:hint="default"/>
        <w:lang w:val="lt-LT" w:eastAsia="en-US" w:bidi="ar-SA"/>
      </w:rPr>
    </w:lvl>
    <w:lvl w:ilvl="5" w:tplc="2D624FFC">
      <w:numFmt w:val="bullet"/>
      <w:lvlText w:val="•"/>
      <w:lvlJc w:val="left"/>
      <w:pPr>
        <w:ind w:left="5973" w:hanging="166"/>
      </w:pPr>
      <w:rPr>
        <w:rFonts w:hint="default"/>
        <w:lang w:val="lt-LT" w:eastAsia="en-US" w:bidi="ar-SA"/>
      </w:rPr>
    </w:lvl>
    <w:lvl w:ilvl="6" w:tplc="100E43A0">
      <w:numFmt w:val="bullet"/>
      <w:lvlText w:val="•"/>
      <w:lvlJc w:val="left"/>
      <w:pPr>
        <w:ind w:left="6963" w:hanging="166"/>
      </w:pPr>
      <w:rPr>
        <w:rFonts w:hint="default"/>
        <w:lang w:val="lt-LT" w:eastAsia="en-US" w:bidi="ar-SA"/>
      </w:rPr>
    </w:lvl>
    <w:lvl w:ilvl="7" w:tplc="C8B8B1F2">
      <w:numFmt w:val="bullet"/>
      <w:lvlText w:val="•"/>
      <w:lvlJc w:val="left"/>
      <w:pPr>
        <w:ind w:left="7954" w:hanging="166"/>
      </w:pPr>
      <w:rPr>
        <w:rFonts w:hint="default"/>
        <w:lang w:val="lt-LT" w:eastAsia="en-US" w:bidi="ar-SA"/>
      </w:rPr>
    </w:lvl>
    <w:lvl w:ilvl="8" w:tplc="3A9E073E">
      <w:numFmt w:val="bullet"/>
      <w:lvlText w:val="•"/>
      <w:lvlJc w:val="left"/>
      <w:pPr>
        <w:ind w:left="8945" w:hanging="166"/>
      </w:pPr>
      <w:rPr>
        <w:rFonts w:hint="default"/>
        <w:lang w:val="lt-LT" w:eastAsia="en-US" w:bidi="ar-SA"/>
      </w:rPr>
    </w:lvl>
  </w:abstractNum>
  <w:abstractNum w:abstractNumId="29"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CE96A5B"/>
    <w:multiLevelType w:val="hybridMultilevel"/>
    <w:tmpl w:val="0ADCDC56"/>
    <w:lvl w:ilvl="0" w:tplc="91305B60">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21C2E">
      <w:start w:val="1"/>
      <w:numFmt w:val="bullet"/>
      <w:lvlText w:val="o"/>
      <w:lvlJc w:val="left"/>
      <w:pPr>
        <w:ind w:left="1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46D05E">
      <w:start w:val="1"/>
      <w:numFmt w:val="bullet"/>
      <w:lvlText w:val="▪"/>
      <w:lvlJc w:val="left"/>
      <w:pPr>
        <w:ind w:left="2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5EF392">
      <w:start w:val="1"/>
      <w:numFmt w:val="bullet"/>
      <w:lvlText w:val="•"/>
      <w:lvlJc w:val="left"/>
      <w:pPr>
        <w:ind w:left="2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A45506">
      <w:start w:val="1"/>
      <w:numFmt w:val="bullet"/>
      <w:lvlText w:val="o"/>
      <w:lvlJc w:val="left"/>
      <w:pPr>
        <w:ind w:left="3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46CEFA">
      <w:start w:val="1"/>
      <w:numFmt w:val="bullet"/>
      <w:lvlText w:val="▪"/>
      <w:lvlJc w:val="left"/>
      <w:pPr>
        <w:ind w:left="4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EC712">
      <w:start w:val="1"/>
      <w:numFmt w:val="bullet"/>
      <w:lvlText w:val="•"/>
      <w:lvlJc w:val="left"/>
      <w:pPr>
        <w:ind w:left="4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E1A7E">
      <w:start w:val="1"/>
      <w:numFmt w:val="bullet"/>
      <w:lvlText w:val="o"/>
      <w:lvlJc w:val="left"/>
      <w:pPr>
        <w:ind w:left="5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A67F40">
      <w:start w:val="1"/>
      <w:numFmt w:val="bullet"/>
      <w:lvlText w:val="▪"/>
      <w:lvlJc w:val="left"/>
      <w:pPr>
        <w:ind w:left="6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D20101"/>
    <w:multiLevelType w:val="hybridMultilevel"/>
    <w:tmpl w:val="834EC1E0"/>
    <w:lvl w:ilvl="0" w:tplc="43F4340E">
      <w:numFmt w:val="bullet"/>
      <w:lvlText w:val=""/>
      <w:lvlJc w:val="left"/>
      <w:pPr>
        <w:ind w:left="1586" w:hanging="562"/>
      </w:pPr>
      <w:rPr>
        <w:rFonts w:ascii="Symbol" w:eastAsia="Symbol" w:hAnsi="Symbol" w:cs="Symbol" w:hint="default"/>
        <w:w w:val="99"/>
        <w:sz w:val="22"/>
        <w:szCs w:val="22"/>
        <w:lang w:val="lt-LT" w:eastAsia="en-US" w:bidi="ar-SA"/>
      </w:rPr>
    </w:lvl>
    <w:lvl w:ilvl="1" w:tplc="6A965CB6">
      <w:numFmt w:val="bullet"/>
      <w:lvlText w:val="•"/>
      <w:lvlJc w:val="left"/>
      <w:pPr>
        <w:ind w:left="2514" w:hanging="562"/>
      </w:pPr>
      <w:rPr>
        <w:rFonts w:hint="default"/>
        <w:lang w:val="lt-LT" w:eastAsia="en-US" w:bidi="ar-SA"/>
      </w:rPr>
    </w:lvl>
    <w:lvl w:ilvl="2" w:tplc="05920D7C">
      <w:numFmt w:val="bullet"/>
      <w:lvlText w:val="•"/>
      <w:lvlJc w:val="left"/>
      <w:pPr>
        <w:ind w:left="3449" w:hanging="562"/>
      </w:pPr>
      <w:rPr>
        <w:rFonts w:hint="default"/>
        <w:lang w:val="lt-LT" w:eastAsia="en-US" w:bidi="ar-SA"/>
      </w:rPr>
    </w:lvl>
    <w:lvl w:ilvl="3" w:tplc="BA7CBDA4">
      <w:numFmt w:val="bullet"/>
      <w:lvlText w:val="•"/>
      <w:lvlJc w:val="left"/>
      <w:pPr>
        <w:ind w:left="4383" w:hanging="562"/>
      </w:pPr>
      <w:rPr>
        <w:rFonts w:hint="default"/>
        <w:lang w:val="lt-LT" w:eastAsia="en-US" w:bidi="ar-SA"/>
      </w:rPr>
    </w:lvl>
    <w:lvl w:ilvl="4" w:tplc="E4900B9A">
      <w:numFmt w:val="bullet"/>
      <w:lvlText w:val="•"/>
      <w:lvlJc w:val="left"/>
      <w:pPr>
        <w:ind w:left="5318" w:hanging="562"/>
      </w:pPr>
      <w:rPr>
        <w:rFonts w:hint="default"/>
        <w:lang w:val="lt-LT" w:eastAsia="en-US" w:bidi="ar-SA"/>
      </w:rPr>
    </w:lvl>
    <w:lvl w:ilvl="5" w:tplc="91C252EE">
      <w:numFmt w:val="bullet"/>
      <w:lvlText w:val="•"/>
      <w:lvlJc w:val="left"/>
      <w:pPr>
        <w:ind w:left="6253" w:hanging="562"/>
      </w:pPr>
      <w:rPr>
        <w:rFonts w:hint="default"/>
        <w:lang w:val="lt-LT" w:eastAsia="en-US" w:bidi="ar-SA"/>
      </w:rPr>
    </w:lvl>
    <w:lvl w:ilvl="6" w:tplc="F17A562E">
      <w:numFmt w:val="bullet"/>
      <w:lvlText w:val="•"/>
      <w:lvlJc w:val="left"/>
      <w:pPr>
        <w:ind w:left="7187" w:hanging="562"/>
      </w:pPr>
      <w:rPr>
        <w:rFonts w:hint="default"/>
        <w:lang w:val="lt-LT" w:eastAsia="en-US" w:bidi="ar-SA"/>
      </w:rPr>
    </w:lvl>
    <w:lvl w:ilvl="7" w:tplc="AB04555A">
      <w:numFmt w:val="bullet"/>
      <w:lvlText w:val="•"/>
      <w:lvlJc w:val="left"/>
      <w:pPr>
        <w:ind w:left="8122" w:hanging="562"/>
      </w:pPr>
      <w:rPr>
        <w:rFonts w:hint="default"/>
        <w:lang w:val="lt-LT" w:eastAsia="en-US" w:bidi="ar-SA"/>
      </w:rPr>
    </w:lvl>
    <w:lvl w:ilvl="8" w:tplc="D71E48FA">
      <w:numFmt w:val="bullet"/>
      <w:lvlText w:val="•"/>
      <w:lvlJc w:val="left"/>
      <w:pPr>
        <w:ind w:left="9057" w:hanging="562"/>
      </w:pPr>
      <w:rPr>
        <w:rFonts w:hint="default"/>
        <w:lang w:val="lt-LT" w:eastAsia="en-US" w:bidi="ar-SA"/>
      </w:rPr>
    </w:lvl>
  </w:abstractNum>
  <w:abstractNum w:abstractNumId="32" w15:restartNumberingAfterBreak="0">
    <w:nsid w:val="47FC6155"/>
    <w:multiLevelType w:val="hybridMultilevel"/>
    <w:tmpl w:val="7166CF7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D52168"/>
    <w:multiLevelType w:val="hybridMultilevel"/>
    <w:tmpl w:val="11C6464E"/>
    <w:lvl w:ilvl="0" w:tplc="FFFFFFFF">
      <w:start w:val="1"/>
      <w:numFmt w:val="bullet"/>
      <w:lvlText w:val="-"/>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B">
      <w:start w:val="1"/>
      <w:numFmt w:val="bullet"/>
      <w:lvlText w:val=""/>
      <w:lvlJc w:val="left"/>
      <w:pPr>
        <w:ind w:left="1810" w:hanging="360"/>
      </w:pPr>
      <w:rPr>
        <w:rFonts w:ascii="Wingdings" w:hAnsi="Wingdings" w:hint="default"/>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571005"/>
    <w:multiLevelType w:val="hybridMultilevel"/>
    <w:tmpl w:val="7EB2E684"/>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877C1A"/>
    <w:multiLevelType w:val="multilevel"/>
    <w:tmpl w:val="C3423822"/>
    <w:lvl w:ilvl="0">
      <w:start w:val="1"/>
      <w:numFmt w:val="decimal"/>
      <w:lvlText w:val="%1."/>
      <w:lvlJc w:val="left"/>
      <w:pPr>
        <w:ind w:left="1580" w:hanging="562"/>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36" w15:restartNumberingAfterBreak="0">
    <w:nsid w:val="5DD4519E"/>
    <w:multiLevelType w:val="hybridMultilevel"/>
    <w:tmpl w:val="A71C52A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3468FA"/>
    <w:multiLevelType w:val="hybridMultilevel"/>
    <w:tmpl w:val="0922D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36EAE"/>
    <w:multiLevelType w:val="multilevel"/>
    <w:tmpl w:val="C928B156"/>
    <w:lvl w:ilvl="0">
      <w:start w:val="5"/>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9966220"/>
    <w:multiLevelType w:val="hybridMultilevel"/>
    <w:tmpl w:val="5324064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AD5AAC"/>
    <w:multiLevelType w:val="hybridMultilevel"/>
    <w:tmpl w:val="987897A0"/>
    <w:lvl w:ilvl="0" w:tplc="621C516E">
      <w:start w:val="1"/>
      <w:numFmt w:val="bullet"/>
      <w:lvlText w:val="-"/>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4C83DC">
      <w:start w:val="1"/>
      <w:numFmt w:val="bullet"/>
      <w:lvlText w:val="•"/>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649A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A80D3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20A5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3A8E8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AC7D0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E0E8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96EEE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A784A32"/>
    <w:multiLevelType w:val="hybridMultilevel"/>
    <w:tmpl w:val="4DA64ADC"/>
    <w:lvl w:ilvl="0" w:tplc="8B5843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6F027661"/>
    <w:multiLevelType w:val="hybridMultilevel"/>
    <w:tmpl w:val="6582AAE8"/>
    <w:lvl w:ilvl="0" w:tplc="32A8E2FA">
      <w:start w:val="3"/>
      <w:numFmt w:val="upperLetter"/>
      <w:lvlText w:val="%1."/>
      <w:lvlJc w:val="left"/>
      <w:pPr>
        <w:ind w:left="59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C6E6B"/>
    <w:multiLevelType w:val="hybridMultilevel"/>
    <w:tmpl w:val="A9049F3C"/>
    <w:lvl w:ilvl="0" w:tplc="2F54FC90">
      <w:start w:val="2"/>
      <w:numFmt w:val="upperLetter"/>
      <w:lvlText w:val="%1."/>
      <w:lvlJc w:val="left"/>
      <w:pPr>
        <w:ind w:left="5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32606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6A201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7286F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F283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C763C3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40394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9221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4488E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4CE5820"/>
    <w:multiLevelType w:val="multilevel"/>
    <w:tmpl w:val="BF28179E"/>
    <w:lvl w:ilvl="0">
      <w:start w:val="4"/>
      <w:numFmt w:val="decimal"/>
      <w:lvlText w:val="%1"/>
      <w:lvlJc w:val="left"/>
      <w:pPr>
        <w:ind w:left="1585" w:hanging="568"/>
      </w:pPr>
      <w:rPr>
        <w:rFonts w:hint="default"/>
        <w:lang w:val="lt-LT" w:eastAsia="en-US" w:bidi="ar-SA"/>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num w:numId="1">
    <w:abstractNumId w:val="20"/>
  </w:num>
  <w:num w:numId="2">
    <w:abstractNumId w:val="9"/>
  </w:num>
  <w:num w:numId="3">
    <w:abstractNumId w:val="18"/>
  </w:num>
  <w:num w:numId="4">
    <w:abstractNumId w:val="25"/>
  </w:num>
  <w:num w:numId="5">
    <w:abstractNumId w:val="28"/>
  </w:num>
  <w:num w:numId="6">
    <w:abstractNumId w:val="23"/>
  </w:num>
  <w:num w:numId="7">
    <w:abstractNumId w:val="46"/>
  </w:num>
  <w:num w:numId="8">
    <w:abstractNumId w:val="31"/>
  </w:num>
  <w:num w:numId="9">
    <w:abstractNumId w:val="13"/>
  </w:num>
  <w:num w:numId="10">
    <w:abstractNumId w:val="35"/>
  </w:num>
  <w:num w:numId="11">
    <w:abstractNumId w:val="37"/>
  </w:num>
  <w:num w:numId="12">
    <w:abstractNumId w:val="17"/>
  </w:num>
  <w:num w:numId="13">
    <w:abstractNumId w:val="27"/>
  </w:num>
  <w:num w:numId="14">
    <w:abstractNumId w:val="38"/>
  </w:num>
  <w:num w:numId="15">
    <w:abstractNumId w:val="19"/>
  </w:num>
  <w:num w:numId="16">
    <w:abstractNumId w:val="4"/>
  </w:num>
  <w:num w:numId="17">
    <w:abstractNumId w:val="0"/>
  </w:num>
  <w:num w:numId="18">
    <w:abstractNumId w:val="1"/>
  </w:num>
  <w:num w:numId="19">
    <w:abstractNumId w:val="2"/>
  </w:num>
  <w:num w:numId="20">
    <w:abstractNumId w:val="3"/>
  </w:num>
  <w:num w:numId="21">
    <w:abstractNumId w:val="11"/>
  </w:num>
  <w:num w:numId="22">
    <w:abstractNumId w:val="6"/>
  </w:num>
  <w:num w:numId="23">
    <w:abstractNumId w:val="29"/>
  </w:num>
  <w:num w:numId="24">
    <w:abstractNumId w:val="24"/>
  </w:num>
  <w:num w:numId="25">
    <w:abstractNumId w:val="26"/>
  </w:num>
  <w:num w:numId="26">
    <w:abstractNumId w:val="34"/>
  </w:num>
  <w:num w:numId="27">
    <w:abstractNumId w:val="22"/>
  </w:num>
  <w:num w:numId="28">
    <w:abstractNumId w:val="5"/>
  </w:num>
  <w:num w:numId="29">
    <w:abstractNumId w:val="7"/>
  </w:num>
  <w:num w:numId="30">
    <w:abstractNumId w:val="21"/>
  </w:num>
  <w:num w:numId="31">
    <w:abstractNumId w:val="14"/>
  </w:num>
  <w:num w:numId="32">
    <w:abstractNumId w:val="10"/>
  </w:num>
  <w:num w:numId="33">
    <w:abstractNumId w:val="15"/>
  </w:num>
  <w:num w:numId="34">
    <w:abstractNumId w:val="32"/>
  </w:num>
  <w:num w:numId="35">
    <w:abstractNumId w:val="41"/>
  </w:num>
  <w:num w:numId="36">
    <w:abstractNumId w:val="45"/>
  </w:num>
  <w:num w:numId="37">
    <w:abstractNumId w:val="30"/>
  </w:num>
  <w:num w:numId="38">
    <w:abstractNumId w:val="40"/>
  </w:num>
  <w:num w:numId="39">
    <w:abstractNumId w:val="43"/>
  </w:num>
  <w:num w:numId="40">
    <w:abstractNumId w:val="12"/>
  </w:num>
  <w:num w:numId="41">
    <w:abstractNumId w:val="33"/>
  </w:num>
  <w:num w:numId="42">
    <w:abstractNumId w:val="8"/>
  </w:num>
  <w:num w:numId="43">
    <w:abstractNumId w:val="44"/>
  </w:num>
  <w:num w:numId="44">
    <w:abstractNumId w:val="16"/>
  </w:num>
  <w:num w:numId="45">
    <w:abstractNumId w:val="42"/>
  </w:num>
  <w:num w:numId="46">
    <w:abstractNumId w:val="39"/>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7C"/>
    <w:rsid w:val="000057C1"/>
    <w:rsid w:val="00013855"/>
    <w:rsid w:val="00013FF6"/>
    <w:rsid w:val="00023F38"/>
    <w:rsid w:val="000263B9"/>
    <w:rsid w:val="0004249E"/>
    <w:rsid w:val="000449EB"/>
    <w:rsid w:val="00072232"/>
    <w:rsid w:val="000A202B"/>
    <w:rsid w:val="000A420D"/>
    <w:rsid w:val="000A618E"/>
    <w:rsid w:val="000D04ED"/>
    <w:rsid w:val="000D21BC"/>
    <w:rsid w:val="00117DC2"/>
    <w:rsid w:val="001219B6"/>
    <w:rsid w:val="00123517"/>
    <w:rsid w:val="0013158C"/>
    <w:rsid w:val="001506E0"/>
    <w:rsid w:val="0016548F"/>
    <w:rsid w:val="00194291"/>
    <w:rsid w:val="001A67D8"/>
    <w:rsid w:val="001D5190"/>
    <w:rsid w:val="001E0664"/>
    <w:rsid w:val="0022454A"/>
    <w:rsid w:val="00225F51"/>
    <w:rsid w:val="00252A24"/>
    <w:rsid w:val="00292BF2"/>
    <w:rsid w:val="002A046F"/>
    <w:rsid w:val="002D5409"/>
    <w:rsid w:val="003001AF"/>
    <w:rsid w:val="0032412F"/>
    <w:rsid w:val="00327484"/>
    <w:rsid w:val="00346740"/>
    <w:rsid w:val="00356111"/>
    <w:rsid w:val="003B58E7"/>
    <w:rsid w:val="003F257C"/>
    <w:rsid w:val="00400CBB"/>
    <w:rsid w:val="0041739D"/>
    <w:rsid w:val="004215B0"/>
    <w:rsid w:val="00435C5B"/>
    <w:rsid w:val="00485E18"/>
    <w:rsid w:val="00495969"/>
    <w:rsid w:val="00495F6F"/>
    <w:rsid w:val="004C3C4D"/>
    <w:rsid w:val="00514880"/>
    <w:rsid w:val="00531314"/>
    <w:rsid w:val="00553DA8"/>
    <w:rsid w:val="005A3031"/>
    <w:rsid w:val="005A5EE3"/>
    <w:rsid w:val="005F2B9C"/>
    <w:rsid w:val="00600D41"/>
    <w:rsid w:val="0068027E"/>
    <w:rsid w:val="006C1D08"/>
    <w:rsid w:val="006C499E"/>
    <w:rsid w:val="006E15A2"/>
    <w:rsid w:val="007029D5"/>
    <w:rsid w:val="00727D22"/>
    <w:rsid w:val="00730EEB"/>
    <w:rsid w:val="00732A14"/>
    <w:rsid w:val="00795729"/>
    <w:rsid w:val="007A73E4"/>
    <w:rsid w:val="007C1CCB"/>
    <w:rsid w:val="007D06DB"/>
    <w:rsid w:val="007E69FC"/>
    <w:rsid w:val="007F2054"/>
    <w:rsid w:val="00867275"/>
    <w:rsid w:val="008B2924"/>
    <w:rsid w:val="008C616A"/>
    <w:rsid w:val="0092244A"/>
    <w:rsid w:val="009A1EB0"/>
    <w:rsid w:val="009A7381"/>
    <w:rsid w:val="009B79B8"/>
    <w:rsid w:val="00A576A2"/>
    <w:rsid w:val="00B06B20"/>
    <w:rsid w:val="00B55E63"/>
    <w:rsid w:val="00B70E30"/>
    <w:rsid w:val="00B86BD7"/>
    <w:rsid w:val="00B96744"/>
    <w:rsid w:val="00BA2BB0"/>
    <w:rsid w:val="00BC418D"/>
    <w:rsid w:val="00BC76CE"/>
    <w:rsid w:val="00BE4C73"/>
    <w:rsid w:val="00C338A4"/>
    <w:rsid w:val="00C60E15"/>
    <w:rsid w:val="00C655AF"/>
    <w:rsid w:val="00CB094A"/>
    <w:rsid w:val="00CB6705"/>
    <w:rsid w:val="00CC7058"/>
    <w:rsid w:val="00CD2979"/>
    <w:rsid w:val="00CD7C96"/>
    <w:rsid w:val="00D0004E"/>
    <w:rsid w:val="00D24F76"/>
    <w:rsid w:val="00D61A12"/>
    <w:rsid w:val="00D651AA"/>
    <w:rsid w:val="00D92B56"/>
    <w:rsid w:val="00DA6E47"/>
    <w:rsid w:val="00DD4E29"/>
    <w:rsid w:val="00E05C05"/>
    <w:rsid w:val="00E11F75"/>
    <w:rsid w:val="00E22B24"/>
    <w:rsid w:val="00E448E5"/>
    <w:rsid w:val="00E622CD"/>
    <w:rsid w:val="00E803B8"/>
    <w:rsid w:val="00EA0674"/>
    <w:rsid w:val="00EB516A"/>
    <w:rsid w:val="00EE2519"/>
    <w:rsid w:val="00F3142B"/>
    <w:rsid w:val="00F52ED6"/>
    <w:rsid w:val="00F548D8"/>
    <w:rsid w:val="00FB7604"/>
    <w:rsid w:val="00FC5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BA36"/>
  <w15:chartTrackingRefBased/>
  <w15:docId w15:val="{F3D4A65F-36F8-4733-B667-B8DA5F0F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3F257C"/>
    <w:pPr>
      <w:widowControl w:val="0"/>
      <w:autoSpaceDE w:val="0"/>
      <w:autoSpaceDN w:val="0"/>
      <w:spacing w:after="0" w:line="240" w:lineRule="auto"/>
      <w:ind w:left="1585" w:hanging="569"/>
      <w:outlineLvl w:val="0"/>
    </w:pPr>
    <w:rPr>
      <w:rFonts w:ascii="Times New Roman" w:eastAsia="Times New Roman" w:hAnsi="Times New Roman" w:cs="Times New Roman"/>
      <w:b/>
      <w:bCs/>
    </w:rPr>
  </w:style>
  <w:style w:type="paragraph" w:styleId="Antrat2">
    <w:name w:val="heading 2"/>
    <w:basedOn w:val="prastasis"/>
    <w:next w:val="prastasis"/>
    <w:link w:val="Antrat2Diagrama"/>
    <w:uiPriority w:val="99"/>
    <w:qFormat/>
    <w:rsid w:val="003F257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4">
    <w:name w:val="heading 4"/>
    <w:basedOn w:val="prastasis"/>
    <w:next w:val="prastasis"/>
    <w:link w:val="Antrat4Diagrama"/>
    <w:uiPriority w:val="9"/>
    <w:semiHidden/>
    <w:unhideWhenUsed/>
    <w:qFormat/>
    <w:rsid w:val="003F257C"/>
    <w:pPr>
      <w:keepNext/>
      <w:keepLines/>
      <w:spacing w:before="40" w:after="0"/>
      <w:outlineLvl w:val="3"/>
    </w:pPr>
    <w:rPr>
      <w:rFonts w:ascii="Cambria" w:eastAsia="Times New Roman" w:hAnsi="Cambria" w:cs="Times New Roman"/>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3F257C"/>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99"/>
    <w:rsid w:val="003F257C"/>
    <w:rPr>
      <w:rFonts w:ascii="Cambria" w:eastAsia="Times New Roman" w:hAnsi="Cambria" w:cs="Times New Roman"/>
      <w:b/>
      <w:bCs/>
      <w:i/>
      <w:iCs/>
      <w:snapToGrid w:val="0"/>
      <w:sz w:val="28"/>
      <w:szCs w:val="28"/>
      <w:lang w:val="en-GB"/>
    </w:rPr>
  </w:style>
  <w:style w:type="paragraph" w:customStyle="1" w:styleId="Heading41">
    <w:name w:val="Heading 41"/>
    <w:basedOn w:val="prastasis"/>
    <w:next w:val="prastasis"/>
    <w:uiPriority w:val="9"/>
    <w:semiHidden/>
    <w:unhideWhenUsed/>
    <w:qFormat/>
    <w:rsid w:val="003F257C"/>
    <w:pPr>
      <w:keepNext/>
      <w:keepLines/>
      <w:widowControl w:val="0"/>
      <w:autoSpaceDE w:val="0"/>
      <w:autoSpaceDN w:val="0"/>
      <w:spacing w:before="40" w:after="0" w:line="240" w:lineRule="auto"/>
      <w:outlineLvl w:val="3"/>
    </w:pPr>
    <w:rPr>
      <w:rFonts w:ascii="Cambria" w:eastAsia="Times New Roman" w:hAnsi="Cambria" w:cs="Times New Roman"/>
      <w:i/>
      <w:iCs/>
      <w:color w:val="365F91"/>
    </w:rPr>
  </w:style>
  <w:style w:type="numbering" w:customStyle="1" w:styleId="NoList1">
    <w:name w:val="No List1"/>
    <w:next w:val="Sraonra"/>
    <w:uiPriority w:val="99"/>
    <w:semiHidden/>
    <w:unhideWhenUsed/>
    <w:rsid w:val="003F257C"/>
  </w:style>
  <w:style w:type="paragraph" w:styleId="Pagrindinistekstas">
    <w:name w:val="Body Text"/>
    <w:basedOn w:val="prastasis"/>
    <w:link w:val="PagrindinistekstasDiagrama"/>
    <w:uiPriority w:val="1"/>
    <w:qFormat/>
    <w:rsid w:val="003F257C"/>
    <w:pPr>
      <w:widowControl w:val="0"/>
      <w:autoSpaceDE w:val="0"/>
      <w:autoSpaceDN w:val="0"/>
      <w:spacing w:after="0" w:line="240" w:lineRule="auto"/>
      <w:ind w:left="1018"/>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3F257C"/>
    <w:rPr>
      <w:rFonts w:ascii="Times New Roman" w:eastAsia="Times New Roman" w:hAnsi="Times New Roman" w:cs="Times New Roman"/>
    </w:rPr>
  </w:style>
  <w:style w:type="paragraph" w:styleId="Sraopastraipa">
    <w:name w:val="List Paragraph"/>
    <w:basedOn w:val="prastasis"/>
    <w:uiPriority w:val="1"/>
    <w:qFormat/>
    <w:rsid w:val="003F257C"/>
    <w:pPr>
      <w:widowControl w:val="0"/>
      <w:autoSpaceDE w:val="0"/>
      <w:autoSpaceDN w:val="0"/>
      <w:spacing w:after="0" w:line="240" w:lineRule="auto"/>
      <w:ind w:left="1585" w:hanging="569"/>
    </w:pPr>
    <w:rPr>
      <w:rFonts w:ascii="Times New Roman" w:eastAsia="Times New Roman" w:hAnsi="Times New Roman" w:cs="Times New Roman"/>
    </w:rPr>
  </w:style>
  <w:style w:type="paragraph" w:customStyle="1" w:styleId="TableParagraph">
    <w:name w:val="Table Paragraph"/>
    <w:basedOn w:val="prastasis"/>
    <w:uiPriority w:val="1"/>
    <w:qFormat/>
    <w:rsid w:val="003F257C"/>
    <w:pPr>
      <w:widowControl w:val="0"/>
      <w:autoSpaceDE w:val="0"/>
      <w:autoSpaceDN w:val="0"/>
      <w:spacing w:after="0" w:line="240" w:lineRule="auto"/>
      <w:ind w:left="107"/>
    </w:pPr>
    <w:rPr>
      <w:rFonts w:ascii="Times New Roman" w:eastAsia="Times New Roman" w:hAnsi="Times New Roman" w:cs="Times New Roman"/>
    </w:rPr>
  </w:style>
  <w:style w:type="paragraph" w:styleId="Antrats">
    <w:name w:val="header"/>
    <w:basedOn w:val="prastasis"/>
    <w:link w:val="AntratsDiagrama"/>
    <w:uiPriority w:val="99"/>
    <w:unhideWhenUsed/>
    <w:rsid w:val="003F257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3F257C"/>
    <w:rPr>
      <w:rFonts w:ascii="Times New Roman" w:eastAsia="Times New Roman" w:hAnsi="Times New Roman" w:cs="Times New Roman"/>
    </w:rPr>
  </w:style>
  <w:style w:type="paragraph" w:styleId="Porat">
    <w:name w:val="footer"/>
    <w:basedOn w:val="prastasis"/>
    <w:link w:val="PoratDiagrama"/>
    <w:uiPriority w:val="99"/>
    <w:unhideWhenUsed/>
    <w:rsid w:val="003F257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uiPriority w:val="99"/>
    <w:rsid w:val="003F257C"/>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3F257C"/>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F257C"/>
    <w:rPr>
      <w:rFonts w:ascii="Tahoma" w:eastAsia="Times New Roman" w:hAnsi="Tahoma" w:cs="Tahoma"/>
      <w:sz w:val="16"/>
      <w:szCs w:val="16"/>
    </w:rPr>
  </w:style>
  <w:style w:type="paragraph" w:customStyle="1" w:styleId="Default">
    <w:name w:val="Default"/>
    <w:rsid w:val="003F257C"/>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Pataisymai">
    <w:name w:val="Revision"/>
    <w:hidden/>
    <w:uiPriority w:val="99"/>
    <w:semiHidden/>
    <w:rsid w:val="003F257C"/>
    <w:pPr>
      <w:spacing w:after="0" w:line="240" w:lineRule="auto"/>
    </w:pPr>
    <w:rPr>
      <w:rFonts w:ascii="Times New Roman" w:eastAsia="Times New Roman" w:hAnsi="Times New Roman" w:cs="Times New Roman"/>
    </w:rPr>
  </w:style>
  <w:style w:type="paragraph" w:customStyle="1" w:styleId="BodytextAgency">
    <w:name w:val="Body text (Agency)"/>
    <w:basedOn w:val="prastasis"/>
    <w:link w:val="BodytextAgencyChar"/>
    <w:rsid w:val="003F257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3F257C"/>
    <w:rPr>
      <w:rFonts w:ascii="Verdana" w:eastAsia="Verdana" w:hAnsi="Verdana" w:cs="Verdana"/>
      <w:sz w:val="18"/>
      <w:szCs w:val="18"/>
      <w:lang w:eastAsia="lt-LT"/>
    </w:rPr>
  </w:style>
  <w:style w:type="paragraph" w:customStyle="1" w:styleId="NormalAgency">
    <w:name w:val="Normal (Agency)"/>
    <w:link w:val="NormalAgencyChar"/>
    <w:rsid w:val="003F257C"/>
    <w:pPr>
      <w:spacing w:after="0" w:line="240" w:lineRule="auto"/>
    </w:pPr>
    <w:rPr>
      <w:rFonts w:ascii="Verdana" w:eastAsia="Verdana" w:hAnsi="Verdana" w:cs="Verdana"/>
      <w:sz w:val="18"/>
      <w:szCs w:val="18"/>
      <w:lang w:eastAsia="lt-LT"/>
    </w:rPr>
  </w:style>
  <w:style w:type="paragraph" w:customStyle="1" w:styleId="TabletextrowsAgency">
    <w:name w:val="Table text rows (Agency)"/>
    <w:basedOn w:val="prastasis"/>
    <w:rsid w:val="003F257C"/>
    <w:pPr>
      <w:spacing w:after="0"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3F257C"/>
    <w:rPr>
      <w:rFonts w:ascii="Verdana" w:eastAsia="Verdana" w:hAnsi="Verdana" w:cs="Verdana"/>
      <w:sz w:val="18"/>
      <w:szCs w:val="18"/>
      <w:lang w:eastAsia="lt-LT"/>
    </w:rPr>
  </w:style>
  <w:style w:type="character" w:customStyle="1" w:styleId="DoNotTranslateExternal1">
    <w:name w:val="DoNotTranslateExternal1"/>
    <w:qFormat/>
    <w:rsid w:val="003F257C"/>
    <w:rPr>
      <w:b/>
      <w:noProof/>
      <w:szCs w:val="22"/>
    </w:rPr>
  </w:style>
  <w:style w:type="paragraph" w:customStyle="1" w:styleId="CM4">
    <w:name w:val="CM4"/>
    <w:basedOn w:val="Default"/>
    <w:next w:val="Default"/>
    <w:uiPriority w:val="99"/>
    <w:rsid w:val="003F257C"/>
    <w:pPr>
      <w:widowControl w:val="0"/>
      <w:spacing w:line="258" w:lineRule="atLeast"/>
    </w:pPr>
    <w:rPr>
      <w:rFonts w:eastAsia="Times New Roman"/>
      <w:color w:val="auto"/>
      <w:lang w:val="es-ES" w:eastAsia="es-ES"/>
    </w:rPr>
  </w:style>
  <w:style w:type="character" w:styleId="Hipersaitas">
    <w:name w:val="Hyperlink"/>
    <w:uiPriority w:val="99"/>
    <w:rsid w:val="003F257C"/>
    <w:rPr>
      <w:color w:val="0000FF"/>
      <w:u w:val="single"/>
    </w:rPr>
  </w:style>
  <w:style w:type="character" w:styleId="Komentaronuoroda">
    <w:name w:val="annotation reference"/>
    <w:basedOn w:val="Numatytasispastraiposriftas"/>
    <w:uiPriority w:val="99"/>
    <w:semiHidden/>
    <w:unhideWhenUsed/>
    <w:rsid w:val="003F257C"/>
    <w:rPr>
      <w:sz w:val="16"/>
      <w:szCs w:val="16"/>
    </w:rPr>
  </w:style>
  <w:style w:type="paragraph" w:styleId="Komentarotekstas">
    <w:name w:val="annotation text"/>
    <w:basedOn w:val="prastasis"/>
    <w:link w:val="KomentarotekstasDiagrama"/>
    <w:uiPriority w:val="99"/>
    <w:unhideWhenUsed/>
    <w:rsid w:val="006C1D0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F257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F257C"/>
    <w:rPr>
      <w:b/>
      <w:bCs/>
    </w:rPr>
  </w:style>
  <w:style w:type="character" w:customStyle="1" w:styleId="KomentarotemaDiagrama">
    <w:name w:val="Komentaro tema Diagrama"/>
    <w:basedOn w:val="KomentarotekstasDiagrama"/>
    <w:link w:val="Komentarotema"/>
    <w:uiPriority w:val="99"/>
    <w:semiHidden/>
    <w:rsid w:val="003F257C"/>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3F257C"/>
    <w:rPr>
      <w:rFonts w:ascii="Cambria" w:eastAsia="Times New Roman" w:hAnsi="Cambria" w:cs="Times New Roman"/>
      <w:i/>
      <w:iCs/>
      <w:color w:val="365F91"/>
      <w:lang w:val="lt-LT"/>
    </w:rPr>
  </w:style>
  <w:style w:type="table" w:styleId="Lentelstinklelis">
    <w:name w:val="Table Grid"/>
    <w:basedOn w:val="prastojilentel"/>
    <w:uiPriority w:val="39"/>
    <w:rsid w:val="003F25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3F257C"/>
    <w:pPr>
      <w:widowControl w:val="0"/>
      <w:autoSpaceDE w:val="0"/>
      <w:autoSpaceDN w:val="0"/>
      <w:spacing w:after="120" w:line="48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semiHidden/>
    <w:rsid w:val="003F257C"/>
    <w:rPr>
      <w:rFonts w:ascii="Times New Roman" w:eastAsia="Times New Roman" w:hAnsi="Times New Roman" w:cs="Times New Roman"/>
    </w:rPr>
  </w:style>
  <w:style w:type="paragraph" w:customStyle="1" w:styleId="Betarp1">
    <w:name w:val="Be tarpų1"/>
    <w:qFormat/>
    <w:rsid w:val="003F257C"/>
    <w:pPr>
      <w:spacing w:after="0" w:line="240" w:lineRule="auto"/>
    </w:pPr>
    <w:rPr>
      <w:rFonts w:ascii="Calibri" w:eastAsia="Calibri" w:hAnsi="Calibri" w:cs="Times New Roman"/>
      <w:lang w:val="en-US"/>
    </w:rPr>
  </w:style>
  <w:style w:type="character" w:customStyle="1" w:styleId="Heading4Char1">
    <w:name w:val="Heading 4 Char1"/>
    <w:basedOn w:val="Numatytasispastraiposriftas"/>
    <w:uiPriority w:val="9"/>
    <w:semiHidden/>
    <w:rsid w:val="003F257C"/>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Numatytasispastraiposriftas"/>
    <w:uiPriority w:val="99"/>
    <w:semiHidden/>
    <w:unhideWhenUsed/>
    <w:rsid w:val="000A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3140">
      <w:bodyDiv w:val="1"/>
      <w:marLeft w:val="0"/>
      <w:marRight w:val="0"/>
      <w:marTop w:val="0"/>
      <w:marBottom w:val="0"/>
      <w:divBdr>
        <w:top w:val="none" w:sz="0" w:space="0" w:color="auto"/>
        <w:left w:val="none" w:sz="0" w:space="0" w:color="auto"/>
        <w:bottom w:val="none" w:sz="0" w:space="0" w:color="auto"/>
        <w:right w:val="none" w:sz="0" w:space="0" w:color="auto"/>
      </w:divBdr>
    </w:div>
    <w:div w:id="16057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ettings" Target="settings.xml"/><Relationship Id="rId12" Type="http://schemas.openxmlformats.org/officeDocument/2006/relationships/hyperlink" Target="https://vapris.vvkt.lt/vvkt&#8211;web/public/nrvSpecialis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vvkt.lt/index.php?40042864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apris.vvkt.lt/vvkt-web/public/nr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lconsultcom.sharepoint.com/Regulatory/T%20-%20Egis/B%20-%20Amodea-Rivaroxaban/2210-new%20reg/NepageidaujamaR@vvkt.lt"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8BA1F-F467-40F7-BF5D-0A1DF470DF9C}">
  <ds:schemaRefs>
    <ds:schemaRef ds:uri="http://purl.org/dc/dcmitype/"/>
    <ds:schemaRef ds:uri="http://schemas.openxmlformats.org/package/2006/metadata/core-properties"/>
    <ds:schemaRef ds:uri="8c54d1d4-8a50-4b16-b050-2289fc7c4d80"/>
    <ds:schemaRef ds:uri="http://schemas.microsoft.com/office/2006/documentManagement/types"/>
    <ds:schemaRef ds:uri="http://purl.org/dc/elements/1.1/"/>
    <ds:schemaRef ds:uri="http://schemas.microsoft.com/office/2006/metadata/properties"/>
    <ds:schemaRef ds:uri="http://schemas.microsoft.com/office/infopath/2007/PartnerControls"/>
    <ds:schemaRef ds:uri="cb0b4dfd-1452-42df-bcc2-835b32a0f636"/>
    <ds:schemaRef ds:uri="http://www.w3.org/XML/1998/namespace"/>
    <ds:schemaRef ds:uri="http://purl.org/dc/terms/"/>
  </ds:schemaRefs>
</ds:datastoreItem>
</file>

<file path=customXml/itemProps2.xml><?xml version="1.0" encoding="utf-8"?>
<ds:datastoreItem xmlns:ds="http://schemas.openxmlformats.org/officeDocument/2006/customXml" ds:itemID="{B62C3AA2-D1B3-49F4-9351-001509E9D9B2}">
  <ds:schemaRefs>
    <ds:schemaRef ds:uri="http://schemas.microsoft.com/sharepoint/v3/contenttype/forms"/>
  </ds:schemaRefs>
</ds:datastoreItem>
</file>

<file path=customXml/itemProps3.xml><?xml version="1.0" encoding="utf-8"?>
<ds:datastoreItem xmlns:ds="http://schemas.openxmlformats.org/officeDocument/2006/customXml" ds:itemID="{443919B8-A0CC-40B0-8546-707D39C1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B92A4-07BC-400A-9211-DCF55B74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73044</Words>
  <Characters>41636</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dc:creator>
  <cp:keywords/>
  <dc:description/>
  <cp:lastModifiedBy>Albina Burkauskaitė</cp:lastModifiedBy>
  <cp:revision>3</cp:revision>
  <dcterms:created xsi:type="dcterms:W3CDTF">2023-11-09T13:40:00Z</dcterms:created>
  <dcterms:modified xsi:type="dcterms:W3CDTF">2023-11-09T13:42:00Z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