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655B" w14:textId="77777777" w:rsidR="003E364C" w:rsidRPr="00D002DA"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lang w:val="en-US"/>
        </w:rPr>
      </w:pPr>
    </w:p>
    <w:p w14:paraId="39AE33D1"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6B06B802"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BCE11D2"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2B8E911D"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1761C7B3"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1D36E06B" w14:textId="65E734E0" w:rsid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1E45EDF" w14:textId="6118879F"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0517CD49" w14:textId="7D2B19EB"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98E599C" w14:textId="65109EA5"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49A30C36" w14:textId="0F185F84"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5151402" w14:textId="04AD6E64"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0C70A7C1" w14:textId="58E05E25"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28892C6" w14:textId="3C738DE5"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8176D79" w14:textId="75CF8848"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5AC1D61" w14:textId="26EFE962"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5CD91197" w14:textId="0E84C884"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170D30B2" w14:textId="7011CDBD"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60ECAE3" w14:textId="308A50CA"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454A25A2" w14:textId="48927FEF"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742C3A0" w14:textId="645391D0"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50DD192" w14:textId="2E2DB54B"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2A90BD6A" w14:textId="77777777" w:rsidR="009C661B" w:rsidRPr="003E364C"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5D4C19CC" w14:textId="77777777" w:rsidR="003E364C" w:rsidRPr="003E364C" w:rsidRDefault="003E364C" w:rsidP="003E364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3E364C">
        <w:rPr>
          <w:rFonts w:ascii="Times New Roman" w:eastAsia="Times New Roman" w:hAnsi="Times New Roman" w:cs="Times New Roman"/>
          <w:b/>
          <w:bCs/>
          <w:iCs/>
          <w:snapToGrid w:val="0"/>
          <w:lang w:eastAsia="x-none"/>
        </w:rPr>
        <w:t>I PRIEDAS</w:t>
      </w:r>
    </w:p>
    <w:p w14:paraId="4B869867" w14:textId="77777777" w:rsidR="003E364C" w:rsidRPr="003E364C" w:rsidRDefault="003E364C" w:rsidP="003E364C">
      <w:pPr>
        <w:tabs>
          <w:tab w:val="left" w:pos="567"/>
        </w:tabs>
        <w:spacing w:after="0" w:line="240" w:lineRule="auto"/>
        <w:rPr>
          <w:rFonts w:ascii="Times New Roman" w:eastAsia="Times New Roman" w:hAnsi="Times New Roman" w:cs="Times New Roman"/>
          <w:snapToGrid w:val="0"/>
        </w:rPr>
      </w:pPr>
    </w:p>
    <w:p w14:paraId="05917379" w14:textId="77777777" w:rsidR="003E364C" w:rsidRPr="003E364C" w:rsidRDefault="003E364C" w:rsidP="003E364C">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PREPARATO CHARAKTERISTIKŲ SANTRAUKA</w:t>
      </w:r>
    </w:p>
    <w:p w14:paraId="3807AA72" w14:textId="77777777" w:rsidR="003E364C" w:rsidRPr="003E364C" w:rsidRDefault="003E364C" w:rsidP="003E364C">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lang w:eastAsia="zh-CN"/>
        </w:rPr>
        <w:br w:type="page"/>
      </w:r>
    </w:p>
    <w:p w14:paraId="1922A7D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18CAC94"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1.</w:t>
      </w:r>
      <w:r w:rsidRPr="003E364C">
        <w:rPr>
          <w:rFonts w:ascii="Times New Roman" w:eastAsia="Times New Roman" w:hAnsi="Times New Roman" w:cs="Times New Roman"/>
          <w:b/>
          <w:bCs/>
          <w:snapToGrid w:val="0"/>
          <w:lang w:eastAsia="x-none"/>
        </w:rPr>
        <w:tab/>
        <w:t>VAISTINIO PREPARATO PAVADINIMAS</w:t>
      </w:r>
    </w:p>
    <w:p w14:paraId="6CC597A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9AD876D" w14:textId="22C2CE00" w:rsidR="00D300C0" w:rsidRPr="003E364C" w:rsidRDefault="00575C70" w:rsidP="00D300C0">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Xiltess</w:t>
      </w:r>
      <w:r w:rsidR="00D300C0" w:rsidRPr="00575C70">
        <w:rPr>
          <w:rFonts w:ascii="Times New Roman" w:eastAsia="Times New Roman" w:hAnsi="Times New Roman" w:cs="Times New Roman"/>
          <w:noProof/>
          <w:snapToGrid w:val="0"/>
        </w:rPr>
        <w:t xml:space="preserve"> 20</w:t>
      </w:r>
      <w:r w:rsidR="00AD441E" w:rsidRPr="00575C70">
        <w:rPr>
          <w:rFonts w:ascii="Times New Roman" w:eastAsia="Times New Roman" w:hAnsi="Times New Roman" w:cs="Times New Roman"/>
          <w:noProof/>
          <w:snapToGrid w:val="0"/>
        </w:rPr>
        <w:t> mg</w:t>
      </w:r>
      <w:r w:rsidR="00D300C0" w:rsidRPr="00575C70">
        <w:rPr>
          <w:rFonts w:ascii="Times New Roman" w:eastAsia="Times New Roman" w:hAnsi="Times New Roman" w:cs="Times New Roman"/>
          <w:noProof/>
          <w:snapToGrid w:val="0"/>
        </w:rPr>
        <w:t xml:space="preserve"> plėvele dengtos tabletės</w:t>
      </w:r>
    </w:p>
    <w:p w14:paraId="386E2B6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5849BC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B5947C8"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2.</w:t>
      </w:r>
      <w:r w:rsidRPr="003E364C">
        <w:rPr>
          <w:rFonts w:ascii="Times New Roman" w:eastAsia="Times New Roman" w:hAnsi="Times New Roman" w:cs="Times New Roman"/>
          <w:b/>
          <w:bCs/>
          <w:snapToGrid w:val="0"/>
          <w:lang w:eastAsia="x-none"/>
        </w:rPr>
        <w:tab/>
        <w:t>KOKYBINĖ IR KIEKYBINĖ SUDĖTIS</w:t>
      </w:r>
    </w:p>
    <w:p w14:paraId="2B23B4E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4CD6A1B" w14:textId="0E69C859" w:rsidR="00D300C0" w:rsidRPr="003E364C" w:rsidRDefault="00D300C0" w:rsidP="00D300C0">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Kiekvienoje plėvele dengtoje tabletėje yra </w:t>
      </w:r>
      <w:r w:rsidRPr="00E7752F">
        <w:rPr>
          <w:rFonts w:ascii="Times New Roman" w:eastAsia="Times New Roman" w:hAnsi="Times New Roman" w:cs="Times New Roman"/>
          <w:noProof/>
          <w:snapToGrid w:val="0"/>
        </w:rPr>
        <w:t>20</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xml:space="preserve"> rivaroksabano.</w:t>
      </w:r>
    </w:p>
    <w:p w14:paraId="59C659A0" w14:textId="77777777" w:rsidR="00D300C0" w:rsidRPr="003E364C" w:rsidRDefault="00D300C0" w:rsidP="003E364C">
      <w:pPr>
        <w:tabs>
          <w:tab w:val="left" w:pos="567"/>
        </w:tabs>
        <w:spacing w:after="0" w:line="260" w:lineRule="exact"/>
        <w:rPr>
          <w:rFonts w:ascii="Times New Roman" w:eastAsia="Times New Roman" w:hAnsi="Times New Roman" w:cs="Times New Roman"/>
          <w:noProof/>
          <w:snapToGrid w:val="0"/>
          <w:u w:val="single"/>
        </w:rPr>
      </w:pPr>
    </w:p>
    <w:p w14:paraId="6E25C9FC" w14:textId="77777777" w:rsidR="003E364C" w:rsidRPr="003E364C" w:rsidRDefault="003E364C" w:rsidP="003E364C">
      <w:pPr>
        <w:spacing w:before="1" w:after="0" w:line="240" w:lineRule="auto"/>
        <w:rPr>
          <w:rFonts w:ascii="Times New Roman" w:eastAsia="SimSun" w:hAnsi="Times New Roman" w:cs="Times New Roman"/>
          <w:spacing w:val="-2"/>
        </w:rPr>
      </w:pPr>
      <w:r w:rsidRPr="003E364C">
        <w:rPr>
          <w:rFonts w:ascii="Times New Roman" w:eastAsia="SimSun" w:hAnsi="Times New Roman" w:cs="Times New Roman"/>
        </w:rPr>
        <w:t>Visos</w:t>
      </w:r>
      <w:r w:rsidRPr="003E364C">
        <w:rPr>
          <w:rFonts w:ascii="Times New Roman" w:eastAsia="SimSun" w:hAnsi="Times New Roman" w:cs="Times New Roman"/>
          <w:spacing w:val="-5"/>
        </w:rPr>
        <w:t xml:space="preserve"> </w:t>
      </w:r>
      <w:r w:rsidRPr="003E364C">
        <w:rPr>
          <w:rFonts w:ascii="Times New Roman" w:eastAsia="SimSun" w:hAnsi="Times New Roman" w:cs="Times New Roman"/>
        </w:rPr>
        <w:t>pagalbinės</w:t>
      </w:r>
      <w:r w:rsidRPr="003E364C">
        <w:rPr>
          <w:rFonts w:ascii="Times New Roman" w:eastAsia="SimSun" w:hAnsi="Times New Roman" w:cs="Times New Roman"/>
          <w:spacing w:val="-6"/>
        </w:rPr>
        <w:t xml:space="preserve"> </w:t>
      </w:r>
      <w:r w:rsidRPr="003E364C">
        <w:rPr>
          <w:rFonts w:ascii="Times New Roman" w:eastAsia="SimSun" w:hAnsi="Times New Roman" w:cs="Times New Roman"/>
        </w:rPr>
        <w:t>medžiagos</w:t>
      </w:r>
      <w:r w:rsidRPr="003E364C">
        <w:rPr>
          <w:rFonts w:ascii="Times New Roman" w:eastAsia="SimSun" w:hAnsi="Times New Roman" w:cs="Times New Roman"/>
          <w:spacing w:val="-5"/>
        </w:rPr>
        <w:t xml:space="preserve"> </w:t>
      </w:r>
      <w:r w:rsidRPr="003E364C">
        <w:rPr>
          <w:rFonts w:ascii="Times New Roman" w:eastAsia="SimSun" w:hAnsi="Times New Roman" w:cs="Times New Roman"/>
        </w:rPr>
        <w:t>išvardytos</w:t>
      </w:r>
      <w:r w:rsidRPr="003E364C">
        <w:rPr>
          <w:rFonts w:ascii="Times New Roman" w:eastAsia="SimSun" w:hAnsi="Times New Roman" w:cs="Times New Roman"/>
          <w:spacing w:val="-5"/>
        </w:rPr>
        <w:t xml:space="preserve"> </w:t>
      </w:r>
      <w:r w:rsidRPr="003E364C">
        <w:rPr>
          <w:rFonts w:ascii="Times New Roman" w:eastAsia="SimSun" w:hAnsi="Times New Roman" w:cs="Times New Roman"/>
        </w:rPr>
        <w:t>6.1</w:t>
      </w:r>
      <w:r w:rsidRPr="003E364C">
        <w:rPr>
          <w:rFonts w:ascii="Times New Roman" w:eastAsia="SimSun" w:hAnsi="Times New Roman" w:cs="Times New Roman"/>
          <w:spacing w:val="-3"/>
        </w:rPr>
        <w:t xml:space="preserve"> </w:t>
      </w:r>
      <w:r w:rsidRPr="003E364C">
        <w:rPr>
          <w:rFonts w:ascii="Times New Roman" w:eastAsia="SimSun" w:hAnsi="Times New Roman" w:cs="Times New Roman"/>
          <w:spacing w:val="-2"/>
        </w:rPr>
        <w:t>skyriuje.</w:t>
      </w:r>
    </w:p>
    <w:p w14:paraId="3AC2B72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5AF8BDD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396B752"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3.</w:t>
      </w:r>
      <w:r w:rsidRPr="003E364C">
        <w:rPr>
          <w:rFonts w:ascii="Times New Roman" w:eastAsia="Times New Roman" w:hAnsi="Times New Roman" w:cs="Times New Roman"/>
          <w:b/>
          <w:bCs/>
          <w:snapToGrid w:val="0"/>
          <w:lang w:eastAsia="x-none"/>
        </w:rPr>
        <w:tab/>
        <w:t>FARMACINĖ FORMA</w:t>
      </w:r>
    </w:p>
    <w:p w14:paraId="180387B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A79BFBC" w14:textId="31D0929F"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Plėvele dengta tabletė </w:t>
      </w:r>
    </w:p>
    <w:p w14:paraId="2B22072F" w14:textId="77777777" w:rsidR="00D300C0" w:rsidRPr="003E364C" w:rsidRDefault="00D300C0" w:rsidP="003E364C">
      <w:pPr>
        <w:tabs>
          <w:tab w:val="left" w:pos="567"/>
        </w:tabs>
        <w:spacing w:after="0" w:line="260" w:lineRule="exact"/>
        <w:rPr>
          <w:rFonts w:ascii="Times New Roman" w:eastAsia="Times New Roman" w:hAnsi="Times New Roman" w:cs="Times New Roman"/>
          <w:snapToGrid w:val="0"/>
        </w:rPr>
      </w:pPr>
    </w:p>
    <w:p w14:paraId="007A283B" w14:textId="2995B834" w:rsidR="003E364C" w:rsidRPr="00E7752F" w:rsidRDefault="000178BE" w:rsidP="000178BE">
      <w:pPr>
        <w:tabs>
          <w:tab w:val="left" w:pos="720"/>
        </w:tabs>
        <w:spacing w:after="0" w:line="240" w:lineRule="auto"/>
        <w:rPr>
          <w:rFonts w:ascii="Times New Roman" w:hAnsi="Times New Roman" w:cs="Times New Roman"/>
        </w:rPr>
      </w:pPr>
      <w:r w:rsidRPr="00E7752F">
        <w:rPr>
          <w:rFonts w:ascii="Times New Roman" w:hAnsi="Times New Roman" w:cs="Times New Roman"/>
        </w:rPr>
        <w:t>A</w:t>
      </w:r>
      <w:r w:rsidR="00D300C0" w:rsidRPr="00E7752F">
        <w:rPr>
          <w:rFonts w:ascii="Times New Roman" w:hAnsi="Times New Roman" w:cs="Times New Roman"/>
        </w:rPr>
        <w:t xml:space="preserve">pvalios, abipus išgaubtos, rudos </w:t>
      </w:r>
      <w:r w:rsidR="00575C70">
        <w:rPr>
          <w:rFonts w:ascii="Times New Roman" w:hAnsi="Times New Roman" w:cs="Times New Roman"/>
        </w:rPr>
        <w:t xml:space="preserve">spalvos </w:t>
      </w:r>
      <w:r w:rsidR="00D300C0" w:rsidRPr="00E7752F">
        <w:rPr>
          <w:rFonts w:ascii="Times New Roman" w:hAnsi="Times New Roman" w:cs="Times New Roman"/>
        </w:rPr>
        <w:t>plėvele dengtos tabletės, maždaug 9,1</w:t>
      </w:r>
      <w:r w:rsidR="005146D6">
        <w:rPr>
          <w:rFonts w:ascii="Times New Roman" w:hAnsi="Times New Roman" w:cs="Times New Roman"/>
        </w:rPr>
        <w:t> </w:t>
      </w:r>
      <w:r w:rsidR="00D300C0" w:rsidRPr="00E7752F">
        <w:rPr>
          <w:rFonts w:ascii="Times New Roman" w:hAnsi="Times New Roman" w:cs="Times New Roman"/>
        </w:rPr>
        <w:t>mm skersmens, su užrašu E844 vienoje pusėje, kita pusė lygi.</w:t>
      </w:r>
    </w:p>
    <w:p w14:paraId="248A96F1" w14:textId="77777777" w:rsidR="000178BE" w:rsidRPr="003E364C" w:rsidRDefault="000178BE" w:rsidP="000178BE">
      <w:pPr>
        <w:tabs>
          <w:tab w:val="left" w:pos="720"/>
        </w:tabs>
        <w:spacing w:after="0" w:line="240" w:lineRule="auto"/>
        <w:rPr>
          <w:rFonts w:ascii="Times New Roman" w:eastAsia="Times New Roman" w:hAnsi="Times New Roman" w:cs="Times New Roman"/>
          <w:snapToGrid w:val="0"/>
        </w:rPr>
      </w:pPr>
    </w:p>
    <w:p w14:paraId="696612C2" w14:textId="77777777" w:rsidR="003E364C" w:rsidRPr="003E364C" w:rsidRDefault="003E364C" w:rsidP="000178BE">
      <w:pPr>
        <w:tabs>
          <w:tab w:val="left" w:pos="567"/>
        </w:tabs>
        <w:spacing w:after="0" w:line="240" w:lineRule="auto"/>
        <w:rPr>
          <w:rFonts w:ascii="Times New Roman" w:eastAsia="Times New Roman" w:hAnsi="Times New Roman" w:cs="Times New Roman"/>
          <w:snapToGrid w:val="0"/>
        </w:rPr>
      </w:pPr>
    </w:p>
    <w:p w14:paraId="0BEA8694"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w:t>
      </w:r>
      <w:r w:rsidRPr="003E364C">
        <w:rPr>
          <w:rFonts w:ascii="Times New Roman" w:eastAsia="Times New Roman" w:hAnsi="Times New Roman" w:cs="Times New Roman"/>
          <w:b/>
          <w:bCs/>
          <w:snapToGrid w:val="0"/>
          <w:lang w:eastAsia="x-none"/>
        </w:rPr>
        <w:tab/>
        <w:t>KLINIKINĖ INFORMACIJA</w:t>
      </w:r>
    </w:p>
    <w:p w14:paraId="3F39A28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211BCDF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4.1</w:t>
      </w:r>
      <w:r w:rsidRPr="003E364C">
        <w:rPr>
          <w:rFonts w:ascii="Times New Roman" w:eastAsia="Times New Roman" w:hAnsi="Times New Roman" w:cs="Times New Roman"/>
          <w:b/>
          <w:bCs/>
          <w:snapToGrid w:val="0"/>
          <w:lang w:eastAsia="x-none"/>
        </w:rPr>
        <w:tab/>
        <w:t>Terapinės indikacijos</w:t>
      </w:r>
    </w:p>
    <w:p w14:paraId="42B9187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1EBFBE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Suaugusiesiems</w:t>
      </w:r>
    </w:p>
    <w:p w14:paraId="652C6825" w14:textId="2175CAF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Insulto ir sisteminės embolijos profilaktika suaugusiems pacientams, kuriems yra su vožtuvų liga nesusijęs prieširdžių virpėjimas, esant vienam ar daugiau rizikos veiksnių, pvz., staziniam širdies nepakankamumui, hipertenzijai, ≥</w:t>
      </w:r>
      <w:r w:rsidR="000178BE" w:rsidRPr="00E775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75</w:t>
      </w:r>
      <w:r w:rsidR="000178BE" w:rsidRPr="00E7752F">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metų amžiui, cukriniam diabetui, anksčiau patirtam insultui arba praeinančiam smegenų išemijos priepuoliui.</w:t>
      </w:r>
    </w:p>
    <w:p w14:paraId="73A4445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FDF4CF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Suaugusiųjų giliųjų venų trombozės (GVT) bei plaučių embolijos (PE) gydymas ir pasikartojančios GVT bei PE profilaktika (apie PE sergančius pacientus, kurių nestabili hemodinamika, skaitykite 4.4 skyriuje).</w:t>
      </w:r>
    </w:p>
    <w:p w14:paraId="3499A8E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5F09C4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Vaikų populiacija</w:t>
      </w:r>
    </w:p>
    <w:p w14:paraId="1C724A25" w14:textId="6FC85F94" w:rsidR="003E364C" w:rsidRPr="00E7752F" w:rsidRDefault="000178BE" w:rsidP="003E364C">
      <w:pPr>
        <w:tabs>
          <w:tab w:val="left" w:pos="567"/>
        </w:tabs>
        <w:spacing w:after="0" w:line="260" w:lineRule="exact"/>
        <w:rPr>
          <w:rFonts w:ascii="Times New Roman" w:eastAsia="Times New Roman" w:hAnsi="Times New Roman" w:cs="Times New Roman"/>
          <w:snapToGrid w:val="0"/>
        </w:rPr>
      </w:pPr>
      <w:r w:rsidRPr="00E7752F">
        <w:rPr>
          <w:rFonts w:ascii="Times New Roman" w:eastAsia="Times New Roman" w:hAnsi="Times New Roman" w:cs="Times New Roman"/>
          <w:snapToGrid w:val="0"/>
        </w:rPr>
        <w:t>Venų tromboembolijos (VTE) gydymas ir pasikartojančios VTE profilaktika vaikams ir paaugliams, jaunesniems kaip 18 metų ir sveriantiems daugiau kaip 50</w:t>
      </w:r>
      <w:r w:rsidRPr="00E7752F">
        <w:rPr>
          <w:rFonts w:ascii="Times New Roman" w:eastAsia="Times New Roman" w:hAnsi="Times New Roman" w:cs="Times New Roman"/>
          <w:b/>
          <w:snapToGrid w:val="0"/>
        </w:rPr>
        <w:t> </w:t>
      </w:r>
      <w:r w:rsidRPr="00E7752F">
        <w:rPr>
          <w:rFonts w:ascii="Times New Roman" w:eastAsia="Times New Roman" w:hAnsi="Times New Roman" w:cs="Times New Roman"/>
          <w:snapToGrid w:val="0"/>
        </w:rPr>
        <w:t>kg, po ne trumpiau kaip 5 dienas taikyto krešėjimą slopinančio pradinio parenterinio gydymo.</w:t>
      </w:r>
    </w:p>
    <w:p w14:paraId="30439DDE" w14:textId="77777777" w:rsidR="000178BE" w:rsidRPr="003E364C" w:rsidRDefault="000178BE" w:rsidP="003E364C">
      <w:pPr>
        <w:tabs>
          <w:tab w:val="left" w:pos="567"/>
        </w:tabs>
        <w:spacing w:after="0" w:line="260" w:lineRule="exact"/>
        <w:rPr>
          <w:rFonts w:ascii="Times New Roman" w:eastAsia="Times New Roman" w:hAnsi="Times New Roman" w:cs="Times New Roman"/>
          <w:snapToGrid w:val="0"/>
        </w:rPr>
      </w:pPr>
    </w:p>
    <w:p w14:paraId="679322D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4.2</w:t>
      </w:r>
      <w:r w:rsidRPr="003E364C">
        <w:rPr>
          <w:rFonts w:ascii="Times New Roman" w:eastAsia="Times New Roman" w:hAnsi="Times New Roman" w:cs="Times New Roman"/>
          <w:b/>
          <w:bCs/>
          <w:snapToGrid w:val="0"/>
          <w:lang w:eastAsia="x-none"/>
        </w:rPr>
        <w:tab/>
        <w:t>Dozavimas ir vartojimo metodas</w:t>
      </w:r>
    </w:p>
    <w:p w14:paraId="12AD65A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2122A58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Dozavimas</w:t>
      </w:r>
    </w:p>
    <w:p w14:paraId="49359D7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p>
    <w:p w14:paraId="28E69B26" w14:textId="77777777" w:rsidR="003E364C" w:rsidRPr="003E364C" w:rsidRDefault="003E364C" w:rsidP="003E364C">
      <w:pPr>
        <w:tabs>
          <w:tab w:val="left" w:pos="567"/>
        </w:tabs>
        <w:spacing w:after="0" w:line="260" w:lineRule="exact"/>
        <w:rPr>
          <w:rFonts w:ascii="Times New Roman" w:eastAsia="Times New Roman" w:hAnsi="Times New Roman" w:cs="Times New Roman"/>
          <w:i/>
          <w:iCs/>
          <w:snapToGrid w:val="0"/>
        </w:rPr>
      </w:pPr>
      <w:r w:rsidRPr="003E364C">
        <w:rPr>
          <w:rFonts w:ascii="Times New Roman" w:eastAsia="Times New Roman" w:hAnsi="Times New Roman" w:cs="Times New Roman"/>
          <w:i/>
          <w:iCs/>
          <w:snapToGrid w:val="0"/>
        </w:rPr>
        <w:t>Insulto ir sisteminės embolijos profilaktika suaugusiesiems</w:t>
      </w:r>
    </w:p>
    <w:p w14:paraId="31DACE22" w14:textId="7EBEBD6A"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Rekomenduojama dozė yra 20</w:t>
      </w:r>
      <w:r w:rsidR="00AD441E">
        <w:rPr>
          <w:rFonts w:ascii="Times New Roman" w:eastAsia="Times New Roman" w:hAnsi="Times New Roman" w:cs="Times New Roman"/>
          <w:b/>
          <w:snapToGrid w:val="0"/>
        </w:rPr>
        <w:t> </w:t>
      </w:r>
      <w:r w:rsidR="00AD441E" w:rsidRPr="00575C70">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vieną kartą per parą, tai taip pat yra didžiausia rekomenduojama dozė.</w:t>
      </w:r>
    </w:p>
    <w:p w14:paraId="3222B33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841F5AE" w14:textId="7C51F436"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Gydymą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reikia tęsti ilgą laiką, jei insulto ir sisteminės embolijos profilaktikos nauda yra didesnė negu kraujavimo rizika (žr. 4.4 skyrių).</w:t>
      </w:r>
    </w:p>
    <w:p w14:paraId="157B16F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2E2CB3DC" w14:textId="3D26942D"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Jei pacientas pamiršo pavartoti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dozę, jis turi tai padaryti nedelsdamas ir kitą dieną toliau vartoti vaistinio preparato vieną kartą per parą, kaip rekomenduojama. Negalima vartoti dvigubos dozės tą pačią parą norint kompensuoti praleistą dozę. </w:t>
      </w:r>
    </w:p>
    <w:p w14:paraId="03FCC64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34E8275"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 xml:space="preserve">Gydymas nuo GVT, PE ir pasikartojančios GVT bei PE profilaktika suaugusiesiems. </w:t>
      </w:r>
    </w:p>
    <w:p w14:paraId="45EF89FC" w14:textId="07CCA700" w:rsidR="003E364C" w:rsidRPr="00575C70" w:rsidRDefault="003E364C" w:rsidP="003E364C">
      <w:pPr>
        <w:tabs>
          <w:tab w:val="left" w:pos="567"/>
        </w:tabs>
        <w:spacing w:after="0" w:line="260" w:lineRule="exact"/>
        <w:rPr>
          <w:rFonts w:ascii="Times New Roman" w:eastAsia="Times New Roman" w:hAnsi="Times New Roman" w:cs="Times New Roman"/>
          <w:bCs/>
          <w:noProof/>
          <w:snapToGrid w:val="0"/>
        </w:rPr>
      </w:pPr>
      <w:r w:rsidRPr="003E364C">
        <w:rPr>
          <w:rFonts w:ascii="Times New Roman" w:eastAsia="Times New Roman" w:hAnsi="Times New Roman" w:cs="Times New Roman"/>
          <w:noProof/>
          <w:snapToGrid w:val="0"/>
        </w:rPr>
        <w:lastRenderedPageBreak/>
        <w:t>Pradedant gydyti nuo ūminės GVT arba PE, pirmąsias tris savaites rekomenduojama dozė yra po 15</w:t>
      </w:r>
      <w:r w:rsidR="00AD441E">
        <w:rPr>
          <w:rFonts w:ascii="Times New Roman" w:eastAsia="Times New Roman" w:hAnsi="Times New Roman" w:cs="Times New Roman"/>
          <w:b/>
          <w:noProof/>
          <w:snapToGrid w:val="0"/>
        </w:rPr>
        <w:t> </w:t>
      </w:r>
      <w:r w:rsidR="00AD441E" w:rsidRPr="00575C70">
        <w:rPr>
          <w:rFonts w:ascii="Times New Roman" w:eastAsia="Times New Roman" w:hAnsi="Times New Roman" w:cs="Times New Roman"/>
          <w:bCs/>
          <w:noProof/>
          <w:snapToGrid w:val="0"/>
        </w:rPr>
        <w:t>mg</w:t>
      </w:r>
      <w:r w:rsidRPr="00575C70">
        <w:rPr>
          <w:rFonts w:ascii="Times New Roman" w:eastAsia="Times New Roman" w:hAnsi="Times New Roman" w:cs="Times New Roman"/>
          <w:bCs/>
          <w:noProof/>
          <w:snapToGrid w:val="0"/>
        </w:rPr>
        <w:t xml:space="preserve"> du kartus per parą; po to gydymą ir pasikartojančios GVT bei PE profilaktiką reikia tęsti vartojant 20</w:t>
      </w:r>
      <w:r w:rsidR="00AD441E" w:rsidRPr="00575C70">
        <w:rPr>
          <w:rFonts w:ascii="Times New Roman" w:eastAsia="Times New Roman" w:hAnsi="Times New Roman" w:cs="Times New Roman"/>
          <w:bCs/>
          <w:noProof/>
          <w:snapToGrid w:val="0"/>
        </w:rPr>
        <w:t> mg</w:t>
      </w:r>
      <w:r w:rsidRPr="00575C70">
        <w:rPr>
          <w:rFonts w:ascii="Times New Roman" w:eastAsia="Times New Roman" w:hAnsi="Times New Roman" w:cs="Times New Roman"/>
          <w:bCs/>
          <w:noProof/>
          <w:snapToGrid w:val="0"/>
        </w:rPr>
        <w:t xml:space="preserve"> vieną kartą per parą.</w:t>
      </w:r>
    </w:p>
    <w:p w14:paraId="118D6D54" w14:textId="77777777" w:rsidR="003E364C" w:rsidRPr="00575C70" w:rsidRDefault="003E364C" w:rsidP="003E364C">
      <w:pPr>
        <w:tabs>
          <w:tab w:val="left" w:pos="567"/>
        </w:tabs>
        <w:spacing w:after="0" w:line="260" w:lineRule="exact"/>
        <w:rPr>
          <w:rFonts w:ascii="Times New Roman" w:eastAsia="Times New Roman" w:hAnsi="Times New Roman" w:cs="Times New Roman"/>
          <w:bCs/>
          <w:noProof/>
          <w:snapToGrid w:val="0"/>
        </w:rPr>
      </w:pPr>
    </w:p>
    <w:p w14:paraId="79A7EEC0" w14:textId="77777777" w:rsidR="003E364C" w:rsidRPr="00575C70" w:rsidRDefault="003E364C" w:rsidP="003E364C">
      <w:pPr>
        <w:tabs>
          <w:tab w:val="left" w:pos="567"/>
        </w:tabs>
        <w:spacing w:after="0" w:line="260" w:lineRule="exact"/>
        <w:rPr>
          <w:rFonts w:ascii="Times New Roman" w:eastAsia="Times New Roman" w:hAnsi="Times New Roman" w:cs="Times New Roman"/>
          <w:bCs/>
          <w:noProof/>
          <w:snapToGrid w:val="0"/>
        </w:rPr>
      </w:pPr>
      <w:r w:rsidRPr="00575C70">
        <w:rPr>
          <w:rFonts w:ascii="Times New Roman" w:eastAsia="Times New Roman" w:hAnsi="Times New Roman" w:cs="Times New Roman"/>
          <w:bCs/>
          <w:noProof/>
          <w:snapToGrid w:val="0"/>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3A7F47A4" w14:textId="77777777" w:rsidR="003E364C" w:rsidRPr="00575C70" w:rsidRDefault="003E364C" w:rsidP="003E364C">
      <w:pPr>
        <w:tabs>
          <w:tab w:val="left" w:pos="567"/>
        </w:tabs>
        <w:spacing w:after="0" w:line="260" w:lineRule="exact"/>
        <w:rPr>
          <w:rFonts w:ascii="Times New Roman" w:eastAsia="Times New Roman" w:hAnsi="Times New Roman" w:cs="Times New Roman"/>
          <w:bCs/>
          <w:noProof/>
          <w:snapToGrid w:val="0"/>
        </w:rPr>
      </w:pPr>
    </w:p>
    <w:p w14:paraId="3FEC3D36" w14:textId="68720A28" w:rsidR="003E364C" w:rsidRPr="00575C70" w:rsidRDefault="003E364C" w:rsidP="003E364C">
      <w:pPr>
        <w:tabs>
          <w:tab w:val="left" w:pos="567"/>
        </w:tabs>
        <w:spacing w:after="0" w:line="260" w:lineRule="exact"/>
        <w:rPr>
          <w:rFonts w:ascii="Times New Roman" w:eastAsia="Times New Roman" w:hAnsi="Times New Roman" w:cs="Times New Roman"/>
          <w:bCs/>
          <w:noProof/>
          <w:snapToGrid w:val="0"/>
        </w:rPr>
      </w:pPr>
      <w:r w:rsidRPr="00575C70">
        <w:rPr>
          <w:rFonts w:ascii="Times New Roman" w:eastAsia="Times New Roman" w:hAnsi="Times New Roman" w:cs="Times New Roman"/>
          <w:bCs/>
          <w:noProof/>
          <w:snapToGrid w:val="0"/>
        </w:rPr>
        <w:t>Kai taikytina tęstinė pasikartojančios GVT ir PE profilaktika (užbaigus bent 6 mėnesių trukmės gydymą nuo GVT arba PE), rekomenduojama dozė yra 10</w:t>
      </w:r>
      <w:r w:rsidR="00AD441E" w:rsidRPr="00575C70">
        <w:rPr>
          <w:rFonts w:ascii="Times New Roman" w:eastAsia="Times New Roman" w:hAnsi="Times New Roman" w:cs="Times New Roman"/>
          <w:bCs/>
          <w:noProof/>
          <w:snapToGrid w:val="0"/>
        </w:rPr>
        <w:t> mg</w:t>
      </w:r>
      <w:r w:rsidRPr="00575C70">
        <w:rPr>
          <w:rFonts w:ascii="Times New Roman" w:eastAsia="Times New Roman" w:hAnsi="Times New Roman" w:cs="Times New Roman"/>
          <w:bCs/>
          <w:noProof/>
          <w:snapToGrid w:val="0"/>
        </w:rPr>
        <w:t xml:space="preserve"> vieną kartą per parą. Pacientams, kuriems yra didelė pasikartojančios GVT arba PE rizika, pavyzdžiui, sergantiems komplikuotomis gretutinėmis ligomis arba tęstinės profilaktikos laikotarpiu, vartojant </w:t>
      </w:r>
      <w:r w:rsidR="00575C70" w:rsidRPr="00575C70">
        <w:rPr>
          <w:rFonts w:ascii="Times New Roman" w:eastAsia="Times New Roman" w:hAnsi="Times New Roman" w:cs="Times New Roman"/>
          <w:bCs/>
          <w:noProof/>
          <w:snapToGrid w:val="0"/>
        </w:rPr>
        <w:t>Xiltess</w:t>
      </w:r>
      <w:r w:rsidRPr="00575C70">
        <w:rPr>
          <w:rFonts w:ascii="Times New Roman" w:eastAsia="Times New Roman" w:hAnsi="Times New Roman" w:cs="Times New Roman"/>
          <w:bCs/>
          <w:noProof/>
          <w:snapToGrid w:val="0"/>
        </w:rPr>
        <w:t xml:space="preserve"> 10</w:t>
      </w:r>
      <w:r w:rsidR="00AD441E" w:rsidRPr="00575C70">
        <w:rPr>
          <w:rFonts w:ascii="Times New Roman" w:eastAsia="Times New Roman" w:hAnsi="Times New Roman" w:cs="Times New Roman"/>
          <w:bCs/>
          <w:noProof/>
          <w:snapToGrid w:val="0"/>
        </w:rPr>
        <w:t> mg</w:t>
      </w:r>
      <w:r w:rsidRPr="00575C70">
        <w:rPr>
          <w:rFonts w:ascii="Times New Roman" w:eastAsia="Times New Roman" w:hAnsi="Times New Roman" w:cs="Times New Roman"/>
          <w:bCs/>
          <w:noProof/>
          <w:snapToGrid w:val="0"/>
        </w:rPr>
        <w:t xml:space="preserve"> vieną kartą per parą, patyrusiems pasikartojančią GVT arba PE, reikia apsvarstyti </w:t>
      </w:r>
      <w:r w:rsidR="00575C70" w:rsidRPr="00575C70">
        <w:rPr>
          <w:rFonts w:ascii="Times New Roman" w:eastAsia="Times New Roman" w:hAnsi="Times New Roman" w:cs="Times New Roman"/>
          <w:bCs/>
          <w:noProof/>
          <w:snapToGrid w:val="0"/>
        </w:rPr>
        <w:t>Xiltess</w:t>
      </w:r>
      <w:r w:rsidRPr="00575C70">
        <w:rPr>
          <w:rFonts w:ascii="Times New Roman" w:eastAsia="Times New Roman" w:hAnsi="Times New Roman" w:cs="Times New Roman"/>
          <w:bCs/>
          <w:noProof/>
          <w:snapToGrid w:val="0"/>
        </w:rPr>
        <w:t xml:space="preserve"> 20</w:t>
      </w:r>
      <w:r w:rsidR="00AD441E" w:rsidRPr="00575C70">
        <w:rPr>
          <w:rFonts w:ascii="Times New Roman" w:eastAsia="Times New Roman" w:hAnsi="Times New Roman" w:cs="Times New Roman"/>
          <w:bCs/>
          <w:noProof/>
          <w:snapToGrid w:val="0"/>
        </w:rPr>
        <w:t> mg</w:t>
      </w:r>
      <w:r w:rsidRPr="00575C70">
        <w:rPr>
          <w:rFonts w:ascii="Times New Roman" w:eastAsia="Times New Roman" w:hAnsi="Times New Roman" w:cs="Times New Roman"/>
          <w:bCs/>
          <w:noProof/>
          <w:snapToGrid w:val="0"/>
        </w:rPr>
        <w:t xml:space="preserve"> vartojimą vieną kartą per parą.</w:t>
      </w:r>
    </w:p>
    <w:p w14:paraId="64F52A4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C6350E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Gydymo trukmę ir dozavimą reikia parinkti individualiai ir tik po to, kai kruopščiai įvertinamas gydymo naudos ir kraujavimo rizikos santykis (žr. 4.4 skyrių).</w:t>
      </w:r>
    </w:p>
    <w:p w14:paraId="7922FAAA"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268"/>
        <w:gridCol w:w="2604"/>
        <w:gridCol w:w="1365"/>
      </w:tblGrid>
      <w:tr w:rsidR="003E364C" w:rsidRPr="003E364C" w14:paraId="1DED4AFC" w14:textId="77777777" w:rsidTr="0096285A">
        <w:trPr>
          <w:trHeight w:val="316"/>
        </w:trPr>
        <w:tc>
          <w:tcPr>
            <w:tcW w:w="3119" w:type="dxa"/>
          </w:tcPr>
          <w:p w14:paraId="4DF742A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tc>
        <w:tc>
          <w:tcPr>
            <w:tcW w:w="2268" w:type="dxa"/>
          </w:tcPr>
          <w:p w14:paraId="21C57E27" w14:textId="77777777" w:rsidR="003E364C" w:rsidRPr="003E364C" w:rsidRDefault="003E364C" w:rsidP="003E364C">
            <w:pPr>
              <w:tabs>
                <w:tab w:val="left" w:pos="567"/>
              </w:tabs>
              <w:spacing w:after="0" w:line="260" w:lineRule="exact"/>
              <w:rPr>
                <w:rFonts w:ascii="Times New Roman" w:eastAsia="Times New Roman" w:hAnsi="Times New Roman" w:cs="Times New Roman"/>
                <w:b/>
                <w:noProof/>
                <w:snapToGrid w:val="0"/>
              </w:rPr>
            </w:pPr>
            <w:r w:rsidRPr="003E364C">
              <w:rPr>
                <w:rFonts w:ascii="Times New Roman" w:eastAsia="Times New Roman" w:hAnsi="Times New Roman" w:cs="Times New Roman"/>
                <w:b/>
                <w:noProof/>
                <w:snapToGrid w:val="0"/>
              </w:rPr>
              <w:t>Laikotarpis</w:t>
            </w:r>
          </w:p>
        </w:tc>
        <w:tc>
          <w:tcPr>
            <w:tcW w:w="2604" w:type="dxa"/>
          </w:tcPr>
          <w:p w14:paraId="30856474" w14:textId="77777777" w:rsidR="003E364C" w:rsidRPr="003E364C" w:rsidRDefault="003E364C" w:rsidP="003E364C">
            <w:pPr>
              <w:tabs>
                <w:tab w:val="left" w:pos="567"/>
              </w:tabs>
              <w:spacing w:after="0" w:line="260" w:lineRule="exact"/>
              <w:rPr>
                <w:rFonts w:ascii="Times New Roman" w:eastAsia="Times New Roman" w:hAnsi="Times New Roman" w:cs="Times New Roman"/>
                <w:b/>
                <w:noProof/>
                <w:snapToGrid w:val="0"/>
              </w:rPr>
            </w:pPr>
            <w:r w:rsidRPr="003E364C">
              <w:rPr>
                <w:rFonts w:ascii="Times New Roman" w:eastAsia="Times New Roman" w:hAnsi="Times New Roman" w:cs="Times New Roman"/>
                <w:b/>
                <w:noProof/>
                <w:snapToGrid w:val="0"/>
              </w:rPr>
              <w:t>Dozavimo režimas</w:t>
            </w:r>
          </w:p>
        </w:tc>
        <w:tc>
          <w:tcPr>
            <w:tcW w:w="1365" w:type="dxa"/>
          </w:tcPr>
          <w:p w14:paraId="086B7828" w14:textId="77777777" w:rsidR="003E364C" w:rsidRPr="003E364C" w:rsidRDefault="003E364C" w:rsidP="003E364C">
            <w:pPr>
              <w:tabs>
                <w:tab w:val="left" w:pos="567"/>
              </w:tabs>
              <w:spacing w:after="0" w:line="260" w:lineRule="exact"/>
              <w:rPr>
                <w:rFonts w:ascii="Times New Roman" w:eastAsia="Times New Roman" w:hAnsi="Times New Roman" w:cs="Times New Roman"/>
                <w:b/>
                <w:noProof/>
                <w:snapToGrid w:val="0"/>
              </w:rPr>
            </w:pPr>
            <w:r w:rsidRPr="003E364C">
              <w:rPr>
                <w:rFonts w:ascii="Times New Roman" w:eastAsia="Times New Roman" w:hAnsi="Times New Roman" w:cs="Times New Roman"/>
                <w:b/>
                <w:noProof/>
                <w:snapToGrid w:val="0"/>
              </w:rPr>
              <w:t>Bendra paros dozė</w:t>
            </w:r>
          </w:p>
        </w:tc>
      </w:tr>
      <w:tr w:rsidR="003E364C" w:rsidRPr="003E364C" w14:paraId="50F056A4" w14:textId="77777777" w:rsidTr="0096285A">
        <w:trPr>
          <w:trHeight w:val="573"/>
        </w:trPr>
        <w:tc>
          <w:tcPr>
            <w:tcW w:w="3119" w:type="dxa"/>
            <w:vMerge w:val="restart"/>
          </w:tcPr>
          <w:p w14:paraId="33625EB8"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Gydymas nuo pasikartojančios GVT bei PE ir profilaktika</w:t>
            </w:r>
          </w:p>
        </w:tc>
        <w:tc>
          <w:tcPr>
            <w:tcW w:w="2268" w:type="dxa"/>
          </w:tcPr>
          <w:p w14:paraId="5FD88305"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1–21 diena</w:t>
            </w:r>
          </w:p>
        </w:tc>
        <w:tc>
          <w:tcPr>
            <w:tcW w:w="2604" w:type="dxa"/>
          </w:tcPr>
          <w:p w14:paraId="10275047" w14:textId="12C0AC07" w:rsidR="003E364C" w:rsidRPr="00575C70"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po 15</w:t>
            </w:r>
            <w:r w:rsidR="00AD441E" w:rsidRPr="00575C70">
              <w:rPr>
                <w:rFonts w:ascii="Times New Roman" w:eastAsia="Times New Roman" w:hAnsi="Times New Roman" w:cs="Times New Roman"/>
                <w:noProof/>
                <w:snapToGrid w:val="0"/>
              </w:rPr>
              <w:t> mg</w:t>
            </w:r>
            <w:r w:rsidRPr="00575C70">
              <w:rPr>
                <w:rFonts w:ascii="Times New Roman" w:eastAsia="Times New Roman" w:hAnsi="Times New Roman" w:cs="Times New Roman"/>
                <w:noProof/>
                <w:snapToGrid w:val="0"/>
              </w:rPr>
              <w:t xml:space="preserve"> du kartus per parą</w:t>
            </w:r>
          </w:p>
        </w:tc>
        <w:tc>
          <w:tcPr>
            <w:tcW w:w="1365" w:type="dxa"/>
          </w:tcPr>
          <w:p w14:paraId="4F3F7821" w14:textId="45A15F8F" w:rsidR="003E364C" w:rsidRPr="00575C70"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30</w:t>
            </w:r>
            <w:r w:rsidR="00AD441E" w:rsidRPr="00575C70">
              <w:rPr>
                <w:rFonts w:ascii="Times New Roman" w:eastAsia="Times New Roman" w:hAnsi="Times New Roman" w:cs="Times New Roman"/>
                <w:noProof/>
                <w:snapToGrid w:val="0"/>
              </w:rPr>
              <w:t> mg</w:t>
            </w:r>
          </w:p>
        </w:tc>
      </w:tr>
      <w:tr w:rsidR="003E364C" w:rsidRPr="003E364C" w14:paraId="3D0210BD" w14:textId="77777777" w:rsidTr="0096285A">
        <w:trPr>
          <w:trHeight w:val="520"/>
        </w:trPr>
        <w:tc>
          <w:tcPr>
            <w:tcW w:w="3119" w:type="dxa"/>
            <w:vMerge/>
            <w:tcBorders>
              <w:top w:val="nil"/>
            </w:tcBorders>
          </w:tcPr>
          <w:p w14:paraId="2F38A47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tc>
        <w:tc>
          <w:tcPr>
            <w:tcW w:w="2268" w:type="dxa"/>
          </w:tcPr>
          <w:p w14:paraId="2B09A59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Nuo 22 dienos</w:t>
            </w:r>
          </w:p>
        </w:tc>
        <w:tc>
          <w:tcPr>
            <w:tcW w:w="2604" w:type="dxa"/>
          </w:tcPr>
          <w:p w14:paraId="2C21AB0E" w14:textId="3B504C74" w:rsidR="003E364C" w:rsidRPr="00575C70"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20</w:t>
            </w:r>
            <w:r w:rsidR="00AD441E" w:rsidRPr="00575C70">
              <w:rPr>
                <w:rFonts w:ascii="Times New Roman" w:eastAsia="Times New Roman" w:hAnsi="Times New Roman" w:cs="Times New Roman"/>
                <w:noProof/>
                <w:snapToGrid w:val="0"/>
              </w:rPr>
              <w:t> mg</w:t>
            </w:r>
            <w:r w:rsidRPr="00575C70">
              <w:rPr>
                <w:rFonts w:ascii="Times New Roman" w:eastAsia="Times New Roman" w:hAnsi="Times New Roman" w:cs="Times New Roman"/>
                <w:noProof/>
                <w:snapToGrid w:val="0"/>
              </w:rPr>
              <w:t xml:space="preserve"> vieną kartą per parą</w:t>
            </w:r>
          </w:p>
        </w:tc>
        <w:tc>
          <w:tcPr>
            <w:tcW w:w="1365" w:type="dxa"/>
          </w:tcPr>
          <w:p w14:paraId="22AC09D6" w14:textId="00AD0322" w:rsidR="003E364C" w:rsidRPr="00575C70"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20</w:t>
            </w:r>
            <w:r w:rsidR="00AD441E" w:rsidRPr="00575C70">
              <w:rPr>
                <w:rFonts w:ascii="Times New Roman" w:eastAsia="Times New Roman" w:hAnsi="Times New Roman" w:cs="Times New Roman"/>
                <w:noProof/>
                <w:snapToGrid w:val="0"/>
              </w:rPr>
              <w:t> mg</w:t>
            </w:r>
          </w:p>
        </w:tc>
      </w:tr>
      <w:tr w:rsidR="003E364C" w:rsidRPr="003E364C" w14:paraId="38AF524A" w14:textId="77777777" w:rsidTr="0096285A">
        <w:trPr>
          <w:trHeight w:val="1041"/>
        </w:trPr>
        <w:tc>
          <w:tcPr>
            <w:tcW w:w="3119" w:type="dxa"/>
          </w:tcPr>
          <w:p w14:paraId="1348ECC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Pasikartojančios GVT bei PE profilaktika</w:t>
            </w:r>
          </w:p>
        </w:tc>
        <w:tc>
          <w:tcPr>
            <w:tcW w:w="2268" w:type="dxa"/>
          </w:tcPr>
          <w:p w14:paraId="4A4A7056" w14:textId="0141CCA6" w:rsidR="003E364C" w:rsidRPr="003E364C" w:rsidRDefault="003E364C" w:rsidP="000178BE">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Užbaigus bent</w:t>
            </w:r>
            <w:r w:rsidR="000178BE" w:rsidRPr="00E7752F">
              <w:rPr>
                <w:rFonts w:ascii="Times New Roman" w:eastAsia="Times New Roman" w:hAnsi="Times New Roman" w:cs="Times New Roman"/>
                <w:noProof/>
                <w:snapToGrid w:val="0"/>
              </w:rPr>
              <w:t xml:space="preserve"> </w:t>
            </w:r>
            <w:r w:rsidRPr="003E364C">
              <w:rPr>
                <w:rFonts w:ascii="Times New Roman" w:eastAsia="Times New Roman" w:hAnsi="Times New Roman" w:cs="Times New Roman"/>
                <w:noProof/>
                <w:snapToGrid w:val="0"/>
              </w:rPr>
              <w:t>6 mėnesių trukmės GVT arba PE gydymą</w:t>
            </w:r>
          </w:p>
        </w:tc>
        <w:tc>
          <w:tcPr>
            <w:tcW w:w="2604" w:type="dxa"/>
          </w:tcPr>
          <w:p w14:paraId="24C45F99" w14:textId="1723D60D" w:rsidR="003E364C" w:rsidRPr="00575C70"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10</w:t>
            </w:r>
            <w:r w:rsidR="00AD441E" w:rsidRPr="00575C70">
              <w:rPr>
                <w:rFonts w:ascii="Times New Roman" w:eastAsia="Times New Roman" w:hAnsi="Times New Roman" w:cs="Times New Roman"/>
                <w:noProof/>
                <w:snapToGrid w:val="0"/>
              </w:rPr>
              <w:t> mg</w:t>
            </w:r>
            <w:r w:rsidRPr="00575C70">
              <w:rPr>
                <w:rFonts w:ascii="Times New Roman" w:eastAsia="Times New Roman" w:hAnsi="Times New Roman" w:cs="Times New Roman"/>
                <w:noProof/>
                <w:snapToGrid w:val="0"/>
              </w:rPr>
              <w:t xml:space="preserve"> vieną kartą per parą arba</w:t>
            </w:r>
          </w:p>
          <w:p w14:paraId="1C942795" w14:textId="67160FA8" w:rsidR="003E364C" w:rsidRPr="00575C70"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20</w:t>
            </w:r>
            <w:r w:rsidR="00AD441E" w:rsidRPr="00575C70">
              <w:rPr>
                <w:rFonts w:ascii="Times New Roman" w:eastAsia="Times New Roman" w:hAnsi="Times New Roman" w:cs="Times New Roman"/>
                <w:noProof/>
                <w:snapToGrid w:val="0"/>
              </w:rPr>
              <w:t> mg</w:t>
            </w:r>
            <w:r w:rsidRPr="00575C70">
              <w:rPr>
                <w:rFonts w:ascii="Times New Roman" w:eastAsia="Times New Roman" w:hAnsi="Times New Roman" w:cs="Times New Roman"/>
                <w:noProof/>
                <w:snapToGrid w:val="0"/>
              </w:rPr>
              <w:t xml:space="preserve"> vieną kartą per</w:t>
            </w:r>
          </w:p>
          <w:p w14:paraId="7ABF3F0A" w14:textId="77777777" w:rsidR="003E364C" w:rsidRPr="00575C70"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parą</w:t>
            </w:r>
          </w:p>
        </w:tc>
        <w:tc>
          <w:tcPr>
            <w:tcW w:w="1365" w:type="dxa"/>
          </w:tcPr>
          <w:p w14:paraId="15E26084" w14:textId="0B7D2131" w:rsidR="003E364C" w:rsidRPr="00575C70"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10</w:t>
            </w:r>
            <w:r w:rsidR="00AD441E" w:rsidRPr="00575C70">
              <w:rPr>
                <w:rFonts w:ascii="Times New Roman" w:eastAsia="Times New Roman" w:hAnsi="Times New Roman" w:cs="Times New Roman"/>
                <w:noProof/>
                <w:snapToGrid w:val="0"/>
              </w:rPr>
              <w:t> mg</w:t>
            </w:r>
          </w:p>
          <w:p w14:paraId="289D616D" w14:textId="6EEB50FE" w:rsidR="003E364C" w:rsidRPr="00575C70"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noProof/>
                <w:snapToGrid w:val="0"/>
              </w:rPr>
              <w:t>arba 20</w:t>
            </w:r>
            <w:r w:rsidR="00AD441E" w:rsidRPr="00575C70">
              <w:rPr>
                <w:rFonts w:ascii="Times New Roman" w:eastAsia="Times New Roman" w:hAnsi="Times New Roman" w:cs="Times New Roman"/>
                <w:noProof/>
                <w:snapToGrid w:val="0"/>
              </w:rPr>
              <w:t> mg</w:t>
            </w:r>
          </w:p>
        </w:tc>
      </w:tr>
    </w:tbl>
    <w:p w14:paraId="38F4A37F"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229C47C" w14:textId="77777777" w:rsidR="009A023A" w:rsidRPr="00A81302" w:rsidRDefault="003E364C" w:rsidP="009A023A">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Dozės keitimui iš 15</w:t>
      </w:r>
      <w:r w:rsidR="00AD441E">
        <w:rPr>
          <w:rFonts w:ascii="Times New Roman" w:eastAsia="Times New Roman" w:hAnsi="Times New Roman" w:cs="Times New Roman"/>
          <w:b/>
          <w:noProof/>
          <w:snapToGrid w:val="0"/>
        </w:rPr>
        <w:t> </w:t>
      </w:r>
      <w:r w:rsidR="00AD441E" w:rsidRPr="00575C70">
        <w:rPr>
          <w:rFonts w:ascii="Times New Roman" w:eastAsia="Times New Roman" w:hAnsi="Times New Roman" w:cs="Times New Roman"/>
          <w:bCs/>
          <w:noProof/>
          <w:snapToGrid w:val="0"/>
        </w:rPr>
        <w:t>mg</w:t>
      </w:r>
      <w:r w:rsidRPr="00575C70">
        <w:rPr>
          <w:rFonts w:ascii="Times New Roman" w:eastAsia="Times New Roman" w:hAnsi="Times New Roman" w:cs="Times New Roman"/>
          <w:bCs/>
          <w:noProof/>
          <w:snapToGrid w:val="0"/>
        </w:rPr>
        <w:t xml:space="preserve"> į 20</w:t>
      </w:r>
      <w:r w:rsidR="00AD441E" w:rsidRPr="00575C70">
        <w:rPr>
          <w:rFonts w:ascii="Times New Roman" w:eastAsia="Times New Roman" w:hAnsi="Times New Roman" w:cs="Times New Roman"/>
          <w:bCs/>
          <w:noProof/>
          <w:snapToGrid w:val="0"/>
        </w:rPr>
        <w:t> mg</w:t>
      </w:r>
      <w:r w:rsidRPr="00575C70">
        <w:rPr>
          <w:rFonts w:ascii="Times New Roman" w:eastAsia="Times New Roman" w:hAnsi="Times New Roman" w:cs="Times New Roman"/>
          <w:bCs/>
          <w:noProof/>
          <w:snapToGrid w:val="0"/>
        </w:rPr>
        <w:t xml:space="preserve"> palengvinti po 21 vartojimo paros yra tiekiama </w:t>
      </w:r>
      <w:r w:rsidR="00575C70" w:rsidRPr="00575C70">
        <w:rPr>
          <w:rFonts w:ascii="Times New Roman" w:eastAsia="Times New Roman" w:hAnsi="Times New Roman" w:cs="Times New Roman"/>
          <w:bCs/>
          <w:noProof/>
          <w:snapToGrid w:val="0"/>
        </w:rPr>
        <w:t>Xiltess</w:t>
      </w:r>
      <w:r w:rsidRPr="00575C70">
        <w:rPr>
          <w:rFonts w:ascii="Times New Roman" w:eastAsia="Times New Roman" w:hAnsi="Times New Roman" w:cs="Times New Roman"/>
          <w:bCs/>
          <w:noProof/>
          <w:snapToGrid w:val="0"/>
        </w:rPr>
        <w:t xml:space="preserve"> pakuotė gydymui pradėti pirmoms keturioms gydymo nuo GVT arba PE savaitėms</w:t>
      </w:r>
      <w:r w:rsidR="009A023A">
        <w:rPr>
          <w:rFonts w:ascii="Times New Roman" w:eastAsia="Times New Roman" w:hAnsi="Times New Roman" w:cs="Times New Roman"/>
          <w:bCs/>
          <w:noProof/>
          <w:snapToGrid w:val="0"/>
        </w:rPr>
        <w:t xml:space="preserve"> </w:t>
      </w:r>
      <w:r w:rsidR="009A023A">
        <w:rPr>
          <w:rFonts w:ascii="Times New Roman" w:eastAsia="Times New Roman" w:hAnsi="Times New Roman" w:cs="Times New Roman"/>
          <w:noProof/>
          <w:snapToGrid w:val="0"/>
        </w:rPr>
        <w:t>(rinkoje tiekiama kitais vaistinių preparatų pavadinimais)</w:t>
      </w:r>
      <w:r w:rsidR="009A023A" w:rsidRPr="00A81302">
        <w:rPr>
          <w:rFonts w:ascii="Times New Roman" w:eastAsia="Times New Roman" w:hAnsi="Times New Roman" w:cs="Times New Roman"/>
          <w:noProof/>
          <w:snapToGrid w:val="0"/>
        </w:rPr>
        <w:t>.</w:t>
      </w:r>
    </w:p>
    <w:p w14:paraId="1F988306" w14:textId="77777777" w:rsidR="003E364C" w:rsidRPr="00575C70" w:rsidRDefault="003E364C" w:rsidP="003E364C">
      <w:pPr>
        <w:tabs>
          <w:tab w:val="left" w:pos="567"/>
        </w:tabs>
        <w:spacing w:after="0" w:line="260" w:lineRule="exact"/>
        <w:rPr>
          <w:rFonts w:ascii="Times New Roman" w:eastAsia="Times New Roman" w:hAnsi="Times New Roman" w:cs="Times New Roman"/>
          <w:bCs/>
          <w:noProof/>
          <w:snapToGrid w:val="0"/>
        </w:rPr>
      </w:pPr>
    </w:p>
    <w:p w14:paraId="38E74A5B" w14:textId="0E28463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575C70">
        <w:rPr>
          <w:rFonts w:ascii="Times New Roman" w:eastAsia="Times New Roman" w:hAnsi="Times New Roman" w:cs="Times New Roman"/>
          <w:bCs/>
          <w:noProof/>
          <w:snapToGrid w:val="0"/>
        </w:rPr>
        <w:t xml:space="preserve">Jei pacientas pamiršo pavartoti </w:t>
      </w:r>
      <w:r w:rsidR="00575C70" w:rsidRPr="00575C70">
        <w:rPr>
          <w:rFonts w:ascii="Times New Roman" w:eastAsia="Times New Roman" w:hAnsi="Times New Roman" w:cs="Times New Roman"/>
          <w:bCs/>
          <w:noProof/>
          <w:snapToGrid w:val="0"/>
        </w:rPr>
        <w:t>Xiltess</w:t>
      </w:r>
      <w:r w:rsidRPr="00575C70">
        <w:rPr>
          <w:rFonts w:ascii="Times New Roman" w:eastAsia="Times New Roman" w:hAnsi="Times New Roman" w:cs="Times New Roman"/>
          <w:bCs/>
          <w:noProof/>
          <w:snapToGrid w:val="0"/>
        </w:rPr>
        <w:t xml:space="preserve"> dozę gydymo laikotarpiu, kai vartojama po 15</w:t>
      </w:r>
      <w:r w:rsidR="00AD441E" w:rsidRPr="00575C70">
        <w:rPr>
          <w:rFonts w:ascii="Times New Roman" w:eastAsia="Times New Roman" w:hAnsi="Times New Roman" w:cs="Times New Roman"/>
          <w:bCs/>
          <w:noProof/>
          <w:snapToGrid w:val="0"/>
        </w:rPr>
        <w:t> mg</w:t>
      </w:r>
      <w:r w:rsidRPr="00575C70">
        <w:rPr>
          <w:rFonts w:ascii="Times New Roman" w:eastAsia="Times New Roman" w:hAnsi="Times New Roman" w:cs="Times New Roman"/>
          <w:bCs/>
          <w:noProof/>
          <w:snapToGrid w:val="0"/>
        </w:rPr>
        <w:t xml:space="preserve"> du kartus per parą (1–21 parą), jis turi nedelsdamas tai padaryti, užtikrindamas, kad per parą suvartos 30</w:t>
      </w:r>
      <w:r w:rsidR="00AD441E" w:rsidRPr="00575C70">
        <w:rPr>
          <w:rFonts w:ascii="Times New Roman" w:eastAsia="Times New Roman" w:hAnsi="Times New Roman" w:cs="Times New Roman"/>
          <w:bCs/>
          <w:noProof/>
          <w:snapToGrid w:val="0"/>
        </w:rPr>
        <w:t> mg</w:t>
      </w:r>
      <w:r w:rsidRPr="00575C70">
        <w:rPr>
          <w:rFonts w:ascii="Times New Roman" w:eastAsia="Times New Roman" w:hAnsi="Times New Roman" w:cs="Times New Roman"/>
          <w:bCs/>
          <w:noProof/>
          <w:snapToGrid w:val="0"/>
        </w:rPr>
        <w:t xml:space="preserve"> </w:t>
      </w:r>
      <w:r w:rsidR="00575C70" w:rsidRPr="00575C70">
        <w:rPr>
          <w:rFonts w:ascii="Times New Roman" w:eastAsia="Times New Roman" w:hAnsi="Times New Roman" w:cs="Times New Roman"/>
          <w:bCs/>
          <w:noProof/>
          <w:snapToGrid w:val="0"/>
        </w:rPr>
        <w:t>Xiltess</w:t>
      </w:r>
      <w:r w:rsidRPr="00575C70">
        <w:rPr>
          <w:rFonts w:ascii="Times New Roman" w:eastAsia="Times New Roman" w:hAnsi="Times New Roman" w:cs="Times New Roman"/>
          <w:bCs/>
          <w:noProof/>
          <w:snapToGrid w:val="0"/>
        </w:rPr>
        <w:t xml:space="preserve"> dozę. Tokiu atveju gali prireikti suvartoti dvi 15</w:t>
      </w:r>
      <w:r w:rsidR="00AD441E" w:rsidRPr="00575C70">
        <w:rPr>
          <w:rFonts w:ascii="Times New Roman" w:eastAsia="Times New Roman" w:hAnsi="Times New Roman" w:cs="Times New Roman"/>
          <w:bCs/>
          <w:noProof/>
          <w:snapToGrid w:val="0"/>
        </w:rPr>
        <w:t> mg</w:t>
      </w:r>
      <w:r w:rsidRPr="00575C70">
        <w:rPr>
          <w:rFonts w:ascii="Times New Roman" w:eastAsia="Times New Roman" w:hAnsi="Times New Roman" w:cs="Times New Roman"/>
          <w:bCs/>
          <w:noProof/>
          <w:snapToGrid w:val="0"/>
        </w:rPr>
        <w:t xml:space="preserve"> tabletes iš karto. Kitą parą</w:t>
      </w:r>
      <w:r w:rsidRPr="003E364C">
        <w:rPr>
          <w:rFonts w:ascii="Times New Roman" w:eastAsia="Times New Roman" w:hAnsi="Times New Roman" w:cs="Times New Roman"/>
          <w:noProof/>
          <w:snapToGrid w:val="0"/>
        </w:rPr>
        <w:t xml:space="preserve"> pacientas turi toliau vartoti po 15</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xml:space="preserve"> du kartus per parą, kaip rekomenduojama.</w:t>
      </w:r>
    </w:p>
    <w:p w14:paraId="1C1C625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07F5A948" w14:textId="23847DE2"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Jei pacientas pamiršo pavartoti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dozę gydymo laikotarpiu, kai vaistinio preparato vartojama vieną kartą per parą, jis turi nedelsdamas tai padaryti, o kitą dieną toliau vartoti vaistinio preparato vieną kartą per parą, kaip rekomenduojama. Negalima vartoti dvigubos dozės tą pačią parą norint kompensuoti praleistą dozę.</w:t>
      </w:r>
    </w:p>
    <w:p w14:paraId="766BE46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4272F6C"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u w:val="single"/>
        </w:rPr>
      </w:pPr>
      <w:r w:rsidRPr="003E364C">
        <w:rPr>
          <w:rFonts w:ascii="Times New Roman" w:eastAsia="Times New Roman" w:hAnsi="Times New Roman" w:cs="Times New Roman"/>
          <w:noProof/>
          <w:snapToGrid w:val="0"/>
          <w:u w:val="single"/>
        </w:rPr>
        <w:t>VTE gydymas ir pasikartojančios VTE profilaktika vaikams ir paaugliams</w:t>
      </w:r>
    </w:p>
    <w:p w14:paraId="0E530599" w14:textId="5AD751F4"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Gydymą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vaikams ir paaugliams, jaunesniems kaip 18 metų amžiaus, reikia pradėti po ne trumpiau kaip 5 dienas taikyto krešėjimą slopinančio pradinio parenterinio gydymo (žr. 5.1 skyrių).</w:t>
      </w:r>
    </w:p>
    <w:p w14:paraId="220A7D60"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0778879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Vaikams ir paaugliams dozė apskaičiuojama pagal kūno svorį.</w:t>
      </w:r>
    </w:p>
    <w:p w14:paraId="35F6A324" w14:textId="7865DC5C" w:rsidR="003E364C" w:rsidRPr="003E364C" w:rsidRDefault="003E364C" w:rsidP="009449B0">
      <w:pPr>
        <w:numPr>
          <w:ilvl w:val="0"/>
          <w:numId w:val="1"/>
        </w:numPr>
        <w:tabs>
          <w:tab w:val="left" w:pos="567"/>
        </w:tabs>
        <w:spacing w:after="0" w:line="260" w:lineRule="exact"/>
        <w:ind w:hanging="1466"/>
        <w:rPr>
          <w:rFonts w:ascii="Times New Roman" w:eastAsia="Times New Roman" w:hAnsi="Times New Roman" w:cs="Times New Roman"/>
          <w:noProof/>
          <w:snapToGrid w:val="0"/>
          <w:u w:val="single"/>
        </w:rPr>
      </w:pPr>
      <w:r w:rsidRPr="003E364C">
        <w:rPr>
          <w:rFonts w:ascii="Times New Roman" w:eastAsia="Times New Roman" w:hAnsi="Times New Roman" w:cs="Times New Roman"/>
          <w:b/>
          <w:bCs/>
          <w:noProof/>
          <w:snapToGrid w:val="0"/>
        </w:rPr>
        <w:t>50 kg</w:t>
      </w:r>
      <w:r w:rsidR="00DE10B9">
        <w:rPr>
          <w:rFonts w:ascii="Times New Roman" w:eastAsia="Times New Roman" w:hAnsi="Times New Roman" w:cs="Times New Roman"/>
          <w:b/>
          <w:bCs/>
          <w:noProof/>
          <w:snapToGrid w:val="0"/>
        </w:rPr>
        <w:t xml:space="preserve"> ir didesnis</w:t>
      </w:r>
      <w:r w:rsidRPr="003E364C">
        <w:rPr>
          <w:rFonts w:ascii="Times New Roman" w:eastAsia="Times New Roman" w:hAnsi="Times New Roman" w:cs="Times New Roman"/>
          <w:noProof/>
          <w:snapToGrid w:val="0"/>
        </w:rPr>
        <w:t xml:space="preserve"> kūno </w:t>
      </w:r>
      <w:r w:rsidRPr="00575C70">
        <w:rPr>
          <w:rFonts w:ascii="Times New Roman" w:eastAsia="Times New Roman" w:hAnsi="Times New Roman" w:cs="Times New Roman"/>
          <w:noProof/>
          <w:snapToGrid w:val="0"/>
        </w:rPr>
        <w:t>svoris:</w:t>
      </w:r>
    </w:p>
    <w:p w14:paraId="51DD7C83" w14:textId="5C58CD89" w:rsidR="003E364C" w:rsidRPr="003E364C" w:rsidRDefault="003E364C" w:rsidP="00A942BC">
      <w:pPr>
        <w:tabs>
          <w:tab w:val="left" w:pos="567"/>
        </w:tabs>
        <w:spacing w:after="0" w:line="260" w:lineRule="exact"/>
        <w:ind w:left="567"/>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rekomenduojama vartoti </w:t>
      </w:r>
      <w:r w:rsidR="00575C70">
        <w:rPr>
          <w:rFonts w:ascii="Times New Roman" w:eastAsia="Times New Roman" w:hAnsi="Times New Roman" w:cs="Times New Roman"/>
          <w:noProof/>
          <w:snapToGrid w:val="0"/>
        </w:rPr>
        <w:t>20</w:t>
      </w:r>
      <w:r w:rsidR="00AD441E">
        <w:rPr>
          <w:rFonts w:ascii="Times New Roman" w:eastAsia="Times New Roman" w:hAnsi="Times New Roman" w:cs="Times New Roman"/>
          <w:b/>
          <w:noProof/>
          <w:snapToGrid w:val="0"/>
        </w:rPr>
        <w:t> </w:t>
      </w:r>
      <w:r w:rsidR="00AD441E" w:rsidRPr="00DE10B9">
        <w:rPr>
          <w:rFonts w:ascii="Times New Roman" w:eastAsia="Times New Roman" w:hAnsi="Times New Roman" w:cs="Times New Roman"/>
          <w:bCs/>
          <w:noProof/>
          <w:snapToGrid w:val="0"/>
        </w:rPr>
        <w:t>mg</w:t>
      </w:r>
      <w:r w:rsidRPr="003E364C">
        <w:rPr>
          <w:rFonts w:ascii="Times New Roman" w:eastAsia="Times New Roman" w:hAnsi="Times New Roman" w:cs="Times New Roman"/>
          <w:noProof/>
          <w:snapToGrid w:val="0"/>
        </w:rPr>
        <w:t xml:space="preserve"> rivaroksabano dozę vieną kartą per parą. Tai didžiausia paros dozė.</w:t>
      </w:r>
    </w:p>
    <w:p w14:paraId="38FE7EAA" w14:textId="077A4F0F" w:rsidR="003E364C" w:rsidRPr="003E364C" w:rsidRDefault="00DE10B9" w:rsidP="009449B0">
      <w:pPr>
        <w:numPr>
          <w:ilvl w:val="0"/>
          <w:numId w:val="1"/>
        </w:numPr>
        <w:tabs>
          <w:tab w:val="left" w:pos="567"/>
        </w:tabs>
        <w:spacing w:after="0" w:line="260" w:lineRule="exact"/>
        <w:ind w:hanging="1466"/>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30–</w:t>
      </w:r>
      <w:r w:rsidR="003E364C" w:rsidRPr="003E364C">
        <w:rPr>
          <w:rFonts w:ascii="Times New Roman" w:eastAsia="Times New Roman" w:hAnsi="Times New Roman" w:cs="Times New Roman"/>
          <w:b/>
          <w:bCs/>
          <w:noProof/>
          <w:snapToGrid w:val="0"/>
        </w:rPr>
        <w:t xml:space="preserve">50 kg </w:t>
      </w:r>
      <w:r w:rsidR="003E364C" w:rsidRPr="003E364C">
        <w:rPr>
          <w:rFonts w:ascii="Times New Roman" w:eastAsia="Times New Roman" w:hAnsi="Times New Roman" w:cs="Times New Roman"/>
          <w:noProof/>
          <w:snapToGrid w:val="0"/>
        </w:rPr>
        <w:t>kūno svoris</w:t>
      </w:r>
      <w:r w:rsidR="003E364C" w:rsidRPr="003E364C">
        <w:rPr>
          <w:rFonts w:ascii="Times New Roman" w:eastAsia="Times New Roman" w:hAnsi="Times New Roman" w:cs="Times New Roman"/>
          <w:b/>
          <w:bCs/>
          <w:noProof/>
          <w:snapToGrid w:val="0"/>
        </w:rPr>
        <w:t>:</w:t>
      </w:r>
    </w:p>
    <w:p w14:paraId="164E07C4" w14:textId="2EAFDD4B" w:rsidR="003E364C" w:rsidRPr="003E364C" w:rsidRDefault="003E364C" w:rsidP="00A942BC">
      <w:pPr>
        <w:tabs>
          <w:tab w:val="left" w:pos="567"/>
        </w:tabs>
        <w:spacing w:after="0" w:line="260" w:lineRule="exact"/>
        <w:ind w:left="567"/>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lastRenderedPageBreak/>
        <w:t xml:space="preserve">rekomenduojama vartoti </w:t>
      </w:r>
      <w:r w:rsidR="00DE10B9" w:rsidRPr="00DE10B9">
        <w:rPr>
          <w:rFonts w:ascii="Times New Roman" w:eastAsia="Times New Roman" w:hAnsi="Times New Roman" w:cs="Times New Roman"/>
          <w:noProof/>
          <w:snapToGrid w:val="0"/>
        </w:rPr>
        <w:t>15</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xml:space="preserve"> rivaroksabano dozę vieną kartą per parą. Tai didžiausia paros dozė.</w:t>
      </w:r>
    </w:p>
    <w:p w14:paraId="4A8CB308" w14:textId="2684A0E6" w:rsidR="003E364C" w:rsidRPr="003E364C" w:rsidRDefault="00A942BC" w:rsidP="009449B0">
      <w:pPr>
        <w:numPr>
          <w:ilvl w:val="0"/>
          <w:numId w:val="1"/>
        </w:numPr>
        <w:tabs>
          <w:tab w:val="left" w:pos="709"/>
        </w:tabs>
        <w:spacing w:after="0" w:line="260" w:lineRule="exact"/>
        <w:ind w:left="546" w:hanging="560"/>
        <w:rPr>
          <w:rFonts w:ascii="Times New Roman" w:eastAsia="Times New Roman" w:hAnsi="Times New Roman" w:cs="Times New Roman"/>
          <w:noProof/>
          <w:snapToGrid w:val="0"/>
        </w:rPr>
      </w:pPr>
      <w:r w:rsidRPr="00E7752F">
        <w:rPr>
          <w:rFonts w:ascii="Times New Roman" w:eastAsia="Times New Roman" w:hAnsi="Times New Roman" w:cs="Times New Roman"/>
          <w:noProof/>
          <w:snapToGrid w:val="0"/>
        </w:rPr>
        <w:t xml:space="preserve">Rekomendacijas dėl pacientų, kurių kūno svoris </w:t>
      </w:r>
      <w:r w:rsidRPr="00E7752F">
        <w:rPr>
          <w:rFonts w:ascii="Times New Roman" w:eastAsia="Times New Roman" w:hAnsi="Times New Roman" w:cs="Times New Roman"/>
          <w:b/>
          <w:bCs/>
          <w:noProof/>
          <w:snapToGrid w:val="0"/>
        </w:rPr>
        <w:t>mažesnis kaip 30 kg</w:t>
      </w:r>
      <w:r w:rsidRPr="00E7752F">
        <w:rPr>
          <w:rFonts w:ascii="Times New Roman" w:eastAsia="Times New Roman" w:hAnsi="Times New Roman" w:cs="Times New Roman"/>
          <w:noProof/>
          <w:snapToGrid w:val="0"/>
        </w:rPr>
        <w:t>, skaitykite rivaroksabano granulių geriamajai suspensijai preparato charakteristikų santraukoje</w:t>
      </w:r>
      <w:r w:rsidR="003E364C" w:rsidRPr="003E364C">
        <w:rPr>
          <w:rFonts w:ascii="Times New Roman" w:eastAsia="Times New Roman" w:hAnsi="Times New Roman" w:cs="Times New Roman"/>
          <w:noProof/>
          <w:snapToGrid w:val="0"/>
        </w:rPr>
        <w:t>.</w:t>
      </w:r>
    </w:p>
    <w:p w14:paraId="12BD2907" w14:textId="77777777" w:rsidR="003E364C" w:rsidRPr="003E364C" w:rsidRDefault="003E364C" w:rsidP="003E364C">
      <w:pPr>
        <w:tabs>
          <w:tab w:val="left" w:pos="567"/>
        </w:tabs>
        <w:spacing w:after="0" w:line="260" w:lineRule="exact"/>
        <w:ind w:left="426" w:hanging="426"/>
        <w:rPr>
          <w:rFonts w:ascii="Times New Roman" w:eastAsia="Times New Roman" w:hAnsi="Times New Roman" w:cs="Times New Roman"/>
          <w:noProof/>
          <w:snapToGrid w:val="0"/>
        </w:rPr>
      </w:pPr>
    </w:p>
    <w:p w14:paraId="7DDBB35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Reikia reguliariai tikrinti vaiko svorį ir peržiūrėti dozę. Tai būtina siekiant užtikrinti, kad bus palaikoma gydomoji dozė. Dozė turi būti koreguojama atsižvelgiant tik į kūno svorio pokyčius.</w:t>
      </w:r>
    </w:p>
    <w:p w14:paraId="707B89C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4E61CFF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w:t>
      </w:r>
    </w:p>
    <w:p w14:paraId="3B750405"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13280BDC"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025BBAD0" w14:textId="0D117FAF"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 xml:space="preserve">Vitamino K antagonistų (VKA) keitimas </w:t>
      </w:r>
      <w:r w:rsidR="00575C70">
        <w:rPr>
          <w:rFonts w:ascii="Times New Roman" w:eastAsia="Times New Roman" w:hAnsi="Times New Roman" w:cs="Times New Roman"/>
          <w:i/>
          <w:iCs/>
          <w:noProof/>
          <w:snapToGrid w:val="0"/>
        </w:rPr>
        <w:t>Xiltess</w:t>
      </w:r>
    </w:p>
    <w:p w14:paraId="141A6068" w14:textId="77777777" w:rsidR="003E364C" w:rsidRPr="003E364C" w:rsidRDefault="003E364C" w:rsidP="009449B0">
      <w:pPr>
        <w:numPr>
          <w:ilvl w:val="0"/>
          <w:numId w:val="1"/>
        </w:numPr>
        <w:tabs>
          <w:tab w:val="left" w:pos="567"/>
        </w:tabs>
        <w:spacing w:after="0" w:line="260" w:lineRule="exact"/>
        <w:ind w:left="-142" w:firstLine="142"/>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Insulto ir sisteminės embolijos profilaktika:</w:t>
      </w:r>
    </w:p>
    <w:p w14:paraId="52F13B04" w14:textId="5AA8CC79" w:rsidR="003E364C" w:rsidRPr="003E364C" w:rsidRDefault="003E364C" w:rsidP="003E364C">
      <w:pPr>
        <w:tabs>
          <w:tab w:val="left" w:pos="567"/>
        </w:tabs>
        <w:spacing w:after="0" w:line="260" w:lineRule="exact"/>
        <w:ind w:left="567"/>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gydymą VKA reikia nutraukti ir gydymą rivaroksabanu pradėti, kai tarptautinis normalizuotas santykis (TNS, angl. </w:t>
      </w:r>
      <w:r w:rsidRPr="003E364C">
        <w:rPr>
          <w:rFonts w:ascii="Times New Roman" w:eastAsia="Times New Roman" w:hAnsi="Times New Roman" w:cs="Times New Roman"/>
          <w:i/>
          <w:noProof/>
          <w:snapToGrid w:val="0"/>
        </w:rPr>
        <w:t xml:space="preserve">international normalized ratio </w:t>
      </w:r>
      <w:r w:rsidRPr="003E364C">
        <w:rPr>
          <w:rFonts w:ascii="Times New Roman" w:eastAsia="Times New Roman" w:hAnsi="Times New Roman" w:cs="Times New Roman"/>
          <w:noProof/>
          <w:snapToGrid w:val="0"/>
        </w:rPr>
        <w:t>[</w:t>
      </w:r>
      <w:r w:rsidRPr="003E364C">
        <w:rPr>
          <w:rFonts w:ascii="Times New Roman" w:eastAsia="Times New Roman" w:hAnsi="Times New Roman" w:cs="Times New Roman"/>
          <w:i/>
          <w:noProof/>
          <w:snapToGrid w:val="0"/>
        </w:rPr>
        <w:t>INR</w:t>
      </w:r>
      <w:r w:rsidRPr="003E364C">
        <w:rPr>
          <w:rFonts w:ascii="Times New Roman" w:eastAsia="Times New Roman" w:hAnsi="Times New Roman" w:cs="Times New Roman"/>
          <w:noProof/>
          <w:snapToGrid w:val="0"/>
        </w:rPr>
        <w:t>]) yra ≤</w:t>
      </w:r>
      <w:r w:rsidR="00D25799" w:rsidRPr="00E7752F">
        <w:rPr>
          <w:rFonts w:ascii="Times New Roman" w:eastAsia="Times New Roman" w:hAnsi="Times New Roman" w:cs="Times New Roman"/>
          <w:noProof/>
          <w:snapToGrid w:val="0"/>
        </w:rPr>
        <w:t> </w:t>
      </w:r>
      <w:r w:rsidRPr="003E364C">
        <w:rPr>
          <w:rFonts w:ascii="Times New Roman" w:eastAsia="Times New Roman" w:hAnsi="Times New Roman" w:cs="Times New Roman"/>
          <w:noProof/>
          <w:snapToGrid w:val="0"/>
        </w:rPr>
        <w:t>3,0.</w:t>
      </w:r>
    </w:p>
    <w:p w14:paraId="0B71F301" w14:textId="77777777" w:rsidR="003E364C" w:rsidRPr="003E364C" w:rsidRDefault="003E364C" w:rsidP="009449B0">
      <w:pPr>
        <w:numPr>
          <w:ilvl w:val="0"/>
          <w:numId w:val="1"/>
        </w:numPr>
        <w:tabs>
          <w:tab w:val="left" w:pos="567"/>
        </w:tabs>
        <w:spacing w:after="0" w:line="260" w:lineRule="exact"/>
        <w:ind w:left="567"/>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Gydymas nuo GVT, PE ir šių sutrikimų pasikartojimo profilaktika suaugusiesiems ir gydymas nuo VTE bei šio sutrikimo pasikartojimo profilaktika vaikams:</w:t>
      </w:r>
    </w:p>
    <w:p w14:paraId="2D842C14" w14:textId="23A6A449" w:rsidR="003E364C" w:rsidRPr="003E364C" w:rsidRDefault="003E364C" w:rsidP="003E364C">
      <w:pPr>
        <w:tabs>
          <w:tab w:val="left" w:pos="567"/>
        </w:tabs>
        <w:spacing w:after="0" w:line="260" w:lineRule="exact"/>
        <w:ind w:left="284" w:firstLine="283"/>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gydymą VKA reikia nutraukti ir gydymą rivaroksabanu pradėti, kai TNS yra ≤</w:t>
      </w:r>
      <w:r w:rsidR="00D25799" w:rsidRPr="00E7752F">
        <w:rPr>
          <w:rFonts w:ascii="Times New Roman" w:eastAsia="Times New Roman" w:hAnsi="Times New Roman" w:cs="Times New Roman"/>
          <w:noProof/>
          <w:snapToGrid w:val="0"/>
        </w:rPr>
        <w:t> </w:t>
      </w:r>
      <w:r w:rsidRPr="003E364C">
        <w:rPr>
          <w:rFonts w:ascii="Times New Roman" w:eastAsia="Times New Roman" w:hAnsi="Times New Roman" w:cs="Times New Roman"/>
          <w:noProof/>
          <w:snapToGrid w:val="0"/>
        </w:rPr>
        <w:t>2,5.</w:t>
      </w:r>
    </w:p>
    <w:p w14:paraId="429BD661" w14:textId="77777777" w:rsidR="003E364C" w:rsidRPr="003E364C" w:rsidRDefault="003E364C" w:rsidP="003E364C">
      <w:pPr>
        <w:tabs>
          <w:tab w:val="left" w:pos="567"/>
        </w:tabs>
        <w:spacing w:after="0" w:line="260" w:lineRule="exact"/>
        <w:ind w:left="1418" w:hanging="2742"/>
        <w:rPr>
          <w:rFonts w:ascii="Times New Roman" w:eastAsia="Times New Roman" w:hAnsi="Times New Roman" w:cs="Times New Roman"/>
          <w:noProof/>
          <w:snapToGrid w:val="0"/>
        </w:rPr>
      </w:pPr>
    </w:p>
    <w:p w14:paraId="6F7C1C48" w14:textId="5A407398"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Gydymą VKA keičiant gydymu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pradėjus vartoti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TNS rodiklis bus klaidingai padidėjęs. TNS netinka vertinti rivaroksabano antikoaguliacinį aktyvumą, todėl jo tirti nereikia (žr. 4.5 skyrių).</w:t>
      </w:r>
    </w:p>
    <w:p w14:paraId="0755D638"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0307D0BA" w14:textId="01CEFD73" w:rsidR="003E364C" w:rsidRPr="003E364C" w:rsidRDefault="00575C70" w:rsidP="003E364C">
      <w:pPr>
        <w:tabs>
          <w:tab w:val="left" w:pos="567"/>
        </w:tabs>
        <w:spacing w:after="0" w:line="260" w:lineRule="exact"/>
        <w:rPr>
          <w:rFonts w:ascii="Times New Roman" w:eastAsia="Times New Roman" w:hAnsi="Times New Roman" w:cs="Times New Roman"/>
          <w:i/>
          <w:iCs/>
          <w:noProof/>
          <w:snapToGrid w:val="0"/>
        </w:rPr>
      </w:pPr>
      <w:r>
        <w:rPr>
          <w:rFonts w:ascii="Times New Roman" w:eastAsia="Times New Roman" w:hAnsi="Times New Roman" w:cs="Times New Roman"/>
          <w:i/>
          <w:iCs/>
          <w:noProof/>
          <w:snapToGrid w:val="0"/>
        </w:rPr>
        <w:t>Xiltess</w:t>
      </w:r>
      <w:r w:rsidR="003E364C" w:rsidRPr="003E364C">
        <w:rPr>
          <w:rFonts w:ascii="Times New Roman" w:eastAsia="Times New Roman" w:hAnsi="Times New Roman" w:cs="Times New Roman"/>
          <w:i/>
          <w:iCs/>
          <w:noProof/>
          <w:snapToGrid w:val="0"/>
        </w:rPr>
        <w:t xml:space="preserve"> keitimas vitamino K antagonistais (VKA)</w:t>
      </w:r>
    </w:p>
    <w:p w14:paraId="5DDF33C1" w14:textId="647D9509"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Keičiant gydymą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gydymu VKA, yra nepakankamos antikoaguliacijos tikimybė. Visais atvejais, kai preparatas keičiamas alternatyviu antikoaguliantu, reikia užtikrinti nuolatinę pakankamą antikoaguliaciją. Reikia įsidėmėti, kad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gali būti viena iš padidėjusio TNS priežasčių.</w:t>
      </w:r>
    </w:p>
    <w:p w14:paraId="56D15831" w14:textId="0CB7DA2D"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Pacientams, kuriems gydymas rivaroksabanu keičiamas gydymu VKA, VKA reikia skirti kartu, kol TNS bus ≥ 2,0. Pirmąsias dvi gydymo keitimo paras reikia skirti standartinę pradinę VKA dozę, po to VKA dozę reikia parinkti atsižvelgiant į TNS reikšmes. Kol pacientas vartoja ir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ir VKA, TNS reikia tirti ne anksčiau nei 24 valandos po ankstesnės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dozės, prieš vartojant kitą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dozę. Nutraukus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vartojimą, TNS galima patikimai nustatyti praėjus ne trumpiau kaip 24 valandoms po paskutinės dozės (žr. 4.5 ir 5.2 skyrius).</w:t>
      </w:r>
    </w:p>
    <w:p w14:paraId="383141E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54BAA05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u w:val="single"/>
        </w:rPr>
      </w:pPr>
      <w:r w:rsidRPr="003E364C">
        <w:rPr>
          <w:rFonts w:ascii="Times New Roman" w:eastAsia="Times New Roman" w:hAnsi="Times New Roman" w:cs="Times New Roman"/>
          <w:noProof/>
          <w:snapToGrid w:val="0"/>
          <w:u w:val="single"/>
        </w:rPr>
        <w:t>Vaikų populiacija</w:t>
      </w:r>
    </w:p>
    <w:p w14:paraId="16A65738" w14:textId="43DAA34E"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Vaikams, kuriems gydymas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keičiamas gydymu VKA, po pirmosios VKA dozės dar 48 valandas reikia kartu vartoti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2 </w:t>
      </w:r>
      <w:r w:rsidR="00885891">
        <w:rPr>
          <w:rFonts w:ascii="Times New Roman" w:eastAsia="Times New Roman" w:hAnsi="Times New Roman" w:cs="Times New Roman"/>
          <w:noProof/>
          <w:snapToGrid w:val="0"/>
        </w:rPr>
        <w:t>paras</w:t>
      </w:r>
      <w:r w:rsidR="00885891" w:rsidRPr="003E364C">
        <w:rPr>
          <w:rFonts w:ascii="Times New Roman" w:eastAsia="Times New Roman" w:hAnsi="Times New Roman" w:cs="Times New Roman"/>
          <w:noProof/>
          <w:snapToGrid w:val="0"/>
        </w:rPr>
        <w:t xml:space="preserve"> </w:t>
      </w:r>
      <w:r w:rsidRPr="003E364C">
        <w:rPr>
          <w:rFonts w:ascii="Times New Roman" w:eastAsia="Times New Roman" w:hAnsi="Times New Roman" w:cs="Times New Roman"/>
          <w:noProof/>
          <w:snapToGrid w:val="0"/>
        </w:rPr>
        <w:t xml:space="preserve">pavartojus abiejų vaistinių preparatų, prieš vartojant kitą numatytą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dozę, reikia ištirti TNS. Patariama toliau kartu vartoti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ir VKA, kol TNS bus ≥</w:t>
      </w:r>
      <w:r w:rsidR="00E7752F" w:rsidRPr="00E7752F">
        <w:rPr>
          <w:rFonts w:ascii="Times New Roman" w:eastAsia="Times New Roman" w:hAnsi="Times New Roman" w:cs="Times New Roman"/>
          <w:noProof/>
          <w:snapToGrid w:val="0"/>
        </w:rPr>
        <w:t> </w:t>
      </w:r>
      <w:r w:rsidRPr="003E364C">
        <w:rPr>
          <w:rFonts w:ascii="Times New Roman" w:eastAsia="Times New Roman" w:hAnsi="Times New Roman" w:cs="Times New Roman"/>
          <w:noProof/>
          <w:snapToGrid w:val="0"/>
        </w:rPr>
        <w:t xml:space="preserve">2,0. Nutraukus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vartojimą, TNS patikimai galima ištirti praėjus 24 valandoms po paskutinės dozės (žr. aukščiau pateiktą informaciją ir 4.5 skyrių).</w:t>
      </w:r>
    </w:p>
    <w:p w14:paraId="066CAD8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1248DD25"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 xml:space="preserve">Parenteriniu būdu vartojamų antikoaguliantų keitimas rivaroksabanu </w:t>
      </w:r>
    </w:p>
    <w:p w14:paraId="10589F86" w14:textId="30153E9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Parenterinius antikoaguliantus vartojantiems suaugusiems pacientams ir vaikams nutraukite parenterinio antikoagulianto vartojimą ir pradėkite vartoti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likus 0–2</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val. iki to laiko, kai pagal numatytą dozavimo režimą turėtų būti vartojama parenterinio vaistinio preparato (pvz., mažos molekulinės masės heparino), arba tuo metu, kai nutraukiamas nuolatinis parenterinio vaistinio preparato (pvz., intraveninio nefrakcionuoto heparino) vartojimas.</w:t>
      </w:r>
    </w:p>
    <w:p w14:paraId="32EC8B4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u w:val="single"/>
        </w:rPr>
      </w:pPr>
    </w:p>
    <w:p w14:paraId="37A90EF2"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Rivaroksabano keitimas parenteriniu būdu vartojamais antikoaguliantais</w:t>
      </w:r>
    </w:p>
    <w:p w14:paraId="6BAF2B0F" w14:textId="2F3969B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lastRenderedPageBreak/>
        <w:t xml:space="preserve">Nutraukite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vartojimą ir pirmąją parenteriniu būdu vartojamo antikoagulianto dozę skirkite tuo metu, kai turėjo būti vartojama kita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dozė.</w:t>
      </w:r>
    </w:p>
    <w:p w14:paraId="3A13D3CA"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5B0B13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Ypatingos populiacijos</w:t>
      </w:r>
      <w:r w:rsidRPr="003E364C">
        <w:rPr>
          <w:rFonts w:ascii="Times New Roman" w:eastAsia="Times New Roman" w:hAnsi="Times New Roman" w:cs="Times New Roman"/>
          <w:noProof/>
          <w:snapToGrid w:val="0"/>
        </w:rPr>
        <w:t xml:space="preserve"> </w:t>
      </w:r>
    </w:p>
    <w:p w14:paraId="068C6E98" w14:textId="77777777" w:rsidR="003E364C" w:rsidRPr="003E364C" w:rsidRDefault="003E364C" w:rsidP="003E364C">
      <w:pPr>
        <w:tabs>
          <w:tab w:val="left" w:pos="567"/>
        </w:tabs>
        <w:spacing w:after="0" w:line="260" w:lineRule="exact"/>
        <w:rPr>
          <w:rFonts w:ascii="Times New Roman" w:eastAsia="Times New Roman" w:hAnsi="Times New Roman" w:cs="Times New Roman"/>
          <w:iCs/>
          <w:noProof/>
          <w:snapToGrid w:val="0"/>
          <w:u w:val="single"/>
        </w:rPr>
      </w:pPr>
    </w:p>
    <w:p w14:paraId="547B733E" w14:textId="77777777" w:rsidR="003E364C" w:rsidRPr="003E364C" w:rsidRDefault="003E364C" w:rsidP="003E364C">
      <w:pPr>
        <w:tabs>
          <w:tab w:val="left" w:pos="567"/>
        </w:tabs>
        <w:spacing w:after="0" w:line="260" w:lineRule="exact"/>
        <w:rPr>
          <w:rFonts w:ascii="Times New Roman" w:eastAsia="Times New Roman" w:hAnsi="Times New Roman" w:cs="Times New Roman"/>
          <w:i/>
          <w:noProof/>
          <w:snapToGrid w:val="0"/>
        </w:rPr>
      </w:pPr>
      <w:r w:rsidRPr="003E364C">
        <w:rPr>
          <w:rFonts w:ascii="Times New Roman" w:eastAsia="Times New Roman" w:hAnsi="Times New Roman" w:cs="Times New Roman"/>
          <w:i/>
          <w:noProof/>
          <w:snapToGrid w:val="0"/>
        </w:rPr>
        <w:t xml:space="preserve">Sutrikusi inkstų funkcija </w:t>
      </w:r>
    </w:p>
    <w:p w14:paraId="1F00E9F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011B82E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u w:val="single"/>
        </w:rPr>
      </w:pPr>
      <w:r w:rsidRPr="003E364C">
        <w:rPr>
          <w:rFonts w:ascii="Times New Roman" w:eastAsia="Times New Roman" w:hAnsi="Times New Roman" w:cs="Times New Roman"/>
          <w:noProof/>
          <w:snapToGrid w:val="0"/>
          <w:u w:val="single"/>
        </w:rPr>
        <w:t>Suaugusiesiems</w:t>
      </w:r>
    </w:p>
    <w:p w14:paraId="177A25F9" w14:textId="3C924A2F"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Riboti klinikiniai duomenys rodo, kad pacientams, kuriems yra sunkus inkstų funkcijos sutrikimas (kreatinino klirensas 15–29</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 xml:space="preserve">ml/min), rivaroksabano koncentracija plazmoje būna reikšmingai padidėjusi. Todėl šiems pacientams </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reikia vartoti atsargiai. Nerekomenduojama vartoti pacientams, kurių kreatinino klirensas &lt; 15 ml/min (žr. 4.4 ir 5.2 skyrius).</w:t>
      </w:r>
    </w:p>
    <w:p w14:paraId="440F889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2F6F01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Pacientams, kuriems yra vidutinis (kreatinino klirensas 30–49</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 arba sunkus (kreatinino klirensas 15–29</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 inkstų funkcijos sutrikimas, dozuoti patariama taip, kaip pateikta toliau:</w:t>
      </w:r>
    </w:p>
    <w:p w14:paraId="76666AFD" w14:textId="77777777" w:rsidR="003E364C" w:rsidRPr="003E364C" w:rsidRDefault="003E364C" w:rsidP="003E364C">
      <w:pPr>
        <w:tabs>
          <w:tab w:val="left" w:pos="567"/>
        </w:tabs>
        <w:spacing w:after="0" w:line="260" w:lineRule="exact"/>
        <w:rPr>
          <w:rFonts w:ascii="Times New Roman" w:eastAsia="Times New Roman" w:hAnsi="Times New Roman" w:cs="Times New Roman"/>
          <w:i/>
          <w:noProof/>
          <w:snapToGrid w:val="0"/>
        </w:rPr>
      </w:pPr>
    </w:p>
    <w:p w14:paraId="52235FAC" w14:textId="3F6FF62B" w:rsidR="003E364C" w:rsidRPr="003E364C" w:rsidRDefault="003E364C" w:rsidP="009449B0">
      <w:pPr>
        <w:numPr>
          <w:ilvl w:val="0"/>
          <w:numId w:val="1"/>
        </w:numPr>
        <w:spacing w:after="0" w:line="260" w:lineRule="exact"/>
        <w:ind w:left="426" w:hanging="426"/>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Insulto ir sisteminės embolijos profilaktikai pacientams, kuriems yra su vožtuvų liga nesusijęs prieširdžių virpėjimas, rekomenduojama dozė yra 15</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xml:space="preserve"> vieną kartą per parą (žr. 5.2 skyrių).</w:t>
      </w:r>
    </w:p>
    <w:p w14:paraId="321A3BC0" w14:textId="77777777" w:rsidR="003E364C" w:rsidRPr="003E364C" w:rsidRDefault="003E364C" w:rsidP="003E364C">
      <w:pPr>
        <w:spacing w:after="0" w:line="260" w:lineRule="exact"/>
        <w:ind w:left="567" w:hanging="567"/>
        <w:rPr>
          <w:rFonts w:ascii="Times New Roman" w:eastAsia="Times New Roman" w:hAnsi="Times New Roman" w:cs="Times New Roman"/>
          <w:i/>
          <w:noProof/>
          <w:snapToGrid w:val="0"/>
        </w:rPr>
      </w:pPr>
    </w:p>
    <w:p w14:paraId="33730EAA" w14:textId="50D71962" w:rsidR="003E364C" w:rsidRPr="00DE10B9" w:rsidRDefault="003E364C" w:rsidP="009449B0">
      <w:pPr>
        <w:numPr>
          <w:ilvl w:val="0"/>
          <w:numId w:val="1"/>
        </w:numPr>
        <w:spacing w:after="0" w:line="260" w:lineRule="exact"/>
        <w:ind w:left="426" w:hanging="426"/>
        <w:rPr>
          <w:rFonts w:ascii="Times New Roman" w:eastAsia="Times New Roman" w:hAnsi="Times New Roman" w:cs="Times New Roman"/>
          <w:bCs/>
          <w:noProof/>
          <w:snapToGrid w:val="0"/>
        </w:rPr>
      </w:pPr>
      <w:r w:rsidRPr="003E364C">
        <w:rPr>
          <w:rFonts w:ascii="Times New Roman" w:eastAsia="Times New Roman" w:hAnsi="Times New Roman" w:cs="Times New Roman"/>
          <w:noProof/>
          <w:snapToGrid w:val="0"/>
        </w:rPr>
        <w:t>Gydymui nuo GVT, PE ir pasikartojančios GVT bei PE profilaktikai pirmąsias tris savaites reikia skirti po 15</w:t>
      </w:r>
      <w:r w:rsidR="00AD441E">
        <w:rPr>
          <w:rFonts w:ascii="Times New Roman" w:eastAsia="Times New Roman" w:hAnsi="Times New Roman" w:cs="Times New Roman"/>
          <w:b/>
          <w:noProof/>
          <w:snapToGrid w:val="0"/>
        </w:rPr>
        <w:t> </w:t>
      </w:r>
      <w:r w:rsidR="00AD441E" w:rsidRPr="00DE10B9">
        <w:rPr>
          <w:rFonts w:ascii="Times New Roman" w:eastAsia="Times New Roman" w:hAnsi="Times New Roman" w:cs="Times New Roman"/>
          <w:bCs/>
          <w:noProof/>
          <w:snapToGrid w:val="0"/>
        </w:rPr>
        <w:t>mg</w:t>
      </w:r>
      <w:r w:rsidRPr="00DE10B9">
        <w:rPr>
          <w:rFonts w:ascii="Times New Roman" w:eastAsia="Times New Roman" w:hAnsi="Times New Roman" w:cs="Times New Roman"/>
          <w:bCs/>
          <w:noProof/>
          <w:snapToGrid w:val="0"/>
        </w:rPr>
        <w:t xml:space="preserve"> du kartus per parą.</w:t>
      </w:r>
    </w:p>
    <w:p w14:paraId="60066865" w14:textId="04AE0F5B" w:rsidR="003E364C" w:rsidRPr="00DE10B9" w:rsidRDefault="003E364C" w:rsidP="003E364C">
      <w:pPr>
        <w:tabs>
          <w:tab w:val="left" w:pos="426"/>
        </w:tabs>
        <w:spacing w:after="0" w:line="260" w:lineRule="exact"/>
        <w:ind w:left="426"/>
        <w:rPr>
          <w:rFonts w:ascii="Times New Roman" w:eastAsia="Times New Roman" w:hAnsi="Times New Roman" w:cs="Times New Roman"/>
          <w:bCs/>
          <w:noProof/>
          <w:snapToGrid w:val="0"/>
        </w:rPr>
      </w:pPr>
      <w:r w:rsidRPr="00DE10B9">
        <w:rPr>
          <w:rFonts w:ascii="Times New Roman" w:eastAsia="Times New Roman" w:hAnsi="Times New Roman" w:cs="Times New Roman"/>
          <w:bCs/>
          <w:noProof/>
          <w:snapToGrid w:val="0"/>
        </w:rPr>
        <w:t>Po to, kai rekomenduojama dozė yra 20</w:t>
      </w:r>
      <w:r w:rsidR="00AD441E" w:rsidRPr="00DE10B9">
        <w:rPr>
          <w:rFonts w:ascii="Times New Roman" w:eastAsia="Times New Roman" w:hAnsi="Times New Roman" w:cs="Times New Roman"/>
          <w:bCs/>
          <w:noProof/>
          <w:snapToGrid w:val="0"/>
        </w:rPr>
        <w:t> mg</w:t>
      </w:r>
      <w:r w:rsidRPr="00DE10B9">
        <w:rPr>
          <w:rFonts w:ascii="Times New Roman" w:eastAsia="Times New Roman" w:hAnsi="Times New Roman" w:cs="Times New Roman"/>
          <w:bCs/>
          <w:noProof/>
          <w:snapToGrid w:val="0"/>
        </w:rPr>
        <w:t xml:space="preserve"> vieną kartą per parą, jei paciento kraujavimo rizika yra didesnė už pasikartojančios PE ir GVT riziką, galima apsvarstyti dozės sumažinimą nuo 20</w:t>
      </w:r>
      <w:r w:rsidR="00AD441E" w:rsidRPr="00DE10B9">
        <w:rPr>
          <w:rFonts w:ascii="Times New Roman" w:eastAsia="Times New Roman" w:hAnsi="Times New Roman" w:cs="Times New Roman"/>
          <w:bCs/>
          <w:noProof/>
          <w:snapToGrid w:val="0"/>
        </w:rPr>
        <w:t> mg</w:t>
      </w:r>
      <w:r w:rsidRPr="00DE10B9">
        <w:rPr>
          <w:rFonts w:ascii="Times New Roman" w:eastAsia="Times New Roman" w:hAnsi="Times New Roman" w:cs="Times New Roman"/>
          <w:bCs/>
          <w:noProof/>
          <w:snapToGrid w:val="0"/>
        </w:rPr>
        <w:t xml:space="preserve"> vieną kartą per parą iki 15</w:t>
      </w:r>
      <w:r w:rsidR="00AD441E" w:rsidRPr="00DE10B9">
        <w:rPr>
          <w:rFonts w:ascii="Times New Roman" w:eastAsia="Times New Roman" w:hAnsi="Times New Roman" w:cs="Times New Roman"/>
          <w:bCs/>
          <w:noProof/>
          <w:snapToGrid w:val="0"/>
        </w:rPr>
        <w:t> mg</w:t>
      </w:r>
      <w:r w:rsidRPr="00DE10B9">
        <w:rPr>
          <w:rFonts w:ascii="Times New Roman" w:eastAsia="Times New Roman" w:hAnsi="Times New Roman" w:cs="Times New Roman"/>
          <w:bCs/>
          <w:noProof/>
          <w:snapToGrid w:val="0"/>
        </w:rPr>
        <w:t xml:space="preserve"> vieną kartą per parą. Rekomendacijos vartoti 15</w:t>
      </w:r>
      <w:r w:rsidR="00AD441E" w:rsidRPr="00DE10B9">
        <w:rPr>
          <w:rFonts w:ascii="Times New Roman" w:eastAsia="Times New Roman" w:hAnsi="Times New Roman" w:cs="Times New Roman"/>
          <w:bCs/>
          <w:noProof/>
          <w:snapToGrid w:val="0"/>
        </w:rPr>
        <w:t> mg</w:t>
      </w:r>
      <w:r w:rsidRPr="00DE10B9">
        <w:rPr>
          <w:rFonts w:ascii="Times New Roman" w:eastAsia="Times New Roman" w:hAnsi="Times New Roman" w:cs="Times New Roman"/>
          <w:bCs/>
          <w:noProof/>
          <w:snapToGrid w:val="0"/>
        </w:rPr>
        <w:t xml:space="preserve"> dozę yra paremtos farmakokinetiniu modeliavimu, bet kliniškai toks dozavimas nėra ištirtas (žr. 4.4, 5.1 ir 5.2 skyrius).</w:t>
      </w:r>
    </w:p>
    <w:p w14:paraId="70DFE652" w14:textId="39BACF62" w:rsidR="003E364C" w:rsidRPr="00DE10B9" w:rsidRDefault="003E364C" w:rsidP="003E364C">
      <w:pPr>
        <w:tabs>
          <w:tab w:val="left" w:pos="567"/>
        </w:tabs>
        <w:spacing w:after="0" w:line="260" w:lineRule="exact"/>
        <w:ind w:left="426"/>
        <w:rPr>
          <w:rFonts w:ascii="Times New Roman" w:eastAsia="Times New Roman" w:hAnsi="Times New Roman" w:cs="Times New Roman"/>
          <w:bCs/>
          <w:noProof/>
          <w:snapToGrid w:val="0"/>
        </w:rPr>
      </w:pPr>
      <w:r w:rsidRPr="00DE10B9">
        <w:rPr>
          <w:rFonts w:ascii="Times New Roman" w:eastAsia="Times New Roman" w:hAnsi="Times New Roman" w:cs="Times New Roman"/>
          <w:bCs/>
          <w:noProof/>
          <w:snapToGrid w:val="0"/>
        </w:rPr>
        <w:t>Kai rekomenduojama dozė yra 10</w:t>
      </w:r>
      <w:r w:rsidR="00AD441E" w:rsidRPr="00DE10B9">
        <w:rPr>
          <w:rFonts w:ascii="Times New Roman" w:eastAsia="Times New Roman" w:hAnsi="Times New Roman" w:cs="Times New Roman"/>
          <w:bCs/>
          <w:noProof/>
          <w:snapToGrid w:val="0"/>
        </w:rPr>
        <w:t> mg</w:t>
      </w:r>
      <w:r w:rsidRPr="00DE10B9">
        <w:rPr>
          <w:rFonts w:ascii="Times New Roman" w:eastAsia="Times New Roman" w:hAnsi="Times New Roman" w:cs="Times New Roman"/>
          <w:bCs/>
          <w:noProof/>
          <w:snapToGrid w:val="0"/>
        </w:rPr>
        <w:t xml:space="preserve"> vieną kartą per parą, rekomenduojamos dozės koreguoti nereikia.</w:t>
      </w:r>
    </w:p>
    <w:p w14:paraId="5893CCC0" w14:textId="77777777" w:rsidR="003E364C" w:rsidRPr="003E364C" w:rsidRDefault="003E364C" w:rsidP="003E364C">
      <w:pPr>
        <w:tabs>
          <w:tab w:val="left" w:pos="567"/>
        </w:tabs>
        <w:spacing w:after="0" w:line="260" w:lineRule="exact"/>
        <w:ind w:left="426"/>
        <w:rPr>
          <w:rFonts w:ascii="Times New Roman" w:eastAsia="Times New Roman" w:hAnsi="Times New Roman" w:cs="Times New Roman"/>
          <w:noProof/>
          <w:snapToGrid w:val="0"/>
        </w:rPr>
      </w:pPr>
    </w:p>
    <w:p w14:paraId="3922D06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Pacientams, kuriems yra lengvas inkstų funkcijos sutrikimas (kreatinino klirensas 50–80</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 dozės koreguoti nereikia (žr. 5.2 skyrių).</w:t>
      </w:r>
    </w:p>
    <w:p w14:paraId="07A27D9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u w:val="single"/>
        </w:rPr>
      </w:pPr>
    </w:p>
    <w:p w14:paraId="7FB84F0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u w:val="single"/>
        </w:rPr>
      </w:pPr>
      <w:r w:rsidRPr="003E364C">
        <w:rPr>
          <w:rFonts w:ascii="Times New Roman" w:eastAsia="Times New Roman" w:hAnsi="Times New Roman" w:cs="Times New Roman"/>
          <w:noProof/>
          <w:snapToGrid w:val="0"/>
          <w:u w:val="single"/>
        </w:rPr>
        <w:t>Vaikų populiacija</w:t>
      </w:r>
    </w:p>
    <w:p w14:paraId="5CBCF5EB" w14:textId="77777777" w:rsidR="003E364C" w:rsidRPr="003E364C" w:rsidRDefault="003E364C" w:rsidP="009449B0">
      <w:pPr>
        <w:numPr>
          <w:ilvl w:val="0"/>
          <w:numId w:val="1"/>
        </w:numPr>
        <w:tabs>
          <w:tab w:val="left" w:pos="567"/>
        </w:tabs>
        <w:spacing w:after="0" w:line="260" w:lineRule="exact"/>
        <w:ind w:left="426"/>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Vaikai ir paaugliai, kuriems yra lengvas inkstų funkcijos sutrikimas (glomerulų filtracijos greitis 50–80</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ml/min./1,73</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w:t>
      </w:r>
      <w:r w:rsidRPr="003E364C">
        <w:rPr>
          <w:rFonts w:ascii="Times New Roman" w:eastAsia="Times New Roman" w:hAnsi="Times New Roman" w:cs="Times New Roman"/>
          <w:noProof/>
          <w:snapToGrid w:val="0"/>
          <w:vertAlign w:val="superscript"/>
        </w:rPr>
        <w:t>2</w:t>
      </w:r>
      <w:r w:rsidRPr="003E364C">
        <w:rPr>
          <w:rFonts w:ascii="Times New Roman" w:eastAsia="Times New Roman" w:hAnsi="Times New Roman" w:cs="Times New Roman"/>
          <w:noProof/>
          <w:snapToGrid w:val="0"/>
        </w:rPr>
        <w:t>): remiantis suaugusių pacientų duomenimis ir ribotais vaikų pacientų duomenimis, dozės koreguoti nereikia (žr. 5.2 skyrių).</w:t>
      </w:r>
    </w:p>
    <w:p w14:paraId="583316B4" w14:textId="289AC962" w:rsidR="003E364C" w:rsidRPr="003E364C" w:rsidRDefault="003E364C" w:rsidP="009449B0">
      <w:pPr>
        <w:numPr>
          <w:ilvl w:val="0"/>
          <w:numId w:val="1"/>
        </w:numPr>
        <w:tabs>
          <w:tab w:val="left" w:pos="567"/>
        </w:tabs>
        <w:spacing w:after="0" w:line="260" w:lineRule="exact"/>
        <w:ind w:left="426"/>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Vaikai ir paaugliai, kuriems yra vidutinio sunkumo arba sunkus inkstų funkcijos sutrikimas (glomerulų filtracijos greitis &lt; 50</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ml/min./1,73</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w:t>
      </w:r>
      <w:r w:rsidRPr="003E364C">
        <w:rPr>
          <w:rFonts w:ascii="Times New Roman" w:eastAsia="Times New Roman" w:hAnsi="Times New Roman" w:cs="Times New Roman"/>
          <w:noProof/>
          <w:snapToGrid w:val="0"/>
          <w:vertAlign w:val="superscript"/>
        </w:rPr>
        <w:t>2</w:t>
      </w:r>
      <w:r w:rsidRPr="003E364C">
        <w:rPr>
          <w:rFonts w:ascii="Times New Roman" w:eastAsia="Times New Roman" w:hAnsi="Times New Roman" w:cs="Times New Roman"/>
          <w:noProof/>
          <w:snapToGrid w:val="0"/>
        </w:rPr>
        <w:t>):</w:t>
      </w:r>
      <w:r w:rsidR="00575C70">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vartoti nerekomenduojama, nes nėra klinikinių duomenų (žr. 4.4 skyrių).</w:t>
      </w:r>
    </w:p>
    <w:p w14:paraId="3AFAEB88" w14:textId="77777777" w:rsidR="003E364C" w:rsidRPr="003E364C" w:rsidRDefault="003E364C" w:rsidP="003E364C">
      <w:pPr>
        <w:tabs>
          <w:tab w:val="left" w:pos="567"/>
        </w:tabs>
        <w:spacing w:after="0" w:line="260" w:lineRule="exact"/>
        <w:ind w:left="426"/>
        <w:rPr>
          <w:rFonts w:ascii="Times New Roman" w:eastAsia="Times New Roman" w:hAnsi="Times New Roman" w:cs="Times New Roman"/>
          <w:i/>
          <w:noProof/>
          <w:snapToGrid w:val="0"/>
        </w:rPr>
      </w:pPr>
    </w:p>
    <w:p w14:paraId="472A88B6"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Sutrikusi kepenų funkcija</w:t>
      </w:r>
    </w:p>
    <w:p w14:paraId="45CB92D2" w14:textId="268A1772" w:rsidR="003E364C" w:rsidRPr="003E364C" w:rsidRDefault="00575C70" w:rsidP="003E364C">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noProof/>
          <w:snapToGrid w:val="0"/>
        </w:rPr>
        <w:t>Xiltess</w:t>
      </w:r>
      <w:r w:rsidR="003E364C" w:rsidRPr="003E364C">
        <w:rPr>
          <w:rFonts w:ascii="Times New Roman" w:eastAsia="Times New Roman" w:hAnsi="Times New Roman" w:cs="Times New Roman"/>
          <w:noProof/>
          <w:snapToGrid w:val="0"/>
        </w:rPr>
        <w:t xml:space="preserve"> draudžiama vartoti pacientams, sergantiems kepenų liga, susijusia su koagulopatija ir klinikiniu požiūriu reikšmingo kraujavimo rizika, įskaitant kepenų ciroze sergančius pacientus (B ir C klasės pagal Child Pugh) (žr. 4.3 ir 5.2 skyrius). </w:t>
      </w:r>
    </w:p>
    <w:p w14:paraId="2DCC60E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Vaikams, kurių kepenų funkcija sutrikusi, klinikinių duomenų nėra.</w:t>
      </w:r>
    </w:p>
    <w:p w14:paraId="14AF2763" w14:textId="77777777" w:rsidR="003E364C" w:rsidRPr="003E364C" w:rsidRDefault="003E364C" w:rsidP="003E364C">
      <w:pPr>
        <w:tabs>
          <w:tab w:val="left" w:pos="567"/>
        </w:tabs>
        <w:spacing w:after="0" w:line="260" w:lineRule="exact"/>
        <w:rPr>
          <w:rFonts w:ascii="Times New Roman" w:eastAsia="Times New Roman" w:hAnsi="Times New Roman" w:cs="Times New Roman"/>
          <w:i/>
          <w:noProof/>
          <w:snapToGrid w:val="0"/>
        </w:rPr>
      </w:pPr>
    </w:p>
    <w:p w14:paraId="1E86B8CA"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Senyviems pacientams</w:t>
      </w:r>
    </w:p>
    <w:p w14:paraId="316BDD3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Dozės koreguoti nereikia (žr. 5.2 skyrių)</w:t>
      </w:r>
    </w:p>
    <w:p w14:paraId="1212A44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70343591"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Kūno svoris</w:t>
      </w:r>
    </w:p>
    <w:p w14:paraId="1DF7E15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Suaugusiesiems dozės koreguoti nereikia (žr. 5.2 skyrių) Vaikams dozė nustatoma pagal kūno svorį.</w:t>
      </w:r>
    </w:p>
    <w:p w14:paraId="498D2644" w14:textId="77777777" w:rsidR="003E364C" w:rsidRPr="003E364C" w:rsidRDefault="003E364C" w:rsidP="003E364C">
      <w:pPr>
        <w:tabs>
          <w:tab w:val="left" w:pos="567"/>
        </w:tabs>
        <w:spacing w:after="0" w:line="260" w:lineRule="exact"/>
        <w:rPr>
          <w:rFonts w:ascii="Times New Roman" w:eastAsia="Times New Roman" w:hAnsi="Times New Roman" w:cs="Times New Roman"/>
          <w:i/>
          <w:noProof/>
          <w:snapToGrid w:val="0"/>
        </w:rPr>
      </w:pPr>
    </w:p>
    <w:p w14:paraId="4701E01C"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Lytis</w:t>
      </w:r>
    </w:p>
    <w:p w14:paraId="2DFF711C"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Dozės koreguoti nereikia (žr. 5.2 skyrių)</w:t>
      </w:r>
    </w:p>
    <w:p w14:paraId="3BA2F7F8"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760FB2CB"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Pacientai, kuriems atliekama kardioversija</w:t>
      </w:r>
    </w:p>
    <w:p w14:paraId="534AFD72" w14:textId="398ED622" w:rsidR="003E364C" w:rsidRPr="003E364C" w:rsidRDefault="00575C70" w:rsidP="003E364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lastRenderedPageBreak/>
        <w:t>Xiltess</w:t>
      </w:r>
      <w:r w:rsidR="003E364C" w:rsidRPr="003E364C">
        <w:rPr>
          <w:rFonts w:ascii="Times New Roman" w:eastAsia="Times New Roman" w:hAnsi="Times New Roman" w:cs="Times New Roman"/>
          <w:noProof/>
          <w:snapToGrid w:val="0"/>
        </w:rPr>
        <w:t xml:space="preserve"> vartojimas gali būti pradedamas arba tęsiamas pacientams, kuriems gali prireikti atlikti kardioversiją. Atliekant kardioversiją po kontrolinės transezofaginės echokardiogramos (TEE), pacientams, kurie anksčiau nebuvo gydomi antikoaguliantais, gydymas </w:t>
      </w:r>
      <w:r>
        <w:rPr>
          <w:rFonts w:ascii="Times New Roman" w:eastAsia="Times New Roman" w:hAnsi="Times New Roman" w:cs="Times New Roman"/>
          <w:noProof/>
          <w:snapToGrid w:val="0"/>
        </w:rPr>
        <w:t>Xiltess</w:t>
      </w:r>
      <w:r w:rsidR="003E364C" w:rsidRPr="003E364C">
        <w:rPr>
          <w:rFonts w:ascii="Times New Roman" w:eastAsia="Times New Roman" w:hAnsi="Times New Roman" w:cs="Times New Roman"/>
          <w:noProof/>
          <w:snapToGrid w:val="0"/>
        </w:rPr>
        <w:t xml:space="preserve"> turi būti pradedamas mažiausiai 4 valandas prieš kardioversiją, siekiant užtikrinti tinkamą antikoaguliacinį poveikį (žr. 5.1 ir 5.2 skyrius). Prieš kardioversiją kiekvienam pacientui turi būti gautas patvirtinimas, kad pacientas vartojo </w:t>
      </w:r>
      <w:r>
        <w:rPr>
          <w:rFonts w:ascii="Times New Roman" w:eastAsia="Times New Roman" w:hAnsi="Times New Roman" w:cs="Times New Roman"/>
          <w:snapToGrid w:val="0"/>
        </w:rPr>
        <w:t>Xiltess</w:t>
      </w:r>
      <w:r w:rsidR="003E364C" w:rsidRPr="003E364C">
        <w:rPr>
          <w:rFonts w:ascii="Times New Roman" w:eastAsia="Times New Roman" w:hAnsi="Times New Roman" w:cs="Times New Roman"/>
          <w:snapToGrid w:val="0"/>
        </w:rPr>
        <w:t>, kaip išrašyta. Sprendimas, ar galima pradėti gydymą vaistiniu preparatu ir kokia turi būti gydymo trukmė, priimamas, atsižvelgus į antikoaguliantų vartojimo taikant kardioversiją rekomendacijų gaires.</w:t>
      </w:r>
    </w:p>
    <w:p w14:paraId="7EE9E73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E58ED6B" w14:textId="77777777" w:rsidR="003E364C" w:rsidRPr="003E364C" w:rsidRDefault="003E364C" w:rsidP="003E364C">
      <w:pPr>
        <w:tabs>
          <w:tab w:val="left" w:pos="567"/>
        </w:tabs>
        <w:spacing w:after="0" w:line="260" w:lineRule="exact"/>
        <w:rPr>
          <w:rFonts w:ascii="Times New Roman" w:eastAsia="Times New Roman" w:hAnsi="Times New Roman" w:cs="Times New Roman"/>
          <w:i/>
          <w:iCs/>
          <w:snapToGrid w:val="0"/>
        </w:rPr>
      </w:pPr>
      <w:r w:rsidRPr="003E364C">
        <w:rPr>
          <w:rFonts w:ascii="Times New Roman" w:eastAsia="Times New Roman" w:hAnsi="Times New Roman" w:cs="Times New Roman"/>
          <w:i/>
          <w:iCs/>
          <w:snapToGrid w:val="0"/>
        </w:rPr>
        <w:t>Pacientai, sergantys su vožtuvų liga nesusijusiu prieširdžių virpėjimu, kuriems atliekama perkutaninė koronarinė intervencija (PKI) su stento įvedimu</w:t>
      </w:r>
    </w:p>
    <w:p w14:paraId="64990F31" w14:textId="0643E819"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Patirtis, papildant gydymą P2Y12 inhibitoriumi skiriant sumažintą rivaroksabano 15</w:t>
      </w:r>
      <w:r w:rsidR="00AD441E">
        <w:rPr>
          <w:rFonts w:ascii="Times New Roman" w:eastAsia="Times New Roman" w:hAnsi="Times New Roman" w:cs="Times New Roman"/>
          <w:b/>
          <w:snapToGrid w:val="0"/>
        </w:rPr>
        <w:t> </w:t>
      </w:r>
      <w:r w:rsidR="00AD441E" w:rsidRPr="00B765F2">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dozę vieną kartą per parą (arba rivaroksabano 10</w:t>
      </w:r>
      <w:r w:rsidR="00AD441E">
        <w:rPr>
          <w:rFonts w:ascii="Times New Roman" w:eastAsia="Times New Roman" w:hAnsi="Times New Roman" w:cs="Times New Roman"/>
          <w:b/>
          <w:snapToGrid w:val="0"/>
        </w:rPr>
        <w:t> </w:t>
      </w:r>
      <w:r w:rsidR="00AD441E" w:rsidRPr="00B765F2">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dozę vieną kartą per parą pacientams, kuriems yra vidutinio sunkumo inkstų funkcijos sutrikimas [kreatinino klirensas 30–49</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ml/min]) ir sergantiems su vožtuvų liga nesusijusiu prieširdžių virpėjimu, kuriems reikalingas gydymas geriamaisiais antikoaguliantais ir atliekama PKI su stento įvedimu, yra ribota. Toks gydymas rekomenduojamas daugiausiai 12 mėnesių po PKI su stento įvedimu (žr. 4.4 ir 5.1 skyrių).</w:t>
      </w:r>
    </w:p>
    <w:p w14:paraId="5EE8A53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E17F838" w14:textId="77777777" w:rsidR="003E364C" w:rsidRPr="003E364C" w:rsidRDefault="003E364C" w:rsidP="003E364C">
      <w:pPr>
        <w:tabs>
          <w:tab w:val="left" w:pos="567"/>
        </w:tabs>
        <w:spacing w:after="0" w:line="260" w:lineRule="exact"/>
        <w:rPr>
          <w:rFonts w:ascii="Times New Roman" w:eastAsia="Times New Roman" w:hAnsi="Times New Roman" w:cs="Times New Roman"/>
          <w:i/>
          <w:iCs/>
          <w:snapToGrid w:val="0"/>
        </w:rPr>
      </w:pPr>
      <w:r w:rsidRPr="003E364C">
        <w:rPr>
          <w:rFonts w:ascii="Times New Roman" w:eastAsia="Times New Roman" w:hAnsi="Times New Roman" w:cs="Times New Roman"/>
          <w:i/>
          <w:iCs/>
          <w:snapToGrid w:val="0"/>
        </w:rPr>
        <w:t>Vaikų populiacija</w:t>
      </w:r>
    </w:p>
    <w:p w14:paraId="189A34C4" w14:textId="225F55E4"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saugumas ir veiksmingumas neištirti vaikams nuo 0 iki &lt;</w:t>
      </w:r>
      <w:r w:rsidR="00F00D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18 metų amžiaus insulto ir sisteminės embolijos profilaktikos, kai pacientams yra su vožtuvų liga nesusijęs prieširdžių virpėjimas, indikacijai. Duomenų nėra, todėl nerekomenduojama vartoti jaunesniems kaip 18 metų amžiaus vaikams, kitoms indikacijoms nei gydymas nuo VTE  ir pasikartojančios VTE profilaktika.</w:t>
      </w:r>
    </w:p>
    <w:p w14:paraId="6EE7146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2076F8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Vartojimo metodas</w:t>
      </w:r>
    </w:p>
    <w:p w14:paraId="624EE82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82D3D5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Suaugusiesiems</w:t>
      </w:r>
    </w:p>
    <w:p w14:paraId="2DF7C731" w14:textId="77777777" w:rsidR="00F00D97" w:rsidRDefault="00F00D97" w:rsidP="003E364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Vartoti per burną.</w:t>
      </w:r>
    </w:p>
    <w:p w14:paraId="4A981C22" w14:textId="2C399B05" w:rsidR="003E364C" w:rsidRPr="003E364C" w:rsidRDefault="00575C70" w:rsidP="003E364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Xiltess</w:t>
      </w:r>
      <w:r w:rsidR="003E364C" w:rsidRPr="003E364C">
        <w:rPr>
          <w:rFonts w:ascii="Times New Roman" w:eastAsia="Times New Roman" w:hAnsi="Times New Roman" w:cs="Times New Roman"/>
          <w:snapToGrid w:val="0"/>
        </w:rPr>
        <w:t xml:space="preserve"> </w:t>
      </w:r>
      <w:r w:rsidR="00F00D97">
        <w:rPr>
          <w:rFonts w:ascii="Times New Roman" w:eastAsia="Times New Roman" w:hAnsi="Times New Roman" w:cs="Times New Roman"/>
          <w:snapToGrid w:val="0"/>
        </w:rPr>
        <w:t>20</w:t>
      </w:r>
      <w:r w:rsidR="00AD441E">
        <w:rPr>
          <w:rFonts w:ascii="Times New Roman" w:eastAsia="Times New Roman" w:hAnsi="Times New Roman" w:cs="Times New Roman"/>
          <w:snapToGrid w:val="0"/>
        </w:rPr>
        <w:t> mg</w:t>
      </w:r>
      <w:r w:rsidR="00F00D97">
        <w:rPr>
          <w:rFonts w:ascii="Times New Roman" w:eastAsia="Times New Roman" w:hAnsi="Times New Roman" w:cs="Times New Roman"/>
          <w:snapToGrid w:val="0"/>
        </w:rPr>
        <w:t xml:space="preserve"> plėvele dengtų tablečių</w:t>
      </w:r>
      <w:r w:rsidR="003E364C" w:rsidRPr="003E364C">
        <w:rPr>
          <w:rFonts w:ascii="Times New Roman" w:eastAsia="Times New Roman" w:hAnsi="Times New Roman" w:cs="Times New Roman"/>
          <w:snapToGrid w:val="0"/>
        </w:rPr>
        <w:t xml:space="preserve"> reikia vartoti valgio metu (žr. 5.2 skyrių).</w:t>
      </w:r>
    </w:p>
    <w:p w14:paraId="487C2E2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F0353E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Tablečių sutraiškymas</w:t>
      </w:r>
    </w:p>
    <w:p w14:paraId="1DB7890F" w14:textId="13BEEF46" w:rsidR="003E364C" w:rsidRPr="00DE10B9" w:rsidRDefault="003E364C" w:rsidP="003E364C">
      <w:pPr>
        <w:tabs>
          <w:tab w:val="left" w:pos="567"/>
        </w:tabs>
        <w:spacing w:after="0" w:line="260" w:lineRule="exact"/>
        <w:rPr>
          <w:rFonts w:ascii="Times New Roman" w:eastAsia="Times New Roman" w:hAnsi="Times New Roman" w:cs="Times New Roman"/>
          <w:bCs/>
          <w:snapToGrid w:val="0"/>
        </w:rPr>
      </w:pPr>
      <w:r w:rsidRPr="003E364C">
        <w:rPr>
          <w:rFonts w:ascii="Times New Roman" w:eastAsia="Times New Roman" w:hAnsi="Times New Roman" w:cs="Times New Roman"/>
          <w:snapToGrid w:val="0"/>
        </w:rPr>
        <w:t xml:space="preserve">Pacientams, kurie negali nuryti visos tabletės, prieš pat vartojant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tabletes galima sutraiškyti ir sumaišyti su vandeniu arba obuolių tyre, ir suvartoti per burną. Pavartojus sutraiškytų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arba 20</w:t>
      </w:r>
      <w:r w:rsidR="00AD441E">
        <w:rPr>
          <w:rFonts w:ascii="Times New Roman" w:eastAsia="Times New Roman" w:hAnsi="Times New Roman" w:cs="Times New Roman"/>
          <w:b/>
          <w:snapToGrid w:val="0"/>
        </w:rPr>
        <w:t> </w:t>
      </w:r>
      <w:r w:rsidR="00AD441E" w:rsidRPr="00DE10B9">
        <w:rPr>
          <w:rFonts w:ascii="Times New Roman" w:eastAsia="Times New Roman" w:hAnsi="Times New Roman" w:cs="Times New Roman"/>
          <w:bCs/>
          <w:snapToGrid w:val="0"/>
        </w:rPr>
        <w:t>mg</w:t>
      </w:r>
      <w:r w:rsidRPr="00DE10B9">
        <w:rPr>
          <w:rFonts w:ascii="Times New Roman" w:eastAsia="Times New Roman" w:hAnsi="Times New Roman" w:cs="Times New Roman"/>
          <w:bCs/>
          <w:snapToGrid w:val="0"/>
        </w:rPr>
        <w:t xml:space="preserve"> plėvele dengtų tablečių, reikia nedelsiant pavalgyti.</w:t>
      </w:r>
    </w:p>
    <w:p w14:paraId="2511D5C0" w14:textId="2F2969A6"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DE10B9">
        <w:rPr>
          <w:rFonts w:ascii="Times New Roman" w:eastAsia="Times New Roman" w:hAnsi="Times New Roman" w:cs="Times New Roman"/>
          <w:bCs/>
          <w:snapToGrid w:val="0"/>
        </w:rPr>
        <w:t>Sutraiškyta</w:t>
      </w:r>
      <w:r w:rsidRPr="003E364C">
        <w:rPr>
          <w:rFonts w:ascii="Times New Roman" w:eastAsia="Times New Roman" w:hAnsi="Times New Roman" w:cs="Times New Roman"/>
          <w:snapToGrid w:val="0"/>
        </w:rPr>
        <w:t xml:space="preserve">s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tabletes galima vartoti ir per skrandžio vamzdelį (žr. 5.2 ir 6.6 skyrius).</w:t>
      </w:r>
    </w:p>
    <w:p w14:paraId="3841DD4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1D38F70" w14:textId="545D416B"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 xml:space="preserve">Vaikai ir paaugliai, sveriantys </w:t>
      </w:r>
      <w:r w:rsidR="00F00D97">
        <w:rPr>
          <w:rFonts w:ascii="Times New Roman" w:eastAsia="Times New Roman" w:hAnsi="Times New Roman" w:cs="Times New Roman"/>
          <w:snapToGrid w:val="0"/>
          <w:u w:val="single"/>
        </w:rPr>
        <w:t xml:space="preserve">daugiau kaip </w:t>
      </w:r>
      <w:r w:rsidR="00DE10B9">
        <w:rPr>
          <w:rFonts w:ascii="Times New Roman" w:eastAsia="Times New Roman" w:hAnsi="Times New Roman" w:cs="Times New Roman"/>
          <w:snapToGrid w:val="0"/>
          <w:u w:val="single"/>
        </w:rPr>
        <w:t>5</w:t>
      </w:r>
      <w:r w:rsidRPr="003E364C">
        <w:rPr>
          <w:rFonts w:ascii="Times New Roman" w:eastAsia="Times New Roman" w:hAnsi="Times New Roman" w:cs="Times New Roman"/>
          <w:snapToGrid w:val="0"/>
          <w:u w:val="single"/>
        </w:rPr>
        <w:t>0 kg</w:t>
      </w:r>
    </w:p>
    <w:p w14:paraId="7EFAA70B" w14:textId="007A167E" w:rsidR="003E364C" w:rsidRPr="003E364C" w:rsidRDefault="00575C70" w:rsidP="003E364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Xiltess</w:t>
      </w:r>
      <w:r w:rsidR="003E364C" w:rsidRPr="003E364C">
        <w:rPr>
          <w:rFonts w:ascii="Times New Roman" w:eastAsia="Times New Roman" w:hAnsi="Times New Roman" w:cs="Times New Roman"/>
          <w:snapToGrid w:val="0"/>
        </w:rPr>
        <w:t xml:space="preserve"> skirtas vartoti per burną.</w:t>
      </w:r>
      <w:r w:rsidR="00F00D97">
        <w:rPr>
          <w:rFonts w:ascii="Times New Roman" w:eastAsia="Times New Roman" w:hAnsi="Times New Roman" w:cs="Times New Roman"/>
          <w:snapToGrid w:val="0"/>
        </w:rPr>
        <w:t xml:space="preserve"> </w:t>
      </w:r>
      <w:r w:rsidR="003E364C" w:rsidRPr="003E364C">
        <w:rPr>
          <w:rFonts w:ascii="Times New Roman" w:eastAsia="Times New Roman" w:hAnsi="Times New Roman" w:cs="Times New Roman"/>
          <w:snapToGrid w:val="0"/>
        </w:rPr>
        <w:t>Pacientui reikia patarti nuryti tabletę, užsigeriant skysčiu. Be to, tabletę reikia vartoti valgio metu (žr. 5.2 skyrių). Tablečių reikia vartoti maždaug kas 24 valandas.</w:t>
      </w:r>
    </w:p>
    <w:p w14:paraId="70E74C2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4624BD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p>
    <w:p w14:paraId="36348BF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Tabletės negalima padalyti, norint skirti dalį tabletės dozės.</w:t>
      </w:r>
    </w:p>
    <w:p w14:paraId="18EA0A7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59FAC7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Tablečių sutraiškymas</w:t>
      </w:r>
    </w:p>
    <w:p w14:paraId="39A7AD57" w14:textId="7B545D68"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Pacientams, kurie negali nuryti visos tabletės, reik</w:t>
      </w:r>
      <w:r w:rsidR="00A0706B">
        <w:rPr>
          <w:rFonts w:ascii="Times New Roman" w:eastAsia="Times New Roman" w:hAnsi="Times New Roman" w:cs="Times New Roman"/>
          <w:snapToGrid w:val="0"/>
        </w:rPr>
        <w:t>ėtų vartoti</w:t>
      </w:r>
      <w:r w:rsidRPr="003E364C">
        <w:rPr>
          <w:rFonts w:ascii="Times New Roman" w:eastAsia="Times New Roman" w:hAnsi="Times New Roman" w:cs="Times New Roman"/>
          <w:snapToGrid w:val="0"/>
        </w:rPr>
        <w:t xml:space="preserve"> </w:t>
      </w:r>
      <w:r w:rsidR="00A0706B">
        <w:rPr>
          <w:rFonts w:ascii="Times New Roman" w:eastAsia="Times New Roman" w:hAnsi="Times New Roman" w:cs="Times New Roman"/>
          <w:snapToGrid w:val="0"/>
        </w:rPr>
        <w:t xml:space="preserve">rivaroksabano </w:t>
      </w:r>
      <w:r w:rsidR="000C6024">
        <w:rPr>
          <w:rFonts w:ascii="Times New Roman" w:eastAsia="Times New Roman" w:hAnsi="Times New Roman" w:cs="Times New Roman"/>
          <w:snapToGrid w:val="0"/>
        </w:rPr>
        <w:t xml:space="preserve">granulių </w:t>
      </w:r>
      <w:r w:rsidRPr="003E364C">
        <w:rPr>
          <w:rFonts w:ascii="Times New Roman" w:eastAsia="Times New Roman" w:hAnsi="Times New Roman" w:cs="Times New Roman"/>
          <w:snapToGrid w:val="0"/>
        </w:rPr>
        <w:t>geriamajai suspensija</w:t>
      </w:r>
      <w:r w:rsidR="00D002DA">
        <w:rPr>
          <w:rFonts w:ascii="Times New Roman" w:eastAsia="Times New Roman" w:hAnsi="Times New Roman" w:cs="Times New Roman"/>
          <w:snapToGrid w:val="0"/>
        </w:rPr>
        <w:t>i</w:t>
      </w:r>
      <w:r w:rsidRPr="003E364C">
        <w:rPr>
          <w:rFonts w:ascii="Times New Roman" w:eastAsia="Times New Roman" w:hAnsi="Times New Roman" w:cs="Times New Roman"/>
          <w:snapToGrid w:val="0"/>
        </w:rPr>
        <w:t xml:space="preserve">. </w:t>
      </w:r>
    </w:p>
    <w:p w14:paraId="70B1BC38" w14:textId="7045F6A1"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Jeigu išrašius 15</w:t>
      </w:r>
      <w:r w:rsidR="00AD441E">
        <w:rPr>
          <w:rFonts w:ascii="Times New Roman" w:eastAsia="Times New Roman" w:hAnsi="Times New Roman" w:cs="Times New Roman"/>
          <w:b/>
          <w:snapToGrid w:val="0"/>
        </w:rPr>
        <w:t> </w:t>
      </w:r>
      <w:r w:rsidR="00AD441E" w:rsidRPr="000930AE">
        <w:rPr>
          <w:rFonts w:ascii="Times New Roman" w:eastAsia="Times New Roman" w:hAnsi="Times New Roman" w:cs="Times New Roman"/>
          <w:bCs/>
          <w:snapToGrid w:val="0"/>
        </w:rPr>
        <w:t>mg</w:t>
      </w:r>
      <w:r w:rsidRPr="000930AE">
        <w:rPr>
          <w:rFonts w:ascii="Times New Roman" w:eastAsia="Times New Roman" w:hAnsi="Times New Roman" w:cs="Times New Roman"/>
          <w:bCs/>
          <w:snapToGrid w:val="0"/>
        </w:rPr>
        <w:t xml:space="preserve"> arba 20</w:t>
      </w:r>
      <w:r w:rsidR="00AD441E" w:rsidRPr="000930AE">
        <w:rPr>
          <w:rFonts w:ascii="Times New Roman" w:eastAsia="Times New Roman" w:hAnsi="Times New Roman" w:cs="Times New Roman"/>
          <w:bCs/>
          <w:snapToGrid w:val="0"/>
        </w:rPr>
        <w:t> mg</w:t>
      </w:r>
      <w:r w:rsidRPr="000930AE">
        <w:rPr>
          <w:rFonts w:ascii="Times New Roman" w:eastAsia="Times New Roman" w:hAnsi="Times New Roman" w:cs="Times New Roman"/>
          <w:bCs/>
          <w:snapToGrid w:val="0"/>
        </w:rPr>
        <w:t xml:space="preserve"> rivaroksabano dozių nėra galimybės nedelsiant įsigyti geriamosios suspensijos, tada ją galima gauti, prieš pat vartojimą sutraiškius 15</w:t>
      </w:r>
      <w:r w:rsidR="00AD441E" w:rsidRPr="000930AE">
        <w:rPr>
          <w:rFonts w:ascii="Times New Roman" w:eastAsia="Times New Roman" w:hAnsi="Times New Roman" w:cs="Times New Roman"/>
          <w:bCs/>
          <w:snapToGrid w:val="0"/>
        </w:rPr>
        <w:t> mg</w:t>
      </w:r>
      <w:r w:rsidRPr="000930AE">
        <w:rPr>
          <w:rFonts w:ascii="Times New Roman" w:eastAsia="Times New Roman" w:hAnsi="Times New Roman" w:cs="Times New Roman"/>
          <w:bCs/>
          <w:snapToGrid w:val="0"/>
        </w:rPr>
        <w:t xml:space="preserve"> arba 20</w:t>
      </w:r>
      <w:r w:rsidR="00AD441E" w:rsidRPr="000930AE">
        <w:rPr>
          <w:rFonts w:ascii="Times New Roman" w:eastAsia="Times New Roman" w:hAnsi="Times New Roman" w:cs="Times New Roman"/>
          <w:bCs/>
          <w:snapToGrid w:val="0"/>
        </w:rPr>
        <w:t> mg</w:t>
      </w:r>
      <w:r w:rsidRPr="000930AE">
        <w:rPr>
          <w:rFonts w:ascii="Times New Roman" w:eastAsia="Times New Roman" w:hAnsi="Times New Roman" w:cs="Times New Roman"/>
          <w:bCs/>
          <w:snapToGrid w:val="0"/>
        </w:rPr>
        <w:t xml:space="preserve"> tabletę</w:t>
      </w:r>
      <w:r w:rsidRPr="003E364C">
        <w:rPr>
          <w:rFonts w:ascii="Times New Roman" w:eastAsia="Times New Roman" w:hAnsi="Times New Roman" w:cs="Times New Roman"/>
          <w:snapToGrid w:val="0"/>
        </w:rPr>
        <w:t>, sumaišius ją su vandeniu arba obuolių tyre ir suvartojus per burną.</w:t>
      </w:r>
    </w:p>
    <w:p w14:paraId="6D8E937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Sutraiškytą tabletę galima vartoti per nazogastrinį arba skrandžio maitinimo vamzdelį (žr. 5.2 ir 6.6 skyrius).</w:t>
      </w:r>
    </w:p>
    <w:p w14:paraId="11BC6ECA"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4F2E92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4.3</w:t>
      </w:r>
      <w:r w:rsidRPr="003E364C">
        <w:rPr>
          <w:rFonts w:ascii="Times New Roman" w:eastAsia="Times New Roman" w:hAnsi="Times New Roman" w:cs="Times New Roman"/>
          <w:b/>
          <w:bCs/>
          <w:snapToGrid w:val="0"/>
          <w:lang w:eastAsia="x-none"/>
        </w:rPr>
        <w:tab/>
        <w:t>Kontraindikacijos</w:t>
      </w:r>
    </w:p>
    <w:p w14:paraId="75E7C96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82713E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lastRenderedPageBreak/>
        <w:t xml:space="preserve">Padidėjęs jautrumas veikliajai arba bet kuriai 6.1 skyriuje nurodytai pagalbinei medžiagai. </w:t>
      </w:r>
    </w:p>
    <w:p w14:paraId="6E33F68F"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5A86C42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Aktyvus, klinikiniu požiūriu reikšmingas kraujavimas.</w:t>
      </w:r>
    </w:p>
    <w:p w14:paraId="7F1F33A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6B0E603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218D2AD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3FB066DF"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w:t>
      </w:r>
    </w:p>
    <w:p w14:paraId="6D6755C5"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305261D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Kepenų liga, susijusi su koagulopatija ir klinikiniu požiūriu reikšmingo kraujavimo rizika, įskaitant kepenų ciroze sergančius pacientus </w:t>
      </w:r>
      <w:r w:rsidRPr="003E364C">
        <w:rPr>
          <w:rFonts w:ascii="Times New Roman" w:eastAsia="Times New Roman" w:hAnsi="Times New Roman" w:cs="Times New Roman"/>
          <w:i/>
          <w:noProof/>
          <w:snapToGrid w:val="0"/>
        </w:rPr>
        <w:t>(</w:t>
      </w:r>
      <w:r w:rsidRPr="003E364C">
        <w:rPr>
          <w:rFonts w:ascii="Times New Roman" w:eastAsia="Times New Roman" w:hAnsi="Times New Roman" w:cs="Times New Roman"/>
          <w:noProof/>
          <w:snapToGrid w:val="0"/>
        </w:rPr>
        <w:t xml:space="preserve">B ir C klasės pagal </w:t>
      </w:r>
      <w:r w:rsidRPr="003E364C">
        <w:rPr>
          <w:rFonts w:ascii="Times New Roman" w:eastAsia="Times New Roman" w:hAnsi="Times New Roman" w:cs="Times New Roman"/>
          <w:i/>
          <w:noProof/>
          <w:snapToGrid w:val="0"/>
        </w:rPr>
        <w:t>Child Pugh</w:t>
      </w:r>
      <w:r w:rsidRPr="003E364C">
        <w:rPr>
          <w:rFonts w:ascii="Times New Roman" w:eastAsia="Times New Roman" w:hAnsi="Times New Roman" w:cs="Times New Roman"/>
          <w:noProof/>
          <w:snapToGrid w:val="0"/>
        </w:rPr>
        <w:t>) (žr. 5.2 skyrių).</w:t>
      </w:r>
    </w:p>
    <w:p w14:paraId="637FADD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343D41A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Nėštumo ir žindymo laikotarpis (žr. 4.6 skyrių).</w:t>
      </w:r>
    </w:p>
    <w:p w14:paraId="2D0BE1F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BE8426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b/>
          <w:snapToGrid w:val="0"/>
        </w:rPr>
        <w:t>4.4</w:t>
      </w:r>
      <w:r w:rsidRPr="003E364C">
        <w:rPr>
          <w:rFonts w:ascii="Times New Roman" w:eastAsia="Times New Roman" w:hAnsi="Times New Roman" w:cs="Times New Roman"/>
          <w:b/>
          <w:snapToGrid w:val="0"/>
        </w:rPr>
        <w:tab/>
        <w:t>Specialūs įspėjimai ir atsargumo priemonės</w:t>
      </w:r>
    </w:p>
    <w:p w14:paraId="58475CE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4C4DA3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Gydymo laikotarpiu rekomenduojamas klinikinis stebėjimas, paremtas gydymo antikoaguliantais praktika.</w:t>
      </w:r>
    </w:p>
    <w:p w14:paraId="4EF391C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12D0C9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Hemoragijos rizika</w:t>
      </w:r>
    </w:p>
    <w:p w14:paraId="6848A949" w14:textId="001A4BA9"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Kaip ir gydant kitais antikoaguliantais,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vartojančius pacientus reikia atidžiai stebėti dėl kraujavimo požymių. Esant padidėjusios kraujavimo rizikos būklėms, šio vaistinio preparato rekomenduojama vartoti atsargiai. Jei pasireiškia sunkus kraujavimas,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vartojimą reikia nutraukti (žr. 4.9 skyrių).</w:t>
      </w:r>
    </w:p>
    <w:p w14:paraId="46934AC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BA8BEC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naudinga atlikti hemoglobino ir (arba) hematokrito laboratorinius tyrimus, kurie laikomi tam tinkamais.</w:t>
      </w:r>
    </w:p>
    <w:p w14:paraId="33AB0C1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3FBB29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Keliems pacientų pogrupiams, kaip nurodyta toliau, yra padidėjusi kraujavimo rizika. Pradėjus gydymą, šiuos pacientus reikia atidžiai stebėti dėl kraujavimo komplikacijų požymių bei simptomų ir anemijos (žr. 4.8 skyrių).</w:t>
      </w:r>
    </w:p>
    <w:p w14:paraId="29FFE5D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Esant bet kokiam nepaaiškinamam hemoglobino sumažėjimui ar kraujospūdžio kritimui, reikia ieškoti kraujavimo vietos.</w:t>
      </w:r>
    </w:p>
    <w:p w14:paraId="592204E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92420C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anti-Xa faktoriaus tyrimą (žr. 5.1 ir 5.2 skyrius).</w:t>
      </w:r>
    </w:p>
    <w:p w14:paraId="4A09ADC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p>
    <w:p w14:paraId="705DB74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564D6A9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Vaikų, kurie serga galvos smegenų venos ir sinuso tromboze ir kuriems yra CNS infekcija, duomenys yra riboti (žr. 5.1 skyrių). Kraujavimo pavojus turi būti atidžiai įvertintas prieš gydymą rivaroksabanu ir gydymo metu.</w:t>
      </w:r>
    </w:p>
    <w:p w14:paraId="72FF4BD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70C81C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Sutrikusi inkstų funkcija</w:t>
      </w:r>
    </w:p>
    <w:p w14:paraId="45DB2B52" w14:textId="11A0F9C6"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Suaugusiems pacientams, kuriems yra sunkus inkstų funkcijos sutrikimas (kreatinino klirensas &lt; 30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ml/min), rivaroksabano koncentracija plazmoje gali būti labai padidėjusi (vidutiniškai 1,6 karto) ir tai gali lemti padidėjusią kraujavimo riziką. Pacientams, kurių kreatinino klirensas 15–29</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ml/min,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reikia vartoti atsargiai. Nerekomenduojama vartoti pacientams, kurių kreatinino klirensas &lt; 15 ml/min (žr. 4.2 ir 5.2 skyrius).</w:t>
      </w:r>
    </w:p>
    <w:p w14:paraId="0419D0F2" w14:textId="38CA9B61"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kurių inkstų funkcija sutrikusi, kartu skiriant kitų vaistinių preparatų, kurie padidina rivaroksabano koncentraciją plazmoje,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reikia vartoti atsargiai (žr. 4.5 skyrių).</w:t>
      </w:r>
    </w:p>
    <w:p w14:paraId="6D717375" w14:textId="51D0821F" w:rsidR="003E364C" w:rsidRPr="003E364C" w:rsidRDefault="00575C70" w:rsidP="003E364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Xiltess</w:t>
      </w:r>
      <w:r w:rsidR="003E364C" w:rsidRPr="003E364C">
        <w:rPr>
          <w:rFonts w:ascii="Times New Roman" w:eastAsia="Times New Roman" w:hAnsi="Times New Roman" w:cs="Times New Roman"/>
          <w:snapToGrid w:val="0"/>
        </w:rPr>
        <w:t xml:space="preserve"> nerekomenduojama vartoti vaikams ir paaugliams, kuriems yra vidutinio sunkumo arba sunkus inkstų funkcijos sutrikimas (glomerulų filtracijos greitis &lt; 50</w:t>
      </w:r>
      <w:r w:rsidR="003E364C" w:rsidRPr="003E364C">
        <w:rPr>
          <w:rFonts w:ascii="Times New Roman" w:eastAsia="Times New Roman" w:hAnsi="Times New Roman" w:cs="Times New Roman"/>
          <w:b/>
          <w:snapToGrid w:val="0"/>
        </w:rPr>
        <w:t> </w:t>
      </w:r>
      <w:r w:rsidR="003E364C" w:rsidRPr="003E364C">
        <w:rPr>
          <w:rFonts w:ascii="Times New Roman" w:eastAsia="Times New Roman" w:hAnsi="Times New Roman" w:cs="Times New Roman"/>
          <w:snapToGrid w:val="0"/>
        </w:rPr>
        <w:t>ml/ min./1,73</w:t>
      </w:r>
      <w:r w:rsidR="003E364C" w:rsidRPr="003E364C">
        <w:rPr>
          <w:rFonts w:ascii="Times New Roman" w:eastAsia="Times New Roman" w:hAnsi="Times New Roman" w:cs="Times New Roman"/>
          <w:b/>
          <w:snapToGrid w:val="0"/>
        </w:rPr>
        <w:t> </w:t>
      </w:r>
      <w:r w:rsidR="003E364C" w:rsidRPr="003E364C">
        <w:rPr>
          <w:rFonts w:ascii="Times New Roman" w:eastAsia="Times New Roman" w:hAnsi="Times New Roman" w:cs="Times New Roman"/>
          <w:snapToGrid w:val="0"/>
        </w:rPr>
        <w:t>m</w:t>
      </w:r>
      <w:r w:rsidR="003E364C" w:rsidRPr="003E364C">
        <w:rPr>
          <w:rFonts w:ascii="Times New Roman" w:eastAsia="Times New Roman" w:hAnsi="Times New Roman" w:cs="Times New Roman"/>
          <w:snapToGrid w:val="0"/>
          <w:vertAlign w:val="superscript"/>
        </w:rPr>
        <w:t>2</w:t>
      </w:r>
      <w:r w:rsidR="003E364C" w:rsidRPr="003E364C">
        <w:rPr>
          <w:rFonts w:ascii="Times New Roman" w:eastAsia="Times New Roman" w:hAnsi="Times New Roman" w:cs="Times New Roman"/>
          <w:snapToGrid w:val="0"/>
        </w:rPr>
        <w:t>), nes nėra klinikinių duomenų.</w:t>
      </w:r>
    </w:p>
    <w:p w14:paraId="34673B6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75EA77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Sąveika su kitais vaistiniais preparatais</w:t>
      </w:r>
    </w:p>
    <w:p w14:paraId="054BAA9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P-glikoproteino (P-gp) inhibitoriai ir dėl to gali klinikiniu požiūriu reikšmingai padidinti rivaroksabano koncentraciją plazmoje (vidutiniškai 2,6 karto), kas gali lemti padidėjusią kraujavimo riziką. Vaikams, kuriems tuo pačiu metu taikomas gydymas sisteminio poveikio stipriais CYP 3A4 ir P-gp inhibitoriais, klinikinių duomenų nėra (žr. 4.5 skyrių).</w:t>
      </w:r>
    </w:p>
    <w:p w14:paraId="42DD4B5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E9FF73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Turi būti imamasi atsargumo priemonių, jei pacientai kartu gydomi hemostazę veikiančiais vaistiniais preparatais, pvz., nesteroidiniais vaistiniais preparatais nuo uždegimo (NVPNU),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w:t>
      </w:r>
    </w:p>
    <w:p w14:paraId="19DBABB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B57177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Kiti hemoragijos rizikos veiksniai</w:t>
      </w:r>
    </w:p>
    <w:p w14:paraId="772C32D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Kaip ir kiti antitromboziniai vaistiniai preparatai, rivaroksabanas nerekomenduojamas pacientams, kuriems padidėjusi kraujavimo rizika dėl šių priežasčių:</w:t>
      </w:r>
    </w:p>
    <w:p w14:paraId="75A6DFDB"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r w:rsidRPr="003E364C">
        <w:rPr>
          <w:rFonts w:ascii="Times New Roman" w:eastAsia="Times New Roman" w:hAnsi="Times New Roman" w:cs="Times New Roman"/>
          <w:snapToGrid w:val="0"/>
        </w:rPr>
        <w:t>įgimti ar įgyti kraujavimo sutrikimai,</w:t>
      </w:r>
    </w:p>
    <w:p w14:paraId="1DE6C3AE"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r w:rsidRPr="003E364C">
        <w:rPr>
          <w:rFonts w:ascii="Times New Roman" w:eastAsia="Times New Roman" w:hAnsi="Times New Roman" w:cs="Times New Roman"/>
          <w:snapToGrid w:val="0"/>
        </w:rPr>
        <w:t>nesureguliuota sunki arterinė hipertenzija,</w:t>
      </w:r>
    </w:p>
    <w:p w14:paraId="38EDAC13"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r w:rsidRPr="003E364C">
        <w:rPr>
          <w:rFonts w:ascii="Times New Roman" w:eastAsia="Times New Roman" w:hAnsi="Times New Roman" w:cs="Times New Roman"/>
          <w:snapToGrid w:val="0"/>
        </w:rPr>
        <w:t>kita virškinimo trakto liga be aktyvių opų, potencialiai galinti sukelti kraujavimo komplikacijas (pvz., uždegiminė žarnyno liga, ezofagitas, gastritas ir gastroezofaginio refliukso liga),</w:t>
      </w:r>
    </w:p>
    <w:p w14:paraId="10EF21C8"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r w:rsidRPr="003E364C">
        <w:rPr>
          <w:rFonts w:ascii="Times New Roman" w:eastAsia="Times New Roman" w:hAnsi="Times New Roman" w:cs="Times New Roman"/>
          <w:snapToGrid w:val="0"/>
        </w:rPr>
        <w:t>kraujagyslinė retinopatija,</w:t>
      </w:r>
    </w:p>
    <w:p w14:paraId="40EFB712"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r w:rsidRPr="003E364C">
        <w:rPr>
          <w:rFonts w:ascii="Times New Roman" w:eastAsia="Times New Roman" w:hAnsi="Times New Roman" w:cs="Times New Roman"/>
          <w:snapToGrid w:val="0"/>
        </w:rPr>
        <w:t>bronchektazės arba buvęs kraujavimas iš plaučių.</w:t>
      </w:r>
    </w:p>
    <w:p w14:paraId="474EF6F8" w14:textId="77777777" w:rsidR="003E364C" w:rsidRPr="003E364C" w:rsidRDefault="003E364C" w:rsidP="003E364C">
      <w:pPr>
        <w:tabs>
          <w:tab w:val="left" w:pos="567"/>
        </w:tabs>
        <w:spacing w:after="0" w:line="260" w:lineRule="exact"/>
        <w:ind w:left="426"/>
        <w:rPr>
          <w:rFonts w:ascii="Times New Roman" w:eastAsia="Times New Roman" w:hAnsi="Times New Roman" w:cs="Times New Roman"/>
          <w:snapToGrid w:val="0"/>
        </w:rPr>
      </w:pPr>
    </w:p>
    <w:p w14:paraId="3B65623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Vėžiu sergantys pacientai</w:t>
      </w:r>
    </w:p>
    <w:p w14:paraId="3B765EF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w:t>
      </w:r>
    </w:p>
    <w:p w14:paraId="47268C1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Pacientams, sergantiems piktybiniais navikais, kurių kraujavimo rizika yra didelė, rivaroksabano vartoti draudžiama (žr. 4.3 skyrių).</w:t>
      </w:r>
    </w:p>
    <w:p w14:paraId="2CD91E1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2063C94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Pacientai, kuriems yra protezuoti širdies vožtuvai</w:t>
      </w:r>
    </w:p>
    <w:p w14:paraId="2F2E2EE5" w14:textId="370C688E"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kuriems neseniai atliktas transkateterinis aortos vožtuvo pakeitimas (TAVP), rivaroksabanas trombų susidarymo profilaktikos tikslu nevartotinas. Rivaroksabano saugumas ir veiksmingumas pacientams, kuriems yra protezuoti širdies vožtuvai, neištirti. Todėl nėra duomenų, patvirtinančių, kad rivaroksabanas šiems pacientams užtikrina pakankamą antikoaguliacinį poveikį. Gydymas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šiems pacientams nerekomenduojamas.</w:t>
      </w:r>
    </w:p>
    <w:p w14:paraId="19C9C93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p>
    <w:p w14:paraId="6D38AAB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Antifosfolipidiniu sindromu sergantys pacientai</w:t>
      </w:r>
    </w:p>
    <w:p w14:paraId="31F99AE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Tiesioginio poveikio geriamieji antikoaguliantai (TPGA), įskaitant rivaroksabaną, nerekomenduojami antifosfolipidiniu sindromu sergantiems pacientams, kuriems praeityje buvo nustatyta trombozė.</w:t>
      </w:r>
    </w:p>
    <w:p w14:paraId="4FB9405A"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Taikant gydymą TPGA, visų pirma tiems pacientams, kuriems nustatyti visų trijų pogrupių antifosfolipidiniai antikūnai (vilkligės antikoaguliantai, antikardiolipino antikūnai ir anti</w:t>
      </w:r>
      <w:r w:rsidRPr="003E364C">
        <w:rPr>
          <w:rFonts w:ascii="Times New Roman" w:eastAsia="Times New Roman" w:hAnsi="Times New Roman" w:cs="Times New Roman"/>
          <w:snapToGrid w:val="0"/>
        </w:rPr>
        <w:noBreakHyphen/>
        <w:t>beta 2</w:t>
      </w:r>
      <w:r w:rsidRPr="003E364C">
        <w:rPr>
          <w:rFonts w:ascii="Times New Roman" w:eastAsia="Times New Roman" w:hAnsi="Times New Roman" w:cs="Times New Roman"/>
          <w:snapToGrid w:val="0"/>
        </w:rPr>
        <w:noBreakHyphen/>
        <w:t>glikoproteino I antikūnai), tromboziniai reiškiniai gali pasikartoti dažniau, nei taikant vitamino K antagonistų terapiją.</w:t>
      </w:r>
    </w:p>
    <w:p w14:paraId="10E696C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932770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Pacientai, sergantys su vožtuvų liga nesusijusiu prieširdžių virpėjimu, kuriems atliekama PKI su</w:t>
      </w:r>
      <w:r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u w:val="single"/>
        </w:rPr>
        <w:t>stento įvedimu</w:t>
      </w:r>
    </w:p>
    <w:p w14:paraId="200E211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w:t>
      </w:r>
    </w:p>
    <w:p w14:paraId="591924E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Duomenų apie pacientus, praeityje patyrusius insultą ir (arba) praeinantį smegenų išemijos priepuolį (PSIP), nėra.</w:t>
      </w:r>
    </w:p>
    <w:p w14:paraId="34A8D9A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CB2B68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PE sergantys pacientai, kurių yra nestabili hemodinamika, ir pacientai, kuriems būtina trombolizė arba</w:t>
      </w:r>
      <w:r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u w:val="single"/>
        </w:rPr>
        <w:t>plaučių embolektomija</w:t>
      </w:r>
    </w:p>
    <w:p w14:paraId="7F124C16" w14:textId="7DC150DE"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Gydant plaučių embolija sergančius pacientus, kurių yra nestabili hemodinamika arba kuriems galima taikyti trombolizę ar plaučių embolektomiją,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kaip alternatyvus vaistinis preparatas nefrakcionuotam heparinui, nerekomenduojamas, nes rivaroksabano veiksmingumas ir saugumas šiomis klinikinėmis aplinkybėmis neištirti.</w:t>
      </w:r>
    </w:p>
    <w:p w14:paraId="7BFDD46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3CABA0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Spinalinė / epidurinė anestezija arba punkcija</w:t>
      </w:r>
    </w:p>
    <w:p w14:paraId="235072F2" w14:textId="2F0F4DDE"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Klinikinės patirties, vartojant </w:t>
      </w:r>
      <w:r w:rsidR="007C4CA8">
        <w:rPr>
          <w:rFonts w:ascii="Times New Roman" w:eastAsia="Times New Roman" w:hAnsi="Times New Roman" w:cs="Times New Roman"/>
          <w:snapToGrid w:val="0"/>
        </w:rPr>
        <w:t>20</w:t>
      </w:r>
      <w:r w:rsidR="00AD441E">
        <w:rPr>
          <w:rFonts w:ascii="Times New Roman" w:eastAsia="Times New Roman" w:hAnsi="Times New Roman" w:cs="Times New Roman"/>
          <w:snapToGrid w:val="0"/>
        </w:rPr>
        <w:t> mg</w:t>
      </w:r>
      <w:r w:rsidR="007C4CA8">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rivaroksabano dozę, šiose situacijose nėra.</w:t>
      </w:r>
    </w:p>
    <w:p w14:paraId="605668C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Kad sumažintumėte galimą kraujavimo riziką, susijusią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 ir jį reikia įvertinti atsižvelgiant į tai, kiek skubi yra diagnostinė procedūra.</w:t>
      </w:r>
    </w:p>
    <w:p w14:paraId="6DFF9E3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Remiantis bendromis farmakokinetinėmis savybėmis, ketinant ištraukti epidurinį kateterį, po paskutinio rivaroksabano pavartojimo turi praeiti laikotarpis, atitinkantis mažiausiai 2 pusinės eliminacijos laikus, pvz., 18 valandų jauniems suaugusiems pacientams ir 26 valandos senyviems pacientams (žr. 5.2 skyrių). Išėmus kateterį turi praeiti mažiausiai 6 valandos iki kitos rivaroksabano dozės vartojimo.</w:t>
      </w:r>
    </w:p>
    <w:p w14:paraId="0264CB92" w14:textId="7A6B294A"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Jei įvyksta trauminė punkcija, rivaroksabano skyrimas turi būti atidedamas 24 valandoms.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vartojantiems vaikams duomenų apie neuroaksialinio kateterio įvedimo arba pašalinimo laiką nėra. Tokiais atvejais reikia nutraukti rivaroksabano vartojimą ir apsvarstyti, ar neverta skirti trumpo veikimo parenterinio antikoagulianto.</w:t>
      </w:r>
    </w:p>
    <w:p w14:paraId="6FE246A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6BC56D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Dozavimo rekomendacijos prieš ir po invazinių procedūrų arba chirurginių intervencijų</w:t>
      </w:r>
    </w:p>
    <w:p w14:paraId="125D8567" w14:textId="1B203199"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Jeigu reikia atlikti invazinę procedūrą arba chirurginę intervenciją, jeigu tai įmanoma, </w:t>
      </w:r>
      <w:r w:rsidR="00575C70">
        <w:rPr>
          <w:rFonts w:ascii="Times New Roman" w:eastAsia="Times New Roman" w:hAnsi="Times New Roman" w:cs="Times New Roman"/>
          <w:snapToGrid w:val="0"/>
        </w:rPr>
        <w:t>Xiltess</w:t>
      </w:r>
      <w:r w:rsidR="004D00AF">
        <w:rPr>
          <w:rFonts w:ascii="Times New Roman" w:eastAsia="Times New Roman" w:hAnsi="Times New Roman" w:cs="Times New Roman"/>
          <w:snapToGrid w:val="0"/>
        </w:rPr>
        <w:t xml:space="preserve"> 20</w:t>
      </w:r>
      <w:r w:rsidR="00AD441E">
        <w:rPr>
          <w:rFonts w:ascii="Times New Roman" w:eastAsia="Times New Roman" w:hAnsi="Times New Roman" w:cs="Times New Roman"/>
          <w:snapToGrid w:val="0"/>
        </w:rPr>
        <w:t> mg</w:t>
      </w:r>
      <w:r w:rsidR="004D00AF">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vartojimą reikia nutraukti likus mažiausiai 24 valandoms iki intervencijos, remiantis klinikiniu gydytojo sprendimu.</w:t>
      </w:r>
    </w:p>
    <w:p w14:paraId="28D3727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Jeigu procedūros negalima atlikti vėliau, reikia įvertinti padidėjusios kraujavimo rizikos ir intervencijos skubumo santykį.</w:t>
      </w:r>
    </w:p>
    <w:p w14:paraId="52DB4C52" w14:textId="075BD3EB"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 xml:space="preserve">Po invazinės procedūros ar chirurginės intervencijos kaip įmanoma greičiau reikia atnaujinti </w:t>
      </w:r>
      <w:r w:rsidR="00575C70">
        <w:rPr>
          <w:rFonts w:ascii="Times New Roman" w:eastAsia="Times New Roman" w:hAnsi="Times New Roman" w:cs="Times New Roman"/>
          <w:snapToGrid w:val="0"/>
        </w:rPr>
        <w:t>Xiltess</w:t>
      </w:r>
      <w:r w:rsidRPr="003E364C">
        <w:rPr>
          <w:rFonts w:ascii="Times New Roman" w:eastAsia="Times New Roman" w:hAnsi="Times New Roman" w:cs="Times New Roman"/>
          <w:snapToGrid w:val="0"/>
        </w:rPr>
        <w:t xml:space="preserve"> vartojimą, jei gydantis gydytojas mano, kad klinikinė situacija leidžia tai padaryti ir pasiekta tinkama hemostazė (žr. 5.2 skyrių).</w:t>
      </w:r>
    </w:p>
    <w:p w14:paraId="420BC0C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7EE733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Senyvi pacientai</w:t>
      </w:r>
    </w:p>
    <w:p w14:paraId="71C713A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Vyresnis amžius gali padidinti hemoragijos riziką (žr. 5.2 skyrių).</w:t>
      </w:r>
    </w:p>
    <w:p w14:paraId="7D4974C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61226C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Dermatologinės reakcijos</w:t>
      </w:r>
    </w:p>
    <w:p w14:paraId="0165649A"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Poregistracinio stebėjimo metu buvo pranešta apie sunkias odos reakcijas, susijusias su rivaroksabano vartojimu, įskaitant Stivenso-Džonsono (</w:t>
      </w:r>
      <w:r w:rsidRPr="003E364C">
        <w:rPr>
          <w:rFonts w:ascii="Times New Roman" w:eastAsia="Times New Roman" w:hAnsi="Times New Roman" w:cs="Times New Roman"/>
          <w:i/>
          <w:snapToGrid w:val="0"/>
        </w:rPr>
        <w:t>Stevens-Johnson</w:t>
      </w:r>
      <w:r w:rsidRPr="003E364C">
        <w:rPr>
          <w:rFonts w:ascii="Times New Roman" w:eastAsia="Times New Roman" w:hAnsi="Times New Roman" w:cs="Times New Roman"/>
          <w:snapToGrid w:val="0"/>
        </w:rPr>
        <w:t xml:space="preserve">) sindromą ir (arba) toksinę epidermio nekrolizę bei </w:t>
      </w:r>
      <w:r w:rsidRPr="003E364C">
        <w:rPr>
          <w:rFonts w:ascii="Times New Roman" w:eastAsia="Times New Roman" w:hAnsi="Times New Roman" w:cs="Times New Roman"/>
          <w:i/>
          <w:iCs/>
          <w:snapToGrid w:val="0"/>
        </w:rPr>
        <w:t>DRESS</w:t>
      </w:r>
      <w:r w:rsidRPr="003E364C">
        <w:rPr>
          <w:rFonts w:ascii="Times New Roman" w:eastAsia="Times New Roman" w:hAnsi="Times New Roman" w:cs="Times New Roman"/>
          <w:snapToGrid w:val="0"/>
        </w:rPr>
        <w:t xml:space="preserve"> (angl. </w:t>
      </w:r>
      <w:r w:rsidRPr="003E364C">
        <w:rPr>
          <w:rFonts w:ascii="Times New Roman" w:eastAsia="Times New Roman" w:hAnsi="Times New Roman" w:cs="Times New Roman"/>
          <w:i/>
          <w:snapToGrid w:val="0"/>
        </w:rPr>
        <w:t>drug rash with eosinophilia and systemic symptoms</w:t>
      </w:r>
      <w:r w:rsidRPr="003E364C">
        <w:rPr>
          <w:rFonts w:ascii="Times New Roman" w:eastAsia="Times New Roman" w:hAnsi="Times New Roman" w:cs="Times New Roman"/>
          <w:snapToGrid w:val="0"/>
        </w:rPr>
        <w:t>)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29D11B0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607708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Informacija apie pagalbines medžiagas</w:t>
      </w:r>
    </w:p>
    <w:p w14:paraId="1FEECFCF" w14:textId="2D42F35F"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Šio vaistinio preparato kiekvienoje </w:t>
      </w:r>
      <w:r w:rsidR="004D00AF">
        <w:rPr>
          <w:rFonts w:ascii="Times New Roman" w:eastAsia="Times New Roman" w:hAnsi="Times New Roman" w:cs="Times New Roman"/>
          <w:snapToGrid w:val="0"/>
        </w:rPr>
        <w:t xml:space="preserve">plėvele dengtoje </w:t>
      </w:r>
      <w:r w:rsidRPr="003E364C">
        <w:rPr>
          <w:rFonts w:ascii="Times New Roman" w:eastAsia="Times New Roman" w:hAnsi="Times New Roman" w:cs="Times New Roman"/>
          <w:snapToGrid w:val="0"/>
        </w:rPr>
        <w:t>tabletėje yra mažiau kaip 1</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mmol (</w:t>
      </w:r>
      <w:r w:rsidRPr="000930AE">
        <w:rPr>
          <w:rFonts w:ascii="Times New Roman" w:eastAsia="Times New Roman" w:hAnsi="Times New Roman" w:cs="Times New Roman"/>
          <w:snapToGrid w:val="0"/>
        </w:rPr>
        <w:t>23</w:t>
      </w:r>
      <w:r w:rsidR="00AD441E" w:rsidRPr="000930AE">
        <w:rPr>
          <w:rFonts w:ascii="Times New Roman" w:eastAsia="Times New Roman" w:hAnsi="Times New Roman" w:cs="Times New Roman"/>
          <w:snapToGrid w:val="0"/>
        </w:rPr>
        <w:t> mg</w:t>
      </w:r>
      <w:r w:rsidRPr="000930AE">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natrio, t. y. jis beveik neturi reikšmės.</w:t>
      </w:r>
    </w:p>
    <w:p w14:paraId="27A6FF7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CA2FB6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4.5</w:t>
      </w:r>
      <w:r w:rsidRPr="003E364C">
        <w:rPr>
          <w:rFonts w:ascii="Times New Roman" w:eastAsia="Times New Roman" w:hAnsi="Times New Roman" w:cs="Times New Roman"/>
          <w:b/>
          <w:bCs/>
          <w:snapToGrid w:val="0"/>
          <w:lang w:eastAsia="x-none"/>
        </w:rPr>
        <w:tab/>
        <w:t>Sąveika su kitais vaistiniais preparatais ir kitokia sąveika</w:t>
      </w:r>
    </w:p>
    <w:p w14:paraId="239283D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6D8B38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Sąveikos apimtis vaikų populiacijoje nežinoma. Toliau pateikti sąveikos duomenys buvo gauti tiriant suaugusius, ir vaistinio preparato skiriant vaikų populiacijai reikia atsižvelgti į 4.4 skyriuje nurodytus įspėjimus.</w:t>
      </w:r>
    </w:p>
    <w:p w14:paraId="026B6B5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6E022F76"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CYP3A4 ir P-gp inhibitoriai</w:t>
      </w:r>
    </w:p>
    <w:p w14:paraId="64E3C4EB" w14:textId="15B59494" w:rsidR="003E364C" w:rsidRPr="000930AE" w:rsidRDefault="003E364C" w:rsidP="003E364C">
      <w:pPr>
        <w:tabs>
          <w:tab w:val="left" w:pos="567"/>
        </w:tabs>
        <w:spacing w:after="0" w:line="260" w:lineRule="exact"/>
        <w:rPr>
          <w:rFonts w:ascii="Times New Roman" w:eastAsia="Times New Roman" w:hAnsi="Times New Roman" w:cs="Times New Roman"/>
          <w:bCs/>
          <w:noProof/>
          <w:snapToGrid w:val="0"/>
        </w:rPr>
      </w:pPr>
      <w:r w:rsidRPr="003E364C">
        <w:rPr>
          <w:rFonts w:ascii="Times New Roman" w:eastAsia="Times New Roman" w:hAnsi="Times New Roman" w:cs="Times New Roman"/>
          <w:noProof/>
          <w:snapToGrid w:val="0"/>
        </w:rPr>
        <w:t>Kartu vartojant rivaroksabano ir ketokonazolo (400</w:t>
      </w:r>
      <w:r w:rsidR="00AD441E">
        <w:rPr>
          <w:rFonts w:ascii="Times New Roman" w:eastAsia="Times New Roman" w:hAnsi="Times New Roman" w:cs="Times New Roman"/>
          <w:b/>
          <w:noProof/>
          <w:snapToGrid w:val="0"/>
        </w:rPr>
        <w:t> </w:t>
      </w:r>
      <w:r w:rsidR="00AD441E" w:rsidRPr="000930AE">
        <w:rPr>
          <w:rFonts w:ascii="Times New Roman" w:eastAsia="Times New Roman" w:hAnsi="Times New Roman" w:cs="Times New Roman"/>
          <w:bCs/>
          <w:noProof/>
          <w:snapToGrid w:val="0"/>
        </w:rPr>
        <w:t>mg</w:t>
      </w:r>
      <w:r w:rsidRPr="000930AE">
        <w:rPr>
          <w:rFonts w:ascii="Times New Roman" w:eastAsia="Times New Roman" w:hAnsi="Times New Roman" w:cs="Times New Roman"/>
          <w:bCs/>
          <w:noProof/>
          <w:snapToGrid w:val="0"/>
        </w:rPr>
        <w:t xml:space="preserve"> vieną kartą per parą) arba ritonaviro (po 600</w:t>
      </w:r>
      <w:r w:rsidR="00AD441E" w:rsidRPr="000930AE">
        <w:rPr>
          <w:rFonts w:ascii="Times New Roman" w:eastAsia="Times New Roman" w:hAnsi="Times New Roman" w:cs="Times New Roman"/>
          <w:bCs/>
          <w:noProof/>
          <w:snapToGrid w:val="0"/>
        </w:rPr>
        <w:t> mg</w:t>
      </w:r>
      <w:r w:rsidRPr="000930AE">
        <w:rPr>
          <w:rFonts w:ascii="Times New Roman" w:eastAsia="Times New Roman" w:hAnsi="Times New Roman" w:cs="Times New Roman"/>
          <w:bCs/>
          <w:noProof/>
          <w:snapToGrid w:val="0"/>
        </w:rPr>
        <w:t xml:space="preserve"> du kartus per parą), 2,6 karto / 2,5 karto padidėjo vidutinis rivaroksabano koncentracijos ir laiko kreivės ribojamas plotas (AUC) ir 1,7 karto / 1,6 karto padidėjo vidutinė rivaroksabano Cmax, kartu ryškiai padidėjo farmakodinaminiai poveikiai, dėl ko gali padidėti kraujavimo rizika. Todėl </w:t>
      </w:r>
      <w:r w:rsidR="00575C70" w:rsidRPr="000930AE">
        <w:rPr>
          <w:rFonts w:ascii="Times New Roman" w:eastAsia="Times New Roman" w:hAnsi="Times New Roman" w:cs="Times New Roman"/>
          <w:bCs/>
          <w:noProof/>
          <w:snapToGrid w:val="0"/>
        </w:rPr>
        <w:t>Xiltess</w:t>
      </w:r>
      <w:r w:rsidRPr="000930AE">
        <w:rPr>
          <w:rFonts w:ascii="Times New Roman" w:eastAsia="Times New Roman" w:hAnsi="Times New Roman" w:cs="Times New Roman"/>
          <w:bCs/>
          <w:noProof/>
          <w:snapToGrid w:val="0"/>
        </w:rPr>
        <w:t xml:space="preserve">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w:t>
      </w:r>
    </w:p>
    <w:p w14:paraId="1106504D" w14:textId="77777777" w:rsidR="003E364C" w:rsidRPr="000930AE" w:rsidRDefault="003E364C" w:rsidP="003E364C">
      <w:pPr>
        <w:tabs>
          <w:tab w:val="left" w:pos="567"/>
        </w:tabs>
        <w:spacing w:after="0" w:line="260" w:lineRule="exact"/>
        <w:rPr>
          <w:rFonts w:ascii="Times New Roman" w:eastAsia="Times New Roman" w:hAnsi="Times New Roman" w:cs="Times New Roman"/>
          <w:bCs/>
          <w:noProof/>
          <w:snapToGrid w:val="0"/>
        </w:rPr>
      </w:pPr>
    </w:p>
    <w:p w14:paraId="3A436726" w14:textId="504B51FF" w:rsidR="003E364C" w:rsidRPr="000930AE" w:rsidRDefault="003E364C" w:rsidP="003E364C">
      <w:pPr>
        <w:tabs>
          <w:tab w:val="left" w:pos="567"/>
        </w:tabs>
        <w:spacing w:after="0" w:line="260" w:lineRule="exact"/>
        <w:rPr>
          <w:rFonts w:ascii="Times New Roman" w:eastAsia="Times New Roman" w:hAnsi="Times New Roman" w:cs="Times New Roman"/>
          <w:bCs/>
          <w:noProof/>
          <w:snapToGrid w:val="0"/>
        </w:rPr>
      </w:pPr>
      <w:r w:rsidRPr="000930AE">
        <w:rPr>
          <w:rFonts w:ascii="Times New Roman" w:eastAsia="Times New Roman" w:hAnsi="Times New Roman" w:cs="Times New Roman"/>
          <w:bCs/>
          <w:noProof/>
          <w:snapToGrid w:val="0"/>
        </w:rPr>
        <w:t>Manoma, kad veikliosios medžiagos, stipriai slopinančios vieną iš rivaroksabano šalinimo kelių – CYP3A4 arba P-gp, didina rivaroksabano koncentraciją plazmoje ne taip žymiai. Pavyzdžiui, klaritromicinas (po 500</w:t>
      </w:r>
      <w:r w:rsidR="00AD441E" w:rsidRPr="000930AE">
        <w:rPr>
          <w:rFonts w:ascii="Times New Roman" w:eastAsia="Times New Roman" w:hAnsi="Times New Roman" w:cs="Times New Roman"/>
          <w:bCs/>
          <w:noProof/>
          <w:snapToGrid w:val="0"/>
        </w:rPr>
        <w:t> mg</w:t>
      </w:r>
      <w:r w:rsidRPr="000930AE">
        <w:rPr>
          <w:rFonts w:ascii="Times New Roman" w:eastAsia="Times New Roman" w:hAnsi="Times New Roman" w:cs="Times New Roman"/>
          <w:bCs/>
          <w:noProof/>
          <w:snapToGrid w:val="0"/>
        </w:rPr>
        <w:t xml:space="preserve"> du kartus per parą), kuris yra laikomas stipriu CYP3A4 inhibitoriumi ir vidutinio stiprumo P-gp inhibitoriumi, lėmė 1,5 karto vidutinės rivaroksabano koncentracijos AUC padidėjimą ir 1,4 karto Cmax padidėjimą. Tikėtina, kad daugumai pacientų sąveika su klaritromicinu nėra kliniškai reikšminga, tačiau ji gali būti reikšminga didelės rizikos pacientams (</w:t>
      </w:r>
      <w:r w:rsidR="00025DBD">
        <w:rPr>
          <w:rFonts w:ascii="Times New Roman" w:eastAsia="Times New Roman" w:hAnsi="Times New Roman" w:cs="Times New Roman"/>
          <w:bCs/>
          <w:noProof/>
          <w:snapToGrid w:val="0"/>
        </w:rPr>
        <w:t>i</w:t>
      </w:r>
      <w:r w:rsidRPr="000930AE">
        <w:rPr>
          <w:rFonts w:ascii="Times New Roman" w:eastAsia="Times New Roman" w:hAnsi="Times New Roman" w:cs="Times New Roman"/>
          <w:bCs/>
          <w:noProof/>
          <w:snapToGrid w:val="0"/>
        </w:rPr>
        <w:t>nformaciją pacientams, kurių inkstų funkcija yra sutrikusi, žr. 4.4 skyriuje).</w:t>
      </w:r>
    </w:p>
    <w:p w14:paraId="46D8FA17" w14:textId="77777777" w:rsidR="003E364C" w:rsidRPr="000930AE" w:rsidRDefault="003E364C" w:rsidP="003E364C">
      <w:pPr>
        <w:tabs>
          <w:tab w:val="left" w:pos="567"/>
        </w:tabs>
        <w:spacing w:after="0" w:line="260" w:lineRule="exact"/>
        <w:rPr>
          <w:rFonts w:ascii="Times New Roman" w:eastAsia="Times New Roman" w:hAnsi="Times New Roman" w:cs="Times New Roman"/>
          <w:bCs/>
          <w:noProof/>
          <w:snapToGrid w:val="0"/>
        </w:rPr>
      </w:pPr>
    </w:p>
    <w:p w14:paraId="0CFF23AB" w14:textId="44099A98"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0930AE">
        <w:rPr>
          <w:rFonts w:ascii="Times New Roman" w:eastAsia="Times New Roman" w:hAnsi="Times New Roman" w:cs="Times New Roman"/>
          <w:bCs/>
          <w:noProof/>
          <w:snapToGrid w:val="0"/>
        </w:rPr>
        <w:t>Eritromicinas (po 500</w:t>
      </w:r>
      <w:r w:rsidR="00AD441E" w:rsidRPr="000930AE">
        <w:rPr>
          <w:rFonts w:ascii="Times New Roman" w:eastAsia="Times New Roman" w:hAnsi="Times New Roman" w:cs="Times New Roman"/>
          <w:bCs/>
          <w:noProof/>
          <w:snapToGrid w:val="0"/>
        </w:rPr>
        <w:t> mg</w:t>
      </w:r>
      <w:r w:rsidRPr="000930AE">
        <w:rPr>
          <w:rFonts w:ascii="Times New Roman" w:eastAsia="Times New Roman" w:hAnsi="Times New Roman" w:cs="Times New Roman"/>
          <w:bCs/>
          <w:noProof/>
          <w:snapToGrid w:val="0"/>
        </w:rPr>
        <w:t xml:space="preserve"> tris kartus</w:t>
      </w:r>
      <w:r w:rsidRPr="003E364C">
        <w:rPr>
          <w:rFonts w:ascii="Times New Roman" w:eastAsia="Times New Roman" w:hAnsi="Times New Roman" w:cs="Times New Roman"/>
          <w:noProof/>
          <w:snapToGrid w:val="0"/>
        </w:rPr>
        <w:t xml:space="preserve"> per parą), CYP3A4 ir P-gp slopinantis vidutiniškai, lėmė 1,3 karto vidutinių rivaroksabano koncentracijos AUC ir Cmax padidėjimą. Tikėtina, kad daugumai pacientų sąveika su eritromicinu nėra kliniškai reikšminga, tačiau ji gali būti reikšminga didelės rizikos pacientams.</w:t>
      </w:r>
    </w:p>
    <w:p w14:paraId="33080C65" w14:textId="2839A299" w:rsidR="003E364C" w:rsidRPr="000930AE"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Tiriamiesiems, kuriems buvo lengvas inkstų funkcijos sutrikimas, eritromicinas (po </w:t>
      </w:r>
      <w:r w:rsidRPr="000930AE">
        <w:rPr>
          <w:rFonts w:ascii="Times New Roman" w:eastAsia="Times New Roman" w:hAnsi="Times New Roman" w:cs="Times New Roman"/>
          <w:noProof/>
          <w:snapToGrid w:val="0"/>
        </w:rPr>
        <w:t>500</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xml:space="preserve"> tris kartus per parą) lėmė 1,8 karto vidutinės rivaroksabano koncentracijos AUC ir 1,6 karto Cmax padidėjimą, palyginti su tiriamaisiais, kurių inkstų funkcija normali. Tiriamiesiems, kuriems buvo vidutiniosunkumo inkstų funkcijos sutrikimas, eritromicinas lėmė 2,0 karto vidutinės rivaroksabano koncentracijos AUC ir 1,6 karto Cmax padidėjimą, palyginti su tiriamaisiais, kurių inkstų funkcija normali. Eritromicino ir inkstų funkcijos sutrikimo poveikis yra suminis (žr. 4.4 skyrių).</w:t>
      </w:r>
    </w:p>
    <w:p w14:paraId="56D05E26" w14:textId="77777777" w:rsidR="003E364C" w:rsidRPr="000930AE" w:rsidRDefault="003E364C" w:rsidP="003E364C">
      <w:pPr>
        <w:tabs>
          <w:tab w:val="left" w:pos="567"/>
        </w:tabs>
        <w:spacing w:after="0" w:line="260" w:lineRule="exact"/>
        <w:rPr>
          <w:rFonts w:ascii="Times New Roman" w:eastAsia="Times New Roman" w:hAnsi="Times New Roman" w:cs="Times New Roman"/>
          <w:noProof/>
          <w:snapToGrid w:val="0"/>
        </w:rPr>
      </w:pPr>
    </w:p>
    <w:p w14:paraId="12B8C162" w14:textId="24B3D1BD"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0930AE">
        <w:rPr>
          <w:rFonts w:ascii="Times New Roman" w:eastAsia="Times New Roman" w:hAnsi="Times New Roman" w:cs="Times New Roman"/>
          <w:noProof/>
          <w:snapToGrid w:val="0"/>
        </w:rPr>
        <w:lastRenderedPageBreak/>
        <w:t>Flukonazolas (400</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xml:space="preserve"> vieną kartą per parą), vertinamas kaip saikingas CYP3A4 inhibitorius, lėmė rivaroksabano AUC padidėjimą vidutiniškai 1,4 karto ir vidutinės Cmax padidėjimą 1</w:t>
      </w:r>
      <w:r w:rsidRPr="003E364C">
        <w:rPr>
          <w:rFonts w:ascii="Times New Roman" w:eastAsia="Times New Roman" w:hAnsi="Times New Roman" w:cs="Times New Roman"/>
          <w:noProof/>
          <w:snapToGrid w:val="0"/>
        </w:rPr>
        <w:t>,3 karto. Tikėtina, kad daugumai pacientų sąveika su flukonazolu nėra kliniškai reikšminga, tačiau ji gali būti reikšminga didelės rizikos pacientams (</w:t>
      </w:r>
      <w:r w:rsidR="00025DBD">
        <w:rPr>
          <w:rFonts w:ascii="Times New Roman" w:eastAsia="Times New Roman" w:hAnsi="Times New Roman" w:cs="Times New Roman"/>
          <w:noProof/>
          <w:snapToGrid w:val="0"/>
        </w:rPr>
        <w:t>i</w:t>
      </w:r>
      <w:r w:rsidRPr="003E364C">
        <w:rPr>
          <w:rFonts w:ascii="Times New Roman" w:eastAsia="Times New Roman" w:hAnsi="Times New Roman" w:cs="Times New Roman"/>
          <w:noProof/>
          <w:snapToGrid w:val="0"/>
        </w:rPr>
        <w:t>nformaciją pacientams, kurių inkstų funkcija sutrikusi, žr. 4.4 skyriuje).</w:t>
      </w:r>
    </w:p>
    <w:p w14:paraId="54DF7D7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1CDCB577"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Klinikiniai duomenys apie dronedaroną yra riboti, todėl jo reikia vengti skirti kartu su rivaroksabanu. </w:t>
      </w:r>
    </w:p>
    <w:p w14:paraId="5A2A6667"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7A764E5"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Antikoaguliantai</w:t>
      </w:r>
    </w:p>
    <w:p w14:paraId="5BD6791C" w14:textId="2F1427DE" w:rsidR="003E364C" w:rsidRPr="000930AE"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Kartu vartojant enoksaparino (</w:t>
      </w:r>
      <w:r w:rsidRPr="000930AE">
        <w:rPr>
          <w:rFonts w:ascii="Times New Roman" w:eastAsia="Times New Roman" w:hAnsi="Times New Roman" w:cs="Times New Roman"/>
          <w:noProof/>
          <w:snapToGrid w:val="0"/>
        </w:rPr>
        <w:t>40</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xml:space="preserve"> vienkartinė dozė) ir rivaroksabano (10</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xml:space="preserve"> vienkartinė dozė), buvo stebimas suminis poveikis anti-Xa faktoriaus aktyvumui be jokio papildomo poveikio krešėjimo tyrimams (protrombino laikui [PL, angl. </w:t>
      </w:r>
      <w:r w:rsidRPr="000930AE">
        <w:rPr>
          <w:rFonts w:ascii="Times New Roman" w:eastAsia="Times New Roman" w:hAnsi="Times New Roman" w:cs="Times New Roman"/>
          <w:i/>
          <w:noProof/>
          <w:snapToGrid w:val="0"/>
        </w:rPr>
        <w:t xml:space="preserve">prothrombin time </w:t>
      </w:r>
      <w:r w:rsidRPr="000930AE">
        <w:rPr>
          <w:rFonts w:ascii="Times New Roman" w:eastAsia="Times New Roman" w:hAnsi="Times New Roman" w:cs="Times New Roman"/>
          <w:noProof/>
          <w:snapToGrid w:val="0"/>
        </w:rPr>
        <w:t>(</w:t>
      </w:r>
      <w:r w:rsidRPr="000930AE">
        <w:rPr>
          <w:rFonts w:ascii="Times New Roman" w:eastAsia="Times New Roman" w:hAnsi="Times New Roman" w:cs="Times New Roman"/>
          <w:i/>
          <w:noProof/>
          <w:snapToGrid w:val="0"/>
        </w:rPr>
        <w:t>PT</w:t>
      </w:r>
      <w:r w:rsidRPr="000930AE">
        <w:rPr>
          <w:rFonts w:ascii="Times New Roman" w:eastAsia="Times New Roman" w:hAnsi="Times New Roman" w:cs="Times New Roman"/>
          <w:noProof/>
          <w:snapToGrid w:val="0"/>
        </w:rPr>
        <w:t>)], daliniam aktyvintam tromboplastino laikui [DATL]). Enoksaparinas neveikė rivaroksabano farmakokinetikos.</w:t>
      </w:r>
    </w:p>
    <w:p w14:paraId="4DF111CB" w14:textId="77777777" w:rsidR="003E364C" w:rsidRPr="000930AE" w:rsidRDefault="003E364C" w:rsidP="003E364C">
      <w:pPr>
        <w:tabs>
          <w:tab w:val="left" w:pos="567"/>
        </w:tabs>
        <w:spacing w:after="0" w:line="260" w:lineRule="exact"/>
        <w:rPr>
          <w:rFonts w:ascii="Times New Roman" w:eastAsia="Times New Roman" w:hAnsi="Times New Roman" w:cs="Times New Roman"/>
          <w:noProof/>
          <w:snapToGrid w:val="0"/>
        </w:rPr>
      </w:pPr>
      <w:r w:rsidRPr="000930AE">
        <w:rPr>
          <w:rFonts w:ascii="Times New Roman" w:eastAsia="Times New Roman" w:hAnsi="Times New Roman" w:cs="Times New Roman"/>
          <w:noProof/>
          <w:snapToGrid w:val="0"/>
        </w:rPr>
        <w:t>Jei pacientas kartu gydomas bet kokiais kitais antikoaguliantais, dėl padidėjusios kraujavimo rizikos reikia imtis atsargumo priemonių (žr. 4.3 ir 4.4 skyrius).</w:t>
      </w:r>
    </w:p>
    <w:p w14:paraId="344484CB" w14:textId="77777777" w:rsidR="003E364C" w:rsidRPr="000930AE" w:rsidRDefault="003E364C" w:rsidP="003E364C">
      <w:pPr>
        <w:tabs>
          <w:tab w:val="left" w:pos="567"/>
        </w:tabs>
        <w:spacing w:after="0" w:line="260" w:lineRule="exact"/>
        <w:rPr>
          <w:rFonts w:ascii="Times New Roman" w:eastAsia="Times New Roman" w:hAnsi="Times New Roman" w:cs="Times New Roman"/>
          <w:noProof/>
          <w:snapToGrid w:val="0"/>
        </w:rPr>
      </w:pPr>
    </w:p>
    <w:p w14:paraId="43A736BD" w14:textId="77777777" w:rsidR="003E364C" w:rsidRPr="000930AE" w:rsidRDefault="003E364C" w:rsidP="003E364C">
      <w:pPr>
        <w:tabs>
          <w:tab w:val="left" w:pos="567"/>
        </w:tabs>
        <w:spacing w:after="0" w:line="260" w:lineRule="exact"/>
        <w:rPr>
          <w:rFonts w:ascii="Times New Roman" w:eastAsia="Times New Roman" w:hAnsi="Times New Roman" w:cs="Times New Roman"/>
          <w:noProof/>
          <w:snapToGrid w:val="0"/>
        </w:rPr>
      </w:pPr>
      <w:r w:rsidRPr="000930AE">
        <w:rPr>
          <w:rFonts w:ascii="Times New Roman" w:eastAsia="Times New Roman" w:hAnsi="Times New Roman" w:cs="Times New Roman"/>
          <w:noProof/>
          <w:snapToGrid w:val="0"/>
          <w:u w:val="single"/>
        </w:rPr>
        <w:t>NVPNU ir (arba) trombocitų agregacijos inhibitoriai</w:t>
      </w:r>
    </w:p>
    <w:p w14:paraId="00EBC615" w14:textId="7DD49705" w:rsidR="003E364C" w:rsidRPr="000930AE" w:rsidRDefault="003E364C" w:rsidP="003E364C">
      <w:pPr>
        <w:tabs>
          <w:tab w:val="left" w:pos="567"/>
        </w:tabs>
        <w:spacing w:after="0" w:line="260" w:lineRule="exact"/>
        <w:rPr>
          <w:rFonts w:ascii="Times New Roman" w:eastAsia="Times New Roman" w:hAnsi="Times New Roman" w:cs="Times New Roman"/>
          <w:noProof/>
          <w:snapToGrid w:val="0"/>
        </w:rPr>
      </w:pPr>
      <w:r w:rsidRPr="000930AE">
        <w:rPr>
          <w:rFonts w:ascii="Times New Roman" w:eastAsia="Times New Roman" w:hAnsi="Times New Roman" w:cs="Times New Roman"/>
          <w:noProof/>
          <w:snapToGrid w:val="0"/>
        </w:rPr>
        <w:t>Vartojant rivaroksabano (15</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kartu su 500</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xml:space="preserve"> naprokseno doze, jokio kliniškai reikšmingo kraujavimo laiko pailgėjimo nenustatyta. Tačiau gali būti asmenų, kuriems farmakodinaminis poveikis yra stipriau išreikštas.</w:t>
      </w:r>
    </w:p>
    <w:p w14:paraId="701AC9CD" w14:textId="60D26D7E" w:rsidR="003E364C" w:rsidRPr="000930AE" w:rsidRDefault="003E364C" w:rsidP="003E364C">
      <w:pPr>
        <w:tabs>
          <w:tab w:val="left" w:pos="567"/>
        </w:tabs>
        <w:spacing w:after="0" w:line="260" w:lineRule="exact"/>
        <w:rPr>
          <w:rFonts w:ascii="Times New Roman" w:eastAsia="Times New Roman" w:hAnsi="Times New Roman" w:cs="Times New Roman"/>
          <w:noProof/>
          <w:snapToGrid w:val="0"/>
        </w:rPr>
      </w:pPr>
      <w:r w:rsidRPr="000930AE">
        <w:rPr>
          <w:rFonts w:ascii="Times New Roman" w:eastAsia="Times New Roman" w:hAnsi="Times New Roman" w:cs="Times New Roman"/>
          <w:noProof/>
          <w:snapToGrid w:val="0"/>
        </w:rPr>
        <w:t>Jokios klinikiniu požiūriu reikšmingos farmakokinetinės ar farmakodinaminės sąveikos nebuvo nustatyta, kai rivaroksabano buvo kartu vartojama su 500</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xml:space="preserve"> acetilsalicilo rūgštimi.</w:t>
      </w:r>
    </w:p>
    <w:p w14:paraId="4EBCA3D3" w14:textId="49E2A3A9"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0930AE">
        <w:rPr>
          <w:rFonts w:ascii="Times New Roman" w:eastAsia="Times New Roman" w:hAnsi="Times New Roman" w:cs="Times New Roman"/>
          <w:noProof/>
          <w:snapToGrid w:val="0"/>
        </w:rPr>
        <w:t>Kartu vartojant klopidogrelio (300</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xml:space="preserve"> įsotinimo dozė ir po jos 75</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xml:space="preserve"> palaikomoji dozė) nebuvo nustatyta jokios farmakokinetinės sąveikos su rivaroksabanu (15</w:t>
      </w:r>
      <w:r w:rsidR="00AD441E" w:rsidRPr="000930AE">
        <w:rPr>
          <w:rFonts w:ascii="Times New Roman" w:eastAsia="Times New Roman" w:hAnsi="Times New Roman" w:cs="Times New Roman"/>
          <w:noProof/>
          <w:snapToGrid w:val="0"/>
        </w:rPr>
        <w:t> mg</w:t>
      </w:r>
      <w:r w:rsidRPr="000930AE">
        <w:rPr>
          <w:rFonts w:ascii="Times New Roman" w:eastAsia="Times New Roman" w:hAnsi="Times New Roman" w:cs="Times New Roman"/>
          <w:noProof/>
          <w:snapToGrid w:val="0"/>
        </w:rPr>
        <w:t>), tačiau</w:t>
      </w:r>
      <w:r w:rsidRPr="003E364C">
        <w:rPr>
          <w:rFonts w:ascii="Times New Roman" w:eastAsia="Times New Roman" w:hAnsi="Times New Roman" w:cs="Times New Roman"/>
          <w:noProof/>
          <w:snapToGrid w:val="0"/>
        </w:rPr>
        <w:t xml:space="preserve"> buvo stebimas reikšmingas kraujavimo laiko pailgėjimas pacientų pogrupiui; tai nekoreliavo su trombocitų agregacija, P-selektinu arba GPIIb / IIIa receptorių kiekiais.</w:t>
      </w:r>
    </w:p>
    <w:p w14:paraId="35E5BFA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Turi būti imamasi atsargumo priemonių, jei pacientai yra kartu gydomi nesteroidiniais vaistiniais preparatais nuo uždegimo (NVPNU) (įskaitant acetilsalicilo rūgštį) ir trombocitų agregacijos inhibitoriais, nes šie vaistiniai preparatai dažniausiai didina kraujavimo riziką (žr. 4.4 skyrių).</w:t>
      </w:r>
    </w:p>
    <w:p w14:paraId="49F72A8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A26B530"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SSRI / SNRI</w:t>
      </w:r>
    </w:p>
    <w:p w14:paraId="2A01C4DC"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20E9FE45"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4BCC687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Varfarinas</w:t>
      </w:r>
    </w:p>
    <w:p w14:paraId="7BCFACE9" w14:textId="0CD8CE61"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Keičiant gydymą vitamino K antagonistu varfarinu (TNS nuo 2,0 iki 3,0) į gydymą rivaroksabanu (20</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arba gydymą rivaroksabanu (20</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w:t>
      </w:r>
    </w:p>
    <w:p w14:paraId="69295C2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Norint ištirti rivaroksabano farmakodinaminį poveikį gydymo keitimo metu, galima atlikti antifaktoriaus Xa aktyvumo, PiCT ir </w:t>
      </w:r>
      <w:r w:rsidRPr="003E364C">
        <w:rPr>
          <w:rFonts w:ascii="Times New Roman" w:eastAsia="Times New Roman" w:hAnsi="Times New Roman" w:cs="Times New Roman"/>
          <w:i/>
          <w:noProof/>
          <w:snapToGrid w:val="0"/>
        </w:rPr>
        <w:t xml:space="preserve">Heptest </w:t>
      </w:r>
      <w:r w:rsidRPr="003E364C">
        <w:rPr>
          <w:rFonts w:ascii="Times New Roman" w:eastAsia="Times New Roman" w:hAnsi="Times New Roman" w:cs="Times New Roman"/>
          <w:noProof/>
          <w:snapToGrid w:val="0"/>
        </w:rPr>
        <w:t>tyrimus, kadangi varfarinas šių tyrimų neveikia. Ketvirtą parą po paskutinės varfarino dozės pavartojimo visi tyrimai (įskaitant protrombino laiką, DATL, Xa faktoriaus aktyvumo slopinimą ir ETP) rodė tik rivaroksabano poveikį.</w:t>
      </w:r>
    </w:p>
    <w:p w14:paraId="72C056FF"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Norint ištirti varfarino farmakodinaminį poveikį gydymo keitimo metu, galima atlikti TNS tyrimą, esant mažiausiai rivaroksabano koncentracijai (Ctrough) (praėjus 24 valandoms po paskutinio rivaroksabano pavartojimo), nes šiuo laiku tyrimas bus mažiausiai paveiktas rivaroksabano.</w:t>
      </w:r>
    </w:p>
    <w:p w14:paraId="57D65BE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Farmakokinetinės varfarino ir rivaroksabano sąveikos nustatyta nebuvo.</w:t>
      </w:r>
    </w:p>
    <w:p w14:paraId="558FF8F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p>
    <w:p w14:paraId="0F5006D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CYP3A4 induktoriai</w:t>
      </w:r>
    </w:p>
    <w:p w14:paraId="0C22FC10" w14:textId="6965BD54"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vartojant kartu su stipriu CYP3A4 induktoriumi rifampicinu, nustatytas maždaug 50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vidutinio rivaroksabano AUC sumažėjimas ir kartu – farmakodinaminių poveikių sumažėjimas.</w:t>
      </w:r>
    </w:p>
    <w:p w14:paraId="352CADC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Rivaroksabano vartojant kartu su kitais stipriais CYP3A4 induktoriais (pvz., fenitoinu, karbamazepinu, fenobarbitaliu arba paprastosios jonažolės (</w:t>
      </w:r>
      <w:r w:rsidRPr="003E364C">
        <w:rPr>
          <w:rFonts w:ascii="Times New Roman" w:eastAsia="Times New Roman" w:hAnsi="Times New Roman" w:cs="Times New Roman"/>
          <w:i/>
          <w:snapToGrid w:val="0"/>
        </w:rPr>
        <w:t>Hypericum perforatum</w:t>
      </w:r>
      <w:r w:rsidRPr="003E364C">
        <w:rPr>
          <w:rFonts w:ascii="Times New Roman" w:eastAsia="Times New Roman" w:hAnsi="Times New Roman" w:cs="Times New Roman"/>
          <w:snapToGrid w:val="0"/>
        </w:rPr>
        <w:t>) preparatais), gali sumažėti rivaroksabano koncentracija plazmoje. Taigi reikia vengti kartu skirti stipriai veikiančių CYP3A4 induktorių, nebent pacientas yra atidžiai stebimas dėl trombozės požymių ir simptomų.</w:t>
      </w:r>
    </w:p>
    <w:p w14:paraId="0E12AAF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D34B39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Kitas kartu skiriamas gydymas</w:t>
      </w:r>
    </w:p>
    <w:p w14:paraId="69DBACF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Vartojant rivaroksabano kartu su midazolamu (CYP3A4 substratas), digoksinu (P-gp substratas), atorvastatinu (CYP3A4 ir P-gp substratas) arba omeprazolu (protonų pompos inhibitorius), klinikiniu požiūriu reikšmingos farmakokinetinės arba farmakodinaminės sąveikos nustatyta nebuvo.</w:t>
      </w:r>
    </w:p>
    <w:p w14:paraId="2B8716E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Rivaroksabanas neslopina ir neindukuoja svarbiausių CYP izoformų, tokių kaip CYP3A4.</w:t>
      </w:r>
    </w:p>
    <w:p w14:paraId="7885BAC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D5C87D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Laboratoriniai rodmenys</w:t>
      </w:r>
    </w:p>
    <w:p w14:paraId="21D3371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Kaip ir galima tikėtis, rivaroksabano veikimo mechanizmas paveikia krešėjimo parametrus (pvz., protrombino laiką [PL], dalinį aktyvintą tromboplastino laiką [DATL], </w:t>
      </w:r>
      <w:r w:rsidRPr="003E364C">
        <w:rPr>
          <w:rFonts w:ascii="Times New Roman" w:eastAsia="Times New Roman" w:hAnsi="Times New Roman" w:cs="Times New Roman"/>
          <w:i/>
          <w:snapToGrid w:val="0"/>
        </w:rPr>
        <w:t>Heptest</w:t>
      </w:r>
      <w:r w:rsidRPr="003E364C">
        <w:rPr>
          <w:rFonts w:ascii="Times New Roman" w:eastAsia="Times New Roman" w:hAnsi="Times New Roman" w:cs="Times New Roman"/>
          <w:snapToGrid w:val="0"/>
        </w:rPr>
        <w:t>) (žr. 5.1 skyrių).</w:t>
      </w:r>
    </w:p>
    <w:p w14:paraId="3EF44E5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D6EE85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4.6</w:t>
      </w:r>
      <w:r w:rsidRPr="003E364C">
        <w:rPr>
          <w:rFonts w:ascii="Times New Roman" w:eastAsia="Times New Roman" w:hAnsi="Times New Roman" w:cs="Times New Roman"/>
          <w:b/>
          <w:bCs/>
          <w:snapToGrid w:val="0"/>
          <w:lang w:eastAsia="x-none"/>
        </w:rPr>
        <w:tab/>
        <w:t>Vaisingumas, nėštumo ir žindymo laikotarpis</w:t>
      </w:r>
    </w:p>
    <w:p w14:paraId="62D3AE3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DD03E30"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u w:val="single"/>
        </w:rPr>
        <w:t>Nėštumas</w:t>
      </w:r>
    </w:p>
    <w:p w14:paraId="68EEA415" w14:textId="2AF44213"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rPr>
        <w:t xml:space="preserve">Rivaroksabano saugumas ir veiksmingumas nėštumo metu neištirti. Su gyvūnais atlikti tyrimai parodė toksinį poveikį reprodukcijai (žr. 5.3 skyrių). Dėl galimo toksinio poveikio reprodukcijai, būdingos kraujavimo rizikos ir rivaroksabano patekimo per placentą, </w:t>
      </w:r>
      <w:r w:rsidR="00575C70">
        <w:rPr>
          <w:rFonts w:ascii="Times New Roman" w:eastAsia="Times New Roman" w:hAnsi="Times New Roman" w:cs="Times New Roman"/>
          <w:noProof/>
          <w:snapToGrid w:val="0"/>
          <w:color w:val="0D0D0D"/>
        </w:rPr>
        <w:t>Xiltess</w:t>
      </w:r>
      <w:r w:rsidRPr="003E364C">
        <w:rPr>
          <w:rFonts w:ascii="Times New Roman" w:eastAsia="Times New Roman" w:hAnsi="Times New Roman" w:cs="Times New Roman"/>
          <w:noProof/>
          <w:snapToGrid w:val="0"/>
          <w:color w:val="0D0D0D"/>
        </w:rPr>
        <w:t xml:space="preserve"> draudžiama vartoti nėštumo metu (žr. 4.3 skyrių).</w:t>
      </w:r>
    </w:p>
    <w:p w14:paraId="2619A228"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rPr>
        <w:t>Vaisingo amžiaus moterys turi stengtis nepastoti gydymo rivaroksabanu metu.</w:t>
      </w:r>
    </w:p>
    <w:p w14:paraId="406E9AE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p>
    <w:p w14:paraId="6E3A00A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u w:val="single"/>
        </w:rPr>
        <w:t>Žindymas</w:t>
      </w:r>
    </w:p>
    <w:p w14:paraId="423844B0" w14:textId="0F5AD741"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rPr>
        <w:t xml:space="preserve">Rivaroksabano saugumas ir veiksmingumas žindyvėms neištirti. Tyrimų su gyvūnais duomenys rodo, kad rivaroksabanas išsiskiria į motinos pieną. Todėl </w:t>
      </w:r>
      <w:r w:rsidR="00575C70">
        <w:rPr>
          <w:rFonts w:ascii="Times New Roman" w:eastAsia="Times New Roman" w:hAnsi="Times New Roman" w:cs="Times New Roman"/>
          <w:noProof/>
          <w:snapToGrid w:val="0"/>
          <w:color w:val="0D0D0D"/>
        </w:rPr>
        <w:t>Xiltess</w:t>
      </w:r>
      <w:r w:rsidRPr="003E364C">
        <w:rPr>
          <w:rFonts w:ascii="Times New Roman" w:eastAsia="Times New Roman" w:hAnsi="Times New Roman" w:cs="Times New Roman"/>
          <w:noProof/>
          <w:snapToGrid w:val="0"/>
          <w:color w:val="0D0D0D"/>
        </w:rPr>
        <w:t xml:space="preserve"> draudžiama vartoti žindymo metu (žr. 4.3 skyrių). Reikia nuspręsti, ar nutraukti žindymą, ar nutraukti / susilaikyti nuo gydymo vaistiniu preparatu.</w:t>
      </w:r>
    </w:p>
    <w:p w14:paraId="03AFDFF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p>
    <w:p w14:paraId="0D30D4C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u w:val="single"/>
        </w:rPr>
        <w:t>Vaisingumas</w:t>
      </w:r>
    </w:p>
    <w:p w14:paraId="255F0D3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rPr>
        <w:t>Rivaroksabano poveikį vaisingumui įvertinančių specifinių tyrimų su žmonėmis neatlikta. Žiurkių patelių ir patinų vaisingumo tyrime poveikio nebuvo nustatyta (žr. 5.3 skyrių).</w:t>
      </w:r>
    </w:p>
    <w:p w14:paraId="4A8BB32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C65B34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4.7</w:t>
      </w:r>
      <w:r w:rsidRPr="003E364C">
        <w:rPr>
          <w:rFonts w:ascii="Times New Roman" w:eastAsia="Times New Roman" w:hAnsi="Times New Roman" w:cs="Times New Roman"/>
          <w:b/>
          <w:bCs/>
          <w:snapToGrid w:val="0"/>
          <w:lang w:eastAsia="x-none"/>
        </w:rPr>
        <w:tab/>
        <w:t>Poveikis gebėjimui vairuoti ir valdyti mechanizmus</w:t>
      </w:r>
    </w:p>
    <w:p w14:paraId="149B237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EABD46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Rivaroksabanas gebėjimą vairuoti ir valdyti mechanizmus veikia silpnai. Buvo gauta pranešimų apie šias nepageidaujamas reakcijas: apalpimą (dažnis: nedažnas) ir svaigulį (dažnis: dažnas) (4.8 skyrių). Pacientams, kuriems pasireiškia šios nepageidaujamos reakcijos, vairuoti ir valdyti mechanizmų negalima.</w:t>
      </w:r>
    </w:p>
    <w:p w14:paraId="41008D9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D45DF8F" w14:textId="77777777" w:rsidR="003E364C" w:rsidRPr="003E364C" w:rsidRDefault="003E364C" w:rsidP="003E364C">
      <w:pPr>
        <w:tabs>
          <w:tab w:val="left" w:pos="567"/>
        </w:tabs>
        <w:spacing w:after="0" w:line="240" w:lineRule="auto"/>
        <w:outlineLvl w:val="0"/>
        <w:rPr>
          <w:rFonts w:ascii="Times New Roman" w:eastAsia="Times New Roman" w:hAnsi="Times New Roman" w:cs="Times New Roman"/>
          <w:snapToGrid w:val="0"/>
          <w:u w:val="single"/>
        </w:rPr>
      </w:pPr>
      <w:r w:rsidRPr="003E364C">
        <w:rPr>
          <w:rFonts w:ascii="Times New Roman" w:eastAsia="Times New Roman" w:hAnsi="Times New Roman" w:cs="Times New Roman"/>
          <w:b/>
          <w:snapToGrid w:val="0"/>
        </w:rPr>
        <w:t>4.8</w:t>
      </w:r>
      <w:r w:rsidRPr="003E364C">
        <w:rPr>
          <w:rFonts w:ascii="Times New Roman" w:eastAsia="Times New Roman" w:hAnsi="Times New Roman" w:cs="Times New Roman"/>
          <w:b/>
          <w:snapToGrid w:val="0"/>
        </w:rPr>
        <w:tab/>
        <w:t>Nepageidaujamas poveikis</w:t>
      </w:r>
    </w:p>
    <w:p w14:paraId="0C9E3FC7"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u w:val="single"/>
        </w:rPr>
      </w:pPr>
    </w:p>
    <w:p w14:paraId="2E016C11"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Saugumo duomenų santrauka</w:t>
      </w:r>
    </w:p>
    <w:p w14:paraId="079B998D"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saugumas buvo tiriamas trylikoje pagrindinių III fazės tyrimų (žr. 1 lentelę).</w:t>
      </w:r>
    </w:p>
    <w:p w14:paraId="775E73BC"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p>
    <w:p w14:paraId="7D8AF85E" w14:textId="762C84D6"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Iš viso devyniolikoje III fazės tyrimų dalyvavo 69 608 suaugę pacientai, ir dviejuose II fazės tyrimuose bei </w:t>
      </w:r>
      <w:r w:rsidR="0017359B">
        <w:rPr>
          <w:rFonts w:ascii="Times New Roman" w:eastAsia="Times New Roman" w:hAnsi="Times New Roman" w:cs="Times New Roman"/>
          <w:snapToGrid w:val="0"/>
        </w:rPr>
        <w:t>dviejuose</w:t>
      </w:r>
      <w:r w:rsidRPr="003E364C">
        <w:rPr>
          <w:rFonts w:ascii="Times New Roman" w:eastAsia="Times New Roman" w:hAnsi="Times New Roman" w:cs="Times New Roman"/>
          <w:snapToGrid w:val="0"/>
        </w:rPr>
        <w:t xml:space="preserve"> III fazės tyrim</w:t>
      </w:r>
      <w:r w:rsidR="0017359B">
        <w:rPr>
          <w:rFonts w:ascii="Times New Roman" w:eastAsia="Times New Roman" w:hAnsi="Times New Roman" w:cs="Times New Roman"/>
          <w:snapToGrid w:val="0"/>
        </w:rPr>
        <w:t>uose</w:t>
      </w:r>
      <w:r w:rsidRPr="003E364C">
        <w:rPr>
          <w:rFonts w:ascii="Times New Roman" w:eastAsia="Times New Roman" w:hAnsi="Times New Roman" w:cs="Times New Roman"/>
          <w:snapToGrid w:val="0"/>
        </w:rPr>
        <w:t xml:space="preserve"> dalyvavo 4</w:t>
      </w:r>
      <w:r w:rsidR="0017359B">
        <w:rPr>
          <w:rFonts w:ascii="Times New Roman" w:eastAsia="Times New Roman" w:hAnsi="Times New Roman" w:cs="Times New Roman"/>
          <w:snapToGrid w:val="0"/>
        </w:rPr>
        <w:t>88</w:t>
      </w:r>
      <w:r w:rsidRPr="003E364C">
        <w:rPr>
          <w:rFonts w:ascii="Times New Roman" w:eastAsia="Times New Roman" w:hAnsi="Times New Roman" w:cs="Times New Roman"/>
          <w:snapToGrid w:val="0"/>
        </w:rPr>
        <w:t xml:space="preserve"> vaik</w:t>
      </w:r>
      <w:r w:rsidR="0017359B">
        <w:rPr>
          <w:rFonts w:ascii="Times New Roman" w:eastAsia="Times New Roman" w:hAnsi="Times New Roman" w:cs="Times New Roman"/>
          <w:snapToGrid w:val="0"/>
        </w:rPr>
        <w:t>ai</w:t>
      </w:r>
      <w:r w:rsidRPr="003E364C">
        <w:rPr>
          <w:rFonts w:ascii="Times New Roman" w:eastAsia="Times New Roman" w:hAnsi="Times New Roman" w:cs="Times New Roman"/>
          <w:snapToGrid w:val="0"/>
        </w:rPr>
        <w:t xml:space="preserve">, </w:t>
      </w:r>
      <w:r w:rsidR="0017359B">
        <w:rPr>
          <w:rFonts w:ascii="Times New Roman" w:eastAsia="Times New Roman" w:hAnsi="Times New Roman" w:cs="Times New Roman"/>
          <w:snapToGrid w:val="0"/>
        </w:rPr>
        <w:t xml:space="preserve">kurie </w:t>
      </w:r>
      <w:r w:rsidRPr="003E364C">
        <w:rPr>
          <w:rFonts w:ascii="Times New Roman" w:eastAsia="Times New Roman" w:hAnsi="Times New Roman" w:cs="Times New Roman"/>
          <w:snapToGrid w:val="0"/>
        </w:rPr>
        <w:t>vartoj</w:t>
      </w:r>
      <w:r w:rsidR="0017359B">
        <w:rPr>
          <w:rFonts w:ascii="Times New Roman" w:eastAsia="Times New Roman" w:hAnsi="Times New Roman" w:cs="Times New Roman"/>
          <w:snapToGrid w:val="0"/>
        </w:rPr>
        <w:t>o</w:t>
      </w:r>
      <w:r w:rsidRPr="003E364C">
        <w:rPr>
          <w:rFonts w:ascii="Times New Roman" w:eastAsia="Times New Roman" w:hAnsi="Times New Roman" w:cs="Times New Roman"/>
          <w:snapToGrid w:val="0"/>
        </w:rPr>
        <w:t xml:space="preserve"> rivaroksabano.</w:t>
      </w:r>
    </w:p>
    <w:p w14:paraId="57671EC4"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p>
    <w:p w14:paraId="2A141F58"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1 lentelė.</w:t>
      </w:r>
      <w:r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b/>
          <w:snapToGrid w:val="0"/>
        </w:rPr>
        <w:t>Tirtų pacientų skaičius, bendra paros dozė ir ilgiausia gydymo trukmė III fazės tyrimuose su suaugusiaisiais ir vaikais</w:t>
      </w:r>
    </w:p>
    <w:p w14:paraId="61033A26" w14:textId="77777777" w:rsidR="003E364C" w:rsidRPr="003E364C" w:rsidRDefault="003E364C" w:rsidP="003E364C">
      <w:pPr>
        <w:tabs>
          <w:tab w:val="left" w:pos="567"/>
        </w:tabs>
        <w:autoSpaceDE w:val="0"/>
        <w:autoSpaceDN w:val="0"/>
        <w:adjustRightInd w:val="0"/>
        <w:spacing w:after="0" w:line="260" w:lineRule="exact"/>
        <w:ind w:left="284" w:hanging="426"/>
        <w:jc w:val="right"/>
        <w:rPr>
          <w:rFonts w:ascii="Times New Roman" w:eastAsia="Times New Roman" w:hAnsi="Times New Roman" w:cs="Times New Roman"/>
          <w:b/>
          <w:bCs/>
          <w:snapToGrid w:val="0"/>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4"/>
        <w:gridCol w:w="1207"/>
        <w:gridCol w:w="2453"/>
        <w:gridCol w:w="1529"/>
      </w:tblGrid>
      <w:tr w:rsidR="003E364C" w:rsidRPr="003E364C" w14:paraId="602A2988" w14:textId="77777777" w:rsidTr="0096285A">
        <w:trPr>
          <w:trHeight w:val="520"/>
        </w:trPr>
        <w:tc>
          <w:tcPr>
            <w:tcW w:w="4734" w:type="dxa"/>
          </w:tcPr>
          <w:p w14:paraId="53DAB313"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Indikacija</w:t>
            </w:r>
          </w:p>
        </w:tc>
        <w:tc>
          <w:tcPr>
            <w:tcW w:w="1207" w:type="dxa"/>
          </w:tcPr>
          <w:p w14:paraId="0814AFA1"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Pacientų</w:t>
            </w:r>
          </w:p>
          <w:p w14:paraId="1CA27128"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skaičius*</w:t>
            </w:r>
          </w:p>
        </w:tc>
        <w:tc>
          <w:tcPr>
            <w:tcW w:w="2453" w:type="dxa"/>
          </w:tcPr>
          <w:p w14:paraId="1EDBD1D1"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Bendra paros dozė</w:t>
            </w:r>
          </w:p>
        </w:tc>
        <w:tc>
          <w:tcPr>
            <w:tcW w:w="1529" w:type="dxa"/>
          </w:tcPr>
          <w:p w14:paraId="720D00EF"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Ilgiausia</w:t>
            </w:r>
          </w:p>
          <w:p w14:paraId="77E9D1FF"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trukmė</w:t>
            </w:r>
          </w:p>
        </w:tc>
      </w:tr>
      <w:tr w:rsidR="003E364C" w:rsidRPr="003E364C" w14:paraId="125186E4" w14:textId="77777777" w:rsidTr="0096285A">
        <w:trPr>
          <w:trHeight w:val="1012"/>
        </w:trPr>
        <w:tc>
          <w:tcPr>
            <w:tcW w:w="4734" w:type="dxa"/>
          </w:tcPr>
          <w:p w14:paraId="4C883706" w14:textId="77777777" w:rsidR="003E364C" w:rsidRPr="003E364C" w:rsidRDefault="003E364C" w:rsidP="00C312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VTE profilaktika suaugusiems pacientams, kuriems atliekama planinė klubo arba kelio sąnario pakeitimo</w:t>
            </w:r>
          </w:p>
          <w:p w14:paraId="20B3BB3F" w14:textId="77777777" w:rsidR="003E364C" w:rsidRPr="003E364C" w:rsidRDefault="003E364C" w:rsidP="00C312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operacija</w:t>
            </w:r>
          </w:p>
        </w:tc>
        <w:tc>
          <w:tcPr>
            <w:tcW w:w="1207" w:type="dxa"/>
          </w:tcPr>
          <w:p w14:paraId="2A23201A" w14:textId="77777777" w:rsidR="003E364C" w:rsidRPr="003E364C"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6097</w:t>
            </w:r>
          </w:p>
        </w:tc>
        <w:tc>
          <w:tcPr>
            <w:tcW w:w="2453" w:type="dxa"/>
          </w:tcPr>
          <w:p w14:paraId="20935279" w14:textId="589DB8A2"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10</w:t>
            </w:r>
            <w:r w:rsidR="00AD441E" w:rsidRPr="000930AE">
              <w:rPr>
                <w:rFonts w:ascii="Times New Roman" w:eastAsia="Times New Roman" w:hAnsi="Times New Roman" w:cs="Times New Roman"/>
                <w:snapToGrid w:val="0"/>
              </w:rPr>
              <w:t> mg</w:t>
            </w:r>
          </w:p>
        </w:tc>
        <w:tc>
          <w:tcPr>
            <w:tcW w:w="1529" w:type="dxa"/>
          </w:tcPr>
          <w:p w14:paraId="4ECFBB4E"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39 paros</w:t>
            </w:r>
          </w:p>
        </w:tc>
      </w:tr>
      <w:tr w:rsidR="003E364C" w:rsidRPr="003E364C" w14:paraId="3278E36A" w14:textId="77777777" w:rsidTr="0096285A">
        <w:trPr>
          <w:trHeight w:val="505"/>
        </w:trPr>
        <w:tc>
          <w:tcPr>
            <w:tcW w:w="4734" w:type="dxa"/>
          </w:tcPr>
          <w:p w14:paraId="5CB08D5A" w14:textId="77777777" w:rsidR="003E364C" w:rsidRPr="003E364C" w:rsidRDefault="003E364C" w:rsidP="00C312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VTE profilaktika vidaus ligomis sergantiems pacientams</w:t>
            </w:r>
          </w:p>
        </w:tc>
        <w:tc>
          <w:tcPr>
            <w:tcW w:w="1207" w:type="dxa"/>
          </w:tcPr>
          <w:p w14:paraId="7C2B9C32"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3997</w:t>
            </w:r>
          </w:p>
        </w:tc>
        <w:tc>
          <w:tcPr>
            <w:tcW w:w="2453" w:type="dxa"/>
          </w:tcPr>
          <w:p w14:paraId="30141696" w14:textId="47A6E93F"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10</w:t>
            </w:r>
            <w:r w:rsidR="00AD441E" w:rsidRPr="000930AE">
              <w:rPr>
                <w:rFonts w:ascii="Times New Roman" w:eastAsia="Times New Roman" w:hAnsi="Times New Roman" w:cs="Times New Roman"/>
                <w:snapToGrid w:val="0"/>
              </w:rPr>
              <w:t> mg</w:t>
            </w:r>
          </w:p>
        </w:tc>
        <w:tc>
          <w:tcPr>
            <w:tcW w:w="1529" w:type="dxa"/>
          </w:tcPr>
          <w:p w14:paraId="0DB34C0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39 paros</w:t>
            </w:r>
          </w:p>
        </w:tc>
      </w:tr>
      <w:tr w:rsidR="003E364C" w:rsidRPr="003E364C" w14:paraId="5078BF9D" w14:textId="77777777" w:rsidTr="0096285A">
        <w:trPr>
          <w:trHeight w:val="1298"/>
        </w:trPr>
        <w:tc>
          <w:tcPr>
            <w:tcW w:w="4734" w:type="dxa"/>
          </w:tcPr>
          <w:p w14:paraId="62B933CB" w14:textId="77777777" w:rsidR="003E364C" w:rsidRPr="003E364C" w:rsidRDefault="003E364C" w:rsidP="00C312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Gydymas nuo GVT, PE ir pasikartojimo profilaktika</w:t>
            </w:r>
          </w:p>
        </w:tc>
        <w:tc>
          <w:tcPr>
            <w:tcW w:w="1207" w:type="dxa"/>
          </w:tcPr>
          <w:p w14:paraId="7604EE3A" w14:textId="2C5FB24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790</w:t>
            </w:r>
          </w:p>
        </w:tc>
        <w:tc>
          <w:tcPr>
            <w:tcW w:w="2453" w:type="dxa"/>
          </w:tcPr>
          <w:p w14:paraId="36340E19" w14:textId="169FA99B"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1–21 para: 30</w:t>
            </w:r>
            <w:r w:rsidR="00AD441E" w:rsidRPr="000930AE">
              <w:rPr>
                <w:rFonts w:ascii="Times New Roman" w:eastAsia="Times New Roman" w:hAnsi="Times New Roman" w:cs="Times New Roman"/>
                <w:snapToGrid w:val="0"/>
              </w:rPr>
              <w:t> mg</w:t>
            </w:r>
          </w:p>
          <w:p w14:paraId="79CD0BF6" w14:textId="77777777" w:rsidR="00626B83"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22 para ir vėliau: 20</w:t>
            </w:r>
            <w:r w:rsidR="00AD441E" w:rsidRPr="000930AE">
              <w:rPr>
                <w:rFonts w:ascii="Times New Roman" w:eastAsia="Times New Roman" w:hAnsi="Times New Roman" w:cs="Times New Roman"/>
                <w:snapToGrid w:val="0"/>
              </w:rPr>
              <w:t> mg</w:t>
            </w:r>
            <w:r w:rsidRPr="000930AE">
              <w:rPr>
                <w:rFonts w:ascii="Times New Roman" w:eastAsia="Times New Roman" w:hAnsi="Times New Roman" w:cs="Times New Roman"/>
                <w:snapToGrid w:val="0"/>
              </w:rPr>
              <w:t xml:space="preserve"> </w:t>
            </w:r>
          </w:p>
          <w:p w14:paraId="060DA5A2" w14:textId="0B7DF282"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Ne anksčiau kaip po</w:t>
            </w:r>
          </w:p>
          <w:p w14:paraId="5497F571" w14:textId="403252ED"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6 mėnesių: 10</w:t>
            </w:r>
            <w:r w:rsidR="00AD441E" w:rsidRPr="000930AE">
              <w:rPr>
                <w:rFonts w:ascii="Times New Roman" w:eastAsia="Times New Roman" w:hAnsi="Times New Roman" w:cs="Times New Roman"/>
                <w:snapToGrid w:val="0"/>
              </w:rPr>
              <w:t> mg</w:t>
            </w:r>
            <w:r w:rsidRPr="000930AE">
              <w:rPr>
                <w:rFonts w:ascii="Times New Roman" w:eastAsia="Times New Roman" w:hAnsi="Times New Roman" w:cs="Times New Roman"/>
                <w:snapToGrid w:val="0"/>
              </w:rPr>
              <w:t xml:space="preserve"> arba</w:t>
            </w:r>
          </w:p>
          <w:p w14:paraId="64AFD5BA" w14:textId="670163D2"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20</w:t>
            </w:r>
            <w:r w:rsidR="00AD441E" w:rsidRPr="000930AE">
              <w:rPr>
                <w:rFonts w:ascii="Times New Roman" w:eastAsia="Times New Roman" w:hAnsi="Times New Roman" w:cs="Times New Roman"/>
                <w:snapToGrid w:val="0"/>
              </w:rPr>
              <w:t> mg</w:t>
            </w:r>
          </w:p>
        </w:tc>
        <w:tc>
          <w:tcPr>
            <w:tcW w:w="1529" w:type="dxa"/>
          </w:tcPr>
          <w:p w14:paraId="48A72D11"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21 mėnuo</w:t>
            </w:r>
          </w:p>
        </w:tc>
      </w:tr>
      <w:tr w:rsidR="003E364C" w:rsidRPr="003E364C" w14:paraId="688DD0BE" w14:textId="77777777" w:rsidTr="0096285A">
        <w:trPr>
          <w:trHeight w:val="1819"/>
        </w:trPr>
        <w:tc>
          <w:tcPr>
            <w:tcW w:w="4734" w:type="dxa"/>
          </w:tcPr>
          <w:p w14:paraId="435BCD17" w14:textId="77777777" w:rsidR="003E364C" w:rsidRPr="003E364C" w:rsidRDefault="003E364C" w:rsidP="00C312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Gydymas nuo VTE ir pasikartojančios VTE profilaktika išnešiotiems naujagimiams ir jaunesniems kaip 18 metų amžiaus vaikams, pradėjus standartinį gydymą antikoaguliantais</w:t>
            </w:r>
          </w:p>
        </w:tc>
        <w:tc>
          <w:tcPr>
            <w:tcW w:w="1207" w:type="dxa"/>
          </w:tcPr>
          <w:p w14:paraId="33D7CA24"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329</w:t>
            </w:r>
          </w:p>
        </w:tc>
        <w:tc>
          <w:tcPr>
            <w:tcW w:w="2453" w:type="dxa"/>
          </w:tcPr>
          <w:p w14:paraId="7872984C" w14:textId="555C5C6E"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Pagal kūno svorį parenkama dozė, siekiant panašios ekspozicijos kaip ir suaugusiesiems, vieną kartą per parą vartojantiems 20</w:t>
            </w:r>
            <w:r w:rsidR="00AD441E" w:rsidRPr="000930AE">
              <w:rPr>
                <w:rFonts w:ascii="Times New Roman" w:eastAsia="Times New Roman" w:hAnsi="Times New Roman" w:cs="Times New Roman"/>
                <w:snapToGrid w:val="0"/>
              </w:rPr>
              <w:t> mg</w:t>
            </w:r>
          </w:p>
          <w:p w14:paraId="5F4997EA" w14:textId="77777777"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rivaroksabano nuo GVT</w:t>
            </w:r>
          </w:p>
        </w:tc>
        <w:tc>
          <w:tcPr>
            <w:tcW w:w="1529" w:type="dxa"/>
          </w:tcPr>
          <w:p w14:paraId="2555D309"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12 mėnesių</w:t>
            </w:r>
          </w:p>
        </w:tc>
      </w:tr>
      <w:tr w:rsidR="003E364C" w:rsidRPr="003E364C" w14:paraId="55F4C59F" w14:textId="77777777" w:rsidTr="0096285A">
        <w:trPr>
          <w:trHeight w:val="1012"/>
        </w:trPr>
        <w:tc>
          <w:tcPr>
            <w:tcW w:w="4734" w:type="dxa"/>
          </w:tcPr>
          <w:p w14:paraId="238DE603" w14:textId="77777777" w:rsidR="003E364C" w:rsidRPr="003E364C" w:rsidRDefault="003E364C" w:rsidP="00C312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Insulto ir sisteminės embolijos profilaktika pacientams, kuriems yra su vožtuvų liga nesusijęs prieširdžių virpėjimas</w:t>
            </w:r>
          </w:p>
        </w:tc>
        <w:tc>
          <w:tcPr>
            <w:tcW w:w="1207" w:type="dxa"/>
          </w:tcPr>
          <w:p w14:paraId="15BDC487" w14:textId="17016A82"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7</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750</w:t>
            </w:r>
          </w:p>
        </w:tc>
        <w:tc>
          <w:tcPr>
            <w:tcW w:w="2453" w:type="dxa"/>
          </w:tcPr>
          <w:p w14:paraId="2C2934CE" w14:textId="2A519698"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20</w:t>
            </w:r>
            <w:r w:rsidR="00AD441E" w:rsidRPr="000930AE">
              <w:rPr>
                <w:rFonts w:ascii="Times New Roman" w:eastAsia="Times New Roman" w:hAnsi="Times New Roman" w:cs="Times New Roman"/>
                <w:snapToGrid w:val="0"/>
              </w:rPr>
              <w:t> mg</w:t>
            </w:r>
          </w:p>
        </w:tc>
        <w:tc>
          <w:tcPr>
            <w:tcW w:w="1529" w:type="dxa"/>
          </w:tcPr>
          <w:p w14:paraId="43DB7A6F"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41 mėnuo</w:t>
            </w:r>
          </w:p>
        </w:tc>
      </w:tr>
      <w:tr w:rsidR="003E364C" w:rsidRPr="003E364C" w14:paraId="3CD1B8BD" w14:textId="77777777" w:rsidTr="0096285A">
        <w:trPr>
          <w:trHeight w:val="1560"/>
        </w:trPr>
        <w:tc>
          <w:tcPr>
            <w:tcW w:w="4734" w:type="dxa"/>
          </w:tcPr>
          <w:p w14:paraId="2A4E41AD" w14:textId="77777777" w:rsidR="003E364C" w:rsidRPr="003E364C" w:rsidRDefault="003E364C" w:rsidP="00C312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Aterotrombozinių reiškinių profilaktika pacientams, patyrusiems ūminį koronarinį sindromą (ŪKS)</w:t>
            </w:r>
          </w:p>
        </w:tc>
        <w:tc>
          <w:tcPr>
            <w:tcW w:w="1207" w:type="dxa"/>
          </w:tcPr>
          <w:p w14:paraId="173A4651" w14:textId="60A78E0D"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225</w:t>
            </w:r>
          </w:p>
        </w:tc>
        <w:tc>
          <w:tcPr>
            <w:tcW w:w="2453" w:type="dxa"/>
          </w:tcPr>
          <w:p w14:paraId="31A85B4E" w14:textId="40C35FD1"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Atitinkamai 5</w:t>
            </w:r>
            <w:r w:rsidR="00AD441E" w:rsidRPr="000930AE">
              <w:rPr>
                <w:rFonts w:ascii="Times New Roman" w:eastAsia="Times New Roman" w:hAnsi="Times New Roman" w:cs="Times New Roman"/>
                <w:snapToGrid w:val="0"/>
              </w:rPr>
              <w:t> mg</w:t>
            </w:r>
            <w:r w:rsidRPr="000930AE">
              <w:rPr>
                <w:rFonts w:ascii="Times New Roman" w:eastAsia="Times New Roman" w:hAnsi="Times New Roman" w:cs="Times New Roman"/>
                <w:snapToGrid w:val="0"/>
              </w:rPr>
              <w:t xml:space="preserve"> arba 10</w:t>
            </w:r>
            <w:r w:rsidR="00AD441E" w:rsidRPr="000930AE">
              <w:rPr>
                <w:rFonts w:ascii="Times New Roman" w:eastAsia="Times New Roman" w:hAnsi="Times New Roman" w:cs="Times New Roman"/>
                <w:snapToGrid w:val="0"/>
              </w:rPr>
              <w:t> mg</w:t>
            </w:r>
            <w:r w:rsidRPr="000930AE">
              <w:rPr>
                <w:rFonts w:ascii="Times New Roman" w:eastAsia="Times New Roman" w:hAnsi="Times New Roman" w:cs="Times New Roman"/>
                <w:snapToGrid w:val="0"/>
              </w:rPr>
              <w:t>, kartu vartojant acetilsalicilo rūgšties, arba acetilsalicilo rūgšties ir klopidogrelio</w:t>
            </w:r>
          </w:p>
          <w:p w14:paraId="22C39CEC" w14:textId="77777777"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arba tiklopidino</w:t>
            </w:r>
          </w:p>
        </w:tc>
        <w:tc>
          <w:tcPr>
            <w:tcW w:w="1529" w:type="dxa"/>
          </w:tcPr>
          <w:p w14:paraId="4567DE8E"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31 mėnuo</w:t>
            </w:r>
          </w:p>
        </w:tc>
      </w:tr>
      <w:tr w:rsidR="003E364C" w:rsidRPr="003E364C" w14:paraId="4A15F3C4" w14:textId="77777777" w:rsidTr="0096285A">
        <w:trPr>
          <w:trHeight w:val="1041"/>
        </w:trPr>
        <w:tc>
          <w:tcPr>
            <w:tcW w:w="4734" w:type="dxa"/>
            <w:vMerge w:val="restart"/>
          </w:tcPr>
          <w:p w14:paraId="54A90B9E" w14:textId="77777777" w:rsidR="003E364C" w:rsidRPr="003E364C" w:rsidRDefault="003E364C" w:rsidP="00C312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Aterotrombozinių reiškinių profilaktika pacientams, sergantiems VAL ir (arba) PAL</w:t>
            </w:r>
          </w:p>
        </w:tc>
        <w:tc>
          <w:tcPr>
            <w:tcW w:w="1207" w:type="dxa"/>
          </w:tcPr>
          <w:p w14:paraId="742F87E2" w14:textId="18506E63"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244</w:t>
            </w:r>
          </w:p>
        </w:tc>
        <w:tc>
          <w:tcPr>
            <w:tcW w:w="2453" w:type="dxa"/>
          </w:tcPr>
          <w:p w14:paraId="5E7CE0FC" w14:textId="7CDECC60"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5</w:t>
            </w:r>
            <w:r w:rsidR="00AD441E" w:rsidRPr="000930AE">
              <w:rPr>
                <w:rFonts w:ascii="Times New Roman" w:eastAsia="Times New Roman" w:hAnsi="Times New Roman" w:cs="Times New Roman"/>
                <w:snapToGrid w:val="0"/>
              </w:rPr>
              <w:t> mg</w:t>
            </w:r>
            <w:r w:rsidRPr="000930AE">
              <w:rPr>
                <w:rFonts w:ascii="Times New Roman" w:eastAsia="Times New Roman" w:hAnsi="Times New Roman" w:cs="Times New Roman"/>
                <w:snapToGrid w:val="0"/>
              </w:rPr>
              <w:t>, derinant su acetilsalicilo rūgštimi, arba vartojant vien</w:t>
            </w:r>
          </w:p>
          <w:p w14:paraId="77D0155C" w14:textId="410DEAB4"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10</w:t>
            </w:r>
            <w:r w:rsidR="00AD441E" w:rsidRPr="000930AE">
              <w:rPr>
                <w:rFonts w:ascii="Times New Roman" w:eastAsia="Times New Roman" w:hAnsi="Times New Roman" w:cs="Times New Roman"/>
                <w:snapToGrid w:val="0"/>
              </w:rPr>
              <w:t> mg</w:t>
            </w:r>
            <w:r w:rsidRPr="000930AE">
              <w:rPr>
                <w:rFonts w:ascii="Times New Roman" w:eastAsia="Times New Roman" w:hAnsi="Times New Roman" w:cs="Times New Roman"/>
                <w:snapToGrid w:val="0"/>
              </w:rPr>
              <w:t xml:space="preserve"> rivaroksabano</w:t>
            </w:r>
          </w:p>
        </w:tc>
        <w:tc>
          <w:tcPr>
            <w:tcW w:w="1529" w:type="dxa"/>
          </w:tcPr>
          <w:p w14:paraId="04D06742"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47 mėnesiai</w:t>
            </w:r>
          </w:p>
        </w:tc>
      </w:tr>
      <w:tr w:rsidR="003E364C" w:rsidRPr="003E364C" w14:paraId="4E1630BB" w14:textId="77777777" w:rsidTr="0096285A">
        <w:trPr>
          <w:trHeight w:val="520"/>
        </w:trPr>
        <w:tc>
          <w:tcPr>
            <w:tcW w:w="4734" w:type="dxa"/>
            <w:vMerge/>
            <w:tcBorders>
              <w:top w:val="nil"/>
            </w:tcBorders>
          </w:tcPr>
          <w:p w14:paraId="47358729"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tc>
        <w:tc>
          <w:tcPr>
            <w:tcW w:w="1207" w:type="dxa"/>
          </w:tcPr>
          <w:p w14:paraId="6B8F0B61" w14:textId="19E243D1"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256**</w:t>
            </w:r>
          </w:p>
        </w:tc>
        <w:tc>
          <w:tcPr>
            <w:tcW w:w="2453" w:type="dxa"/>
          </w:tcPr>
          <w:p w14:paraId="69B4801F" w14:textId="4E4F4F7B" w:rsidR="003E364C" w:rsidRPr="000930AE" w:rsidRDefault="003E364C" w:rsidP="000930A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30AE">
              <w:rPr>
                <w:rFonts w:ascii="Times New Roman" w:eastAsia="Times New Roman" w:hAnsi="Times New Roman" w:cs="Times New Roman"/>
                <w:snapToGrid w:val="0"/>
              </w:rPr>
              <w:t>5</w:t>
            </w:r>
            <w:r w:rsidR="00AD441E" w:rsidRPr="000930AE">
              <w:rPr>
                <w:rFonts w:ascii="Times New Roman" w:eastAsia="Times New Roman" w:hAnsi="Times New Roman" w:cs="Times New Roman"/>
                <w:snapToGrid w:val="0"/>
              </w:rPr>
              <w:t> mg</w:t>
            </w:r>
            <w:r w:rsidRPr="000930AE">
              <w:rPr>
                <w:rFonts w:ascii="Times New Roman" w:eastAsia="Times New Roman" w:hAnsi="Times New Roman" w:cs="Times New Roman"/>
                <w:snapToGrid w:val="0"/>
              </w:rPr>
              <w:t>, derinant su acetilsalicilo rūgštimi</w:t>
            </w:r>
          </w:p>
        </w:tc>
        <w:tc>
          <w:tcPr>
            <w:tcW w:w="1529" w:type="dxa"/>
          </w:tcPr>
          <w:p w14:paraId="4CA41714"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42 mėnesiai</w:t>
            </w:r>
          </w:p>
        </w:tc>
      </w:tr>
    </w:tbl>
    <w:p w14:paraId="4458674D"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Pacientai, pavartoję mažiausiai vieną rivaroksabano dozę</w:t>
      </w:r>
    </w:p>
    <w:p w14:paraId="0E7FC7FF"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Tyrimo VOYAGER PAD duomenys</w:t>
      </w:r>
    </w:p>
    <w:p w14:paraId="57283F00" w14:textId="77777777"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E05DA23" w14:textId="1A29C723"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vartojusiems pacientams dažniausiai nustatyta nepageidaujama reakcija buvo kraujavimas (žr. taip pat 4.4 skyrių ir toliau pateiktą „Atrinktų nepageidaujamų reakcijų apibūdinimą“) (2 lentelė). Dažniausiai nustatyti kraujavimo reiškiniai buvo kraujavimas iš nosies (4,5</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snapToGrid w:val="0"/>
        </w:rPr>
        <w:t>) ir kraujavimas iš virškinimo trakto (3,8</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snapToGrid w:val="0"/>
        </w:rPr>
        <w:t>).</w:t>
      </w:r>
    </w:p>
    <w:p w14:paraId="018E433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p w14:paraId="49B547E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2 lentelė. Kraujavimo* ir anemijos reiškinių dažniai, nustatyti rivaroksabano vartojusiems pacientams, dalyvavusiems užbaigtuose III fazės tyrimuose su suaugusiaisiais ir vaikais</w:t>
      </w:r>
    </w:p>
    <w:p w14:paraId="4A95631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Cs/>
          <w:color w:val="000000"/>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3260"/>
      </w:tblGrid>
      <w:tr w:rsidR="003E364C" w:rsidRPr="003E364C" w14:paraId="2DBC1000" w14:textId="77777777" w:rsidTr="0096285A">
        <w:tc>
          <w:tcPr>
            <w:tcW w:w="3681" w:type="dxa"/>
          </w:tcPr>
          <w:p w14:paraId="6006F7F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Indikacija</w:t>
            </w:r>
          </w:p>
        </w:tc>
        <w:tc>
          <w:tcPr>
            <w:tcW w:w="2977" w:type="dxa"/>
          </w:tcPr>
          <w:p w14:paraId="0663A8A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Bet koks kraujavimas</w:t>
            </w:r>
          </w:p>
        </w:tc>
        <w:tc>
          <w:tcPr>
            <w:tcW w:w="3260" w:type="dxa"/>
          </w:tcPr>
          <w:p w14:paraId="384AEEE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Anemija</w:t>
            </w:r>
          </w:p>
        </w:tc>
      </w:tr>
      <w:tr w:rsidR="003E364C" w:rsidRPr="003E364C" w14:paraId="31CAEFB6" w14:textId="77777777" w:rsidTr="0096285A">
        <w:tc>
          <w:tcPr>
            <w:tcW w:w="3681" w:type="dxa"/>
          </w:tcPr>
          <w:p w14:paraId="22BEA20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VTE profilaktika suaugusiems pacientams, kuriems atliekamos planinės klubo arba kelio sąnario pakeitimo operacijos</w:t>
            </w:r>
          </w:p>
        </w:tc>
        <w:tc>
          <w:tcPr>
            <w:tcW w:w="2977" w:type="dxa"/>
          </w:tcPr>
          <w:p w14:paraId="065B7C3B" w14:textId="77BE8124"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6,8</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c>
          <w:tcPr>
            <w:tcW w:w="3260" w:type="dxa"/>
          </w:tcPr>
          <w:p w14:paraId="7EB99D0D" w14:textId="123EB0CE"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5,9</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r>
      <w:tr w:rsidR="003E364C" w:rsidRPr="003E364C" w14:paraId="661F350A" w14:textId="77777777" w:rsidTr="0096285A">
        <w:tc>
          <w:tcPr>
            <w:tcW w:w="3681" w:type="dxa"/>
          </w:tcPr>
          <w:p w14:paraId="515AF9D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VTE profilaktika vidaus ligomis sergantiems pacientams</w:t>
            </w:r>
          </w:p>
        </w:tc>
        <w:tc>
          <w:tcPr>
            <w:tcW w:w="2977" w:type="dxa"/>
          </w:tcPr>
          <w:p w14:paraId="2A2FE6C8" w14:textId="5FB506B8"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12,6</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c>
          <w:tcPr>
            <w:tcW w:w="3260" w:type="dxa"/>
          </w:tcPr>
          <w:p w14:paraId="0AB53E2F" w14:textId="41A9AC7E"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2,1</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r>
      <w:tr w:rsidR="003E364C" w:rsidRPr="003E364C" w14:paraId="4881DB6E" w14:textId="77777777" w:rsidTr="0096285A">
        <w:tc>
          <w:tcPr>
            <w:tcW w:w="3681" w:type="dxa"/>
          </w:tcPr>
          <w:p w14:paraId="5642A1A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Gydymas nuo GVT, PE ir pasikartojimo profilaktika</w:t>
            </w:r>
          </w:p>
        </w:tc>
        <w:tc>
          <w:tcPr>
            <w:tcW w:w="2977" w:type="dxa"/>
          </w:tcPr>
          <w:p w14:paraId="5540D936" w14:textId="4EB31576"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23</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c>
          <w:tcPr>
            <w:tcW w:w="3260" w:type="dxa"/>
          </w:tcPr>
          <w:p w14:paraId="33D9E062" w14:textId="29B134BF"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1,6</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r>
      <w:tr w:rsidR="003E364C" w:rsidRPr="003E364C" w14:paraId="3E7308F4" w14:textId="77777777" w:rsidTr="0096285A">
        <w:tc>
          <w:tcPr>
            <w:tcW w:w="3681" w:type="dxa"/>
          </w:tcPr>
          <w:p w14:paraId="38CBDDE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lastRenderedPageBreak/>
              <w:t>Gydymas nuo VTE ir pasikartojančios VTE profilaktika išnešiotiems naujagimiams ir jaunesniems kaip 18 metų amžiaus vaikams, pradėjus standartinį gydymą antikoaguliantais</w:t>
            </w:r>
          </w:p>
        </w:tc>
        <w:tc>
          <w:tcPr>
            <w:tcW w:w="2977" w:type="dxa"/>
          </w:tcPr>
          <w:p w14:paraId="000CEA0C" w14:textId="7A4986C5"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39,5</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c>
          <w:tcPr>
            <w:tcW w:w="3260" w:type="dxa"/>
          </w:tcPr>
          <w:p w14:paraId="0A7B7CE5" w14:textId="0BC9E35C"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4,6</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r>
      <w:tr w:rsidR="003E364C" w:rsidRPr="003E364C" w14:paraId="0DA58EC8" w14:textId="77777777" w:rsidTr="0096285A">
        <w:tc>
          <w:tcPr>
            <w:tcW w:w="3681" w:type="dxa"/>
          </w:tcPr>
          <w:p w14:paraId="5E2B3CC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Insulto ir sisteminės embolijos profilaktika pacientams, kuriems yra su vožtuvų liga nesusijęs prieširdžių virpėjimas</w:t>
            </w:r>
          </w:p>
        </w:tc>
        <w:tc>
          <w:tcPr>
            <w:tcW w:w="2977" w:type="dxa"/>
          </w:tcPr>
          <w:p w14:paraId="3BC727CF" w14:textId="2181FC21"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28 atvejai 100-ui pacient</w:t>
            </w:r>
            <w:r w:rsidR="00626B83">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c>
          <w:tcPr>
            <w:tcW w:w="3260" w:type="dxa"/>
          </w:tcPr>
          <w:p w14:paraId="624F0CA9" w14:textId="12B247DF"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2,5 atvejo 100-ui pacient</w:t>
            </w:r>
            <w:r w:rsidR="00626B83">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r>
      <w:tr w:rsidR="003E364C" w:rsidRPr="003E364C" w14:paraId="2EAEBDFD" w14:textId="77777777" w:rsidTr="0096285A">
        <w:tc>
          <w:tcPr>
            <w:tcW w:w="3681" w:type="dxa"/>
          </w:tcPr>
          <w:p w14:paraId="23634AE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Aterotrombozinių reiškinių profilaktika pacientams, patyrusiems ŪKS</w:t>
            </w:r>
          </w:p>
        </w:tc>
        <w:tc>
          <w:tcPr>
            <w:tcW w:w="2977" w:type="dxa"/>
          </w:tcPr>
          <w:p w14:paraId="333D34E5" w14:textId="5C7BED3C"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22 atvejai 100-ui pacient</w:t>
            </w:r>
            <w:r w:rsidR="00626B83">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c>
          <w:tcPr>
            <w:tcW w:w="3260" w:type="dxa"/>
          </w:tcPr>
          <w:p w14:paraId="4E22F8C7" w14:textId="1948EB9E"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 atvejo 100-ui pacient</w:t>
            </w:r>
            <w:r w:rsidR="00626B83">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r>
      <w:tr w:rsidR="003E364C" w:rsidRPr="003E364C" w14:paraId="33A72BB3" w14:textId="77777777" w:rsidTr="0096285A">
        <w:trPr>
          <w:trHeight w:val="615"/>
        </w:trPr>
        <w:tc>
          <w:tcPr>
            <w:tcW w:w="3681" w:type="dxa"/>
            <w:vMerge w:val="restart"/>
            <w:tcBorders>
              <w:top w:val="single" w:sz="4" w:space="0" w:color="auto"/>
              <w:left w:val="single" w:sz="4" w:space="0" w:color="auto"/>
              <w:right w:val="single" w:sz="4" w:space="0" w:color="auto"/>
            </w:tcBorders>
          </w:tcPr>
          <w:p w14:paraId="00BB68A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Aterotrombozinių reiškinių profilaktika pacientams, sergantiems VAL ir (arba) PAL</w:t>
            </w:r>
          </w:p>
        </w:tc>
        <w:tc>
          <w:tcPr>
            <w:tcW w:w="2977" w:type="dxa"/>
            <w:tcBorders>
              <w:top w:val="single" w:sz="4" w:space="0" w:color="auto"/>
              <w:left w:val="single" w:sz="4" w:space="0" w:color="auto"/>
              <w:bottom w:val="single" w:sz="4" w:space="0" w:color="auto"/>
              <w:right w:val="single" w:sz="4" w:space="0" w:color="auto"/>
            </w:tcBorders>
          </w:tcPr>
          <w:p w14:paraId="30A9BA89" w14:textId="1D83D78E"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6,7 atvejo 100-ui pacient</w:t>
            </w:r>
            <w:r w:rsidR="00626B83">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c>
          <w:tcPr>
            <w:tcW w:w="3260" w:type="dxa"/>
            <w:tcBorders>
              <w:top w:val="single" w:sz="4" w:space="0" w:color="auto"/>
              <w:left w:val="single" w:sz="4" w:space="0" w:color="auto"/>
              <w:bottom w:val="single" w:sz="4" w:space="0" w:color="auto"/>
              <w:right w:val="single" w:sz="4" w:space="0" w:color="auto"/>
            </w:tcBorders>
          </w:tcPr>
          <w:p w14:paraId="7A65EFA3" w14:textId="65F11D2E"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0,15 atvejo 100-ui pacient</w:t>
            </w:r>
            <w:r w:rsidR="00626B83">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r>
      <w:tr w:rsidR="003E364C" w:rsidRPr="003E364C" w14:paraId="53CBDC2A" w14:textId="77777777" w:rsidTr="0096285A">
        <w:trPr>
          <w:trHeight w:val="420"/>
        </w:trPr>
        <w:tc>
          <w:tcPr>
            <w:tcW w:w="3681" w:type="dxa"/>
            <w:vMerge/>
            <w:tcBorders>
              <w:left w:val="single" w:sz="4" w:space="0" w:color="auto"/>
              <w:bottom w:val="single" w:sz="4" w:space="0" w:color="auto"/>
              <w:right w:val="single" w:sz="4" w:space="0" w:color="auto"/>
            </w:tcBorders>
          </w:tcPr>
          <w:p w14:paraId="2F444E6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2977" w:type="dxa"/>
            <w:tcBorders>
              <w:top w:val="single" w:sz="4" w:space="0" w:color="auto"/>
              <w:left w:val="single" w:sz="4" w:space="0" w:color="auto"/>
              <w:bottom w:val="single" w:sz="4" w:space="0" w:color="auto"/>
              <w:right w:val="single" w:sz="4" w:space="0" w:color="auto"/>
            </w:tcBorders>
          </w:tcPr>
          <w:p w14:paraId="6A8110EC" w14:textId="6DF94932" w:rsidR="003E364C" w:rsidRPr="003E364C" w:rsidRDefault="003E364C" w:rsidP="003E364C">
            <w:pPr>
              <w:autoSpaceDE w:val="0"/>
              <w:autoSpaceDN w:val="0"/>
              <w:adjustRightInd w:val="0"/>
              <w:spacing w:after="0" w:line="240" w:lineRule="auto"/>
              <w:rPr>
                <w:rFonts w:ascii="Times New Roman" w:eastAsia="Times New Roman" w:hAnsi="Times New Roman" w:cs="Times New Roman"/>
                <w:color w:val="000000"/>
                <w:lang w:eastAsia="lt-LT"/>
              </w:rPr>
            </w:pPr>
            <w:r w:rsidRPr="003E364C">
              <w:rPr>
                <w:rFonts w:ascii="Times New Roman" w:eastAsia="Times New Roman" w:hAnsi="Times New Roman" w:cs="Times New Roman"/>
                <w:color w:val="000000"/>
                <w:lang w:eastAsia="lt-LT"/>
              </w:rPr>
              <w:t>8,38 atvejo 100-ui pacient</w:t>
            </w:r>
            <w:r w:rsidR="00626B83">
              <w:rPr>
                <w:rFonts w:ascii="Times New Roman" w:eastAsia="Times New Roman" w:hAnsi="Times New Roman" w:cs="Times New Roman"/>
                <w:color w:val="000000"/>
                <w:lang w:eastAsia="lt-LT"/>
              </w:rPr>
              <w:t>ų</w:t>
            </w:r>
            <w:r w:rsidRPr="003E364C">
              <w:rPr>
                <w:rFonts w:ascii="Times New Roman" w:eastAsia="Times New Roman" w:hAnsi="Times New Roman" w:cs="Times New Roman"/>
                <w:color w:val="000000"/>
                <w:lang w:eastAsia="lt-LT"/>
              </w:rPr>
              <w:t xml:space="preserve"> metų</w:t>
            </w:r>
            <w:r w:rsidRPr="003E364C">
              <w:rPr>
                <w:rFonts w:ascii="Times New Roman" w:eastAsia="Times New Roman" w:hAnsi="Times New Roman" w:cs="Times New Roman"/>
                <w:color w:val="000000"/>
                <w:position w:val="9"/>
                <w:lang w:eastAsia="lt-LT"/>
              </w:rPr>
              <w:t>#</w:t>
            </w:r>
            <w:r w:rsidRPr="003E364C">
              <w:rPr>
                <w:rFonts w:ascii="Times New Roman" w:eastAsia="Times New Roman" w:hAnsi="Times New Roman" w:cs="Times New Roman"/>
                <w:color w:val="000000"/>
                <w:lang w:eastAsia="lt-LT"/>
              </w:rPr>
              <w:t xml:space="preserve"> </w:t>
            </w:r>
          </w:p>
          <w:p w14:paraId="7473147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3260" w:type="dxa"/>
            <w:tcBorders>
              <w:top w:val="single" w:sz="4" w:space="0" w:color="auto"/>
              <w:left w:val="single" w:sz="4" w:space="0" w:color="auto"/>
              <w:bottom w:val="single" w:sz="4" w:space="0" w:color="auto"/>
              <w:right w:val="single" w:sz="4" w:space="0" w:color="auto"/>
            </w:tcBorders>
          </w:tcPr>
          <w:p w14:paraId="7DE4CDD4" w14:textId="0F79FB0D" w:rsidR="003E364C" w:rsidRPr="003E364C" w:rsidRDefault="003E364C" w:rsidP="003E364C">
            <w:pPr>
              <w:autoSpaceDE w:val="0"/>
              <w:autoSpaceDN w:val="0"/>
              <w:adjustRightInd w:val="0"/>
              <w:spacing w:after="0" w:line="240" w:lineRule="auto"/>
              <w:rPr>
                <w:rFonts w:ascii="Times New Roman" w:eastAsia="Times New Roman" w:hAnsi="Times New Roman" w:cs="Times New Roman"/>
                <w:color w:val="000000"/>
                <w:lang w:eastAsia="lt-LT"/>
              </w:rPr>
            </w:pPr>
            <w:r w:rsidRPr="003E364C">
              <w:rPr>
                <w:rFonts w:ascii="Times New Roman" w:eastAsia="Times New Roman" w:hAnsi="Times New Roman" w:cs="Times New Roman"/>
                <w:color w:val="000000"/>
                <w:lang w:eastAsia="lt-LT"/>
              </w:rPr>
              <w:t>0,74 atvejo 100-ui pacient</w:t>
            </w:r>
            <w:r w:rsidR="00626B83">
              <w:rPr>
                <w:rFonts w:ascii="Times New Roman" w:eastAsia="Times New Roman" w:hAnsi="Times New Roman" w:cs="Times New Roman"/>
                <w:color w:val="000000"/>
                <w:lang w:eastAsia="lt-LT"/>
              </w:rPr>
              <w:t>ų</w:t>
            </w:r>
            <w:r w:rsidRPr="003E364C">
              <w:rPr>
                <w:rFonts w:ascii="Times New Roman" w:eastAsia="Times New Roman" w:hAnsi="Times New Roman" w:cs="Times New Roman"/>
                <w:color w:val="000000"/>
                <w:lang w:eastAsia="lt-LT"/>
              </w:rPr>
              <w:t xml:space="preserve"> metų***</w:t>
            </w:r>
            <w:r w:rsidRPr="003E364C">
              <w:rPr>
                <w:rFonts w:ascii="Times New Roman" w:eastAsia="Times New Roman" w:hAnsi="Times New Roman" w:cs="Times New Roman"/>
                <w:color w:val="000000"/>
                <w:position w:val="9"/>
                <w:lang w:eastAsia="lt-LT"/>
              </w:rPr>
              <w:t>#</w:t>
            </w:r>
          </w:p>
          <w:p w14:paraId="4DB92BA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bl>
    <w:p w14:paraId="4ECA09D4" w14:textId="77777777" w:rsidR="003E364C" w:rsidRPr="003E364C" w:rsidRDefault="003E364C" w:rsidP="004D00AF">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*Surinkti duomenys apie visus kraujavimo reiškinius, nustatytus visų rivaroksabano tyrimų metu, apie šiuos reiškinius pranešta ir jie įvertinti.</w:t>
      </w:r>
    </w:p>
    <w:p w14:paraId="37E7EA4D" w14:textId="77777777" w:rsidR="003E364C" w:rsidRPr="003E364C" w:rsidRDefault="003E364C" w:rsidP="004D00AF">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**Tyrimo COMPASS metu, taikant selektyvų nepageidaujamų reiškinių duomenų rinkimo metodą, nustatytas mažas anemijos dažnis.</w:t>
      </w:r>
    </w:p>
    <w:p w14:paraId="57144F1B" w14:textId="77777777" w:rsidR="003E364C" w:rsidRPr="003E364C" w:rsidRDefault="003E364C" w:rsidP="004D00AF">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***Buvo taikomas selektyvus nepageidaujamų reiškinių duomenų rinkimo metodas.</w:t>
      </w:r>
    </w:p>
    <w:p w14:paraId="412BB56C" w14:textId="1C8D9707" w:rsidR="003E364C" w:rsidRPr="003E364C" w:rsidRDefault="003E364C" w:rsidP="004D00AF">
      <w:pPr>
        <w:tabs>
          <w:tab w:val="left" w:pos="567"/>
        </w:tabs>
        <w:suppressAutoHyphens/>
        <w:spacing w:after="0" w:line="260" w:lineRule="exact"/>
        <w:rPr>
          <w:rFonts w:ascii="Times New Roman" w:eastAsia="Times New Roman" w:hAnsi="Times New Roman" w:cs="Times New Roman"/>
          <w:color w:val="000000"/>
          <w:position w:val="9"/>
          <w:sz w:val="20"/>
          <w:szCs w:val="20"/>
          <w:lang w:eastAsia="ar-SA"/>
        </w:rPr>
      </w:pPr>
      <w:r w:rsidRPr="003E364C">
        <w:rPr>
          <w:rFonts w:ascii="Times New Roman" w:eastAsia="Times New Roman" w:hAnsi="Times New Roman" w:cs="Times New Roman"/>
          <w:color w:val="000000"/>
          <w:position w:val="9"/>
          <w:sz w:val="20"/>
          <w:szCs w:val="20"/>
          <w:lang w:eastAsia="ar-SA"/>
        </w:rPr>
        <w:t>#</w:t>
      </w:r>
      <w:r w:rsidRPr="003E364C">
        <w:rPr>
          <w:rFonts w:ascii="Times New Roman" w:eastAsia="Times New Roman" w:hAnsi="Times New Roman" w:cs="Times New Roman"/>
          <w:color w:val="000000"/>
          <w:sz w:val="20"/>
          <w:szCs w:val="20"/>
          <w:lang w:eastAsia="ar-SA"/>
        </w:rPr>
        <w:t>Tyrimo VOYAGER PAD duomenys.</w:t>
      </w:r>
    </w:p>
    <w:p w14:paraId="44DBB851"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3C3ACB3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Nepageidaujamų reakcijų santrauka lentelėje</w:t>
      </w:r>
    </w:p>
    <w:p w14:paraId="369334B5" w14:textId="77777777"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vartojimo metu suaugusiesiems ir vaikams nustatytų nepageidaujamų reakcijų dažniai apibūdinami pagal organų sistemų klases (taikant MedDRA terminologiją) ir dažnį toliau pateiktoje 3 lentelėje.</w:t>
      </w:r>
    </w:p>
    <w:p w14:paraId="4859C5E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370A8AC2" w14:textId="7EE79BD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Nepageidaujamo poveikio dažnis apibūdinamas taip: labai dažnas (≥ 1/10); dažnas (nuo ≥ 1/100 iki &lt; 1/10); nedažnas (nuo ≥ 1/1 000 iki &lt; 1/100); retas (nuo ≥ 1/10 000 iki &lt; 1/1 000); labai retas (&lt; 1/10 000) ir</w:t>
      </w:r>
      <w:r w:rsidR="004D00AF">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dažnis nežinomas (negali būti apskaičiuotas pagal turimus duomenis).</w:t>
      </w:r>
    </w:p>
    <w:p w14:paraId="2A7A0BC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p w14:paraId="27224F7F" w14:textId="4E135FEF"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 xml:space="preserve">3 lentelė. </w:t>
      </w:r>
      <w:r w:rsidRPr="003E364C">
        <w:rPr>
          <w:rFonts w:ascii="Times New Roman" w:eastAsia="Times New Roman" w:hAnsi="Times New Roman" w:cs="Times New Roman"/>
          <w:b/>
        </w:rPr>
        <w:t>Visos nepageidaujamos</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reakcijos,</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kurios</w:t>
      </w:r>
      <w:r w:rsidRPr="003E364C">
        <w:rPr>
          <w:rFonts w:ascii="Times New Roman" w:eastAsia="Times New Roman" w:hAnsi="Times New Roman" w:cs="Times New Roman"/>
          <w:b/>
          <w:spacing w:val="-3"/>
        </w:rPr>
        <w:t xml:space="preserve"> </w:t>
      </w:r>
      <w:r w:rsidRPr="003E364C">
        <w:rPr>
          <w:rFonts w:ascii="Times New Roman" w:eastAsia="Times New Roman" w:hAnsi="Times New Roman" w:cs="Times New Roman"/>
          <w:b/>
        </w:rPr>
        <w:t>nustatytos</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suaugusiems</w:t>
      </w:r>
      <w:r w:rsidRPr="003E364C">
        <w:rPr>
          <w:rFonts w:ascii="Times New Roman" w:eastAsia="Times New Roman" w:hAnsi="Times New Roman" w:cs="Times New Roman"/>
          <w:b/>
          <w:spacing w:val="-3"/>
        </w:rPr>
        <w:t xml:space="preserve"> </w:t>
      </w:r>
      <w:r w:rsidRPr="003E364C">
        <w:rPr>
          <w:rFonts w:ascii="Times New Roman" w:eastAsia="Times New Roman" w:hAnsi="Times New Roman" w:cs="Times New Roman"/>
          <w:b/>
        </w:rPr>
        <w:t>pacientams</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III</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fazės klinikiniuose</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tyrimuose</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arba</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vaistiniam</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preparatui</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esant</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rinkoje*</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ir</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vaikams</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dviejuose</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 xml:space="preserve">II fazės tyrimuose bei </w:t>
      </w:r>
      <w:r w:rsidR="0017359B">
        <w:rPr>
          <w:rFonts w:ascii="Times New Roman" w:eastAsia="Times New Roman" w:hAnsi="Times New Roman" w:cs="Times New Roman"/>
          <w:b/>
        </w:rPr>
        <w:t>dviejuose</w:t>
      </w:r>
      <w:r w:rsidRPr="003E364C">
        <w:rPr>
          <w:rFonts w:ascii="Times New Roman" w:eastAsia="Times New Roman" w:hAnsi="Times New Roman" w:cs="Times New Roman"/>
          <w:b/>
        </w:rPr>
        <w:t xml:space="preserve"> III fazės tyrim</w:t>
      </w:r>
      <w:r w:rsidR="0017359B">
        <w:rPr>
          <w:rFonts w:ascii="Times New Roman" w:eastAsia="Times New Roman" w:hAnsi="Times New Roman" w:cs="Times New Roman"/>
          <w:b/>
        </w:rPr>
        <w:t>uose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268"/>
        <w:gridCol w:w="1871"/>
        <w:gridCol w:w="1486"/>
        <w:gridCol w:w="1604"/>
      </w:tblGrid>
      <w:tr w:rsidR="003E364C" w:rsidRPr="003E364C" w14:paraId="29C961AB" w14:textId="77777777" w:rsidTr="00C3128C">
        <w:trPr>
          <w:tblHeader/>
        </w:trPr>
        <w:tc>
          <w:tcPr>
            <w:tcW w:w="2093" w:type="dxa"/>
          </w:tcPr>
          <w:p w14:paraId="6A50873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Dažnas</w:t>
            </w:r>
          </w:p>
        </w:tc>
        <w:tc>
          <w:tcPr>
            <w:tcW w:w="2268" w:type="dxa"/>
          </w:tcPr>
          <w:p w14:paraId="2E5F244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Nedažnas</w:t>
            </w:r>
          </w:p>
        </w:tc>
        <w:tc>
          <w:tcPr>
            <w:tcW w:w="1871" w:type="dxa"/>
          </w:tcPr>
          <w:p w14:paraId="12FFFB4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Retas</w:t>
            </w:r>
          </w:p>
        </w:tc>
        <w:tc>
          <w:tcPr>
            <w:tcW w:w="1486" w:type="dxa"/>
          </w:tcPr>
          <w:p w14:paraId="0157CF2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Labai retas</w:t>
            </w:r>
          </w:p>
        </w:tc>
        <w:tc>
          <w:tcPr>
            <w:tcW w:w="1604" w:type="dxa"/>
          </w:tcPr>
          <w:p w14:paraId="20B3B8E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Dažnis nežinomas</w:t>
            </w:r>
          </w:p>
        </w:tc>
      </w:tr>
      <w:tr w:rsidR="003E364C" w:rsidRPr="003E364C" w14:paraId="05FA7E37" w14:textId="77777777" w:rsidTr="0096285A">
        <w:tc>
          <w:tcPr>
            <w:tcW w:w="9322" w:type="dxa"/>
            <w:gridSpan w:val="5"/>
          </w:tcPr>
          <w:p w14:paraId="2DB4A3B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 xml:space="preserve">Kraujo ir limfinės sistemos sutrikimai </w:t>
            </w:r>
          </w:p>
        </w:tc>
      </w:tr>
      <w:tr w:rsidR="003E364C" w:rsidRPr="003E364C" w14:paraId="0360659D" w14:textId="77777777" w:rsidTr="00C3128C">
        <w:tc>
          <w:tcPr>
            <w:tcW w:w="2093" w:type="dxa"/>
          </w:tcPr>
          <w:p w14:paraId="75C8B91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Anemija (įskaitant atitinkamus laboratorinius parametrus)</w:t>
            </w:r>
          </w:p>
        </w:tc>
        <w:tc>
          <w:tcPr>
            <w:tcW w:w="2268" w:type="dxa"/>
          </w:tcPr>
          <w:p w14:paraId="3070A26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Trombocitozė (įskaitant padidėjusį trombocitų kiekį)</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w:t>
            </w:r>
          </w:p>
          <w:p w14:paraId="6C12DD6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trombocitopenija</w:t>
            </w:r>
          </w:p>
        </w:tc>
        <w:tc>
          <w:tcPr>
            <w:tcW w:w="1871" w:type="dxa"/>
          </w:tcPr>
          <w:p w14:paraId="2AC5652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71C773B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0BB03EA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01E40C43" w14:textId="77777777" w:rsidTr="0096285A">
        <w:tc>
          <w:tcPr>
            <w:tcW w:w="9322" w:type="dxa"/>
            <w:gridSpan w:val="5"/>
          </w:tcPr>
          <w:p w14:paraId="2426DC7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Imuninės sistemos sutrikimai</w:t>
            </w:r>
          </w:p>
        </w:tc>
      </w:tr>
      <w:tr w:rsidR="003E364C" w:rsidRPr="003E364C" w14:paraId="10BB229A" w14:textId="77777777" w:rsidTr="00C3128C">
        <w:tc>
          <w:tcPr>
            <w:tcW w:w="2093" w:type="dxa"/>
          </w:tcPr>
          <w:p w14:paraId="24B709B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2268" w:type="dxa"/>
          </w:tcPr>
          <w:p w14:paraId="1CFC346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Alerginė reakcija,</w:t>
            </w:r>
          </w:p>
          <w:p w14:paraId="1273477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alerginis dermatitas, angioneurozinė edema, alerginė edema</w:t>
            </w:r>
          </w:p>
        </w:tc>
        <w:tc>
          <w:tcPr>
            <w:tcW w:w="1871" w:type="dxa"/>
          </w:tcPr>
          <w:p w14:paraId="6B8A216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2D2F956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Anafilaksinės reakcijos, įskaitant anafilaksinį šoką</w:t>
            </w:r>
          </w:p>
        </w:tc>
        <w:tc>
          <w:tcPr>
            <w:tcW w:w="1604" w:type="dxa"/>
          </w:tcPr>
          <w:p w14:paraId="158454E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72CD19F3" w14:textId="77777777" w:rsidTr="0096285A">
        <w:tc>
          <w:tcPr>
            <w:tcW w:w="9322" w:type="dxa"/>
            <w:gridSpan w:val="5"/>
          </w:tcPr>
          <w:p w14:paraId="762B364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Nervų sistemos sutrikimai</w:t>
            </w:r>
          </w:p>
        </w:tc>
      </w:tr>
      <w:tr w:rsidR="003E364C" w:rsidRPr="003E364C" w14:paraId="6670DF41" w14:textId="77777777" w:rsidTr="00C3128C">
        <w:tc>
          <w:tcPr>
            <w:tcW w:w="2093" w:type="dxa"/>
          </w:tcPr>
          <w:p w14:paraId="4169844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Svaigulys, galvos skausmas</w:t>
            </w:r>
          </w:p>
        </w:tc>
        <w:tc>
          <w:tcPr>
            <w:tcW w:w="2268" w:type="dxa"/>
          </w:tcPr>
          <w:p w14:paraId="08045B2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Intracerebrinis ir intrakranijinis kraujavimas, apalpimas</w:t>
            </w:r>
          </w:p>
        </w:tc>
        <w:tc>
          <w:tcPr>
            <w:tcW w:w="1871" w:type="dxa"/>
          </w:tcPr>
          <w:p w14:paraId="2A29CC5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209047D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5A2206E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756E92BA" w14:textId="77777777" w:rsidTr="0096285A">
        <w:tc>
          <w:tcPr>
            <w:tcW w:w="9322" w:type="dxa"/>
            <w:gridSpan w:val="5"/>
          </w:tcPr>
          <w:p w14:paraId="1331B80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lastRenderedPageBreak/>
              <w:t>Akių sutrikimai</w:t>
            </w:r>
          </w:p>
        </w:tc>
      </w:tr>
      <w:tr w:rsidR="003E364C" w:rsidRPr="003E364C" w14:paraId="5ADB758C" w14:textId="77777777" w:rsidTr="00C3128C">
        <w:tc>
          <w:tcPr>
            <w:tcW w:w="2093" w:type="dxa"/>
          </w:tcPr>
          <w:p w14:paraId="2DFFD8C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Akies kraujavimas (įskaitant junginės kraujavimą)</w:t>
            </w:r>
          </w:p>
        </w:tc>
        <w:tc>
          <w:tcPr>
            <w:tcW w:w="2268" w:type="dxa"/>
          </w:tcPr>
          <w:p w14:paraId="4B2B9FF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63A4622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34565E7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7071DA9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232EFEFA" w14:textId="77777777" w:rsidTr="0096285A">
        <w:tc>
          <w:tcPr>
            <w:tcW w:w="9322" w:type="dxa"/>
            <w:gridSpan w:val="5"/>
          </w:tcPr>
          <w:p w14:paraId="3039599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Širdies sutrikimai</w:t>
            </w:r>
          </w:p>
        </w:tc>
      </w:tr>
      <w:tr w:rsidR="003E364C" w:rsidRPr="003E364C" w14:paraId="43C59217" w14:textId="77777777" w:rsidTr="00C3128C">
        <w:tc>
          <w:tcPr>
            <w:tcW w:w="2093" w:type="dxa"/>
          </w:tcPr>
          <w:p w14:paraId="5CF87FBB"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2268" w:type="dxa"/>
          </w:tcPr>
          <w:p w14:paraId="44490AA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Tachikardija</w:t>
            </w:r>
          </w:p>
        </w:tc>
        <w:tc>
          <w:tcPr>
            <w:tcW w:w="1871" w:type="dxa"/>
          </w:tcPr>
          <w:p w14:paraId="412A0A0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04CF56D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2143DEC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5D95FDCC" w14:textId="77777777" w:rsidTr="0096285A">
        <w:tc>
          <w:tcPr>
            <w:tcW w:w="9322" w:type="dxa"/>
            <w:gridSpan w:val="5"/>
          </w:tcPr>
          <w:p w14:paraId="0D825F7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Kraujagyslių sutrikimai</w:t>
            </w:r>
          </w:p>
        </w:tc>
      </w:tr>
      <w:tr w:rsidR="003E364C" w:rsidRPr="003E364C" w14:paraId="382158AC" w14:textId="77777777" w:rsidTr="00C3128C">
        <w:tc>
          <w:tcPr>
            <w:tcW w:w="2093" w:type="dxa"/>
          </w:tcPr>
          <w:p w14:paraId="5E366E9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Hipotenzija,</w:t>
            </w:r>
          </w:p>
          <w:p w14:paraId="693CD3B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hematoma</w:t>
            </w:r>
          </w:p>
        </w:tc>
        <w:tc>
          <w:tcPr>
            <w:tcW w:w="2268" w:type="dxa"/>
          </w:tcPr>
          <w:p w14:paraId="5D931D4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6FD6E1B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219D264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24D2700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0AC58850" w14:textId="77777777" w:rsidTr="0096285A">
        <w:tc>
          <w:tcPr>
            <w:tcW w:w="9322" w:type="dxa"/>
            <w:gridSpan w:val="5"/>
          </w:tcPr>
          <w:p w14:paraId="72538FE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 xml:space="preserve">Kvėpavimo sistemos, krūtinės ląstos ir tarpuplaučio sutrikimai </w:t>
            </w:r>
          </w:p>
        </w:tc>
      </w:tr>
      <w:tr w:rsidR="003E364C" w:rsidRPr="003E364C" w14:paraId="353E27A4" w14:textId="77777777" w:rsidTr="00C3128C">
        <w:tc>
          <w:tcPr>
            <w:tcW w:w="2093" w:type="dxa"/>
          </w:tcPr>
          <w:p w14:paraId="570B197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Kraujavimas iš nosies, atsikosėjimas krauju</w:t>
            </w:r>
          </w:p>
        </w:tc>
        <w:tc>
          <w:tcPr>
            <w:tcW w:w="2268" w:type="dxa"/>
          </w:tcPr>
          <w:p w14:paraId="5FDBB64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0AEBA9EB"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0DE248BB" w14:textId="3601193E" w:rsidR="003E364C" w:rsidRPr="003E364C" w:rsidRDefault="0017359B" w:rsidP="003E364C">
            <w:pPr>
              <w:tabs>
                <w:tab w:val="left" w:pos="567"/>
              </w:tabs>
              <w:suppressAutoHyphens/>
              <w:spacing w:after="0" w:line="260" w:lineRule="exact"/>
              <w:rPr>
                <w:rFonts w:ascii="Times New Roman" w:eastAsia="Times New Roman" w:hAnsi="Times New Roman" w:cs="Times New Roman"/>
                <w:color w:val="000000"/>
                <w:lang w:eastAsia="ar-SA"/>
              </w:rPr>
            </w:pPr>
            <w:r w:rsidRPr="0017359B">
              <w:rPr>
                <w:rFonts w:ascii="Times New Roman" w:eastAsia="Times New Roman" w:hAnsi="Times New Roman" w:cs="Times New Roman"/>
                <w:color w:val="000000"/>
                <w:lang w:eastAsia="ar-SA"/>
              </w:rPr>
              <w:t>Eozinofilinė pneumonija</w:t>
            </w:r>
          </w:p>
        </w:tc>
        <w:tc>
          <w:tcPr>
            <w:tcW w:w="1604" w:type="dxa"/>
          </w:tcPr>
          <w:p w14:paraId="3D0CF5C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4E27E1CE" w14:textId="77777777" w:rsidTr="0096285A">
        <w:tc>
          <w:tcPr>
            <w:tcW w:w="9322" w:type="dxa"/>
            <w:gridSpan w:val="5"/>
          </w:tcPr>
          <w:p w14:paraId="2C838F9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 xml:space="preserve">Virškinimo trakto sutrikimai </w:t>
            </w:r>
          </w:p>
        </w:tc>
      </w:tr>
      <w:tr w:rsidR="003E364C" w:rsidRPr="003E364C" w14:paraId="62A39EA9" w14:textId="77777777" w:rsidTr="00C3128C">
        <w:tc>
          <w:tcPr>
            <w:tcW w:w="2093" w:type="dxa"/>
          </w:tcPr>
          <w:p w14:paraId="6B0E68C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Kraujavimas iš dantenų, kraujavimas iš virškinimo trakto (įskaitant kraujavimą iš tiesiosios žarnos), virškinimo trakto ir pilvo skausmai, dispepsija, pykinimas, vidurių užkietėjimas</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 viduriavimas, vėmimas</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 xml:space="preserve"> </w:t>
            </w:r>
          </w:p>
        </w:tc>
        <w:tc>
          <w:tcPr>
            <w:tcW w:w="2268" w:type="dxa"/>
          </w:tcPr>
          <w:p w14:paraId="22D6D5C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Burnos džiūvimas</w:t>
            </w:r>
          </w:p>
        </w:tc>
        <w:tc>
          <w:tcPr>
            <w:tcW w:w="1871" w:type="dxa"/>
          </w:tcPr>
          <w:p w14:paraId="26D385A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1BBB8CD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05171C4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46348EA3" w14:textId="77777777" w:rsidTr="0096285A">
        <w:tc>
          <w:tcPr>
            <w:tcW w:w="9322" w:type="dxa"/>
            <w:gridSpan w:val="5"/>
          </w:tcPr>
          <w:p w14:paraId="3A0AAA5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Kepenų, tulžies pūslės ir latakų sutrikimai</w:t>
            </w:r>
          </w:p>
        </w:tc>
      </w:tr>
      <w:tr w:rsidR="003E364C" w:rsidRPr="003E364C" w14:paraId="1E8C76E4" w14:textId="77777777" w:rsidTr="00C3128C">
        <w:tc>
          <w:tcPr>
            <w:tcW w:w="2093" w:type="dxa"/>
          </w:tcPr>
          <w:p w14:paraId="6950D94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Padidėjęs transaminazių aktyvumas</w:t>
            </w:r>
          </w:p>
        </w:tc>
        <w:tc>
          <w:tcPr>
            <w:tcW w:w="2268" w:type="dxa"/>
          </w:tcPr>
          <w:p w14:paraId="5DAD7A3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Kepenų pakenkimas, padidėjęs bilirubino kiekis, padidėjęs šarminės fosfatazės aktyvumas kraujyje</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w:t>
            </w:r>
          </w:p>
          <w:p w14:paraId="6336C45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padidėjęs GGT</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 xml:space="preserve"> aktyvumas</w:t>
            </w:r>
          </w:p>
        </w:tc>
        <w:tc>
          <w:tcPr>
            <w:tcW w:w="1871" w:type="dxa"/>
          </w:tcPr>
          <w:p w14:paraId="4716D2B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Gelta, padidėjęs konjuguoto bilirubino kiekis (kartu gali padidėti arba nepadidėti ALT</w:t>
            </w:r>
            <w:r w:rsidRPr="003E364C">
              <w:rPr>
                <w:rFonts w:ascii="Times New Roman" w:eastAsia="Times New Roman" w:hAnsi="Times New Roman" w:cs="Times New Roman"/>
                <w:color w:val="000000"/>
                <w:vertAlign w:val="superscript"/>
                <w:lang w:eastAsia="ar-SA"/>
              </w:rPr>
              <w:t>**</w:t>
            </w:r>
            <w:r w:rsidRPr="003E364C">
              <w:rPr>
                <w:rFonts w:ascii="Times New Roman" w:eastAsia="Times New Roman" w:hAnsi="Times New Roman" w:cs="Times New Roman"/>
                <w:color w:val="000000"/>
                <w:lang w:eastAsia="ar-SA"/>
              </w:rPr>
              <w:t xml:space="preserve"> aktyvumas), cholestazė, hepatitas (įskaitant kepenų ląstelių pažeidimą)</w:t>
            </w:r>
          </w:p>
        </w:tc>
        <w:tc>
          <w:tcPr>
            <w:tcW w:w="1486" w:type="dxa"/>
          </w:tcPr>
          <w:p w14:paraId="519F58A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6919D1A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2E22B857" w14:textId="77777777" w:rsidTr="0096285A">
        <w:tc>
          <w:tcPr>
            <w:tcW w:w="9322" w:type="dxa"/>
            <w:gridSpan w:val="5"/>
          </w:tcPr>
          <w:p w14:paraId="0DB9DB6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Odos ir poodinio audinio sutrikimai</w:t>
            </w:r>
          </w:p>
        </w:tc>
      </w:tr>
      <w:tr w:rsidR="003E364C" w:rsidRPr="003E364C" w14:paraId="350B280F" w14:textId="77777777" w:rsidTr="00C3128C">
        <w:tc>
          <w:tcPr>
            <w:tcW w:w="2093" w:type="dxa"/>
          </w:tcPr>
          <w:p w14:paraId="0506A4B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Niežėjimas (įskaitant nedažnus generalizuoto niežėjimo atvejus), bėrimas, ekchimozė, kraujavimas į odą ir po oda</w:t>
            </w:r>
          </w:p>
        </w:tc>
        <w:tc>
          <w:tcPr>
            <w:tcW w:w="2268" w:type="dxa"/>
          </w:tcPr>
          <w:p w14:paraId="6AEADD4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Dilgėlinė</w:t>
            </w:r>
          </w:p>
        </w:tc>
        <w:tc>
          <w:tcPr>
            <w:tcW w:w="1871" w:type="dxa"/>
          </w:tcPr>
          <w:p w14:paraId="4F378E8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2163078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spacing w:val="-2"/>
              </w:rPr>
              <w:t>Stivenso-Džonsono (</w:t>
            </w:r>
            <w:r w:rsidRPr="003E364C">
              <w:rPr>
                <w:rFonts w:ascii="Times New Roman" w:eastAsia="Times New Roman" w:hAnsi="Times New Roman" w:cs="Times New Roman"/>
                <w:i/>
                <w:spacing w:val="-2"/>
              </w:rPr>
              <w:t>Stevens-Johnson</w:t>
            </w:r>
            <w:r w:rsidRPr="003E364C">
              <w:rPr>
                <w:rFonts w:ascii="Times New Roman" w:eastAsia="Times New Roman" w:hAnsi="Times New Roman" w:cs="Times New Roman"/>
                <w:spacing w:val="-2"/>
              </w:rPr>
              <w:t xml:space="preserve">) </w:t>
            </w:r>
            <w:r w:rsidRPr="003E364C">
              <w:rPr>
                <w:rFonts w:ascii="Times New Roman" w:eastAsia="Times New Roman" w:hAnsi="Times New Roman" w:cs="Times New Roman"/>
                <w:color w:val="000000"/>
                <w:lang w:eastAsia="ar-SA"/>
              </w:rPr>
              <w:t>sindromas ir (arba) toksinė epidermio</w:t>
            </w:r>
          </w:p>
          <w:p w14:paraId="6F250BB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nekrolizė, </w:t>
            </w:r>
            <w:r w:rsidRPr="003E364C">
              <w:rPr>
                <w:rFonts w:ascii="Times New Roman" w:eastAsia="Times New Roman" w:hAnsi="Times New Roman" w:cs="Times New Roman"/>
                <w:i/>
                <w:color w:val="000000"/>
                <w:lang w:eastAsia="ar-SA"/>
              </w:rPr>
              <w:t>DRESS</w:t>
            </w:r>
            <w:r w:rsidRPr="003E364C">
              <w:rPr>
                <w:rFonts w:ascii="Times New Roman" w:eastAsia="Times New Roman" w:hAnsi="Times New Roman" w:cs="Times New Roman"/>
                <w:color w:val="000000"/>
                <w:lang w:eastAsia="ar-SA"/>
              </w:rPr>
              <w:t xml:space="preserve"> sindromas</w:t>
            </w:r>
          </w:p>
        </w:tc>
        <w:tc>
          <w:tcPr>
            <w:tcW w:w="1604" w:type="dxa"/>
          </w:tcPr>
          <w:p w14:paraId="7B3ED8A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6732A9F3" w14:textId="77777777" w:rsidTr="0096285A">
        <w:tc>
          <w:tcPr>
            <w:tcW w:w="9322" w:type="dxa"/>
            <w:gridSpan w:val="5"/>
          </w:tcPr>
          <w:p w14:paraId="080C9EB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Skeleto, raumenų ir jungiamojo audinio sutrikimai</w:t>
            </w:r>
          </w:p>
        </w:tc>
      </w:tr>
      <w:tr w:rsidR="003E364C" w:rsidRPr="003E364C" w14:paraId="6FAA4717" w14:textId="77777777" w:rsidTr="00C3128C">
        <w:tc>
          <w:tcPr>
            <w:tcW w:w="2093" w:type="dxa"/>
          </w:tcPr>
          <w:p w14:paraId="1DAEC1B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lastRenderedPageBreak/>
              <w:t>Galūnių skausmas</w:t>
            </w:r>
            <w:r w:rsidRPr="003E364C">
              <w:rPr>
                <w:rFonts w:ascii="Times New Roman" w:eastAsia="Times New Roman" w:hAnsi="Times New Roman" w:cs="Times New Roman"/>
                <w:color w:val="000000"/>
                <w:vertAlign w:val="superscript"/>
                <w:lang w:eastAsia="ar-SA"/>
              </w:rPr>
              <w:t>A</w:t>
            </w:r>
          </w:p>
        </w:tc>
        <w:tc>
          <w:tcPr>
            <w:tcW w:w="2268" w:type="dxa"/>
          </w:tcPr>
          <w:p w14:paraId="54498B2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Hemartrozė</w:t>
            </w:r>
          </w:p>
        </w:tc>
        <w:tc>
          <w:tcPr>
            <w:tcW w:w="1871" w:type="dxa"/>
          </w:tcPr>
          <w:p w14:paraId="246C279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Kraujavimas į raumenis</w:t>
            </w:r>
          </w:p>
        </w:tc>
        <w:tc>
          <w:tcPr>
            <w:tcW w:w="1486" w:type="dxa"/>
          </w:tcPr>
          <w:p w14:paraId="6436BBB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22CB633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Suspaudimo sindromas dėl kraujavimo</w:t>
            </w:r>
          </w:p>
        </w:tc>
      </w:tr>
      <w:tr w:rsidR="003E364C" w:rsidRPr="003E364C" w14:paraId="3889DDB8" w14:textId="77777777" w:rsidTr="0096285A">
        <w:tc>
          <w:tcPr>
            <w:tcW w:w="9322" w:type="dxa"/>
            <w:gridSpan w:val="5"/>
          </w:tcPr>
          <w:p w14:paraId="72761ED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Inkstų ir šlapimo takų sutrikimai</w:t>
            </w:r>
          </w:p>
        </w:tc>
      </w:tr>
      <w:tr w:rsidR="003E364C" w:rsidRPr="003E364C" w14:paraId="75826BB9" w14:textId="77777777" w:rsidTr="00C3128C">
        <w:tc>
          <w:tcPr>
            <w:tcW w:w="2093" w:type="dxa"/>
          </w:tcPr>
          <w:p w14:paraId="1C0BBDE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Kraujavimas iš urogenitalinio trakto (įskaitant hematuriją ir menoragiją</w:t>
            </w:r>
            <w:r w:rsidRPr="003E364C">
              <w:rPr>
                <w:rFonts w:ascii="Times New Roman" w:eastAsia="Times New Roman" w:hAnsi="Times New Roman" w:cs="Times New Roman"/>
                <w:color w:val="000000"/>
                <w:vertAlign w:val="superscript"/>
                <w:lang w:eastAsia="ar-SA"/>
              </w:rPr>
              <w:t>B</w:t>
            </w:r>
            <w:r w:rsidRPr="003E364C">
              <w:rPr>
                <w:rFonts w:ascii="Times New Roman" w:eastAsia="Times New Roman" w:hAnsi="Times New Roman" w:cs="Times New Roman"/>
                <w:color w:val="000000"/>
                <w:lang w:eastAsia="ar-SA"/>
              </w:rPr>
              <w:t>), inkstų funkcijos sutrikimas (įskaitant padidėjusį kreatinino kiekį kraujyje, padidėjusį urėjos kiekį kraujyje)</w:t>
            </w:r>
            <w:r w:rsidRPr="003E364C">
              <w:rPr>
                <w:rFonts w:ascii="Times New Roman" w:eastAsia="Times New Roman" w:hAnsi="Times New Roman" w:cs="Times New Roman"/>
                <w:color w:val="000000"/>
                <w:vertAlign w:val="superscript"/>
                <w:lang w:eastAsia="ar-SA"/>
              </w:rPr>
              <w:t>A</w:t>
            </w:r>
          </w:p>
        </w:tc>
        <w:tc>
          <w:tcPr>
            <w:tcW w:w="2268" w:type="dxa"/>
          </w:tcPr>
          <w:p w14:paraId="0981FE0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5AFAE63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665FF65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0A799629" w14:textId="58309C09"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Inkstų nepakankamumas/ ūminis inkstų nepakankamumas dėl kraujavimo, kurio pakanka hipoperfuzijai sukelti</w:t>
            </w:r>
            <w:r w:rsidR="00CF4CA4">
              <w:rPr>
                <w:rFonts w:ascii="Times New Roman" w:eastAsia="Times New Roman" w:hAnsi="Times New Roman" w:cs="Times New Roman"/>
                <w:color w:val="000000"/>
                <w:lang w:eastAsia="ar-SA"/>
              </w:rPr>
              <w:t xml:space="preserve">, </w:t>
            </w:r>
            <w:r w:rsidR="00CF4CA4" w:rsidRPr="001010A0">
              <w:rPr>
                <w:rFonts w:ascii="Times New Roman" w:hAnsi="Times New Roman" w:cs="Times New Roman"/>
              </w:rPr>
              <w:t>su antikoagulian</w:t>
            </w:r>
            <w:r w:rsidR="00CF4CA4">
              <w:rPr>
                <w:rFonts w:ascii="Times New Roman" w:hAnsi="Times New Roman" w:cs="Times New Roman"/>
              </w:rPr>
              <w:t>-</w:t>
            </w:r>
            <w:r w:rsidR="00CF4CA4" w:rsidRPr="001010A0">
              <w:rPr>
                <w:rFonts w:ascii="Times New Roman" w:hAnsi="Times New Roman" w:cs="Times New Roman"/>
              </w:rPr>
              <w:t>tais susijusi nefropatija</w:t>
            </w:r>
          </w:p>
        </w:tc>
      </w:tr>
      <w:tr w:rsidR="003E364C" w:rsidRPr="003E364C" w14:paraId="63336360" w14:textId="77777777" w:rsidTr="0096285A">
        <w:tc>
          <w:tcPr>
            <w:tcW w:w="9322" w:type="dxa"/>
            <w:gridSpan w:val="5"/>
          </w:tcPr>
          <w:p w14:paraId="276B875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Bendrieji sutrikimai ir vartojimo vietos pažeidimai</w:t>
            </w:r>
          </w:p>
        </w:tc>
      </w:tr>
      <w:tr w:rsidR="003E364C" w:rsidRPr="003E364C" w14:paraId="706AD2B4" w14:textId="77777777" w:rsidTr="00C3128C">
        <w:tc>
          <w:tcPr>
            <w:tcW w:w="2093" w:type="dxa"/>
          </w:tcPr>
          <w:p w14:paraId="45784D1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Karščiavimas</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 periferinė edema, sumažėjusi bendroji jėga ir energija (įskaitant nuovargį ir asteniją)</w:t>
            </w:r>
          </w:p>
        </w:tc>
        <w:tc>
          <w:tcPr>
            <w:tcW w:w="2268" w:type="dxa"/>
          </w:tcPr>
          <w:p w14:paraId="3333395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Bloga savijauta (įskaitant negalavimą)</w:t>
            </w:r>
          </w:p>
        </w:tc>
        <w:tc>
          <w:tcPr>
            <w:tcW w:w="1871" w:type="dxa"/>
          </w:tcPr>
          <w:p w14:paraId="4F2A7B7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Vietinė edema</w:t>
            </w:r>
            <w:r w:rsidRPr="003E364C">
              <w:rPr>
                <w:rFonts w:ascii="Times New Roman" w:eastAsia="Times New Roman" w:hAnsi="Times New Roman" w:cs="Times New Roman"/>
                <w:color w:val="000000"/>
                <w:vertAlign w:val="superscript"/>
                <w:lang w:eastAsia="ar-SA"/>
              </w:rPr>
              <w:t>A</w:t>
            </w:r>
          </w:p>
        </w:tc>
        <w:tc>
          <w:tcPr>
            <w:tcW w:w="1486" w:type="dxa"/>
          </w:tcPr>
          <w:p w14:paraId="2BD06AE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75A25A3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3506C14C" w14:textId="77777777" w:rsidTr="0096285A">
        <w:tc>
          <w:tcPr>
            <w:tcW w:w="9322" w:type="dxa"/>
            <w:gridSpan w:val="5"/>
          </w:tcPr>
          <w:p w14:paraId="4D22398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Tyrimai</w:t>
            </w:r>
          </w:p>
        </w:tc>
      </w:tr>
      <w:tr w:rsidR="003E364C" w:rsidRPr="003E364C" w14:paraId="157EBD35" w14:textId="77777777" w:rsidTr="00C3128C">
        <w:tc>
          <w:tcPr>
            <w:tcW w:w="2093" w:type="dxa"/>
          </w:tcPr>
          <w:p w14:paraId="5F3249B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2268" w:type="dxa"/>
          </w:tcPr>
          <w:p w14:paraId="2743BC4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Padidėjęs LDH</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 xml:space="preserve"> aktyvumas, padidėjęs lipazės aktyvumas</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 padidėjęs amilazės aktyvumas</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 xml:space="preserve">. </w:t>
            </w:r>
          </w:p>
        </w:tc>
        <w:tc>
          <w:tcPr>
            <w:tcW w:w="1871" w:type="dxa"/>
          </w:tcPr>
          <w:p w14:paraId="6C9B3A8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486" w:type="dxa"/>
          </w:tcPr>
          <w:p w14:paraId="1A21FAA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2498D06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75B65933" w14:textId="77777777" w:rsidTr="0096285A">
        <w:tc>
          <w:tcPr>
            <w:tcW w:w="2093" w:type="dxa"/>
          </w:tcPr>
          <w:p w14:paraId="3A2D54E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tc>
        <w:tc>
          <w:tcPr>
            <w:tcW w:w="7229" w:type="dxa"/>
            <w:gridSpan w:val="4"/>
          </w:tcPr>
          <w:p w14:paraId="781FC43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Sužalojimai, apsinuodijimai ir procedūrų komplikacijos</w:t>
            </w:r>
          </w:p>
        </w:tc>
      </w:tr>
      <w:tr w:rsidR="003E364C" w:rsidRPr="003E364C" w14:paraId="4C916FFD" w14:textId="77777777" w:rsidTr="00C3128C">
        <w:tc>
          <w:tcPr>
            <w:tcW w:w="2093" w:type="dxa"/>
          </w:tcPr>
          <w:p w14:paraId="6F88EBC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Kraujavimas po procedūros (įskaitant pooperacinę anemiją ir kraujavimą iš žaizdos), kontūzija, sekrecija iš žaizdos</w:t>
            </w:r>
            <w:r w:rsidRPr="003E364C">
              <w:rPr>
                <w:rFonts w:ascii="Times New Roman" w:eastAsia="Times New Roman" w:hAnsi="Times New Roman" w:cs="Times New Roman"/>
                <w:color w:val="000000"/>
                <w:vertAlign w:val="superscript"/>
                <w:lang w:eastAsia="ar-SA"/>
              </w:rPr>
              <w:t>A</w:t>
            </w:r>
          </w:p>
        </w:tc>
        <w:tc>
          <w:tcPr>
            <w:tcW w:w="2268" w:type="dxa"/>
          </w:tcPr>
          <w:p w14:paraId="72CAA4BB"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631E9FF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Kraujagyslių pseudoaneurizma</w:t>
            </w:r>
            <w:r w:rsidRPr="003E364C">
              <w:rPr>
                <w:rFonts w:ascii="Times New Roman" w:eastAsia="Times New Roman" w:hAnsi="Times New Roman" w:cs="Times New Roman"/>
                <w:color w:val="000000"/>
                <w:vertAlign w:val="superscript"/>
                <w:lang w:eastAsia="ar-SA"/>
              </w:rPr>
              <w:t>C</w:t>
            </w:r>
          </w:p>
        </w:tc>
        <w:tc>
          <w:tcPr>
            <w:tcW w:w="1486" w:type="dxa"/>
          </w:tcPr>
          <w:p w14:paraId="28EC386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604" w:type="dxa"/>
          </w:tcPr>
          <w:p w14:paraId="093B8CB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bl>
    <w:p w14:paraId="02822943" w14:textId="77777777" w:rsidR="003E364C" w:rsidRPr="003E364C" w:rsidRDefault="003E364C" w:rsidP="003E364C">
      <w:pPr>
        <w:tabs>
          <w:tab w:val="left" w:pos="567"/>
        </w:tabs>
        <w:suppressAutoHyphens/>
        <w:spacing w:after="0" w:line="240" w:lineRule="auto"/>
        <w:ind w:left="284" w:hanging="284"/>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vertAlign w:val="superscript"/>
          <w:lang w:eastAsia="ar-SA"/>
        </w:rPr>
        <w:t>A</w:t>
      </w: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pastebėta taikant venų tromboembolijos (VTE) profilaktiką suaugusiems pacientams, atliekant planines klubo arba kelio sąnario pakeitimo operacijas;</w:t>
      </w:r>
    </w:p>
    <w:p w14:paraId="5675957A" w14:textId="77777777" w:rsidR="003E364C" w:rsidRPr="003E364C" w:rsidRDefault="003E364C" w:rsidP="003E364C">
      <w:pPr>
        <w:tabs>
          <w:tab w:val="left" w:pos="567"/>
        </w:tabs>
        <w:suppressAutoHyphens/>
        <w:spacing w:after="0" w:line="260" w:lineRule="exact"/>
        <w:ind w:left="284" w:hanging="284"/>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vertAlign w:val="superscript"/>
          <w:lang w:eastAsia="ar-SA"/>
        </w:rPr>
        <w:t>B</w:t>
      </w: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pastebėtas kaip labai dažnas nepageidaujamas poveikis, gydant GVT, PE ir taikant šių sutrikimų pasikartojimo profilaktiką jaunesnėms nei 55 metų amžiaus moterims;</w:t>
      </w:r>
    </w:p>
    <w:p w14:paraId="77F4549E" w14:textId="77777777" w:rsidR="003E364C" w:rsidRPr="003E364C" w:rsidRDefault="003E364C" w:rsidP="003E364C">
      <w:pPr>
        <w:tabs>
          <w:tab w:val="left" w:pos="567"/>
        </w:tabs>
        <w:suppressAutoHyphens/>
        <w:spacing w:after="0" w:line="260" w:lineRule="exact"/>
        <w:ind w:left="284" w:hanging="284"/>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vertAlign w:val="superscript"/>
          <w:lang w:eastAsia="ar-SA"/>
        </w:rPr>
        <w:t>C</w:t>
      </w: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pastebėtas kaip nedažnas nepageidaujamas poveikis, taikant aterotrombozinių reiškinių profilaktiką pacientams, patyrusiems ŪKS (po perkutaninės koronarinės intervencijos).</w:t>
      </w:r>
    </w:p>
    <w:p w14:paraId="735F266F" w14:textId="77777777" w:rsidR="003E364C" w:rsidRPr="003E364C" w:rsidRDefault="003E364C" w:rsidP="003E364C">
      <w:pPr>
        <w:tabs>
          <w:tab w:val="left" w:pos="284"/>
        </w:tabs>
        <w:suppressAutoHyphens/>
        <w:spacing w:after="0" w:line="240" w:lineRule="auto"/>
        <w:ind w:left="284" w:hanging="284"/>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w:t>
      </w:r>
      <w:r w:rsidRPr="003E364C">
        <w:rPr>
          <w:rFonts w:ascii="Times New Roman" w:eastAsia="Times New Roman" w:hAnsi="Times New Roman" w:cs="Times New Roman"/>
          <w:color w:val="000000"/>
          <w:sz w:val="20"/>
          <w:szCs w:val="20"/>
          <w:lang w:eastAsia="ar-SA"/>
        </w:rPr>
        <w:tab/>
        <w:t>Pasirinktų III fazės tyrimų metu buvo taikomas iš anksto numatytas selektyvus nepageidaujamų reiškinių rinkimo metodas. Remiantis šių tyrimų analize, nepageidaujamų reakcijų dažnis nepadidėjo ir nebuvo nustatyta nė vienos nepageidaujamos reakcijos.</w:t>
      </w:r>
    </w:p>
    <w:p w14:paraId="2452660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**:AST – aspartataminotransferazė, GGT – gamaglutamiltransferazė, LDH – laktatdehidrogenazė.</w:t>
      </w:r>
    </w:p>
    <w:p w14:paraId="08214EE6"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00DC890D"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Atrinktų nepageidaujamų reakcijų apibūdinimas</w:t>
      </w:r>
    </w:p>
    <w:p w14:paraId="22C44551" w14:textId="77777777" w:rsidR="00CF4CA4"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w:t>
      </w:r>
      <w:r w:rsidRPr="003E364C">
        <w:rPr>
          <w:rFonts w:ascii="Times New Roman" w:eastAsia="Times New Roman" w:hAnsi="Times New Roman" w:cs="Times New Roman"/>
          <w:snapToGrid w:val="0"/>
        </w:rPr>
        <w:lastRenderedPageBreak/>
        <w:t xml:space="preserve">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nesureguliuota sunkia arterine hipertenzija ir (arba) kartu gydomi kitais vaistiniais preparatais, kurie paveikia hemostazę (žr. 4.4 skyriuje „Hemoragijos rizika“). Menstruacinis kraujavimas gali būti intensyvesnis ir (arba) trukti ilgiau. </w:t>
      </w:r>
    </w:p>
    <w:p w14:paraId="278273BE" w14:textId="21430284"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Hemoraginės komplikacijos gali pasireikšti silpnumu, blyškumu, svaiguliu, galvos skausmu ar nepaaiškinamu tinimu, dusuliu ir nepaaiškinamu šoku. Kai kuriais atvejais, kaip anemijos pasekmė, stebėta širdies išemijos simptomų, pvz., krūtinės skausmas arba krūtinės angina.</w:t>
      </w:r>
    </w:p>
    <w:p w14:paraId="529F0675" w14:textId="35E5102D"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Pranešta apie žinomas antrines sunkaus kraujavimo komplikacijas, pvz., suspaudimo sindromą ir inkstų nepakankamumą dėl hipoperfuzijos </w:t>
      </w:r>
      <w:r w:rsidR="00CF4CA4" w:rsidRPr="006E15A2">
        <w:rPr>
          <w:rFonts w:ascii="Times New Roman" w:eastAsia="Times New Roman" w:hAnsi="Times New Roman" w:cs="Times New Roman"/>
        </w:rPr>
        <w:t>ar su antikoaguliantais susijusią nefropatiją</w:t>
      </w:r>
      <w:r w:rsidR="00CF4CA4"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vartojant rivaroksibano. Todėl reikia apsvarstyti kraujavimo galimybę, įvertinant bet kokiais antikoaguliantais gydomo paciento būklę.</w:t>
      </w:r>
    </w:p>
    <w:p w14:paraId="39C791F4"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p>
    <w:p w14:paraId="38371EE6" w14:textId="77777777" w:rsid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2A13D86B" w14:textId="63C3BB8A" w:rsidR="00057A62" w:rsidRPr="003E364C" w:rsidRDefault="00057A62"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900FD1">
        <w:rPr>
          <w:rFonts w:ascii="Times New Roman" w:eastAsia="Times New Roman" w:hAnsi="Times New Roman" w:cs="Times New Roman"/>
          <w:i/>
          <w:iCs/>
          <w:snapToGrid w:val="0"/>
          <w:u w:val="single"/>
        </w:rPr>
        <w:t>VTE gydymas ir pasikartojančios VTE profilaktika</w:t>
      </w:r>
    </w:p>
    <w:p w14:paraId="35A92E8E" w14:textId="01388305"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Saugumo vertinimas vaikams ir paaugliams yra pagrįstas saugumo duomenimis, gautais atlikus du II fazės ir vieną III fazės atvirus, veikliuoju vaistiniu preparatu kontroliuojamus tyrimus su vaikais,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w:t>
      </w:r>
      <w:r w:rsidR="00626B83">
        <w:rPr>
          <w:rFonts w:ascii="Times New Roman" w:eastAsia="Times New Roman" w:hAnsi="Times New Roman" w:cs="Times New Roman"/>
          <w:snapToGrid w:val="0"/>
        </w:rPr>
        <w:t>jų</w:t>
      </w:r>
      <w:r w:rsidRPr="003E364C">
        <w:rPr>
          <w:rFonts w:ascii="Times New Roman" w:eastAsia="Times New Roman" w:hAnsi="Times New Roman" w:cs="Times New Roman"/>
          <w:snapToGrid w:val="0"/>
        </w:rPr>
        <w:t xml:space="preserve"> populiacijoje gautus duomenis ir nuoseklūs skirtinguose amžiaus pogrupiuose, nors vertinimo galimybė buvo ribota dėl nedidelio pacientų skaičiaus.</w:t>
      </w:r>
    </w:p>
    <w:p w14:paraId="366BBEA0" w14:textId="49FF38F3"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Vaikams, palyginti su suaugusiais pacientais, dažniau nustatytas galvos skausmas (labai dažnas, 16,</w:t>
      </w:r>
      <w:r w:rsidRPr="003E364C">
        <w:rPr>
          <w:rFonts w:ascii="Times New Roman" w:eastAsia="Times New Roman" w:hAnsi="Times New Roman" w:cs="Times New Roman"/>
          <w:b/>
          <w:snapToGrid w:val="0"/>
        </w:rPr>
        <w:t xml:space="preserve">  </w:t>
      </w:r>
      <w:r w:rsidRPr="003E364C">
        <w:rPr>
          <w:rFonts w:ascii="Times New Roman" w:eastAsia="Times New Roman" w:hAnsi="Times New Roman" w:cs="Times New Roman"/>
          <w:snapToGrid w:val="0"/>
        </w:rPr>
        <w:t>7%), karščiavimas (labai dažnas, 11,7</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kraujavimas iš nosies (labai dažnas, 11,2</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vėmimas (labai dažnas, 10,7</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tachikardija (dažnas, 1,5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padidėjęs bilirubino kiekis (dažnas, 1,5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ir padidėjęs konjuguoto bilirubino kiekis (nedažnas, 0,7</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Panašiai kaip ir suaugusių populiacijoje, 6,6</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(dažnas) paauglių merginų po menarchės pasireiškė menoragija. Kaip ir suaugusių populiacijoje po vaistinio preparato pateikimo į rinką, su vaikais atliktų klinikinių tyrimų metu buvo dažnai (4,6</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nustatyta trombocitopenija. Vaikams pasireiškusios nepageidaujamos reakcijos į vaistinį preparatą daugiausiai buvo lengvos ir vidutinio sunkumo.</w:t>
      </w:r>
    </w:p>
    <w:p w14:paraId="5E7CCD13" w14:textId="77777777" w:rsidR="003E364C" w:rsidRPr="005A432D"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p>
    <w:p w14:paraId="0B6518E9" w14:textId="77777777" w:rsidR="005A432D" w:rsidRPr="005A432D" w:rsidRDefault="005A432D" w:rsidP="005A432D">
      <w:pPr>
        <w:tabs>
          <w:tab w:val="left" w:pos="567"/>
        </w:tabs>
        <w:spacing w:after="0" w:line="260" w:lineRule="exact"/>
        <w:jc w:val="both"/>
        <w:rPr>
          <w:rFonts w:ascii="Times New Roman" w:hAnsi="Times New Roman" w:cs="Times New Roman"/>
          <w:u w:val="single"/>
        </w:rPr>
      </w:pPr>
      <w:r w:rsidRPr="005A432D">
        <w:rPr>
          <w:rFonts w:ascii="Times New Roman" w:hAnsi="Times New Roman" w:cs="Times New Roman"/>
          <w:u w:val="single"/>
        </w:rPr>
        <w:t>Pranešimas apie įtariamas nepageidaujamas reakcijas</w:t>
      </w:r>
    </w:p>
    <w:p w14:paraId="40795200" w14:textId="77777777" w:rsidR="005A432D" w:rsidRPr="005A432D" w:rsidRDefault="005A432D" w:rsidP="005A432D">
      <w:pPr>
        <w:tabs>
          <w:tab w:val="left" w:pos="567"/>
        </w:tabs>
        <w:spacing w:after="0" w:line="260" w:lineRule="exact"/>
        <w:jc w:val="both"/>
        <w:rPr>
          <w:rFonts w:ascii="Times New Roman" w:hAnsi="Times New Roman" w:cs="Times New Roman"/>
          <w:szCs w:val="24"/>
        </w:rPr>
      </w:pPr>
      <w:r w:rsidRPr="005A432D">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A432D">
        <w:rPr>
          <w:rFonts w:ascii="Times New Roman" w:hAnsi="Times New Roman" w:cs="Times New Roman"/>
          <w:u w:val="single"/>
        </w:rPr>
        <w:t>https://vvkt.lrv.lt/lt/</w:t>
      </w:r>
      <w:r w:rsidRPr="005A432D">
        <w:rPr>
          <w:rFonts w:ascii="Times New Roman" w:hAnsi="Times New Roman" w:cs="Times New Roman"/>
        </w:rPr>
        <w:t xml:space="preserve"> nurodytais būdais.</w:t>
      </w:r>
    </w:p>
    <w:p w14:paraId="3C3592A0" w14:textId="77777777" w:rsidR="003E364C" w:rsidRPr="005A432D" w:rsidRDefault="003E364C" w:rsidP="003E364C">
      <w:pPr>
        <w:tabs>
          <w:tab w:val="left" w:pos="567"/>
        </w:tabs>
        <w:spacing w:after="0" w:line="260" w:lineRule="exact"/>
        <w:rPr>
          <w:rFonts w:ascii="Times New Roman" w:eastAsia="Times New Roman" w:hAnsi="Times New Roman" w:cs="Times New Roman"/>
          <w:snapToGrid w:val="0"/>
        </w:rPr>
      </w:pPr>
    </w:p>
    <w:p w14:paraId="6E46CEC0" w14:textId="77777777" w:rsidR="003E364C" w:rsidRPr="005A432D"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5A432D">
        <w:rPr>
          <w:rFonts w:ascii="Times New Roman" w:eastAsia="Times New Roman" w:hAnsi="Times New Roman" w:cs="Times New Roman"/>
          <w:b/>
          <w:bCs/>
          <w:snapToGrid w:val="0"/>
          <w:lang w:eastAsia="x-none"/>
        </w:rPr>
        <w:t>4.9</w:t>
      </w:r>
      <w:r w:rsidRPr="005A432D">
        <w:rPr>
          <w:rFonts w:ascii="Times New Roman" w:eastAsia="Times New Roman" w:hAnsi="Times New Roman" w:cs="Times New Roman"/>
          <w:b/>
          <w:bCs/>
          <w:snapToGrid w:val="0"/>
          <w:lang w:eastAsia="x-none"/>
        </w:rPr>
        <w:tab/>
        <w:t>Perdozavimas</w:t>
      </w:r>
    </w:p>
    <w:p w14:paraId="2D7698A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9CB3714" w14:textId="4C7E28AA"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Pranešta apie retus suaugusiesiems nustatytus perdozavimo iki 1</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960</w:t>
      </w:r>
      <w:r w:rsidR="00AD441E">
        <w:rPr>
          <w:rFonts w:ascii="Times New Roman" w:eastAsia="Times New Roman" w:hAnsi="Times New Roman" w:cs="Times New Roman"/>
          <w:b/>
          <w:snapToGrid w:val="0"/>
        </w:rPr>
        <w:t> </w:t>
      </w:r>
      <w:r w:rsidR="00AD441E" w:rsidRPr="00C3128C">
        <w:rPr>
          <w:rFonts w:ascii="Times New Roman" w:eastAsia="Times New Roman" w:hAnsi="Times New Roman" w:cs="Times New Roman"/>
          <w:bCs/>
          <w:snapToGrid w:val="0"/>
        </w:rPr>
        <w:t>mg</w:t>
      </w:r>
      <w:r w:rsidRPr="00C3128C">
        <w:rPr>
          <w:rFonts w:ascii="Times New Roman" w:eastAsia="Times New Roman" w:hAnsi="Times New Roman" w:cs="Times New Roman"/>
          <w:bCs/>
          <w:snapToGrid w:val="0"/>
        </w:rPr>
        <w:t xml:space="preserve"> atvejus. Perdozavimo atveju, pacientas turi būti atidžiai stebimas dėl kraujavimo komplikacijų arba kitų nepageidaujamų reakcijų (žr. skyrių „Gydymas esant kraujavimui“). Duomenys apie vaikus yra riboti. Tikėtina, kad dėl ribotos absorbcijos, vartojant 50</w:t>
      </w:r>
      <w:r w:rsidR="00AD441E" w:rsidRPr="00C3128C">
        <w:rPr>
          <w:rFonts w:ascii="Times New Roman" w:eastAsia="Times New Roman" w:hAnsi="Times New Roman" w:cs="Times New Roman"/>
          <w:bCs/>
          <w:snapToGrid w:val="0"/>
        </w:rPr>
        <w:t> mg</w:t>
      </w:r>
      <w:r w:rsidRPr="00C3128C">
        <w:rPr>
          <w:rFonts w:ascii="Times New Roman" w:eastAsia="Times New Roman" w:hAnsi="Times New Roman" w:cs="Times New Roman"/>
          <w:bCs/>
          <w:snapToGrid w:val="0"/>
        </w:rPr>
        <w:t xml:space="preserve"> ir didesnių rivaroksabano dozių, suaugusiesiems pasiekiama maksimali vidutinė plazmos koncentracija, kuri, toliau didinant dozę, nebedidėja, tačiau</w:t>
      </w:r>
      <w:r w:rsidRPr="003E364C">
        <w:rPr>
          <w:rFonts w:ascii="Times New Roman" w:eastAsia="Times New Roman" w:hAnsi="Times New Roman" w:cs="Times New Roman"/>
          <w:snapToGrid w:val="0"/>
        </w:rPr>
        <w:t xml:space="preserve"> duomenų apie didesnių nei gydomųjų dozių vartojimą vaikams nėra.</w:t>
      </w:r>
    </w:p>
    <w:p w14:paraId="3A99885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Yra specifinis neutralizuojantis vaistinis preparatas (andeksanetas alfa), rivaroksabano farmakodinaminio poveikio antagonistas, kuris skirtas suaugusiesiems, bet neištirtas vaikams (žiūrėti andeksaneto alfa preparato charakteristikų santrauką).</w:t>
      </w:r>
    </w:p>
    <w:p w14:paraId="2F1018D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Galima apsvarstyti galimybę skirti aktyvintosios anglies, taip sumažinant absorbciją po rivaroksabano perdozavimo.</w:t>
      </w:r>
    </w:p>
    <w:p w14:paraId="1796DD6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1B7BF3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lastRenderedPageBreak/>
        <w:t>Gydymas esant kraujavimui</w:t>
      </w:r>
    </w:p>
    <w:p w14:paraId="512E4BF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Jei pacientui, vartojančiam rivaroksabano, pasireiškė kraujavimo komplikacija, reikia atidėti kitą rivaroksabano dozę arba nutraukti gydymą. Rivaroksabano pusinis eliminacijos laikas suaugusiesiems yra maždaug nuo 5 iki 13 valandų. Pusinės eliminacijos laikas vaikams, kuris apskaičiuotas taikant populiacijos farmakokinetinį (popFK) modeliavimą, yra trumpesnis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7824E6B1" w14:textId="58544411"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Jei kraujavimo negalima sustabdyti anksčiau paminėtomis priemonėmis, reikia spręsti dėl specifinio Xa faktoriaus inhibitoriaus neutralizuojančio vaistinio preparato (andeksaneto alfa), kuris yra rivaroksabano farmakodinaminio poveikio antagonistas, ar specifinio prokoaguliacinio preparato, pvz., protrombino komplekso koncentrato (PKK), aktyvuoto protrombino komplekso koncentrato (APKK) ar rekombinantinio VIIa faktoriaus (r-FVIIa) skyrimo. Tačiau klinikinė patirtis skiriant šių vaistinių preparatų rivaroksabanu gydomiems suaugusiesiems ir vaikams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w:t>
      </w:r>
    </w:p>
    <w:p w14:paraId="3AB31BB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43A5E3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Nemanoma, kad protamino sulfatas ir vitaminas K turėtų poveikį rivaroksabano antikoaguliaciniam aktyvumui. Patirtis, skiriant traneksamo rūgšties, yra ribota, o patirties, skiriant aminokaprono rūgšties ir aprotinino rivaroksabano vartojantiems suaugusiesiems, nėra. Patirties, skiriant šių medžiagų rivaroksabano vartojantiems vaikams, nėra. Nei mokslinio naudos patvirtinimo, nei patirties, skiriant sisteminio hemostatiko desmopresino rivaroksabanu gydomiems pacientams, nėra. Daug rivaroksabano prisijungia prie plazmos baltymų, todėl manoma, kad dializės metu jo nepasišalina.</w:t>
      </w:r>
    </w:p>
    <w:p w14:paraId="4E3C788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0E8E77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20506A5"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5.</w:t>
      </w:r>
      <w:r w:rsidRPr="003E364C">
        <w:rPr>
          <w:rFonts w:ascii="Times New Roman" w:eastAsia="Times New Roman" w:hAnsi="Times New Roman" w:cs="Times New Roman"/>
          <w:b/>
          <w:bCs/>
          <w:snapToGrid w:val="0"/>
          <w:lang w:eastAsia="x-none"/>
        </w:rPr>
        <w:tab/>
        <w:t>FARMAKOLOGINĖS SAVYBĖS</w:t>
      </w:r>
    </w:p>
    <w:p w14:paraId="15DC9AD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B2C361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5.1</w:t>
      </w:r>
      <w:r w:rsidRPr="003E364C">
        <w:rPr>
          <w:rFonts w:ascii="Times New Roman" w:eastAsia="Times New Roman" w:hAnsi="Times New Roman" w:cs="Times New Roman"/>
          <w:b/>
          <w:snapToGrid w:val="0"/>
          <w:lang w:eastAsia="x-none"/>
        </w:rPr>
        <w:t xml:space="preserve"> </w:t>
      </w:r>
      <w:r w:rsidRPr="003E364C">
        <w:rPr>
          <w:rFonts w:ascii="Times New Roman" w:eastAsia="Times New Roman" w:hAnsi="Times New Roman" w:cs="Times New Roman"/>
          <w:b/>
          <w:bCs/>
          <w:snapToGrid w:val="0"/>
          <w:lang w:eastAsia="x-none"/>
        </w:rPr>
        <w:tab/>
        <w:t>Farmakodinaminės savybės</w:t>
      </w:r>
    </w:p>
    <w:p w14:paraId="7A2368E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B7C60F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Farmakoterapinė grupė – antitromboziniai vaistiniai preparatai, tiesioginiai Xa faktoriaus inhibitoriai, ATC kodas – B01AF01.</w:t>
      </w:r>
    </w:p>
    <w:p w14:paraId="2DA02E0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7511D37F"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Veikimo mechanizmas</w:t>
      </w:r>
    </w:p>
    <w:p w14:paraId="47EBA7F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noProof/>
          <w:snapToGrid w:val="0"/>
        </w:rPr>
        <w:t xml:space="preserve">Rivaroksabanas yra labai selektyvus tiesioginis Xa faktoriaus inhibitorius, biologiškai įsisavinamas geriant. Xa faktoriaus slopinimas sutrikdo vidinius ir išorinius kelius kraujo koaguliacijos procese, </w:t>
      </w:r>
      <w:r w:rsidRPr="003E364C">
        <w:rPr>
          <w:rFonts w:ascii="Times New Roman" w:eastAsia="Times New Roman" w:hAnsi="Times New Roman" w:cs="Times New Roman"/>
          <w:snapToGrid w:val="0"/>
        </w:rPr>
        <w:t>slopindamas trombino gamybą ir trombų susidarymą. Rivaroksabanas neslopina trombino (aktyvuotas II faktorius), o jo sukeliamas poveikis trombocitams nebuvo nustatytas.</w:t>
      </w:r>
    </w:p>
    <w:p w14:paraId="3698BB07" w14:textId="77777777" w:rsidR="003E364C" w:rsidRPr="003E364C" w:rsidRDefault="003E364C" w:rsidP="003E364C">
      <w:pPr>
        <w:spacing w:after="0" w:line="240" w:lineRule="auto"/>
        <w:rPr>
          <w:rFonts w:ascii="Times New Roman" w:eastAsia="Times New Roman" w:hAnsi="Times New Roman" w:cs="Times New Roman"/>
          <w:snapToGrid w:val="0"/>
        </w:rPr>
      </w:pPr>
    </w:p>
    <w:p w14:paraId="1C4BC9C5"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Farmakodinaminis poveikis</w:t>
      </w:r>
    </w:p>
    <w:p w14:paraId="2288565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Žmonėms buvo stebėtas nuo dozės priklausomas Xa faktoriaus slopinimas. Protrombino laiką (angl. prothrombin time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w:t>
      </w:r>
    </w:p>
    <w:p w14:paraId="636453C4" w14:textId="03BC661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Pacientams, kuriems rivaroksabano skiriama gydymui nuo GVT bei PE ir pasikartojimo profilaktikai, 5/95 procentilių PL (Neoplastin), praėjus 2–4 valandoms po tabletės pavartojimo (t. y. maksimalaus poveikio metu), vartojant po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du kartus per parą, svyravo nuo 17 iki 32 sekundžių, o vartojant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vieną kartą per parą – nuo 15 iki 30 sekundžių. Sumažėjus koncentracijai (praėjus 8–16 valandų po tabletės pavartojimo), 5/95 procentilių, vartojant po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du kartus per parą, svyravo nuo 14 iki 24 sekundžių, o vartojant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(praėjus 18–30 valandų po tabletės pavartojimo) – nuo 13 iki 20 sekundžių.</w:t>
      </w:r>
    </w:p>
    <w:p w14:paraId="1AEE6717" w14:textId="3EF633E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Pacientams, kuriems yra su vožtuvų liga nesusijęs prieširdžių virpėjimas ir rivaroksabano skiriama insulto ir sisteminės embolijos profilaktikai, 5/95 procentilių PL (Neoplastin), praėjus 1–4 valandoms po tabletės pavartojimo (t. y. maksimalaus poveikio metu), vartojant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vieną kartą per parą, buvo nuo 14 iki 40 sekundžių, o esant vidutinio sunkumo inkstų funkcijos sutrikimui ir vartojant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vieną kartą per parą – nuo 10 iki 50 sekundžių. Sumažėjus koncentracijai (praėjus 16–36 valandoms po tabletės pavartojimo), 5/95 procentilių, vartojant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svyravo nuo 12 iki 26 sekundžių, o esant vidutinio sunkumo inkstų funkcijos sutrikimui ir vartojant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 nuo 12 iki 26 sekundžių.</w:t>
      </w:r>
    </w:p>
    <w:p w14:paraId="46F58B83" w14:textId="48B1E568"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Klinikinės farmakologijos tyrime, kuriame suaugusiems sveikiems tiriamiesiems (n</w:t>
      </w:r>
      <w:r w:rsidRPr="003E364C">
        <w:rPr>
          <w:rFonts w:ascii="Times New Roman" w:eastAsia="Times New Roman" w:hAnsi="Times New Roman" w:cs="Times New Roman"/>
        </w:rPr>
        <w:t> </w:t>
      </w:r>
      <w:r w:rsidRPr="003E364C">
        <w:rPr>
          <w:rFonts w:ascii="Times New Roman" w:eastAsia="Times New Roman" w:hAnsi="Times New Roman" w:cs="Times New Roman"/>
          <w:snapToGrid w:val="0"/>
        </w:rPr>
        <w:t>= 22) stebėtas rivaroksabano farmakodinaminio poveikio panaikinimas, buvo įvertintas dviejų skirtingų PKK, t. y. 3-jų faktorių PKK (II, IX ir X faktorių) ir 4-ių faktorių PKK (II, VII, IX ir X faktorių), vienkartinės dozės (50</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TV/kg) poveikis. 3-jų faktorių PKK sumažino Neoplastin protrombino laiko (PL) vidurkį apytikriai viena sekunde per 30 minučių, lyginant su 3,5</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s sumažėjimu, stebėtu vartojant 4-faktorių PKK. Vis dėlto 3-jų faktorių PKK pasižymėjo didesniu ir greitesniu poveikiu bendram atvirkštiniam endogeninio trombino susidarymui negu 4-ių faktorių PKK (žr. 4.9 skyrių).</w:t>
      </w:r>
    </w:p>
    <w:p w14:paraId="54F5F63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Dalinis aktyvintas tromboplastino laikas (DATL) ir Heptest 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 anti-Xa faktoriaus tyrimą (žr. 5.2 skyrių).</w:t>
      </w:r>
    </w:p>
    <w:p w14:paraId="7AF426DF" w14:textId="77777777" w:rsidR="003E364C" w:rsidRPr="003E364C" w:rsidRDefault="003E364C" w:rsidP="003E364C">
      <w:pPr>
        <w:spacing w:after="0" w:line="240" w:lineRule="auto"/>
        <w:rPr>
          <w:rFonts w:ascii="Times New Roman" w:eastAsia="Times New Roman" w:hAnsi="Times New Roman" w:cs="Times New Roman"/>
          <w:snapToGrid w:val="0"/>
        </w:rPr>
      </w:pPr>
    </w:p>
    <w:p w14:paraId="0384395E"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0299847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µg/l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567BC7B5" w14:textId="77777777" w:rsidR="003E364C" w:rsidRPr="003E364C" w:rsidRDefault="003E364C" w:rsidP="003E364C">
      <w:pPr>
        <w:spacing w:after="0" w:line="240" w:lineRule="auto"/>
        <w:rPr>
          <w:rFonts w:ascii="Times New Roman" w:eastAsia="Times New Roman" w:hAnsi="Times New Roman" w:cs="Times New Roman"/>
          <w:snapToGrid w:val="0"/>
        </w:rPr>
      </w:pPr>
    </w:p>
    <w:p w14:paraId="65A95BF9"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Klinikinis veiksmingumas ir saugumas</w:t>
      </w:r>
    </w:p>
    <w:p w14:paraId="2D3A3B8C" w14:textId="77777777" w:rsidR="003E364C" w:rsidRPr="003E364C" w:rsidRDefault="003E364C" w:rsidP="003E364C">
      <w:pPr>
        <w:spacing w:after="0" w:line="240" w:lineRule="auto"/>
        <w:rPr>
          <w:rFonts w:ascii="Times New Roman" w:eastAsia="Times New Roman" w:hAnsi="Times New Roman" w:cs="Times New Roman"/>
          <w:i/>
          <w:snapToGrid w:val="0"/>
        </w:rPr>
      </w:pPr>
      <w:r w:rsidRPr="003E364C">
        <w:rPr>
          <w:rFonts w:ascii="Times New Roman" w:eastAsia="Times New Roman" w:hAnsi="Times New Roman" w:cs="Times New Roman"/>
          <w:i/>
          <w:snapToGrid w:val="0"/>
        </w:rPr>
        <w:t>Insulto ir sisteminės embolijos profilaktika pacientams, kuriems yra su vožtuvų liga nesusijęs prieširdžių virpėjimas</w:t>
      </w:r>
    </w:p>
    <w:p w14:paraId="2E0B266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klinikinė programa buvo sukurta siekiant įrodyti rivaroksabano veiksmingumą insulto ir sisteminės embolijos profilaktikai pacientams, kuriems yra su vožtuvų liga nesusijęs prieširdžių virpėjimas.</w:t>
      </w:r>
    </w:p>
    <w:p w14:paraId="7CCD0E43" w14:textId="4B8E1D9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Pagrindiniame dvigubai koduotame ROCKET AF tyrime, 14</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264 pacientams buvo skirta s rivaroksabano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(tiriamiesiems, kurių kreatinino klirensas 30–49 ml/min –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arba varfarino, titruoto iki tikslinės TNS reikšmės 2,5 (terapinis intervalas nuo 2,0 iki 3,0). Vidutinė gydymo trukmė buvo 19 mėnesių ir bendra gydymo trukmė buvo iki 41 mėnesio.</w:t>
      </w:r>
    </w:p>
    <w:p w14:paraId="61A9202A" w14:textId="67376E78"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34,9</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pacientų buvo gydyti acetilsalicilo rūgštimi, o 11,4</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buvo gydyti III klasės antiaritminiais vaistiniais preparatais, įskaitant amjodaroną.</w:t>
      </w:r>
    </w:p>
    <w:p w14:paraId="3043E6F7" w14:textId="77777777" w:rsidR="003E364C" w:rsidRPr="003E364C" w:rsidRDefault="003E364C" w:rsidP="003E364C">
      <w:pPr>
        <w:spacing w:after="0" w:line="240" w:lineRule="auto"/>
        <w:rPr>
          <w:rFonts w:ascii="Times New Roman" w:eastAsia="Times New Roman" w:hAnsi="Times New Roman" w:cs="Times New Roman"/>
          <w:snapToGrid w:val="0"/>
        </w:rPr>
      </w:pPr>
    </w:p>
    <w:p w14:paraId="3800674D" w14:textId="20E94CE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Rivaroksabanas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rivaroksabano vartojusiems pacientams (1,71</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per metus) ir 241 varfarino vartojusiam pacientui (2,16</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per metus) (rizikos santykis 0,79;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0,66–0,96; p &lt;</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0,001, ne prastesnio rezultato tyrimas). Visus atsitiktinės atrankos būdu į tyrimą įtrauktus pacientus įvertinus taikant </w:t>
      </w:r>
      <w:r w:rsidRPr="003E364C">
        <w:rPr>
          <w:rFonts w:ascii="Times New Roman" w:eastAsia="Times New Roman" w:hAnsi="Times New Roman" w:cs="Times New Roman"/>
          <w:i/>
          <w:iCs/>
          <w:snapToGrid w:val="0"/>
        </w:rPr>
        <w:t>ITT</w:t>
      </w:r>
      <w:r w:rsidRPr="003E364C">
        <w:rPr>
          <w:rFonts w:ascii="Times New Roman" w:eastAsia="Times New Roman" w:hAnsi="Times New Roman" w:cs="Times New Roman"/>
          <w:snapToGrid w:val="0"/>
        </w:rPr>
        <w:t xml:space="preserve"> (angl. </w:t>
      </w:r>
      <w:r w:rsidRPr="003E364C">
        <w:rPr>
          <w:rFonts w:ascii="Times New Roman" w:eastAsia="Times New Roman" w:hAnsi="Times New Roman" w:cs="Times New Roman"/>
          <w:i/>
          <w:snapToGrid w:val="0"/>
        </w:rPr>
        <w:t>i</w:t>
      </w:r>
      <w:r w:rsidRPr="003E364C">
        <w:rPr>
          <w:rFonts w:ascii="Times New Roman" w:eastAsia="Times New Roman" w:hAnsi="Times New Roman" w:cs="Times New Roman"/>
          <w:i/>
          <w:iCs/>
          <w:snapToGrid w:val="0"/>
        </w:rPr>
        <w:t>ntention to treat</w:t>
      </w:r>
      <w:r w:rsidRPr="003E364C">
        <w:rPr>
          <w:rFonts w:ascii="Times New Roman" w:eastAsia="Times New Roman" w:hAnsi="Times New Roman" w:cs="Times New Roman"/>
          <w:snapToGrid w:val="0"/>
        </w:rPr>
        <w:t>, ketintų gydyti tiriamųjų analizę), pirminiai įvykiai pasireiškė 269 rivaroksabano vartojusiems pacientams (2,12</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per metus) ir 306 varfarino vartojusiems pacientams (2,42</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per metus) (rizikos santykis 0,88;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0,74–1,03; p &lt; 0,001, ne blogesnio rezultato tyrimas; </w:t>
      </w:r>
      <w:r w:rsidRPr="003E364C">
        <w:rPr>
          <w:rFonts w:ascii="Times New Roman" w:eastAsia="Times New Roman" w:hAnsi="Times New Roman" w:cs="Times New Roman"/>
          <w:snapToGrid w:val="0"/>
        </w:rPr>
        <w:lastRenderedPageBreak/>
        <w:t xml:space="preserve">p = 0,117, pranašumo tyrimas). Antrinių vertinamųjų baigčių rezultatai, kurie buvo tiriami hierarchine tvarka </w:t>
      </w:r>
      <w:r w:rsidRPr="003E364C">
        <w:rPr>
          <w:rFonts w:ascii="Times New Roman" w:eastAsia="Times New Roman" w:hAnsi="Times New Roman" w:cs="Times New Roman"/>
          <w:i/>
          <w:iCs/>
          <w:snapToGrid w:val="0"/>
        </w:rPr>
        <w:t>ITT</w:t>
      </w:r>
      <w:r w:rsidRPr="003E364C">
        <w:rPr>
          <w:rFonts w:ascii="Times New Roman" w:eastAsia="Times New Roman" w:hAnsi="Times New Roman" w:cs="Times New Roman"/>
          <w:snapToGrid w:val="0"/>
        </w:rPr>
        <w:t xml:space="preserve"> analizės būdu, yra pateikti 4 lentelėje.</w:t>
      </w:r>
    </w:p>
    <w:p w14:paraId="0287B916" w14:textId="3693F5E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Varfarino grupės pacientams TNS reikšmės buvo terapiniame intervale (nuo 2,0 iki 3,0) vidutiniškai 55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laiko (mediana 58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tarpkvartilinis plotis nuo 43 iki 71). Rivaroksabano poveikis centrinio TTR (angl. </w:t>
      </w:r>
      <w:r w:rsidRPr="003E364C">
        <w:rPr>
          <w:rFonts w:ascii="Times New Roman" w:eastAsia="Times New Roman" w:hAnsi="Times New Roman" w:cs="Times New Roman"/>
          <w:i/>
          <w:iCs/>
          <w:snapToGrid w:val="0"/>
        </w:rPr>
        <w:t>Time in Target INR Range</w:t>
      </w:r>
      <w:r w:rsidRPr="003E364C">
        <w:rPr>
          <w:rFonts w:ascii="Times New Roman" w:eastAsia="Times New Roman" w:hAnsi="Times New Roman" w:cs="Times New Roman"/>
          <w:snapToGrid w:val="0"/>
        </w:rPr>
        <w:t>, laiko tikslini</w:t>
      </w:r>
      <w:r w:rsidR="0037110C">
        <w:rPr>
          <w:rFonts w:ascii="Times New Roman" w:eastAsia="Times New Roman" w:hAnsi="Times New Roman" w:cs="Times New Roman"/>
          <w:snapToGrid w:val="0"/>
        </w:rPr>
        <w:t>ame</w:t>
      </w:r>
      <w:r w:rsidRPr="003E364C">
        <w:rPr>
          <w:rFonts w:ascii="Times New Roman" w:eastAsia="Times New Roman" w:hAnsi="Times New Roman" w:cs="Times New Roman"/>
          <w:snapToGrid w:val="0"/>
        </w:rPr>
        <w:t xml:space="preserve"> TNS interval</w:t>
      </w:r>
      <w:r w:rsidR="0037110C">
        <w:rPr>
          <w:rFonts w:ascii="Times New Roman" w:eastAsia="Times New Roman" w:hAnsi="Times New Roman" w:cs="Times New Roman"/>
          <w:snapToGrid w:val="0"/>
        </w:rPr>
        <w:t>e</w:t>
      </w:r>
      <w:r w:rsidRPr="003E364C">
        <w:rPr>
          <w:rFonts w:ascii="Times New Roman" w:eastAsia="Times New Roman" w:hAnsi="Times New Roman" w:cs="Times New Roman"/>
          <w:snapToGrid w:val="0"/>
        </w:rPr>
        <w:t xml:space="preserve"> nuo 2 iki 3) lygmenyje vienodo dydžio kvartilėse (sąveikos p = 0,74) nesiskyrė. Aukščiausioje kvartilėje (vertinant pagal centrą) rizikos santykis (RS) vartojant rivaroksabano, palyginti su varfarinu, buvo 0,74 (95</w:t>
      </w:r>
      <w:r w:rsidR="00AD441E">
        <w:rPr>
          <w:rFonts w:ascii="Times New Roman" w:eastAsia="Times New Roman" w:hAnsi="Times New Roman" w:cs="Times New Roman"/>
          <w:b/>
          <w:snapToGrid w:val="0"/>
        </w:rPr>
        <w:t> </w:t>
      </w:r>
      <w:r w:rsidR="00AD441E" w:rsidRPr="00C3128C">
        <w:rPr>
          <w:rFonts w:ascii="Times New Roman" w:eastAsia="Times New Roman" w:hAnsi="Times New Roman" w:cs="Times New Roman"/>
          <w:bCs/>
          <w:snapToGrid w:val="0"/>
        </w:rPr>
        <w:t>%</w:t>
      </w:r>
      <w:r w:rsidRPr="003E364C">
        <w:rPr>
          <w:rFonts w:ascii="Times New Roman" w:eastAsia="Times New Roman" w:hAnsi="Times New Roman" w:cs="Times New Roman"/>
          <w:snapToGrid w:val="0"/>
        </w:rPr>
        <w:t xml:space="preserve"> PI, 0,49–1,12).</w:t>
      </w:r>
    </w:p>
    <w:p w14:paraId="2BD438B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Svarbiausi saugumo rezultatai (didžiojo ir ne didžiojo klinikiniu požiūriu reikšmingo kraujavimo atvejų dažnis) buvo panašūs abiejose tyrimo grupėse (žr. 5 lentelę).</w:t>
      </w:r>
    </w:p>
    <w:p w14:paraId="079189E6" w14:textId="77777777" w:rsidR="003E364C" w:rsidRPr="003E364C" w:rsidRDefault="003E364C" w:rsidP="003E364C">
      <w:pPr>
        <w:spacing w:after="0" w:line="240" w:lineRule="auto"/>
        <w:rPr>
          <w:rFonts w:ascii="Times New Roman" w:eastAsia="Times New Roman" w:hAnsi="Times New Roman" w:cs="Times New Roman"/>
          <w:snapToGrid w:val="0"/>
        </w:rPr>
      </w:pPr>
    </w:p>
    <w:p w14:paraId="756401D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4 lentelė. Veiksmingumo rezultatai, gauti III fazės ROCKET AF tyrimo metu</w:t>
      </w:r>
    </w:p>
    <w:tbl>
      <w:tblPr>
        <w:tblW w:w="0" w:type="auto"/>
        <w:tblLayout w:type="fixed"/>
        <w:tblLook w:val="0000" w:firstRow="0" w:lastRow="0" w:firstColumn="0" w:lastColumn="0" w:noHBand="0" w:noVBand="0"/>
      </w:tblPr>
      <w:tblGrid>
        <w:gridCol w:w="2271"/>
        <w:gridCol w:w="2276"/>
        <w:gridCol w:w="2262"/>
        <w:gridCol w:w="2230"/>
        <w:gridCol w:w="22"/>
      </w:tblGrid>
      <w:tr w:rsidR="003E364C" w:rsidRPr="003E364C" w14:paraId="7C31BC03" w14:textId="77777777" w:rsidTr="0096285A">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18A855CD"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CF05D23"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rPr>
              <w:t>ITT</w:t>
            </w:r>
            <w:r w:rsidRPr="003E364C">
              <w:rPr>
                <w:rFonts w:ascii="Times New Roman" w:eastAsia="Times New Roman" w:hAnsi="Times New Roman" w:cs="Times New Roman"/>
                <w:b/>
                <w:spacing w:val="-6"/>
              </w:rPr>
              <w:t xml:space="preserve"> </w:t>
            </w:r>
            <w:r w:rsidRPr="003E364C">
              <w:rPr>
                <w:rFonts w:ascii="Times New Roman" w:eastAsia="Times New Roman" w:hAnsi="Times New Roman" w:cs="Times New Roman"/>
                <w:b/>
              </w:rPr>
              <w:t>veiksmingumo</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analizė</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pacientams,</w:t>
            </w:r>
            <w:r w:rsidRPr="003E364C">
              <w:rPr>
                <w:rFonts w:ascii="Times New Roman" w:eastAsia="Times New Roman" w:hAnsi="Times New Roman" w:cs="Times New Roman"/>
                <w:b/>
                <w:spacing w:val="-6"/>
              </w:rPr>
              <w:t xml:space="preserve"> </w:t>
            </w:r>
            <w:r w:rsidRPr="003E364C">
              <w:rPr>
                <w:rFonts w:ascii="Times New Roman" w:eastAsia="Times New Roman" w:hAnsi="Times New Roman" w:cs="Times New Roman"/>
                <w:b/>
              </w:rPr>
              <w:t>kuriems</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yra</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su</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vožtuvų</w:t>
            </w:r>
            <w:r w:rsidRPr="003E364C">
              <w:rPr>
                <w:rFonts w:ascii="Times New Roman" w:eastAsia="Times New Roman" w:hAnsi="Times New Roman" w:cs="Times New Roman"/>
                <w:b/>
                <w:spacing w:val="-7"/>
              </w:rPr>
              <w:t xml:space="preserve"> </w:t>
            </w:r>
            <w:r w:rsidRPr="003E364C">
              <w:rPr>
                <w:rFonts w:ascii="Times New Roman" w:eastAsia="Times New Roman" w:hAnsi="Times New Roman" w:cs="Times New Roman"/>
                <w:b/>
              </w:rPr>
              <w:t>liga nesusijęs prieširdžių virpėjimas</w:t>
            </w:r>
          </w:p>
        </w:tc>
      </w:tr>
      <w:tr w:rsidR="003E364C" w:rsidRPr="003E364C" w14:paraId="361BA3EC" w14:textId="77777777" w:rsidTr="0096285A">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1B06B70D"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6BA94037"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57117DA8" w14:textId="32435691" w:rsidR="003E364C" w:rsidRPr="003E364C" w:rsidRDefault="003E364C" w:rsidP="003E364C">
            <w:pPr>
              <w:spacing w:after="0" w:line="240" w:lineRule="auto"/>
              <w:ind w:left="107" w:right="464"/>
              <w:rPr>
                <w:rFonts w:ascii="Times New Roman" w:eastAsia="Times New Roman" w:hAnsi="Times New Roman" w:cs="Times New Roman"/>
                <w:b/>
              </w:rPr>
            </w:pPr>
            <w:r w:rsidRPr="003E364C">
              <w:rPr>
                <w:rFonts w:ascii="Times New Roman" w:eastAsia="Times New Roman" w:hAnsi="Times New Roman" w:cs="Times New Roman"/>
                <w:b/>
                <w:spacing w:val="-2"/>
              </w:rPr>
              <w:t xml:space="preserve">Rivaroksabanas </w:t>
            </w:r>
            <w:r w:rsidRPr="003E364C">
              <w:rPr>
                <w:rFonts w:ascii="Times New Roman" w:eastAsia="Times New Roman" w:hAnsi="Times New Roman" w:cs="Times New Roman"/>
                <w:b/>
              </w:rPr>
              <w:t>20</w:t>
            </w:r>
            <w:r w:rsidR="00AD441E">
              <w:rPr>
                <w:rFonts w:ascii="Times New Roman" w:eastAsia="Times New Roman" w:hAnsi="Times New Roman" w:cs="Times New Roman"/>
                <w:b/>
              </w:rPr>
              <w:t> mg</w:t>
            </w:r>
            <w:r w:rsidRPr="003E364C">
              <w:rPr>
                <w:rFonts w:ascii="Times New Roman" w:eastAsia="Times New Roman" w:hAnsi="Times New Roman" w:cs="Times New Roman"/>
                <w:b/>
              </w:rPr>
              <w:t xml:space="preserve"> VKP</w:t>
            </w:r>
          </w:p>
          <w:p w14:paraId="550E83A6" w14:textId="6C618D86" w:rsidR="003E364C" w:rsidRPr="003E364C" w:rsidRDefault="003E364C" w:rsidP="003E364C">
            <w:pPr>
              <w:spacing w:after="0" w:line="252" w:lineRule="exact"/>
              <w:ind w:left="107" w:right="964"/>
              <w:rPr>
                <w:rFonts w:ascii="Times New Roman" w:eastAsia="Times New Roman" w:hAnsi="Times New Roman" w:cs="Times New Roman"/>
                <w:b/>
              </w:rPr>
            </w:pPr>
            <w:r w:rsidRPr="003E364C">
              <w:rPr>
                <w:rFonts w:ascii="Times New Roman" w:eastAsia="Times New Roman" w:hAnsi="Times New Roman" w:cs="Times New Roman"/>
                <w:b/>
              </w:rPr>
              <w:t>(15</w:t>
            </w:r>
            <w:r w:rsidR="00AD441E">
              <w:rPr>
                <w:rFonts w:ascii="Times New Roman" w:eastAsia="Times New Roman" w:hAnsi="Times New Roman" w:cs="Times New Roman"/>
                <w:b/>
              </w:rPr>
              <w:t> mg</w:t>
            </w:r>
            <w:r w:rsidRPr="003E364C">
              <w:rPr>
                <w:rFonts w:ascii="Times New Roman" w:eastAsia="Times New Roman" w:hAnsi="Times New Roman" w:cs="Times New Roman"/>
                <w:b/>
                <w:spacing w:val="-3"/>
              </w:rPr>
              <w:t xml:space="preserve"> </w:t>
            </w:r>
            <w:r w:rsidRPr="003E364C">
              <w:rPr>
                <w:rFonts w:ascii="Times New Roman" w:eastAsia="Times New Roman" w:hAnsi="Times New Roman" w:cs="Times New Roman"/>
                <w:b/>
                <w:spacing w:val="-5"/>
              </w:rPr>
              <w:t>VKP</w:t>
            </w:r>
          </w:p>
          <w:p w14:paraId="28DD6D8B" w14:textId="77777777" w:rsidR="003E364C" w:rsidRPr="003E364C" w:rsidRDefault="003E364C" w:rsidP="003E364C">
            <w:pPr>
              <w:spacing w:after="0" w:line="240" w:lineRule="auto"/>
              <w:ind w:left="107" w:right="147"/>
              <w:rPr>
                <w:rFonts w:ascii="Times New Roman" w:eastAsia="Times New Roman" w:hAnsi="Times New Roman" w:cs="Times New Roman"/>
                <w:b/>
              </w:rPr>
            </w:pPr>
            <w:r w:rsidRPr="003E364C">
              <w:rPr>
                <w:rFonts w:ascii="Times New Roman" w:eastAsia="Times New Roman" w:hAnsi="Times New Roman" w:cs="Times New Roman"/>
                <w:b/>
              </w:rPr>
              <w:t>pacientams, kuriems yra vidutinis inkstų funkcijos</w:t>
            </w:r>
            <w:r w:rsidRPr="003E364C">
              <w:rPr>
                <w:rFonts w:ascii="Times New Roman" w:eastAsia="Times New Roman" w:hAnsi="Times New Roman" w:cs="Times New Roman"/>
                <w:b/>
                <w:spacing w:val="-14"/>
              </w:rPr>
              <w:t xml:space="preserve"> </w:t>
            </w:r>
            <w:r w:rsidRPr="003E364C">
              <w:rPr>
                <w:rFonts w:ascii="Times New Roman" w:eastAsia="Times New Roman" w:hAnsi="Times New Roman" w:cs="Times New Roman"/>
                <w:b/>
              </w:rPr>
              <w:t>sutrikimas) Įvykių</w:t>
            </w:r>
            <w:r w:rsidRPr="003E364C">
              <w:rPr>
                <w:rFonts w:ascii="Times New Roman" w:eastAsia="Times New Roman" w:hAnsi="Times New Roman" w:cs="Times New Roman"/>
                <w:b/>
                <w:spacing w:val="-8"/>
              </w:rPr>
              <w:t xml:space="preserve"> </w:t>
            </w:r>
            <w:r w:rsidRPr="003E364C">
              <w:rPr>
                <w:rFonts w:ascii="Times New Roman" w:eastAsia="Times New Roman" w:hAnsi="Times New Roman" w:cs="Times New Roman"/>
                <w:b/>
              </w:rPr>
              <w:t>dažnis</w:t>
            </w:r>
            <w:r w:rsidRPr="003E364C">
              <w:rPr>
                <w:rFonts w:ascii="Times New Roman" w:eastAsia="Times New Roman" w:hAnsi="Times New Roman" w:cs="Times New Roman"/>
                <w:b/>
                <w:spacing w:val="-5"/>
              </w:rPr>
              <w:t xml:space="preserve"> </w:t>
            </w:r>
            <w:r w:rsidRPr="003E364C">
              <w:rPr>
                <w:rFonts w:ascii="Times New Roman" w:eastAsia="Times New Roman" w:hAnsi="Times New Roman" w:cs="Times New Roman"/>
                <w:b/>
              </w:rPr>
              <w:t>(100-</w:t>
            </w:r>
            <w:r w:rsidRPr="003E364C">
              <w:rPr>
                <w:rFonts w:ascii="Times New Roman" w:eastAsia="Times New Roman" w:hAnsi="Times New Roman" w:cs="Times New Roman"/>
                <w:b/>
                <w:spacing w:val="-5"/>
              </w:rPr>
              <w:t>ui</w:t>
            </w:r>
          </w:p>
          <w:p w14:paraId="51C03919" w14:textId="654E7E7B"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rPr>
              <w:t>pacient</w:t>
            </w:r>
            <w:r w:rsidR="0037110C">
              <w:rPr>
                <w:rFonts w:ascii="Times New Roman" w:eastAsia="Times New Roman" w:hAnsi="Times New Roman" w:cs="Times New Roman"/>
                <w:b/>
                <w:lang w:val="en-US"/>
              </w:rPr>
              <w:t>ų</w:t>
            </w:r>
            <w:r w:rsidRPr="003E364C">
              <w:rPr>
                <w:rFonts w:ascii="Times New Roman" w:eastAsia="Times New Roman" w:hAnsi="Times New Roman" w:cs="Times New Roman"/>
                <w:b/>
                <w:spacing w:val="-9"/>
              </w:rPr>
              <w:t xml:space="preserve"> </w:t>
            </w:r>
            <w:r w:rsidRPr="003E364C">
              <w:rPr>
                <w:rFonts w:ascii="Times New Roman" w:eastAsia="Times New Roman" w:hAnsi="Times New Roman" w:cs="Times New Roman"/>
                <w:b/>
                <w:spacing w:val="-2"/>
              </w:rPr>
              <w:t>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565B587C"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Varfarinas, titruotas iki tikslinės TNS reikšmės 2,5 (terapinis intervalas nuo 2,0 iki 3,0)</w:t>
            </w:r>
          </w:p>
          <w:p w14:paraId="095E762D"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07E849C2" w14:textId="0F57186B"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Įvykių dažnis (100-ui pacient</w:t>
            </w:r>
            <w:r w:rsidR="0037110C">
              <w:rPr>
                <w:rFonts w:ascii="Times New Roman" w:eastAsia="Times New Roman" w:hAnsi="Times New Roman" w:cs="Times New Roman"/>
                <w:b/>
                <w:snapToGrid w:val="0"/>
              </w:rPr>
              <w:t>ų</w:t>
            </w:r>
            <w:r w:rsidRPr="003E364C">
              <w:rPr>
                <w:rFonts w:ascii="Times New Roman" w:eastAsia="Times New Roman" w:hAnsi="Times New Roman" w:cs="Times New Roman"/>
                <w:b/>
                <w:snapToGrid w:val="0"/>
              </w:rPr>
              <w:t xml:space="preserve"> metų)</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173A13" w14:textId="348D4E02"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RS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b/>
                <w:snapToGrid w:val="0"/>
              </w:rPr>
              <w:t xml:space="preserve"> PI) p reikšmė, geresnio rezultato tyrimas</w:t>
            </w:r>
          </w:p>
        </w:tc>
      </w:tr>
      <w:tr w:rsidR="003E364C" w:rsidRPr="003E364C" w14:paraId="5E295F40" w14:textId="77777777" w:rsidTr="0096285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C775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Insultas ir ne centrinės nervų sistemos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B1FF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269</w:t>
            </w:r>
          </w:p>
          <w:p w14:paraId="02754A8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7E43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306</w:t>
            </w:r>
          </w:p>
          <w:p w14:paraId="71BA27E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98F22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0,88</w:t>
            </w:r>
          </w:p>
          <w:p w14:paraId="3F8E8F1F" w14:textId="1B506B48"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(0,74</w:t>
            </w:r>
            <w:r w:rsidR="0037110C">
              <w:rPr>
                <w:rFonts w:ascii="Times New Roman" w:eastAsia="Times New Roman" w:hAnsi="Times New Roman" w:cs="Times New Roman"/>
                <w:snapToGrid w:val="0"/>
              </w:rPr>
              <w:t>–</w:t>
            </w:r>
            <w:r w:rsidRPr="003E364C">
              <w:rPr>
                <w:rFonts w:ascii="Times New Roman" w:eastAsia="Times New Roman" w:hAnsi="Times New Roman" w:cs="Times New Roman"/>
                <w:snapToGrid w:val="0"/>
              </w:rPr>
              <w:t>1,03)</w:t>
            </w:r>
          </w:p>
          <w:p w14:paraId="5B1560A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0,117</w:t>
            </w:r>
          </w:p>
        </w:tc>
      </w:tr>
      <w:tr w:rsidR="003E364C" w:rsidRPr="003E364C" w14:paraId="36868360" w14:textId="77777777" w:rsidTr="0096285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7F4C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Insultas, ne centrinės nervų sistemos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5C6D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572</w:t>
            </w:r>
          </w:p>
          <w:p w14:paraId="559AE70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A9B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609</w:t>
            </w:r>
          </w:p>
          <w:p w14:paraId="6585D2A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F07CA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0,94</w:t>
            </w:r>
          </w:p>
          <w:p w14:paraId="79EB273F" w14:textId="77307BA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(0,84</w:t>
            </w:r>
            <w:r w:rsidR="0037110C">
              <w:rPr>
                <w:rFonts w:ascii="Times New Roman" w:eastAsia="Times New Roman" w:hAnsi="Times New Roman" w:cs="Times New Roman"/>
                <w:snapToGrid w:val="0"/>
              </w:rPr>
              <w:t>–</w:t>
            </w:r>
            <w:r w:rsidRPr="003E364C">
              <w:rPr>
                <w:rFonts w:ascii="Times New Roman" w:eastAsia="Times New Roman" w:hAnsi="Times New Roman" w:cs="Times New Roman"/>
                <w:snapToGrid w:val="0"/>
              </w:rPr>
              <w:t>1,05)</w:t>
            </w:r>
          </w:p>
          <w:p w14:paraId="4D4DA38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0,265</w:t>
            </w:r>
          </w:p>
        </w:tc>
      </w:tr>
      <w:tr w:rsidR="003E364C" w:rsidRPr="003E364C" w14:paraId="4BDD29D4" w14:textId="77777777" w:rsidTr="0096285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AC8D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Insultas, ne centrinės nervų sistemos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817E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659</w:t>
            </w:r>
          </w:p>
          <w:p w14:paraId="43A9E86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5E8C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709</w:t>
            </w:r>
          </w:p>
          <w:p w14:paraId="5CFFCB9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3273F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0,93</w:t>
            </w:r>
          </w:p>
          <w:p w14:paraId="16988EB9" w14:textId="1A048EF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(0,83</w:t>
            </w:r>
            <w:r w:rsidR="0037110C">
              <w:rPr>
                <w:rFonts w:ascii="Times New Roman" w:eastAsia="Times New Roman" w:hAnsi="Times New Roman" w:cs="Times New Roman"/>
                <w:snapToGrid w:val="0"/>
              </w:rPr>
              <w:t>–</w:t>
            </w:r>
            <w:r w:rsidRPr="003E364C">
              <w:rPr>
                <w:rFonts w:ascii="Times New Roman" w:eastAsia="Times New Roman" w:hAnsi="Times New Roman" w:cs="Times New Roman"/>
                <w:snapToGrid w:val="0"/>
              </w:rPr>
              <w:t>1,03)</w:t>
            </w:r>
          </w:p>
          <w:p w14:paraId="75A8129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0,158</w:t>
            </w:r>
          </w:p>
        </w:tc>
      </w:tr>
      <w:tr w:rsidR="003E364C" w:rsidRPr="003E364C" w14:paraId="676C62C4" w14:textId="77777777" w:rsidTr="0096285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A8C3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32BC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253</w:t>
            </w:r>
          </w:p>
          <w:p w14:paraId="36B216B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EBD5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281</w:t>
            </w:r>
          </w:p>
          <w:p w14:paraId="5B521E9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6CC0A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0,90</w:t>
            </w:r>
          </w:p>
          <w:p w14:paraId="7F2898AA" w14:textId="3BEE20C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(0,76</w:t>
            </w:r>
            <w:r w:rsidR="0037110C">
              <w:rPr>
                <w:rFonts w:ascii="Times New Roman" w:eastAsia="Times New Roman" w:hAnsi="Times New Roman" w:cs="Times New Roman"/>
                <w:snapToGrid w:val="0"/>
              </w:rPr>
              <w:t>–</w:t>
            </w:r>
            <w:r w:rsidRPr="003E364C">
              <w:rPr>
                <w:rFonts w:ascii="Times New Roman" w:eastAsia="Times New Roman" w:hAnsi="Times New Roman" w:cs="Times New Roman"/>
                <w:snapToGrid w:val="0"/>
              </w:rPr>
              <w:t>1,07)</w:t>
            </w:r>
          </w:p>
          <w:p w14:paraId="5375C0A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0,221</w:t>
            </w:r>
          </w:p>
        </w:tc>
      </w:tr>
      <w:tr w:rsidR="003E364C" w:rsidRPr="003E364C" w14:paraId="73454DE0" w14:textId="77777777" w:rsidTr="0096285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5D77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Ne centrinės nervų sistemos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7B70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p w14:paraId="7E35C70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26EC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27</w:t>
            </w:r>
          </w:p>
          <w:p w14:paraId="7400AA8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9AB59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0,74</w:t>
            </w:r>
          </w:p>
          <w:p w14:paraId="42362745" w14:textId="396D4EB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(0,42</w:t>
            </w:r>
            <w:r w:rsidR="0037110C">
              <w:rPr>
                <w:rFonts w:ascii="Times New Roman" w:eastAsia="Times New Roman" w:hAnsi="Times New Roman" w:cs="Times New Roman"/>
                <w:snapToGrid w:val="0"/>
              </w:rPr>
              <w:t>–</w:t>
            </w:r>
            <w:r w:rsidRPr="003E364C">
              <w:rPr>
                <w:rFonts w:ascii="Times New Roman" w:eastAsia="Times New Roman" w:hAnsi="Times New Roman" w:cs="Times New Roman"/>
                <w:snapToGrid w:val="0"/>
              </w:rPr>
              <w:t>1,32)</w:t>
            </w:r>
          </w:p>
          <w:p w14:paraId="328D56B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0,308</w:t>
            </w:r>
          </w:p>
        </w:tc>
      </w:tr>
      <w:tr w:rsidR="003E364C" w:rsidRPr="003E364C" w14:paraId="3090BD75" w14:textId="77777777" w:rsidTr="0096285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739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A92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130</w:t>
            </w:r>
          </w:p>
          <w:p w14:paraId="2D5CA2A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8626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142</w:t>
            </w:r>
          </w:p>
          <w:p w14:paraId="694376F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38878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0,91</w:t>
            </w:r>
          </w:p>
          <w:p w14:paraId="7FB401AF" w14:textId="317167B9"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(0,72</w:t>
            </w:r>
            <w:r w:rsidR="0037110C">
              <w:rPr>
                <w:rFonts w:ascii="Times New Roman" w:eastAsia="Times New Roman" w:hAnsi="Times New Roman" w:cs="Times New Roman"/>
                <w:snapToGrid w:val="0"/>
              </w:rPr>
              <w:t>–</w:t>
            </w:r>
            <w:r w:rsidRPr="003E364C">
              <w:rPr>
                <w:rFonts w:ascii="Times New Roman" w:eastAsia="Times New Roman" w:hAnsi="Times New Roman" w:cs="Times New Roman"/>
                <w:snapToGrid w:val="0"/>
              </w:rPr>
              <w:t>1,16)</w:t>
            </w:r>
          </w:p>
          <w:p w14:paraId="37B186E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0,464</w:t>
            </w:r>
          </w:p>
        </w:tc>
      </w:tr>
    </w:tbl>
    <w:p w14:paraId="3BC1092C" w14:textId="77777777"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VKP: vieną kartą per parą</w:t>
      </w:r>
    </w:p>
    <w:p w14:paraId="7789A46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bCs/>
          <w:color w:val="000000"/>
          <w:lang w:eastAsia="ar-SA"/>
        </w:rPr>
      </w:pPr>
    </w:p>
    <w:p w14:paraId="76746E2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5 lentelė. Saugumo rezultatai, gauti III fazės ROCKET AF tyrimo metu</w:t>
      </w:r>
    </w:p>
    <w:tbl>
      <w:tblPr>
        <w:tblW w:w="0" w:type="auto"/>
        <w:tblLayout w:type="fixed"/>
        <w:tblLook w:val="0000" w:firstRow="0" w:lastRow="0" w:firstColumn="0" w:lastColumn="0" w:noHBand="0" w:noVBand="0"/>
      </w:tblPr>
      <w:tblGrid>
        <w:gridCol w:w="2689"/>
        <w:gridCol w:w="1860"/>
        <w:gridCol w:w="2262"/>
        <w:gridCol w:w="2228"/>
      </w:tblGrid>
      <w:tr w:rsidR="003E364C" w:rsidRPr="003E364C" w14:paraId="4DA56122" w14:textId="77777777" w:rsidTr="0096285A">
        <w:trPr>
          <w:tblHeader/>
        </w:trPr>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6BB21E7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Tyrimo populiacija</w:t>
            </w:r>
          </w:p>
        </w:tc>
        <w:tc>
          <w:tcPr>
            <w:tcW w:w="6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4693EB"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Pacientai, kuriems yra su vožtuvų liga nesusijęs prieširdžių virpėjimas</w:t>
            </w:r>
            <w:r w:rsidRPr="003E364C">
              <w:rPr>
                <w:rFonts w:ascii="Times New Roman" w:eastAsia="Times New Roman" w:hAnsi="Times New Roman" w:cs="Times New Roman"/>
                <w:b/>
                <w:color w:val="000000"/>
                <w:vertAlign w:val="superscript"/>
                <w:lang w:eastAsia="ar-SA"/>
              </w:rPr>
              <w:t>a)</w:t>
            </w:r>
          </w:p>
        </w:tc>
      </w:tr>
      <w:tr w:rsidR="003E364C" w:rsidRPr="003E364C" w14:paraId="16E5C519"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5C8C291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p w14:paraId="081266F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Gydymo dozė</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14:paraId="45044634" w14:textId="2EAAF68F"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Rivaroksabanas 20</w:t>
            </w:r>
            <w:r w:rsidR="00AD441E">
              <w:rPr>
                <w:rFonts w:ascii="Times New Roman" w:eastAsia="Times New Roman" w:hAnsi="Times New Roman" w:cs="Times New Roman"/>
                <w:b/>
                <w:color w:val="000000"/>
                <w:lang w:eastAsia="ar-SA"/>
              </w:rPr>
              <w:t> mg</w:t>
            </w:r>
            <w:r w:rsidRPr="003E364C">
              <w:rPr>
                <w:rFonts w:ascii="Times New Roman" w:eastAsia="Times New Roman" w:hAnsi="Times New Roman" w:cs="Times New Roman"/>
                <w:b/>
                <w:color w:val="000000"/>
                <w:lang w:eastAsia="ar-SA"/>
              </w:rPr>
              <w:t xml:space="preserve"> VKP</w:t>
            </w:r>
          </w:p>
          <w:p w14:paraId="50060F22" w14:textId="70786548"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(15</w:t>
            </w:r>
            <w:r w:rsidR="00AD441E">
              <w:rPr>
                <w:rFonts w:ascii="Times New Roman" w:eastAsia="Times New Roman" w:hAnsi="Times New Roman" w:cs="Times New Roman"/>
                <w:b/>
                <w:color w:val="000000"/>
                <w:lang w:eastAsia="ar-SA"/>
              </w:rPr>
              <w:t> mg</w:t>
            </w:r>
            <w:r w:rsidRPr="003E364C">
              <w:rPr>
                <w:rFonts w:ascii="Times New Roman" w:eastAsia="Times New Roman" w:hAnsi="Times New Roman" w:cs="Times New Roman"/>
                <w:b/>
                <w:color w:val="000000"/>
                <w:lang w:eastAsia="ar-SA"/>
              </w:rPr>
              <w:t xml:space="preserve"> VKP pacientams, kuriems yra vidutinio </w:t>
            </w:r>
            <w:r w:rsidRPr="003E364C">
              <w:rPr>
                <w:rFonts w:ascii="Times New Roman" w:eastAsia="Times New Roman" w:hAnsi="Times New Roman" w:cs="Times New Roman"/>
                <w:b/>
                <w:color w:val="000000"/>
                <w:lang w:eastAsia="ar-SA"/>
              </w:rPr>
              <w:lastRenderedPageBreak/>
              <w:t>sunkumo inkstų funkcijos sutrikimas)</w:t>
            </w:r>
          </w:p>
          <w:p w14:paraId="137F67D1" w14:textId="66A4E23F"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Įvykių dažnis (100-ui pacient</w:t>
            </w:r>
            <w:r w:rsidR="0037110C">
              <w:rPr>
                <w:rFonts w:ascii="Times New Roman" w:eastAsia="Times New Roman" w:hAnsi="Times New Roman" w:cs="Times New Roman"/>
                <w:b/>
                <w:color w:val="000000"/>
                <w:lang w:eastAsia="ar-SA"/>
              </w:rPr>
              <w:t>ų</w:t>
            </w:r>
            <w:r w:rsidRPr="003E364C">
              <w:rPr>
                <w:rFonts w:ascii="Times New Roman" w:eastAsia="Times New Roman" w:hAnsi="Times New Roman" w:cs="Times New Roman"/>
                <w:b/>
                <w:color w:val="000000"/>
                <w:lang w:eastAsia="ar-SA"/>
              </w:rPr>
              <w:t xml:space="preserve">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19BE75F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lastRenderedPageBreak/>
              <w:t>Varfarinas, titruotas iki tikslinės TNS reikšmės 2,5 (terapinis intervalas nuo 2,0 iki 3,0)</w:t>
            </w:r>
          </w:p>
          <w:p w14:paraId="3ABFA78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p w14:paraId="658A74A7" w14:textId="5E887402"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lastRenderedPageBreak/>
              <w:t>Įvykių dažnis (100-ui pacient</w:t>
            </w:r>
            <w:r w:rsidR="0037110C">
              <w:rPr>
                <w:rFonts w:ascii="Times New Roman" w:eastAsia="Times New Roman" w:hAnsi="Times New Roman" w:cs="Times New Roman"/>
                <w:b/>
                <w:color w:val="000000"/>
                <w:lang w:eastAsia="ar-SA"/>
              </w:rPr>
              <w:t>ų</w:t>
            </w:r>
            <w:r w:rsidRPr="003E364C">
              <w:rPr>
                <w:rFonts w:ascii="Times New Roman" w:eastAsia="Times New Roman" w:hAnsi="Times New Roman" w:cs="Times New Roman"/>
                <w:b/>
                <w:color w:val="000000"/>
                <w:lang w:eastAsia="ar-SA"/>
              </w:rPr>
              <w:t xml:space="preserve">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0BAA149F" w14:textId="2797750F"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lastRenderedPageBreak/>
              <w:t>RS (95</w:t>
            </w:r>
            <w:r w:rsidR="00AD441E">
              <w:rPr>
                <w:rFonts w:ascii="Times New Roman" w:eastAsia="Times New Roman" w:hAnsi="Times New Roman" w:cs="Times New Roman"/>
                <w:b/>
                <w:color w:val="000000"/>
                <w:lang w:eastAsia="ar-SA"/>
              </w:rPr>
              <w:t> %</w:t>
            </w:r>
            <w:r w:rsidRPr="003E364C">
              <w:rPr>
                <w:rFonts w:ascii="Times New Roman" w:eastAsia="Times New Roman" w:hAnsi="Times New Roman" w:cs="Times New Roman"/>
                <w:b/>
                <w:color w:val="000000"/>
                <w:lang w:eastAsia="ar-SA"/>
              </w:rPr>
              <w:t xml:space="preserve"> PI) p reikšmė</w:t>
            </w:r>
          </w:p>
        </w:tc>
      </w:tr>
      <w:tr w:rsidR="003E364C" w:rsidRPr="003E364C" w14:paraId="02C0211C"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07C6FF7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Didžiųjų ir ne didžiųjų klinikiniu požiūriu reikšmingų kraujavimų atvejai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23DBB"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1475</w:t>
            </w:r>
          </w:p>
          <w:p w14:paraId="20472B2B"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CA64"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1449</w:t>
            </w:r>
          </w:p>
          <w:p w14:paraId="411439E4"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DB852" w14:textId="33D76ADC"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1,03 (0,96</w:t>
            </w:r>
            <w:r w:rsidR="0037110C">
              <w:rPr>
                <w:rFonts w:ascii="Times New Roman" w:eastAsia="Times New Roman" w:hAnsi="Times New Roman" w:cs="Times New Roman"/>
                <w:color w:val="000000"/>
                <w:lang w:eastAsia="ar-SA"/>
              </w:rPr>
              <w:t>–</w:t>
            </w:r>
            <w:r w:rsidRPr="003E364C">
              <w:rPr>
                <w:rFonts w:ascii="Times New Roman" w:eastAsia="Times New Roman" w:hAnsi="Times New Roman" w:cs="Times New Roman"/>
                <w:color w:val="000000"/>
                <w:lang w:eastAsia="ar-SA"/>
              </w:rPr>
              <w:t>1,11)</w:t>
            </w:r>
          </w:p>
          <w:p w14:paraId="0394E920"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0,442</w:t>
            </w:r>
          </w:p>
        </w:tc>
      </w:tr>
      <w:tr w:rsidR="003E364C" w:rsidRPr="003E364C" w14:paraId="05185D8D"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FC2D04B"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Didžiojo kraujavimo atvejai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D8BAB"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395</w:t>
            </w:r>
          </w:p>
          <w:p w14:paraId="75A3CEF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90F77"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386</w:t>
            </w:r>
          </w:p>
          <w:p w14:paraId="15E30167"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99699"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1,04</w:t>
            </w:r>
          </w:p>
          <w:p w14:paraId="2AD33EAE" w14:textId="6A2B569B"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(0,90</w:t>
            </w:r>
            <w:r w:rsidR="0037110C">
              <w:rPr>
                <w:rFonts w:ascii="Times New Roman" w:eastAsia="Times New Roman" w:hAnsi="Times New Roman" w:cs="Times New Roman"/>
                <w:color w:val="000000"/>
                <w:lang w:eastAsia="ar-SA"/>
              </w:rPr>
              <w:t>–</w:t>
            </w:r>
            <w:r w:rsidRPr="003E364C">
              <w:rPr>
                <w:rFonts w:ascii="Times New Roman" w:eastAsia="Times New Roman" w:hAnsi="Times New Roman" w:cs="Times New Roman"/>
                <w:color w:val="000000"/>
                <w:lang w:eastAsia="ar-SA"/>
              </w:rPr>
              <w:t>1,20) 0,576</w:t>
            </w:r>
          </w:p>
        </w:tc>
      </w:tr>
      <w:tr w:rsidR="003E364C" w:rsidRPr="003E364C" w14:paraId="05DD77A1"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2C99084"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Mirtis dėl kraujavimo*</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9C476"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27</w:t>
            </w:r>
          </w:p>
          <w:p w14:paraId="46B2B8A9"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30469"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55</w:t>
            </w:r>
          </w:p>
          <w:p w14:paraId="5EAD01E4"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E6830"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0,50</w:t>
            </w:r>
          </w:p>
          <w:p w14:paraId="455FC38B" w14:textId="1BA66C9A"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(0,31</w:t>
            </w:r>
            <w:r w:rsidR="0037110C">
              <w:rPr>
                <w:rFonts w:ascii="Times New Roman" w:eastAsia="Times New Roman" w:hAnsi="Times New Roman" w:cs="Times New Roman"/>
                <w:color w:val="000000"/>
                <w:lang w:eastAsia="ar-SA"/>
              </w:rPr>
              <w:t>–</w:t>
            </w:r>
            <w:r w:rsidRPr="003E364C">
              <w:rPr>
                <w:rFonts w:ascii="Times New Roman" w:eastAsia="Times New Roman" w:hAnsi="Times New Roman" w:cs="Times New Roman"/>
                <w:color w:val="000000"/>
                <w:lang w:eastAsia="ar-SA"/>
              </w:rPr>
              <w:t>0,79) 0,003</w:t>
            </w:r>
          </w:p>
        </w:tc>
      </w:tr>
      <w:tr w:rsidR="003E364C" w:rsidRPr="003E364C" w14:paraId="6159EA82"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42FD95"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Kritinis organų kraujavimas*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7096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91</w:t>
            </w:r>
          </w:p>
          <w:p w14:paraId="1600B12D"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CF62"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133</w:t>
            </w:r>
          </w:p>
          <w:p w14:paraId="2EB5B9B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39162"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0,69</w:t>
            </w:r>
          </w:p>
          <w:p w14:paraId="7A0D0A88" w14:textId="5AA0FFD3"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(0,53</w:t>
            </w:r>
            <w:r w:rsidR="0037110C">
              <w:rPr>
                <w:rFonts w:ascii="Times New Roman" w:eastAsia="Times New Roman" w:hAnsi="Times New Roman" w:cs="Times New Roman"/>
                <w:color w:val="000000"/>
                <w:lang w:eastAsia="ar-SA"/>
              </w:rPr>
              <w:t>–</w:t>
            </w:r>
            <w:r w:rsidRPr="003E364C">
              <w:rPr>
                <w:rFonts w:ascii="Times New Roman" w:eastAsia="Times New Roman" w:hAnsi="Times New Roman" w:cs="Times New Roman"/>
                <w:color w:val="000000"/>
                <w:lang w:eastAsia="ar-SA"/>
              </w:rPr>
              <w:t>0,91) 0,007</w:t>
            </w:r>
          </w:p>
        </w:tc>
      </w:tr>
      <w:tr w:rsidR="003E364C" w:rsidRPr="003E364C" w14:paraId="5E5DF356"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18654AB"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Kraujavimas į kaukolės vidų*</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FCFD"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55</w:t>
            </w:r>
          </w:p>
          <w:p w14:paraId="087839B9"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3073"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84</w:t>
            </w:r>
          </w:p>
          <w:p w14:paraId="6A8E4EC4"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0AEBC"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0,67</w:t>
            </w:r>
          </w:p>
          <w:p w14:paraId="2DEC53F7" w14:textId="6D831E1D"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(0,47</w:t>
            </w:r>
            <w:r w:rsidR="0037110C">
              <w:rPr>
                <w:rFonts w:ascii="Times New Roman" w:eastAsia="Times New Roman" w:hAnsi="Times New Roman" w:cs="Times New Roman"/>
                <w:color w:val="000000"/>
                <w:lang w:eastAsia="ar-SA"/>
              </w:rPr>
              <w:t>–</w:t>
            </w:r>
            <w:r w:rsidRPr="003E364C">
              <w:rPr>
                <w:rFonts w:ascii="Times New Roman" w:eastAsia="Times New Roman" w:hAnsi="Times New Roman" w:cs="Times New Roman"/>
                <w:color w:val="000000"/>
                <w:lang w:eastAsia="ar-SA"/>
              </w:rPr>
              <w:t>0,93) 0,019</w:t>
            </w:r>
          </w:p>
        </w:tc>
      </w:tr>
      <w:tr w:rsidR="003E364C" w:rsidRPr="003E364C" w14:paraId="7C525EBE"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54D0474"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Hemoglobino sumažėjimas*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0CAA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305</w:t>
            </w:r>
          </w:p>
          <w:p w14:paraId="475B53D1"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4907"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254</w:t>
            </w:r>
          </w:p>
          <w:p w14:paraId="671D4BA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D76FA" w14:textId="5A271DEB"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1,22 (1,03</w:t>
            </w:r>
            <w:r w:rsidR="0037110C">
              <w:rPr>
                <w:rFonts w:ascii="Times New Roman" w:eastAsia="Times New Roman" w:hAnsi="Times New Roman" w:cs="Times New Roman"/>
                <w:color w:val="000000"/>
                <w:lang w:eastAsia="ar-SA"/>
              </w:rPr>
              <w:t>–</w:t>
            </w:r>
            <w:r w:rsidRPr="003E364C">
              <w:rPr>
                <w:rFonts w:ascii="Times New Roman" w:eastAsia="Times New Roman" w:hAnsi="Times New Roman" w:cs="Times New Roman"/>
                <w:color w:val="000000"/>
                <w:lang w:eastAsia="ar-SA"/>
              </w:rPr>
              <w:t>1,44)</w:t>
            </w:r>
          </w:p>
          <w:p w14:paraId="55FA3F11"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0,019</w:t>
            </w:r>
          </w:p>
        </w:tc>
      </w:tr>
      <w:tr w:rsidR="003E364C" w:rsidRPr="003E364C" w14:paraId="4B6CA437"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F098A9E"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 ar daugiau vienetų raudonųjų kraujo kūnelių pakuočių ar viso kraujo perpylimas*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7C94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183</w:t>
            </w:r>
          </w:p>
          <w:p w14:paraId="2792A38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95FD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149</w:t>
            </w:r>
          </w:p>
          <w:p w14:paraId="79FEB277"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66A2" w14:textId="29B3A30E"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1,25 (1,01</w:t>
            </w:r>
            <w:r w:rsidR="0037110C">
              <w:rPr>
                <w:rFonts w:ascii="Times New Roman" w:eastAsia="Times New Roman" w:hAnsi="Times New Roman" w:cs="Times New Roman"/>
                <w:color w:val="000000"/>
                <w:lang w:eastAsia="ar-SA"/>
              </w:rPr>
              <w:t>–</w:t>
            </w:r>
            <w:r w:rsidRPr="003E364C">
              <w:rPr>
                <w:rFonts w:ascii="Times New Roman" w:eastAsia="Times New Roman" w:hAnsi="Times New Roman" w:cs="Times New Roman"/>
                <w:color w:val="000000"/>
                <w:lang w:eastAsia="ar-SA"/>
              </w:rPr>
              <w:t>1,55)</w:t>
            </w:r>
          </w:p>
          <w:p w14:paraId="259B21CE"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0,044</w:t>
            </w:r>
          </w:p>
        </w:tc>
      </w:tr>
      <w:tr w:rsidR="003E364C" w:rsidRPr="003E364C" w14:paraId="064AD756"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21E4BDA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Ne didžiojo kliniškai reikšmingo kraujavimo atvejai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C8A2E"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1185</w:t>
            </w:r>
          </w:p>
          <w:p w14:paraId="165DF0BD"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936F6"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1151</w:t>
            </w:r>
          </w:p>
          <w:p w14:paraId="09EE4CF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B722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1,04</w:t>
            </w:r>
          </w:p>
          <w:p w14:paraId="50271483"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(0,96–1,13) 0,345</w:t>
            </w:r>
          </w:p>
        </w:tc>
      </w:tr>
      <w:tr w:rsidR="003E364C" w:rsidRPr="003E364C" w14:paraId="2833D8F6" w14:textId="77777777" w:rsidTr="0096285A">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0033A76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Mirtis dėl bet kurios priežasties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9035D"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208</w:t>
            </w:r>
          </w:p>
          <w:p w14:paraId="66F2D96E"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C469A"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250</w:t>
            </w:r>
          </w:p>
          <w:p w14:paraId="597D3C2A"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9F645" w14:textId="6B830C0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0,85 (0,70</w:t>
            </w:r>
            <w:r w:rsidR="0037110C">
              <w:rPr>
                <w:rFonts w:ascii="Times New Roman" w:eastAsia="Times New Roman" w:hAnsi="Times New Roman" w:cs="Times New Roman"/>
                <w:color w:val="000000"/>
                <w:lang w:eastAsia="ar-SA"/>
              </w:rPr>
              <w:t>–</w:t>
            </w:r>
            <w:r w:rsidRPr="003E364C">
              <w:rPr>
                <w:rFonts w:ascii="Times New Roman" w:eastAsia="Times New Roman" w:hAnsi="Times New Roman" w:cs="Times New Roman"/>
                <w:color w:val="000000"/>
                <w:lang w:eastAsia="ar-SA"/>
              </w:rPr>
              <w:t>1,02)</w:t>
            </w:r>
          </w:p>
          <w:p w14:paraId="45E974D5"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0,073</w:t>
            </w:r>
          </w:p>
        </w:tc>
      </w:tr>
    </w:tbl>
    <w:p w14:paraId="6817171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a) Saugumo populiacija, taikytas gydymas</w:t>
      </w:r>
    </w:p>
    <w:p w14:paraId="58DD3F9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Nominaliai reikšmingas</w:t>
      </w:r>
    </w:p>
    <w:p w14:paraId="3ADC8DB2" w14:textId="77777777"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VKP: vieną kartą per parą</w:t>
      </w:r>
    </w:p>
    <w:p w14:paraId="3A34AE58" w14:textId="77777777" w:rsidR="003E364C" w:rsidRPr="003E364C" w:rsidRDefault="003E364C" w:rsidP="003E364C">
      <w:pPr>
        <w:spacing w:after="0" w:line="240" w:lineRule="auto"/>
        <w:rPr>
          <w:rFonts w:ascii="Times New Roman" w:eastAsia="Times New Roman" w:hAnsi="Times New Roman" w:cs="Times New Roman"/>
          <w:snapToGrid w:val="0"/>
        </w:rPr>
      </w:pPr>
    </w:p>
    <w:p w14:paraId="12114727" w14:textId="6C1D51E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Papildant III fazės ROCKET AF tyrimą, buvo atliktas perspektyvinis, vienos grupės, poregistracinis, neintervencinis, atviras kohortinis tyrimas (XANTUS) su centriniu baigčių, įskaitant tromboembolinius reiškinius ir didįjį kraujavimą, vertinimu. 6</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7</w:t>
      </w:r>
      <w:r w:rsidR="00A2791C">
        <w:rPr>
          <w:rFonts w:ascii="Times New Roman" w:eastAsia="Times New Roman" w:hAnsi="Times New Roman" w:cs="Times New Roman"/>
          <w:snapToGrid w:val="0"/>
        </w:rPr>
        <w:t>04</w:t>
      </w:r>
      <w:r w:rsidRPr="003E364C">
        <w:rPr>
          <w:rFonts w:ascii="Times New Roman" w:eastAsia="Times New Roman" w:hAnsi="Times New Roman" w:cs="Times New Roman"/>
          <w:snapToGrid w:val="0"/>
        </w:rPr>
        <w:t xml:space="preserve"> pacientai, kuriems pasireiškė su vožtuvų liga nesusijęs prieširdžių virpėjimas, buvo įtraukti į šį tyrimą insulto ir ne centrinės nervų sistemos (CNS) sisteminės embolijos prevencijai klinikinėje praktikoje. Vidutini</w:t>
      </w:r>
      <w:r w:rsidR="00A2791C">
        <w:rPr>
          <w:rFonts w:ascii="Times New Roman" w:eastAsia="Times New Roman" w:hAnsi="Times New Roman" w:cs="Times New Roman"/>
          <w:snapToGrid w:val="0"/>
        </w:rPr>
        <w:t>s</w:t>
      </w:r>
      <w:r w:rsidRPr="003E364C">
        <w:rPr>
          <w:rFonts w:ascii="Times New Roman" w:eastAsia="Times New Roman" w:hAnsi="Times New Roman" w:cs="Times New Roman"/>
          <w:snapToGrid w:val="0"/>
        </w:rPr>
        <w:t xml:space="preserve"> bala</w:t>
      </w:r>
      <w:r w:rsidR="00A2791C">
        <w:rPr>
          <w:rFonts w:ascii="Times New Roman" w:eastAsia="Times New Roman" w:hAnsi="Times New Roman" w:cs="Times New Roman"/>
          <w:snapToGrid w:val="0"/>
        </w:rPr>
        <w:t>s</w:t>
      </w:r>
      <w:r w:rsidRPr="003E364C">
        <w:rPr>
          <w:rFonts w:ascii="Times New Roman" w:eastAsia="Times New Roman" w:hAnsi="Times New Roman" w:cs="Times New Roman"/>
          <w:snapToGrid w:val="0"/>
        </w:rPr>
        <w:t xml:space="preserve"> pagal CHADS</w:t>
      </w:r>
      <w:r w:rsidR="00D629DE" w:rsidRPr="00F77694">
        <w:rPr>
          <w:rFonts w:ascii="Times New Roman" w:eastAsia="Times New Roman" w:hAnsi="Times New Roman" w:cs="Times New Roman"/>
          <w:snapToGrid w:val="0"/>
          <w:vertAlign w:val="subscript"/>
        </w:rPr>
        <w:t>2</w:t>
      </w:r>
      <w:r w:rsidRPr="003E364C">
        <w:rPr>
          <w:rFonts w:ascii="Times New Roman" w:eastAsia="Times New Roman" w:hAnsi="Times New Roman" w:cs="Times New Roman"/>
          <w:snapToGrid w:val="0"/>
        </w:rPr>
        <w:t xml:space="preserve"> </w:t>
      </w:r>
      <w:r w:rsidR="00A2791C">
        <w:rPr>
          <w:rFonts w:ascii="Times New Roman" w:eastAsia="Times New Roman" w:hAnsi="Times New Roman" w:cs="Times New Roman"/>
          <w:snapToGrid w:val="0"/>
        </w:rPr>
        <w:t>skalę buvo 1,9, o pagal</w:t>
      </w:r>
      <w:r w:rsidRPr="003E364C">
        <w:rPr>
          <w:rFonts w:ascii="Times New Roman" w:eastAsia="Times New Roman" w:hAnsi="Times New Roman" w:cs="Times New Roman"/>
          <w:snapToGrid w:val="0"/>
        </w:rPr>
        <w:t xml:space="preserve"> HAS-BLED skal</w:t>
      </w:r>
      <w:r w:rsidR="00A2791C">
        <w:rPr>
          <w:rFonts w:ascii="Times New Roman" w:eastAsia="Times New Roman" w:hAnsi="Times New Roman" w:cs="Times New Roman"/>
          <w:snapToGrid w:val="0"/>
        </w:rPr>
        <w:t>ę</w:t>
      </w:r>
      <w:r w:rsidRPr="003E364C">
        <w:rPr>
          <w:rFonts w:ascii="Times New Roman" w:eastAsia="Times New Roman" w:hAnsi="Times New Roman" w:cs="Times New Roman"/>
          <w:snapToGrid w:val="0"/>
        </w:rPr>
        <w:t xml:space="preserve"> </w:t>
      </w:r>
      <w:r w:rsidR="00A2791C">
        <w:rPr>
          <w:rFonts w:ascii="Times New Roman" w:eastAsia="Times New Roman" w:hAnsi="Times New Roman" w:cs="Times New Roman"/>
          <w:snapToGrid w:val="0"/>
        </w:rPr>
        <w:t xml:space="preserve">– 2,0 </w:t>
      </w:r>
      <w:r w:rsidRPr="003E364C">
        <w:rPr>
          <w:rFonts w:ascii="Times New Roman" w:eastAsia="Times New Roman" w:hAnsi="Times New Roman" w:cs="Times New Roman"/>
          <w:snapToGrid w:val="0"/>
        </w:rPr>
        <w:t>XANTUS tyrime, o ROCKET AF tyrime vidutiniai balai pagal CHADS2 ir HAS-BLED skales buvo atitinkamai 3,5 ir 2,8. Didžiojo kraujavimo dažnis buvo 2,1 atvejo 100-ui paciento metų. Mirtino kraujavimo dažnis – 0,2 atvejo 100-ui paciento metų ir intrakranijinio kraujavimo – 0,4 atvejo 100-ui paciento metų. Insulto arba ne centrinės nervų sistemos (CNS) sisteminės embolijos atvejų dažnis buvo 0,8 atvejo 100-ui paciento metų.</w:t>
      </w:r>
    </w:p>
    <w:p w14:paraId="3BE36D3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Šis stebėjimas klinikinėje praktikoje atitinka šiai indikacijai nustatytus saugumo duomenis.</w:t>
      </w:r>
    </w:p>
    <w:p w14:paraId="1EE102B0" w14:textId="77777777" w:rsidR="003E364C" w:rsidRPr="003E364C" w:rsidRDefault="003E364C" w:rsidP="003E364C">
      <w:pPr>
        <w:spacing w:after="0" w:line="240" w:lineRule="auto"/>
        <w:rPr>
          <w:rFonts w:ascii="Times New Roman" w:eastAsia="Times New Roman" w:hAnsi="Times New Roman" w:cs="Times New Roman"/>
          <w:snapToGrid w:val="0"/>
        </w:rPr>
      </w:pPr>
    </w:p>
    <w:p w14:paraId="2148C63E" w14:textId="3BDB62D5" w:rsidR="00057A62" w:rsidRPr="008173BF" w:rsidRDefault="00057A62" w:rsidP="003E364C">
      <w:pPr>
        <w:spacing w:after="0" w:line="240" w:lineRule="auto"/>
        <w:rPr>
          <w:rFonts w:ascii="Times New Roman" w:eastAsia="Times New Roman" w:hAnsi="Times New Roman" w:cs="Times New Roman"/>
          <w:snapToGrid w:val="0"/>
        </w:rPr>
      </w:pPr>
      <w:r w:rsidRPr="008173BF">
        <w:rPr>
          <w:rFonts w:ascii="Times New Roman" w:eastAsia="Times New Roman" w:hAnsi="Times New Roman" w:cs="Times New Roman"/>
          <w:snapToGrid w:val="0"/>
        </w:rPr>
        <w:t>Poregistracinio neintervencinio tyrimo metu, kuriame dalyvavo daugiau nei 162 000 pacientų iš keturių šalių, rivaroksabano buvo paskirta insulto ir sisteminės embolijos profilaktikai pacientams, kuriems diagnozuotas su vožtuvų liga nesusijęs prieširdžių virpėjimas. Išeminio insulto atvejų dažnis buvo 0,70 (95 % PI 0,44-1,13) 100-ui pacientų metų. Kraujavimas, dėl kurio prireikė hospitalizacijos,</w:t>
      </w:r>
      <w:r w:rsidR="00DE7B5A" w:rsidRPr="00CF4CA4">
        <w:rPr>
          <w:rFonts w:ascii="Times New Roman" w:eastAsia="Times New Roman" w:hAnsi="Times New Roman" w:cs="Times New Roman"/>
          <w:snapToGrid w:val="0"/>
        </w:rPr>
        <w:t xml:space="preserve"> </w:t>
      </w:r>
      <w:r w:rsidRPr="008173BF">
        <w:rPr>
          <w:rFonts w:ascii="Times New Roman" w:eastAsia="Times New Roman" w:hAnsi="Times New Roman" w:cs="Times New Roman"/>
          <w:snapToGrid w:val="0"/>
        </w:rPr>
        <w:t xml:space="preserve"> pasireiškė tokiais dažniais 100-ui pacientų metų: 0,43 (95 % PI 0,31-0,59) intrakranijinio kraujavimo atveju, 1,04 (95 % PI 0,65-1,66) kraujavimo iš virškinimo trakto atveju, 0,41 (95 % PI 0,31-0,53) urogenitalinio kraujavimo atveju ir 0,40 (95 % PI 0,25-0,65) kitokio kraujavimo atveju.</w:t>
      </w:r>
    </w:p>
    <w:p w14:paraId="54E304D0" w14:textId="77777777" w:rsidR="00057A62" w:rsidRDefault="00057A62" w:rsidP="003E364C">
      <w:pPr>
        <w:spacing w:after="0" w:line="240" w:lineRule="auto"/>
        <w:rPr>
          <w:rFonts w:ascii="Times New Roman" w:eastAsia="Times New Roman" w:hAnsi="Times New Roman" w:cs="Times New Roman"/>
          <w:snapToGrid w:val="0"/>
          <w:u w:val="single"/>
        </w:rPr>
      </w:pPr>
    </w:p>
    <w:p w14:paraId="3930E684" w14:textId="5DF52993"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lastRenderedPageBreak/>
        <w:t>Pacientai, kuriems atliekama kardioversija</w:t>
      </w:r>
    </w:p>
    <w:p w14:paraId="240821DC" w14:textId="58F59F9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Perspektyvinis, randomizuotas, atviras, daugiacentris žvalgomasis tyrimas su akla vertinamąja baigtimi (X-VERT) buvo atliktas su 1504 pacientais (kurie buvo anksčiau gydyti arba negydyti geriamaisiais antikoaguliantais), kuriems pasireiškė su vožtuvų liga nesusijęs prieširdžių virpėjimas. Atrinkti pacientai, kuriems buvo nuspręsta taikyti kardioversiją, siekiant palyginti rivaroksabano ir vitamino K antagonistų (VKA) poveikį kardiovaskulinių reiškinių profilaktikai (randomizuota 2:1). Buvo naudojamos po kontrolinės transezofaginės echokardiogramos (TEE) atliekamos (prieš tai gydyta 1–5 dienas) arba įprastos (prieš tai gydyta mažiausiai 3 savaites) kardioversijos strategijos. Pirminio veiksmingumo įvertinimo reiškiniai (bet kokie insultai, praeinantys smegenų išemijos priepuoliai, ne centrinės nervų sistemos (CNS) sisteminė embolija, miokardo infarktas (MI) ir kardiovaskulinė mirtis) pasireiškė 5 (0,5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pacientams rivaroksabano grupėje (n = 978) ir 5 (1,0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pacientams VKA grupėje (n = 492; RS 0,50;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0,15–1,73; modifikuota ITT populiacija). Svarbiausias saugumo įvertinimo rezultatas (didysis kraujavimas) pasireiškė 6 (0,6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rivaroksabanu (n = 988) ir 4 (0,8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VKA (n = 499) gydytiems pacientams, (RS 0,76;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0,21–2,67; saugumo populiacija). Šis žvalgomasis tyrimas palygino gydymo rivaroksabanu ir VKA veiksmingumą ir saugumą taikant kardioversiją.</w:t>
      </w:r>
    </w:p>
    <w:p w14:paraId="6707A878" w14:textId="77777777" w:rsidR="003E364C" w:rsidRPr="003E364C" w:rsidRDefault="003E364C" w:rsidP="003E364C">
      <w:pPr>
        <w:spacing w:after="0" w:line="240" w:lineRule="auto"/>
        <w:rPr>
          <w:rFonts w:ascii="Times New Roman" w:eastAsia="Times New Roman" w:hAnsi="Times New Roman" w:cs="Times New Roman"/>
          <w:snapToGrid w:val="0"/>
        </w:rPr>
      </w:pPr>
    </w:p>
    <w:p w14:paraId="2BD70299"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Pacientai, sergantys su vožtuvų liga nesusijusiu prieširdžių virpėjimu, kuriems atliekama PKI su stento įvedimu</w:t>
      </w:r>
    </w:p>
    <w:p w14:paraId="728B7CD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Randomizuotame, atvirame, daugiacentriame klinikiniame tyrime (PIONEER AF–PCI), kuriame dalyvavo 2 124 pacientai, sergantys su vožtuvų liga nesusijusiu prieširdžių virpėjimu, kuriems dėl pirminės aterosklerozinės širdies ligos atlikta PKI su stento įvedimu, buvo lyginamas dviejų rivaroksabano ir vieno VKA dozavimo režimų saugumas. Pacientai atsitiktiniu būdu buvo suskirstyti į grupes santykiu 1:1:1 ir gydyti iš viso 12 mėnesių. Pacientai, anksčiau patyrę insultą arba praeinantį smegenų išemijos priepuolį, nebuvo tirti.</w:t>
      </w:r>
    </w:p>
    <w:p w14:paraId="6C4185CB" w14:textId="3882B77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 os grupės pacientai vartojo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vieną kartą per parą (pacientai, kurių kreatinino klirensas 30–49</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ml/min, vartojo 10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dozę vieną kartą per parą) kartu su P2Y12 inhibitoriumi.</w:t>
      </w:r>
    </w:p>
    <w:p w14:paraId="28B6AB6B" w14:textId="461BD19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 os grupės pacientai 1, 6 arba 12 mėnesių vartojo 2,5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du kartus per parą kartu su DAT (dviguba antitrombocitine terapija, t. y. 75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klopidogrelio [arba kito P2Y12 inhibitoriaus] kartu su mažų dozių acetilsalicilo rūgštimi [ASR]), o vėliau –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(pacientai, kurių kreatinino klirensas 30–49</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ml/min, vartojo 10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dozę) vieną kartą per parą kartu su mažų dozių acetilsalicilo rūgštimi. 3 os grupės pacientai 1, 6 arba 12 mėnesių vartojo pritaikytos dozės VKA kartu su DAT, o vėliau – pritaikytos dozės VKA kartu su mažų dozių acetilsalicilo rūgštimi.</w:t>
      </w:r>
    </w:p>
    <w:p w14:paraId="02DAE64A" w14:textId="3A03121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Pirminė saugumo vertinamoji baigtis, kliniškai reikšmingi kraujavimo reiškiniai, atitinkamai pasireiškė 109 (15,7</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117 (16,6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ir 167 (24,0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1- os grupės, 2- os grupės ir 3- os grupės tiriamųjų (atitinkamai RS 0,59;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0,47–0,76; p &lt; 0,001 ir RS 0,63;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0,50–0,80; p  &lt;  0,001).</w:t>
      </w:r>
    </w:p>
    <w:p w14:paraId="22C16420" w14:textId="0E2B6DF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Antrinė vertinamoji baigtis (kurią sudarė kardiovaskuliniai reiškiniai: kardiovaskulinė mirtis, MI arba insultas) atitinkamai pasireiškė 41 (5,9</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36 (5,1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ir 36 (5,2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1- os grupės, 2- os grupės ir 3- os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 Pagrindinis PIONEER AF-PCI klinikinio tyrimo tikslas – saugumo įvertinimas. Duomenų apie veiksmingumą (įskaitant tromboembolinius reiškinius) šiai populiacijai nepakanka.</w:t>
      </w:r>
    </w:p>
    <w:p w14:paraId="702ADECA" w14:textId="77777777" w:rsidR="003E364C" w:rsidRPr="003E364C" w:rsidRDefault="003E364C" w:rsidP="003E364C">
      <w:pPr>
        <w:spacing w:after="0" w:line="240" w:lineRule="auto"/>
        <w:rPr>
          <w:rFonts w:ascii="Times New Roman" w:eastAsia="Times New Roman" w:hAnsi="Times New Roman" w:cs="Times New Roman"/>
          <w:snapToGrid w:val="0"/>
        </w:rPr>
      </w:pPr>
    </w:p>
    <w:p w14:paraId="37B1E0F2"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Gydymas nuo GVT, PE ir pasikartojančios GVT bei PE profilaktika</w:t>
      </w:r>
    </w:p>
    <w:p w14:paraId="3E0F7D9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klinikinė programa buvo sukurta siekiant įrodyti rivaroksabano veiksmingumą, skiriant pradinį ir tęstinį gydymą nuo ūminės GVT bei PE ir pasikartojimo profilaktiką.</w:t>
      </w:r>
    </w:p>
    <w:p w14:paraId="7352670A" w14:textId="09C48BAD"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Keturiuose atsitiktinės atrankos kontroliuojamuose III fazės klinikiniuose tyrimuose (</w:t>
      </w:r>
      <w:r w:rsidRPr="003E364C">
        <w:rPr>
          <w:rFonts w:ascii="Times New Roman" w:eastAsia="Times New Roman" w:hAnsi="Times New Roman" w:cs="Times New Roman"/>
          <w:i/>
          <w:snapToGrid w:val="0"/>
        </w:rPr>
        <w:t>Einstein GVT, Einstein PE, Einstein Extention ir Einstein Choice)</w:t>
      </w:r>
      <w:r w:rsidRPr="003E364C">
        <w:rPr>
          <w:rFonts w:ascii="Times New Roman" w:eastAsia="Times New Roman" w:hAnsi="Times New Roman" w:cs="Times New Roman"/>
          <w:snapToGrid w:val="0"/>
        </w:rPr>
        <w:t xml:space="preserve"> buvo tirta daugiau nei 12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800 pacientų ir atlikta iš anksto numatyta jungtinė </w:t>
      </w:r>
      <w:r w:rsidRPr="003E364C">
        <w:rPr>
          <w:rFonts w:ascii="Times New Roman" w:eastAsia="Times New Roman" w:hAnsi="Times New Roman" w:cs="Times New Roman"/>
          <w:i/>
          <w:snapToGrid w:val="0"/>
        </w:rPr>
        <w:t>Einstein GVT ir Einstein PE</w:t>
      </w:r>
      <w:r w:rsidRPr="003E364C">
        <w:rPr>
          <w:rFonts w:ascii="Times New Roman" w:eastAsia="Times New Roman" w:hAnsi="Times New Roman" w:cs="Times New Roman"/>
          <w:snapToGrid w:val="0"/>
        </w:rPr>
        <w:t xml:space="preserve"> analizė. Bendra jungtinio gydymo trukmė visuose tyrimuose buvo iki 21 mėnesio.</w:t>
      </w:r>
    </w:p>
    <w:p w14:paraId="3B47F2A1" w14:textId="77777777" w:rsidR="003E364C" w:rsidRPr="003E364C" w:rsidRDefault="003E364C" w:rsidP="003E364C">
      <w:pPr>
        <w:spacing w:after="0" w:line="240" w:lineRule="auto"/>
        <w:rPr>
          <w:rFonts w:ascii="Times New Roman" w:eastAsia="Times New Roman" w:hAnsi="Times New Roman" w:cs="Times New Roman"/>
          <w:snapToGrid w:val="0"/>
        </w:rPr>
      </w:pPr>
    </w:p>
    <w:p w14:paraId="5233D80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i/>
          <w:snapToGrid w:val="0"/>
        </w:rPr>
        <w:t>Einstein</w:t>
      </w:r>
      <w:r w:rsidRPr="003E364C">
        <w:rPr>
          <w:rFonts w:ascii="Times New Roman" w:eastAsia="Times New Roman" w:hAnsi="Times New Roman" w:cs="Times New Roman"/>
          <w:snapToGrid w:val="0"/>
        </w:rPr>
        <w:t xml:space="preserve"> GVT tyrime vertintas gydymas nuo GVT ir pasikartojančios GVT bei PE profilaktika ir tirti 3449 pacientai, sergantys ūmine GVT (pacientai, kuriems buvo simptominė PE, buvo pašalinti iš tyrimo). Gydymas truko 3, 6 arba 12 mėnesių, priklausomai nuo klinikinio tyrėjo sprendimo.</w:t>
      </w:r>
    </w:p>
    <w:p w14:paraId="29F3D166" w14:textId="166D11A4"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Pradinio 3 savaičių trukmės gydymo nuo ūminės GVT laikotarpiu du kartus per parą buvo skiriama po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Po to buvo skiriama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vieną kartą per parą.</w:t>
      </w:r>
    </w:p>
    <w:p w14:paraId="09B500C3" w14:textId="77777777" w:rsidR="003E364C" w:rsidRPr="003E364C" w:rsidRDefault="003E364C" w:rsidP="003E364C">
      <w:pPr>
        <w:spacing w:after="0" w:line="240" w:lineRule="auto"/>
        <w:rPr>
          <w:rFonts w:ascii="Times New Roman" w:eastAsia="Times New Roman" w:hAnsi="Times New Roman" w:cs="Times New Roman"/>
          <w:i/>
          <w:snapToGrid w:val="0"/>
        </w:rPr>
      </w:pPr>
    </w:p>
    <w:p w14:paraId="7FEAEFFC" w14:textId="542F179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i/>
          <w:snapToGrid w:val="0"/>
        </w:rPr>
        <w:t xml:space="preserve">Einstein PE </w:t>
      </w:r>
      <w:r w:rsidRPr="003E364C">
        <w:rPr>
          <w:rFonts w:ascii="Times New Roman" w:eastAsia="Times New Roman" w:hAnsi="Times New Roman" w:cs="Times New Roman"/>
          <w:snapToGrid w:val="0"/>
        </w:rPr>
        <w:t>tyrimo metu 4</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832 ūmine PE sergantiems pacientams buvo taikomas gydymas nuo PE ir pasikartojančios GVT bei PE profilaktika. Gydymo trukmė buvo 3, 6 arba 12 mėnesių, priklausomai nuo klinikinio tyrėjo sprendimo.</w:t>
      </w:r>
    </w:p>
    <w:p w14:paraId="73058AC2" w14:textId="095D0F4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Gydymui nuo ūminės PE pirmąsias tris savaites buvo skiriama po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du kartus per parą, vėliau – 20</w:t>
      </w:r>
      <w:r w:rsidR="00AD441E">
        <w:rPr>
          <w:rFonts w:ascii="Times New Roman" w:eastAsia="Times New Roman" w:hAnsi="Times New Roman" w:cs="Times New Roman"/>
          <w:b/>
          <w:snapToGrid w:val="0"/>
        </w:rPr>
        <w:t> </w:t>
      </w:r>
      <w:r w:rsidR="00AD441E" w:rsidRPr="00AD441E">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rivaroksabano vieną kartą per parą.</w:t>
      </w:r>
      <w:r w:rsidRPr="003E364C">
        <w:rPr>
          <w:rFonts w:ascii="Times New Roman" w:eastAsia="Times New Roman" w:hAnsi="Times New Roman" w:cs="Times New Roman"/>
          <w:b/>
          <w:snapToGrid w:val="0"/>
        </w:rPr>
        <w:t xml:space="preserve">  </w:t>
      </w:r>
    </w:p>
    <w:p w14:paraId="36A92A31" w14:textId="77777777" w:rsidR="003E364C" w:rsidRPr="003E364C" w:rsidRDefault="003E364C" w:rsidP="003E364C">
      <w:pPr>
        <w:spacing w:after="0" w:line="240" w:lineRule="auto"/>
        <w:rPr>
          <w:rFonts w:ascii="Times New Roman" w:eastAsia="Times New Roman" w:hAnsi="Times New Roman" w:cs="Times New Roman"/>
          <w:snapToGrid w:val="0"/>
        </w:rPr>
      </w:pPr>
    </w:p>
    <w:p w14:paraId="12C45B11" w14:textId="2D466B5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i/>
          <w:snapToGrid w:val="0"/>
        </w:rPr>
        <w:t xml:space="preserve">Einstein GVT </w:t>
      </w:r>
      <w:r w:rsidRPr="003E364C">
        <w:rPr>
          <w:rFonts w:ascii="Times New Roman" w:eastAsia="Times New Roman" w:hAnsi="Times New Roman" w:cs="Times New Roman"/>
          <w:snapToGrid w:val="0"/>
        </w:rPr>
        <w:t xml:space="preserve">ir </w:t>
      </w:r>
      <w:r w:rsidRPr="003E364C">
        <w:rPr>
          <w:rFonts w:ascii="Times New Roman" w:eastAsia="Times New Roman" w:hAnsi="Times New Roman" w:cs="Times New Roman"/>
          <w:i/>
          <w:snapToGrid w:val="0"/>
        </w:rPr>
        <w:t xml:space="preserve">Einstein PE </w:t>
      </w:r>
      <w:r w:rsidRPr="003E364C">
        <w:rPr>
          <w:rFonts w:ascii="Times New Roman" w:eastAsia="Times New Roman" w:hAnsi="Times New Roman" w:cs="Times New Roman"/>
          <w:snapToGrid w:val="0"/>
        </w:rPr>
        <w:t>tyrimuose palyginamajam gydymui trumpiausiai 5 paras derinyje su vitamino K antagonistu buvo skiriamas enoksaparino, kol protrombino laikas / TNS pasiekė terapinį intervalą (</w:t>
      </w:r>
      <w:r w:rsidR="00AD441E" w:rsidRPr="00AD441E">
        <w:rPr>
          <w:rFonts w:ascii="Times New Roman" w:eastAsia="Times New Roman" w:hAnsi="Times New Roman" w:cs="Times New Roman"/>
        </w:rPr>
        <w:t>≥ </w:t>
      </w:r>
      <w:r w:rsidRPr="003E364C">
        <w:rPr>
          <w:rFonts w:ascii="Times New Roman" w:eastAsia="Times New Roman" w:hAnsi="Times New Roman" w:cs="Times New Roman"/>
          <w:snapToGrid w:val="0"/>
        </w:rPr>
        <w:t>2,0). Gydymas buvo tęsiamas vitamino K antagonistu, kurio dozė buvo parenkama atsižvelgiant į protrombino laiko / TNS reikšmes ir siekiant, kad jos būtų terapiniame intervale tarp 2,0 ir 3,0.</w:t>
      </w:r>
    </w:p>
    <w:p w14:paraId="11E656AC" w14:textId="77777777" w:rsidR="003E364C" w:rsidRPr="003E364C" w:rsidRDefault="003E364C" w:rsidP="003E364C">
      <w:pPr>
        <w:spacing w:after="0" w:line="240" w:lineRule="auto"/>
        <w:rPr>
          <w:rFonts w:ascii="Times New Roman" w:eastAsia="Times New Roman" w:hAnsi="Times New Roman" w:cs="Times New Roman"/>
          <w:snapToGrid w:val="0"/>
        </w:rPr>
      </w:pPr>
    </w:p>
    <w:p w14:paraId="74C0DB4B" w14:textId="707F201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i/>
          <w:snapToGrid w:val="0"/>
        </w:rPr>
        <w:t xml:space="preserve">Einstein Extention </w:t>
      </w:r>
      <w:r w:rsidRPr="003E364C">
        <w:rPr>
          <w:rFonts w:ascii="Times New Roman" w:eastAsia="Times New Roman" w:hAnsi="Times New Roman" w:cs="Times New Roman"/>
          <w:snapToGrid w:val="0"/>
        </w:rPr>
        <w:t>tyrime buvo vertinta pasikartojančios GVT ir PE profilaktika ir tirti 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197 pacientai, sergantys GVT arba PE. Pacientams, kuriems buvo baigtas 6–12 mėnesių trukmės gydymas nuo VTE, papildomas gydymas truko dar 6 arba 12 mėnesių, priklausomai nuo klinikinio tyrėjo sprendimo.</w:t>
      </w:r>
      <w:r w:rsidR="00AD441E">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Rivaroksabanas 20</w:t>
      </w:r>
      <w:r w:rsidR="00AD441E">
        <w:rPr>
          <w:rFonts w:ascii="Times New Roman" w:eastAsia="Times New Roman" w:hAnsi="Times New Roman" w:cs="Times New Roman"/>
          <w:b/>
          <w:snapToGrid w:val="0"/>
        </w:rPr>
        <w:t> </w:t>
      </w:r>
      <w:r w:rsidR="00AD441E" w:rsidRPr="00AD441E">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vieną kartą per parą buvo lyginamas su placebu.</w:t>
      </w:r>
    </w:p>
    <w:p w14:paraId="25A9C28F" w14:textId="77777777" w:rsidR="003E364C" w:rsidRPr="003E364C" w:rsidRDefault="003E364C" w:rsidP="003E364C">
      <w:pPr>
        <w:spacing w:after="0" w:line="240" w:lineRule="auto"/>
        <w:rPr>
          <w:rFonts w:ascii="Times New Roman" w:eastAsia="Times New Roman" w:hAnsi="Times New Roman" w:cs="Times New Roman"/>
          <w:snapToGrid w:val="0"/>
        </w:rPr>
      </w:pPr>
    </w:p>
    <w:p w14:paraId="7C99BA9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i/>
          <w:snapToGrid w:val="0"/>
        </w:rPr>
        <w:t>Einstein GVT</w:t>
      </w:r>
      <w:r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i/>
          <w:snapToGrid w:val="0"/>
        </w:rPr>
        <w:t xml:space="preserve">PE </w:t>
      </w:r>
      <w:r w:rsidRPr="003E364C">
        <w:rPr>
          <w:rFonts w:ascii="Times New Roman" w:eastAsia="Times New Roman" w:hAnsi="Times New Roman" w:cs="Times New Roman"/>
          <w:snapToGrid w:val="0"/>
        </w:rPr>
        <w:t xml:space="preserve">ir </w:t>
      </w:r>
      <w:r w:rsidRPr="003E364C">
        <w:rPr>
          <w:rFonts w:ascii="Times New Roman" w:eastAsia="Times New Roman" w:hAnsi="Times New Roman" w:cs="Times New Roman"/>
          <w:i/>
          <w:snapToGrid w:val="0"/>
        </w:rPr>
        <w:t xml:space="preserve">Extension </w:t>
      </w:r>
      <w:r w:rsidRPr="003E364C">
        <w:rPr>
          <w:rFonts w:ascii="Times New Roman" w:eastAsia="Times New Roman" w:hAnsi="Times New Roman" w:cs="Times New Roman"/>
          <w:snapToGrid w:val="0"/>
        </w:rPr>
        <w:t>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30984079" w14:textId="77777777" w:rsidR="003E364C" w:rsidRPr="003E364C" w:rsidRDefault="003E364C" w:rsidP="003E364C">
      <w:pPr>
        <w:spacing w:after="0" w:line="240" w:lineRule="auto"/>
        <w:rPr>
          <w:rFonts w:ascii="Times New Roman" w:eastAsia="Times New Roman" w:hAnsi="Times New Roman" w:cs="Times New Roman"/>
          <w:snapToGrid w:val="0"/>
        </w:rPr>
      </w:pPr>
    </w:p>
    <w:p w14:paraId="5BEE211F" w14:textId="57FE245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Tyrime </w:t>
      </w:r>
      <w:r w:rsidRPr="003E364C">
        <w:rPr>
          <w:rFonts w:ascii="Times New Roman" w:eastAsia="Times New Roman" w:hAnsi="Times New Roman" w:cs="Times New Roman"/>
          <w:i/>
          <w:snapToGrid w:val="0"/>
        </w:rPr>
        <w:t>Einstein Choice</w:t>
      </w:r>
      <w:r w:rsidRPr="003E364C">
        <w:rPr>
          <w:rFonts w:ascii="Times New Roman" w:eastAsia="Times New Roman" w:hAnsi="Times New Roman" w:cs="Times New Roman"/>
          <w:snapToGrid w:val="0"/>
        </w:rPr>
        <w:t>, kuriame dalyvavo 3</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rivaroksabano vartojimas po 20</w:t>
      </w:r>
      <w:r w:rsidR="00AD441E" w:rsidRP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kartą per parą rivaroksabano vartojimas po 10</w:t>
      </w:r>
      <w:r w:rsidR="00AD441E" w:rsidRP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buvo lyginami su 100</w:t>
      </w:r>
      <w:r w:rsidR="00AD441E" w:rsidRP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acetilsalicilo rūgšties, vartojamos vieną kartą per parą. </w:t>
      </w:r>
    </w:p>
    <w:p w14:paraId="597980D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Pirminio veiksmingumo rezultatų kriterijai buvo simptominės pasikartojančios VTE atvejai, apibrėžiami kaip pasikartojančios GVT ir mirtinos arba nemirtinos PE atvejų suma.</w:t>
      </w:r>
    </w:p>
    <w:p w14:paraId="254FDAF9" w14:textId="77777777" w:rsidR="003E364C" w:rsidRPr="003E364C" w:rsidRDefault="003E364C" w:rsidP="003E364C">
      <w:pPr>
        <w:spacing w:after="0" w:line="240" w:lineRule="auto"/>
        <w:rPr>
          <w:rFonts w:ascii="Times New Roman" w:eastAsia="Times New Roman" w:hAnsi="Times New Roman" w:cs="Times New Roman"/>
          <w:snapToGrid w:val="0"/>
        </w:rPr>
      </w:pPr>
    </w:p>
    <w:p w14:paraId="03903E67" w14:textId="1EB3471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i/>
          <w:snapToGrid w:val="0"/>
        </w:rPr>
        <w:t xml:space="preserve">Einstein GVT </w:t>
      </w:r>
      <w:r w:rsidRPr="003E364C">
        <w:rPr>
          <w:rFonts w:ascii="Times New Roman" w:eastAsia="Times New Roman" w:hAnsi="Times New Roman" w:cs="Times New Roman"/>
          <w:snapToGrid w:val="0"/>
        </w:rPr>
        <w:t>tyrime (žr. 6 lentelę) rivaroksabano pirminio veiksmingumo rezultatai buvo ne prastesni už enoksaparino / VKA (p &lt;</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0,0001 (ne prastesnio rezultato tyrimas); RS: 0,680 (0,443–1,042), p</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0,076 (pranašumo tyrimas). Buvo nustatyta iš anksto specifikuota grynoji klinikinė nauda (pirminio veiksmingumo rezultato kriterijai plius didžiojo kraujavimo atvejai), esant RS 0,67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0,47–0,95), nominali p reikšmė p = 0,027) rivaroksabano naudai. TNS reikšmės vidutiniškai 60,3</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laiko buvo terapiniame intervale, kai vidutinė gydymo trukmė buvo 189 dienos, ir atitinkamai 55,4</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60,1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bei 62,8</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laiko 3, 6 ir 12 mėnesių trukmės gydymo grupėse. Enoksaparino / VKA grupėje nebuvo aiškaus ryšio tarp vidutinio centrinio </w:t>
      </w:r>
      <w:r w:rsidRPr="003E364C">
        <w:rPr>
          <w:rFonts w:ascii="Times New Roman" w:eastAsia="Times New Roman" w:hAnsi="Times New Roman" w:cs="Times New Roman"/>
          <w:i/>
          <w:iCs/>
          <w:snapToGrid w:val="0"/>
        </w:rPr>
        <w:t>TTR</w:t>
      </w:r>
      <w:r w:rsidRPr="003E364C">
        <w:rPr>
          <w:rFonts w:ascii="Times New Roman" w:eastAsia="Times New Roman" w:hAnsi="Times New Roman" w:cs="Times New Roman"/>
          <w:snapToGrid w:val="0"/>
        </w:rPr>
        <w:t xml:space="preserve"> (angl. </w:t>
      </w:r>
      <w:r w:rsidRPr="003E364C">
        <w:rPr>
          <w:rFonts w:ascii="Times New Roman" w:eastAsia="Times New Roman" w:hAnsi="Times New Roman" w:cs="Times New Roman"/>
          <w:i/>
          <w:snapToGrid w:val="0"/>
        </w:rPr>
        <w:t>Time in Target INR Range</w:t>
      </w:r>
      <w:r w:rsidRPr="003E364C">
        <w:rPr>
          <w:rFonts w:ascii="Times New Roman" w:eastAsia="Times New Roman" w:hAnsi="Times New Roman" w:cs="Times New Roman"/>
          <w:snapToGrid w:val="0"/>
        </w:rPr>
        <w:t>, laiko iki tikslinio TNS intervalo nuo 2,0 iki 3,0) vienodo dydžio tertilėse ir pasikartojančios VTE dažnio (sąveikos p = 0,932). Aukščiausioje tertilėje (vertinant pagal centrą) RS vartojant rivaroksabano, palyginti su varfarinu, buvo 0,69 (95</w:t>
      </w:r>
      <w:r w:rsidR="00AD441E">
        <w:rPr>
          <w:rFonts w:ascii="Times New Roman" w:eastAsia="Times New Roman" w:hAnsi="Times New Roman" w:cs="Times New Roman"/>
          <w:b/>
          <w:snapToGrid w:val="0"/>
        </w:rPr>
        <w:t> </w:t>
      </w:r>
      <w:r w:rsidR="00AD441E" w:rsidRPr="00C3128C">
        <w:rPr>
          <w:rFonts w:ascii="Times New Roman" w:eastAsia="Times New Roman" w:hAnsi="Times New Roman" w:cs="Times New Roman"/>
          <w:bCs/>
          <w:snapToGrid w:val="0"/>
        </w:rPr>
        <w:t>%</w:t>
      </w:r>
      <w:r w:rsidRPr="003E364C">
        <w:rPr>
          <w:rFonts w:ascii="Times New Roman" w:eastAsia="Times New Roman" w:hAnsi="Times New Roman" w:cs="Times New Roman"/>
          <w:snapToGrid w:val="0"/>
        </w:rPr>
        <w:t xml:space="preserve"> PI: 0,35–1,35).</w:t>
      </w:r>
    </w:p>
    <w:p w14:paraId="4FB6B4E2" w14:textId="77777777" w:rsidR="003E364C" w:rsidRPr="003E364C" w:rsidRDefault="003E364C" w:rsidP="003E364C">
      <w:pPr>
        <w:spacing w:after="0" w:line="240" w:lineRule="auto"/>
        <w:rPr>
          <w:rFonts w:ascii="Times New Roman" w:eastAsia="Times New Roman" w:hAnsi="Times New Roman" w:cs="Times New Roman"/>
          <w:snapToGrid w:val="0"/>
        </w:rPr>
      </w:pPr>
    </w:p>
    <w:p w14:paraId="2F46162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Pirminio saugumo rezultatai (didžiųjų arba klinikiniu požiūriu reikšmingų nedidžiųjų kraujavimo atvejų dažnis) ir antrinio saugumo rezultatai (didžiojo kraujavimo atvejų dažnis) buvo panašūs abiejose gydymo grupėse.</w:t>
      </w:r>
    </w:p>
    <w:p w14:paraId="2ECD682F" w14:textId="77777777" w:rsidR="003E364C" w:rsidRPr="003E364C" w:rsidRDefault="003E364C" w:rsidP="003E364C">
      <w:pPr>
        <w:spacing w:after="0" w:line="240" w:lineRule="auto"/>
        <w:rPr>
          <w:rFonts w:ascii="Times New Roman" w:eastAsia="Times New Roman" w:hAnsi="Times New Roman" w:cs="Times New Roman"/>
          <w:snapToGrid w:val="0"/>
        </w:rPr>
      </w:pPr>
    </w:p>
    <w:p w14:paraId="1922908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 xml:space="preserve">6 lentelė. Veiksmingumo ir saugumo rezultatai, gauti III fazės </w:t>
      </w:r>
      <w:r w:rsidRPr="003E364C">
        <w:rPr>
          <w:rFonts w:ascii="Times New Roman" w:eastAsia="Times New Roman" w:hAnsi="Times New Roman" w:cs="Times New Roman"/>
          <w:b/>
          <w:bCs/>
          <w:i/>
          <w:snapToGrid w:val="0"/>
        </w:rPr>
        <w:t>Einstein GVT</w:t>
      </w:r>
      <w:r w:rsidRPr="003E364C">
        <w:rPr>
          <w:rFonts w:ascii="Times New Roman" w:eastAsia="Times New Roman" w:hAnsi="Times New Roman" w:cs="Times New Roman"/>
          <w:b/>
          <w:bCs/>
          <w:snapToGrid w:val="0"/>
        </w:rPr>
        <w:t xml:space="preserve"> tyrimo metu</w:t>
      </w:r>
    </w:p>
    <w:tbl>
      <w:tblPr>
        <w:tblW w:w="0" w:type="auto"/>
        <w:tblLayout w:type="fixed"/>
        <w:tblLook w:val="0000" w:firstRow="0" w:lastRow="0" w:firstColumn="0" w:lastColumn="0" w:noHBand="0" w:noVBand="0"/>
      </w:tblPr>
      <w:tblGrid>
        <w:gridCol w:w="2320"/>
        <w:gridCol w:w="3456"/>
        <w:gridCol w:w="3263"/>
      </w:tblGrid>
      <w:tr w:rsidR="003E364C" w:rsidRPr="003E364C" w14:paraId="05D4AF53" w14:textId="77777777" w:rsidTr="0096285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E0EEFB1"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0E4E09"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3449 pacientai,</w:t>
            </w:r>
            <w:r w:rsidRPr="003E364C">
              <w:rPr>
                <w:rFonts w:ascii="Times New Roman" w:eastAsia="Times New Roman" w:hAnsi="Times New Roman" w:cs="Times New Roman"/>
                <w:b/>
              </w:rPr>
              <w:t xml:space="preserve"> sergantys</w:t>
            </w:r>
            <w:r w:rsidRPr="003E364C">
              <w:rPr>
                <w:rFonts w:ascii="Times New Roman" w:eastAsia="Times New Roman" w:hAnsi="Times New Roman" w:cs="Times New Roman"/>
                <w:b/>
                <w:spacing w:val="-8"/>
              </w:rPr>
              <w:t xml:space="preserve"> </w:t>
            </w:r>
            <w:r w:rsidRPr="003E364C">
              <w:rPr>
                <w:rFonts w:ascii="Times New Roman" w:eastAsia="Times New Roman" w:hAnsi="Times New Roman" w:cs="Times New Roman"/>
                <w:b/>
              </w:rPr>
              <w:t>simptomine</w:t>
            </w:r>
            <w:r w:rsidRPr="003E364C">
              <w:rPr>
                <w:rFonts w:ascii="Times New Roman" w:eastAsia="Times New Roman" w:hAnsi="Times New Roman" w:cs="Times New Roman"/>
                <w:b/>
                <w:spacing w:val="-5"/>
              </w:rPr>
              <w:t xml:space="preserve"> </w:t>
            </w:r>
            <w:r w:rsidRPr="003E364C">
              <w:rPr>
                <w:rFonts w:ascii="Times New Roman" w:eastAsia="Times New Roman" w:hAnsi="Times New Roman" w:cs="Times New Roman"/>
                <w:b/>
              </w:rPr>
              <w:t>ūmine</w:t>
            </w:r>
            <w:r w:rsidRPr="003E364C">
              <w:rPr>
                <w:rFonts w:ascii="Times New Roman" w:eastAsia="Times New Roman" w:hAnsi="Times New Roman" w:cs="Times New Roman"/>
                <w:b/>
                <w:spacing w:val="-8"/>
              </w:rPr>
              <w:t xml:space="preserve"> </w:t>
            </w:r>
            <w:r w:rsidRPr="003E364C">
              <w:rPr>
                <w:rFonts w:ascii="Times New Roman" w:eastAsia="Times New Roman" w:hAnsi="Times New Roman" w:cs="Times New Roman"/>
                <w:b/>
                <w:spacing w:val="-5"/>
              </w:rPr>
              <w:t>GVT</w:t>
            </w:r>
          </w:p>
        </w:tc>
      </w:tr>
      <w:tr w:rsidR="003E364C" w:rsidRPr="003E364C" w14:paraId="3D8882BE" w14:textId="77777777" w:rsidTr="0096285A">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B56C6F6"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5B1BB3F7"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Rivaroksabanas</w:t>
            </w:r>
            <w:r w:rsidRPr="003E364C">
              <w:rPr>
                <w:rFonts w:ascii="Times New Roman" w:eastAsia="Times New Roman" w:hAnsi="Times New Roman" w:cs="Times New Roman"/>
                <w:b/>
                <w:snapToGrid w:val="0"/>
                <w:vertAlign w:val="superscript"/>
              </w:rPr>
              <w:t>a)</w:t>
            </w:r>
          </w:p>
          <w:p w14:paraId="50D3FA73"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 6 arba 12 mėnesių</w:t>
            </w:r>
          </w:p>
          <w:p w14:paraId="6F3BE0F2" w14:textId="4C0453FE"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w:t>
            </w:r>
            <w:r w:rsidR="00F02D2F">
              <w:rPr>
                <w:rFonts w:ascii="Times New Roman" w:eastAsia="Times New Roman" w:hAnsi="Times New Roman" w:cs="Times New Roman"/>
                <w:b/>
                <w:snapToGrid w:val="0"/>
              </w:rPr>
              <w:t>  = </w:t>
            </w:r>
            <w:r w:rsidRPr="003E364C">
              <w:rPr>
                <w:rFonts w:ascii="Times New Roman" w:eastAsia="Times New Roman" w:hAnsi="Times New Roman" w:cs="Times New Roman"/>
                <w:b/>
                <w:snapToGrid w:val="0"/>
              </w:rPr>
              <w:t>1731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67319594"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Enoksaparinas/VKA</w:t>
            </w:r>
            <w:r w:rsidRPr="003E364C">
              <w:rPr>
                <w:rFonts w:ascii="Times New Roman" w:eastAsia="Times New Roman" w:hAnsi="Times New Roman" w:cs="Times New Roman"/>
                <w:b/>
                <w:snapToGrid w:val="0"/>
                <w:vertAlign w:val="superscript"/>
              </w:rPr>
              <w:t>b)</w:t>
            </w:r>
          </w:p>
          <w:p w14:paraId="74443DBB"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 6 arba 12 mėnesių</w:t>
            </w:r>
          </w:p>
          <w:p w14:paraId="79012F82" w14:textId="5BAD180A"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w:t>
            </w:r>
            <w:r w:rsidR="00F02D2F">
              <w:rPr>
                <w:rFonts w:ascii="Times New Roman" w:eastAsia="Times New Roman" w:hAnsi="Times New Roman" w:cs="Times New Roman"/>
                <w:b/>
                <w:snapToGrid w:val="0"/>
              </w:rPr>
              <w:t> = </w:t>
            </w:r>
            <w:r w:rsidRPr="003E364C">
              <w:rPr>
                <w:rFonts w:ascii="Times New Roman" w:eastAsia="Times New Roman" w:hAnsi="Times New Roman" w:cs="Times New Roman"/>
                <w:b/>
                <w:snapToGrid w:val="0"/>
              </w:rPr>
              <w:t>1718</w:t>
            </w:r>
          </w:p>
        </w:tc>
      </w:tr>
      <w:tr w:rsidR="003E364C" w:rsidRPr="003E364C" w14:paraId="10C97BCD" w14:textId="77777777" w:rsidTr="0096285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C77E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FF02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36</w:t>
            </w:r>
          </w:p>
          <w:p w14:paraId="318D7E02" w14:textId="3049969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7EB2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51</w:t>
            </w:r>
          </w:p>
          <w:p w14:paraId="4274AACE" w14:textId="5906656D"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14A9533" w14:textId="77777777" w:rsidTr="0096285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F2E95" w14:textId="77777777" w:rsidR="003E364C" w:rsidRPr="003E364C" w:rsidRDefault="003E364C" w:rsidP="003E364C">
            <w:pPr>
              <w:spacing w:after="0" w:line="240" w:lineRule="auto"/>
              <w:ind w:left="742" w:hanging="22"/>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ACC1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p w14:paraId="7C037C04" w14:textId="44CC08E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AF7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p>
          <w:p w14:paraId="6A8D7EE9" w14:textId="2238692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FA8642F" w14:textId="77777777" w:rsidTr="0096285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A963A" w14:textId="77777777" w:rsidR="003E364C" w:rsidRPr="003E364C" w:rsidRDefault="003E364C" w:rsidP="003E364C">
            <w:pPr>
              <w:spacing w:after="0" w:line="240" w:lineRule="auto"/>
              <w:ind w:left="742" w:hanging="22"/>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1FA9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14</w:t>
            </w:r>
          </w:p>
          <w:p w14:paraId="74A79D04" w14:textId="1EF4451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F8FB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28</w:t>
            </w:r>
          </w:p>
          <w:p w14:paraId="6A789992" w14:textId="517A573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705F7F4" w14:textId="77777777" w:rsidTr="0096285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95C" w14:textId="77777777" w:rsidR="003E364C" w:rsidRPr="003E364C" w:rsidRDefault="003E364C" w:rsidP="003E364C">
            <w:pPr>
              <w:spacing w:after="0" w:line="240" w:lineRule="auto"/>
              <w:ind w:left="742" w:hanging="22"/>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D79E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p w14:paraId="231A79F2" w14:textId="43C03F8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5096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tc>
      </w:tr>
      <w:tr w:rsidR="003E364C" w:rsidRPr="003E364C" w14:paraId="5ABCD6D9" w14:textId="77777777" w:rsidTr="0096285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0F14" w14:textId="77777777" w:rsidR="003E364C" w:rsidRPr="003E364C" w:rsidRDefault="003E364C" w:rsidP="003E364C">
            <w:pPr>
              <w:spacing w:after="0" w:line="240" w:lineRule="auto"/>
              <w:ind w:left="742" w:hanging="22"/>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380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w:t>
            </w:r>
          </w:p>
          <w:p w14:paraId="38DB1C24" w14:textId="18B5355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626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7071D9C9" w14:textId="3021A5F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CF2382C" w14:textId="77777777" w:rsidTr="0096285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B332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Didysis ar klinikiniu požiūriu  reikšmingas ne dididys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1D5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139</w:t>
            </w:r>
          </w:p>
          <w:p w14:paraId="1311231F" w14:textId="06BDE36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(8,1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D27C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138</w:t>
            </w:r>
          </w:p>
          <w:p w14:paraId="436C4DD2" w14:textId="15CC793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(8,1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D2A4765" w14:textId="77777777" w:rsidTr="0096285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C36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407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14</w:t>
            </w:r>
          </w:p>
          <w:p w14:paraId="376237F2" w14:textId="5D9B18B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9134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p w14:paraId="4D359F3A" w14:textId="34ED937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7A01A091" w14:textId="411E2855" w:rsidR="003E364C" w:rsidRPr="003E364C" w:rsidRDefault="003E364C" w:rsidP="00F02D2F">
      <w:pPr>
        <w:tabs>
          <w:tab w:val="left" w:pos="567"/>
          <w:tab w:val="left" w:pos="1701"/>
        </w:tabs>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a)</w:t>
      </w:r>
      <w:r w:rsidRPr="003E364C">
        <w:rPr>
          <w:rFonts w:ascii="Times New Roman" w:eastAsia="Times New Roman" w:hAnsi="Times New Roman" w:cs="Times New Roman"/>
          <w:snapToGrid w:val="0"/>
          <w:sz w:val="20"/>
          <w:szCs w:val="20"/>
        </w:rPr>
        <w:tab/>
        <w:t>15</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rivaroksabano du kartus per parą 3 savaites, po to - 20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kartą per parą.</w:t>
      </w:r>
    </w:p>
    <w:p w14:paraId="2B79C154" w14:textId="77777777" w:rsidR="003E364C" w:rsidRPr="003E364C" w:rsidRDefault="003E364C" w:rsidP="00F02D2F">
      <w:pPr>
        <w:tabs>
          <w:tab w:val="left" w:pos="567"/>
          <w:tab w:val="left" w:pos="1701"/>
        </w:tabs>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b) </w:t>
      </w:r>
      <w:r w:rsidRPr="003E364C">
        <w:rPr>
          <w:rFonts w:ascii="Times New Roman" w:eastAsia="Times New Roman" w:hAnsi="Times New Roman" w:cs="Times New Roman"/>
          <w:snapToGrid w:val="0"/>
          <w:sz w:val="20"/>
          <w:szCs w:val="20"/>
        </w:rPr>
        <w:tab/>
        <w:t xml:space="preserve">Enoksaparino mažiausiai 5 paras, kartu vartojant ir vėliau tęsiant gydymą VKA. </w:t>
      </w:r>
    </w:p>
    <w:p w14:paraId="78FA87A8" w14:textId="77777777" w:rsidR="003E364C" w:rsidRPr="003E364C" w:rsidRDefault="003E364C" w:rsidP="00F02D2F">
      <w:pPr>
        <w:tabs>
          <w:tab w:val="left" w:pos="567"/>
          <w:tab w:val="left" w:pos="1701"/>
        </w:tabs>
        <w:spacing w:after="0" w:line="240" w:lineRule="auto"/>
        <w:ind w:left="567" w:hanging="567"/>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 </w:t>
      </w:r>
      <w:r w:rsidRPr="003E364C">
        <w:rPr>
          <w:rFonts w:ascii="Times New Roman" w:eastAsia="Times New Roman" w:hAnsi="Times New Roman" w:cs="Times New Roman"/>
          <w:snapToGrid w:val="0"/>
          <w:sz w:val="20"/>
          <w:szCs w:val="20"/>
        </w:rPr>
        <w:tab/>
        <w:t>p &lt; 0,0001 (ne prastesnis rezultatas, vertinant pagal iš anksto specifikuotą rizikos santykį 2,0); rizikos santykis: 0,680 (0,443-1,042), p = 0,076 (pranašumo)</w:t>
      </w:r>
    </w:p>
    <w:p w14:paraId="3E33378F" w14:textId="77777777" w:rsidR="003E364C" w:rsidRPr="003E364C" w:rsidRDefault="003E364C" w:rsidP="003E364C">
      <w:pPr>
        <w:spacing w:after="0" w:line="240" w:lineRule="auto"/>
        <w:rPr>
          <w:rFonts w:ascii="Times New Roman" w:eastAsia="Times New Roman" w:hAnsi="Times New Roman" w:cs="Times New Roman"/>
          <w:snapToGrid w:val="0"/>
        </w:rPr>
      </w:pPr>
    </w:p>
    <w:p w14:paraId="4DE748C8" w14:textId="6EE71432" w:rsidR="003E364C" w:rsidRPr="00C3128C" w:rsidRDefault="003E364C" w:rsidP="003E364C">
      <w:pPr>
        <w:spacing w:after="0" w:line="240" w:lineRule="auto"/>
        <w:rPr>
          <w:rFonts w:ascii="Times New Roman" w:eastAsia="Times New Roman" w:hAnsi="Times New Roman" w:cs="Times New Roman"/>
          <w:bCs/>
          <w:snapToGrid w:val="0"/>
        </w:rPr>
      </w:pPr>
      <w:r w:rsidRPr="003E364C">
        <w:rPr>
          <w:rFonts w:ascii="Times New Roman" w:eastAsia="Times New Roman" w:hAnsi="Times New Roman" w:cs="Times New Roman"/>
          <w:i/>
          <w:snapToGrid w:val="0"/>
        </w:rPr>
        <w:t xml:space="preserve">Einstein PE </w:t>
      </w:r>
      <w:r w:rsidRPr="003E364C">
        <w:rPr>
          <w:rFonts w:ascii="Times New Roman" w:eastAsia="Times New Roman" w:hAnsi="Times New Roman" w:cs="Times New Roman"/>
          <w:snapToGrid w:val="0"/>
        </w:rPr>
        <w:t>tyrimo metu (žr. 7 lentelę), vertinant pirminio veiksmingumo rezultatus, nustatyta, kad rivaroksabanas buvo ne prastesnis už enoksapariną / VKA (p = 0,0026) (ne prastesnio rezultato tyrimas); RS: 1,123 (0,749–1,684)). Buvo nustatyta iš anksto specifikuota grynoji klinikinė nauda (pirminio veiksmingumo rezultatai plius didžiojo kraujavimo atvejai): RS 0,849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0,633–1,139), nominali p reikšmė p = 0,275). TNS reikšmės vidutiniškai 63</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laiko išliko terapiniame intervale, kai vidutinė gydymo trukmė buvo 215 dienų, ir atitinkamai 57</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6</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2% bei 65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laiko 3, 6 ir 12 mėnesių trukmės gydymo grupėse. Enoksaparino / VKA grupėje nebuvo aiškaus ryšio tarp vidutinio centrinio </w:t>
      </w:r>
      <w:r w:rsidRPr="003E364C">
        <w:rPr>
          <w:rFonts w:ascii="Times New Roman" w:eastAsia="Times New Roman" w:hAnsi="Times New Roman" w:cs="Times New Roman"/>
          <w:i/>
          <w:iCs/>
          <w:snapToGrid w:val="0"/>
        </w:rPr>
        <w:t>TTR</w:t>
      </w:r>
      <w:r w:rsidRPr="003E364C">
        <w:rPr>
          <w:rFonts w:ascii="Times New Roman" w:eastAsia="Times New Roman" w:hAnsi="Times New Roman" w:cs="Times New Roman"/>
          <w:snapToGrid w:val="0"/>
        </w:rPr>
        <w:t xml:space="preserve"> (angl. </w:t>
      </w:r>
      <w:r w:rsidRPr="003E364C">
        <w:rPr>
          <w:rFonts w:ascii="Times New Roman" w:eastAsia="Times New Roman" w:hAnsi="Times New Roman" w:cs="Times New Roman"/>
          <w:i/>
          <w:snapToGrid w:val="0"/>
        </w:rPr>
        <w:t>Time in Target INR Range</w:t>
      </w:r>
      <w:r w:rsidRPr="003E364C">
        <w:rPr>
          <w:rFonts w:ascii="Times New Roman" w:eastAsia="Times New Roman" w:hAnsi="Times New Roman" w:cs="Times New Roman"/>
          <w:snapToGrid w:val="0"/>
        </w:rPr>
        <w:t>, laiko tikslini</w:t>
      </w:r>
      <w:r w:rsidR="00437E9D">
        <w:rPr>
          <w:rFonts w:ascii="Times New Roman" w:eastAsia="Times New Roman" w:hAnsi="Times New Roman" w:cs="Times New Roman"/>
          <w:snapToGrid w:val="0"/>
        </w:rPr>
        <w:t>ame</w:t>
      </w:r>
      <w:r w:rsidRPr="003E364C">
        <w:rPr>
          <w:rFonts w:ascii="Times New Roman" w:eastAsia="Times New Roman" w:hAnsi="Times New Roman" w:cs="Times New Roman"/>
          <w:snapToGrid w:val="0"/>
        </w:rPr>
        <w:t xml:space="preserve"> TNS interval</w:t>
      </w:r>
      <w:r w:rsidR="00437E9D">
        <w:rPr>
          <w:rFonts w:ascii="Times New Roman" w:eastAsia="Times New Roman" w:hAnsi="Times New Roman" w:cs="Times New Roman"/>
          <w:snapToGrid w:val="0"/>
        </w:rPr>
        <w:t>e</w:t>
      </w:r>
      <w:r w:rsidRPr="003E364C">
        <w:rPr>
          <w:rFonts w:ascii="Times New Roman" w:eastAsia="Times New Roman" w:hAnsi="Times New Roman" w:cs="Times New Roman"/>
          <w:snapToGrid w:val="0"/>
        </w:rPr>
        <w:t xml:space="preserve"> nuo 2,0 iki 3,0) vienodo dydžio tertilėse ir pasikartojančios VTE dažnio (sąveikos p = 0,082). Aukščiausioje tertilėje (vertinant pagal centrą) RS vartojant rivaroksabano, palyginti su varfarinu, buvo 0,642 (95</w:t>
      </w:r>
      <w:r w:rsidR="00AD441E">
        <w:rPr>
          <w:rFonts w:ascii="Times New Roman" w:eastAsia="Times New Roman" w:hAnsi="Times New Roman" w:cs="Times New Roman"/>
          <w:b/>
          <w:snapToGrid w:val="0"/>
        </w:rPr>
        <w:t> </w:t>
      </w:r>
      <w:r w:rsidR="00AD441E" w:rsidRPr="00C3128C">
        <w:rPr>
          <w:rFonts w:ascii="Times New Roman" w:eastAsia="Times New Roman" w:hAnsi="Times New Roman" w:cs="Times New Roman"/>
          <w:bCs/>
          <w:snapToGrid w:val="0"/>
        </w:rPr>
        <w:t>%</w:t>
      </w:r>
      <w:r w:rsidRPr="00C3128C">
        <w:rPr>
          <w:rFonts w:ascii="Times New Roman" w:eastAsia="Times New Roman" w:hAnsi="Times New Roman" w:cs="Times New Roman"/>
          <w:bCs/>
          <w:snapToGrid w:val="0"/>
        </w:rPr>
        <w:t xml:space="preserve"> PI: 0,277–1,484).</w:t>
      </w:r>
    </w:p>
    <w:p w14:paraId="3CE006B6" w14:textId="77777777" w:rsidR="003E364C" w:rsidRPr="00C3128C" w:rsidRDefault="003E364C" w:rsidP="003E364C">
      <w:pPr>
        <w:spacing w:after="0" w:line="240" w:lineRule="auto"/>
        <w:rPr>
          <w:rFonts w:ascii="Times New Roman" w:eastAsia="Times New Roman" w:hAnsi="Times New Roman" w:cs="Times New Roman"/>
          <w:bCs/>
          <w:snapToGrid w:val="0"/>
        </w:rPr>
      </w:pPr>
    </w:p>
    <w:p w14:paraId="796E36BA" w14:textId="52ABD385" w:rsidR="003E364C" w:rsidRPr="003E364C" w:rsidRDefault="003E364C" w:rsidP="003E364C">
      <w:pPr>
        <w:spacing w:after="0" w:line="240" w:lineRule="auto"/>
        <w:rPr>
          <w:rFonts w:ascii="Times New Roman" w:eastAsia="Times New Roman" w:hAnsi="Times New Roman" w:cs="Times New Roman"/>
          <w:snapToGrid w:val="0"/>
        </w:rPr>
      </w:pPr>
      <w:r w:rsidRPr="00C3128C">
        <w:rPr>
          <w:rFonts w:ascii="Times New Roman" w:eastAsia="Times New Roman" w:hAnsi="Times New Roman" w:cs="Times New Roman"/>
          <w:bCs/>
          <w:snapToGrid w:val="0"/>
        </w:rPr>
        <w:t>Tiriant pirminius saugumo rezultatus (didžiojo arba klinikiniu požiūriu reikšmingo ne didžiojo kraujavimo atvejus), rivaroksabano gydymo grupėje atvejų dažnis buvo šiek tiek mažesnis (10,3</w:t>
      </w:r>
      <w:r w:rsidR="00AD441E" w:rsidRPr="00C3128C">
        <w:rPr>
          <w:rFonts w:ascii="Times New Roman" w:eastAsia="Times New Roman" w:hAnsi="Times New Roman" w:cs="Times New Roman"/>
          <w:bCs/>
          <w:snapToGrid w:val="0"/>
        </w:rPr>
        <w:t> %</w:t>
      </w:r>
      <w:r w:rsidRPr="00C3128C">
        <w:rPr>
          <w:rFonts w:ascii="Times New Roman" w:eastAsia="Times New Roman" w:hAnsi="Times New Roman" w:cs="Times New Roman"/>
          <w:bCs/>
          <w:snapToGrid w:val="0"/>
        </w:rPr>
        <w:t xml:space="preserve"> (249/2412) negu enoksaparino / VKA gydymo grupėje (11,4</w:t>
      </w:r>
      <w:r w:rsidR="00AD441E" w:rsidRPr="00C3128C">
        <w:rPr>
          <w:rFonts w:ascii="Times New Roman" w:eastAsia="Times New Roman" w:hAnsi="Times New Roman" w:cs="Times New Roman"/>
          <w:bCs/>
          <w:snapToGrid w:val="0"/>
        </w:rPr>
        <w:t> %</w:t>
      </w:r>
      <w:r w:rsidRPr="00C3128C">
        <w:rPr>
          <w:rFonts w:ascii="Times New Roman" w:eastAsia="Times New Roman" w:hAnsi="Times New Roman" w:cs="Times New Roman"/>
          <w:bCs/>
          <w:snapToGrid w:val="0"/>
        </w:rPr>
        <w:t xml:space="preserve"> (274/2405). Tiriant antrinius saugumo rezultatus (didžiojo kraujavimo atvejus), rivaroksabano grupėje atvejų dažnis buvo mažesnis (1,1</w:t>
      </w:r>
      <w:r w:rsidR="00AD441E" w:rsidRPr="00C3128C">
        <w:rPr>
          <w:rFonts w:ascii="Times New Roman" w:eastAsia="Times New Roman" w:hAnsi="Times New Roman" w:cs="Times New Roman"/>
          <w:bCs/>
          <w:snapToGrid w:val="0"/>
        </w:rPr>
        <w:t> %</w:t>
      </w:r>
      <w:r w:rsidRPr="00C3128C">
        <w:rPr>
          <w:rFonts w:ascii="Times New Roman" w:eastAsia="Times New Roman" w:hAnsi="Times New Roman" w:cs="Times New Roman"/>
          <w:bCs/>
          <w:snapToGrid w:val="0"/>
        </w:rPr>
        <w:t xml:space="preserve"> (26/2412) negu enoksaparino / VKA grupėje (2,2</w:t>
      </w:r>
      <w:r w:rsidR="00AD441E" w:rsidRPr="00C3128C">
        <w:rPr>
          <w:rFonts w:ascii="Times New Roman" w:eastAsia="Times New Roman" w:hAnsi="Times New Roman" w:cs="Times New Roman"/>
          <w:bCs/>
          <w:snapToGrid w:val="0"/>
        </w:rPr>
        <w:t> %</w:t>
      </w:r>
      <w:r w:rsidRPr="00C3128C">
        <w:rPr>
          <w:rFonts w:ascii="Times New Roman" w:eastAsia="Times New Roman" w:hAnsi="Times New Roman" w:cs="Times New Roman"/>
          <w:bCs/>
          <w:snapToGrid w:val="0"/>
        </w:rPr>
        <w:t xml:space="preserve"> (52/2405), RS esant 0,493 (95</w:t>
      </w:r>
      <w:r w:rsidR="00AD441E" w:rsidRPr="00C3128C">
        <w:rPr>
          <w:rFonts w:ascii="Times New Roman" w:eastAsia="Times New Roman" w:hAnsi="Times New Roman" w:cs="Times New Roman"/>
          <w:bCs/>
          <w:snapToGrid w:val="0"/>
        </w:rPr>
        <w:t> %</w:t>
      </w:r>
      <w:r w:rsidRPr="00C3128C">
        <w:rPr>
          <w:rFonts w:ascii="Times New Roman" w:eastAsia="Times New Roman" w:hAnsi="Times New Roman" w:cs="Times New Roman"/>
          <w:bCs/>
          <w:snapToGrid w:val="0"/>
        </w:rPr>
        <w:t xml:space="preserve"> PI</w:t>
      </w:r>
      <w:r w:rsidRPr="003E364C">
        <w:rPr>
          <w:rFonts w:ascii="Times New Roman" w:eastAsia="Times New Roman" w:hAnsi="Times New Roman" w:cs="Times New Roman"/>
          <w:snapToGrid w:val="0"/>
        </w:rPr>
        <w:t>: 0,308–0,789).</w:t>
      </w:r>
    </w:p>
    <w:p w14:paraId="143669C5" w14:textId="77777777" w:rsidR="003E364C" w:rsidRPr="003E364C" w:rsidRDefault="003E364C" w:rsidP="003E364C">
      <w:pPr>
        <w:spacing w:after="0" w:line="240" w:lineRule="auto"/>
        <w:rPr>
          <w:rFonts w:ascii="Times New Roman" w:eastAsia="Times New Roman" w:hAnsi="Times New Roman" w:cs="Times New Roman"/>
          <w:snapToGrid w:val="0"/>
        </w:rPr>
      </w:pPr>
    </w:p>
    <w:p w14:paraId="06846923" w14:textId="77777777" w:rsidR="003E364C" w:rsidRPr="003E364C" w:rsidRDefault="003E364C" w:rsidP="003E364C">
      <w:pPr>
        <w:spacing w:after="0" w:line="240" w:lineRule="auto"/>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 xml:space="preserve">7 lentelė. Veiksmingumo ir saugumo rezultatai, gauti III fazės </w:t>
      </w:r>
      <w:r w:rsidRPr="003E364C">
        <w:rPr>
          <w:rFonts w:ascii="Times New Roman" w:eastAsia="Times New Roman" w:hAnsi="Times New Roman" w:cs="Times New Roman"/>
          <w:b/>
          <w:bCs/>
          <w:i/>
          <w:snapToGrid w:val="0"/>
        </w:rPr>
        <w:t xml:space="preserve">Einstein PE </w:t>
      </w:r>
      <w:r w:rsidRPr="003E364C">
        <w:rPr>
          <w:rFonts w:ascii="Times New Roman" w:eastAsia="Times New Roman" w:hAnsi="Times New Roman" w:cs="Times New Roman"/>
          <w:b/>
          <w:bCs/>
          <w:snapToGrid w:val="0"/>
        </w:rPr>
        <w:t>tyrimo metu</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2789"/>
        <w:gridCol w:w="2253"/>
      </w:tblGrid>
      <w:tr w:rsidR="003E364C" w:rsidRPr="003E364C" w14:paraId="4F6B07D3" w14:textId="77777777" w:rsidTr="0096285A">
        <w:trPr>
          <w:trHeight w:val="261"/>
        </w:trPr>
        <w:tc>
          <w:tcPr>
            <w:tcW w:w="4314" w:type="dxa"/>
          </w:tcPr>
          <w:p w14:paraId="20C20A88"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5042" w:type="dxa"/>
            <w:gridSpan w:val="2"/>
          </w:tcPr>
          <w:p w14:paraId="4F1ABA54"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4832 pacientai, sergantys ūmine simptomine PE</w:t>
            </w:r>
          </w:p>
        </w:tc>
      </w:tr>
      <w:tr w:rsidR="003E364C" w:rsidRPr="003E364C" w14:paraId="73748EE5" w14:textId="77777777" w:rsidTr="0096285A">
        <w:trPr>
          <w:trHeight w:val="780"/>
        </w:trPr>
        <w:tc>
          <w:tcPr>
            <w:tcW w:w="4314" w:type="dxa"/>
          </w:tcPr>
          <w:p w14:paraId="5818054A"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2C8FC758"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 ir trukmė</w:t>
            </w:r>
          </w:p>
        </w:tc>
        <w:tc>
          <w:tcPr>
            <w:tcW w:w="2789" w:type="dxa"/>
          </w:tcPr>
          <w:p w14:paraId="22DF3E2E"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 xml:space="preserve">Rivaroksabanas </w:t>
            </w:r>
            <w:r w:rsidRPr="003E364C">
              <w:rPr>
                <w:rFonts w:ascii="Times New Roman" w:eastAsia="Times New Roman" w:hAnsi="Times New Roman" w:cs="Times New Roman"/>
                <w:b/>
                <w:snapToGrid w:val="0"/>
                <w:vertAlign w:val="superscript"/>
              </w:rPr>
              <w:t>a)</w:t>
            </w:r>
          </w:p>
          <w:p w14:paraId="696141ED"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 6 arba 12 mėnesių</w:t>
            </w:r>
          </w:p>
          <w:p w14:paraId="532B0B6C"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2419</w:t>
            </w:r>
          </w:p>
        </w:tc>
        <w:tc>
          <w:tcPr>
            <w:tcW w:w="2253" w:type="dxa"/>
          </w:tcPr>
          <w:p w14:paraId="3561FE69"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Enoksaparinas / VKA</w:t>
            </w:r>
            <w:r w:rsidRPr="003E364C">
              <w:rPr>
                <w:rFonts w:ascii="Times New Roman" w:eastAsia="Times New Roman" w:hAnsi="Times New Roman" w:cs="Times New Roman"/>
                <w:b/>
                <w:snapToGrid w:val="0"/>
                <w:vertAlign w:val="superscript"/>
              </w:rPr>
              <w:t>b)</w:t>
            </w:r>
            <w:r w:rsidRPr="003E364C">
              <w:rPr>
                <w:rFonts w:ascii="Times New Roman" w:eastAsia="Times New Roman" w:hAnsi="Times New Roman" w:cs="Times New Roman"/>
                <w:b/>
                <w:snapToGrid w:val="0"/>
              </w:rPr>
              <w:t xml:space="preserve"> 3, 6 arba 12 mėnesių</w:t>
            </w:r>
          </w:p>
          <w:p w14:paraId="0B69C343"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2413</w:t>
            </w:r>
          </w:p>
        </w:tc>
      </w:tr>
      <w:tr w:rsidR="003E364C" w:rsidRPr="003E364C" w14:paraId="47A5D811" w14:textId="77777777" w:rsidTr="0096285A">
        <w:trPr>
          <w:trHeight w:val="259"/>
        </w:trPr>
        <w:tc>
          <w:tcPr>
            <w:tcW w:w="4314" w:type="dxa"/>
            <w:vMerge w:val="restart"/>
          </w:tcPr>
          <w:p w14:paraId="599AD1D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w:t>
            </w:r>
          </w:p>
        </w:tc>
        <w:tc>
          <w:tcPr>
            <w:tcW w:w="2789" w:type="dxa"/>
            <w:tcBorders>
              <w:bottom w:val="nil"/>
            </w:tcBorders>
          </w:tcPr>
          <w:p w14:paraId="237004B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50</w:t>
            </w:r>
          </w:p>
        </w:tc>
        <w:tc>
          <w:tcPr>
            <w:tcW w:w="2253" w:type="dxa"/>
            <w:tcBorders>
              <w:bottom w:val="nil"/>
            </w:tcBorders>
          </w:tcPr>
          <w:p w14:paraId="1B708B8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44</w:t>
            </w:r>
          </w:p>
        </w:tc>
      </w:tr>
      <w:tr w:rsidR="003E364C" w:rsidRPr="003E364C" w14:paraId="69FF89FD" w14:textId="77777777" w:rsidTr="0096285A">
        <w:trPr>
          <w:trHeight w:val="250"/>
        </w:trPr>
        <w:tc>
          <w:tcPr>
            <w:tcW w:w="4314" w:type="dxa"/>
            <w:vMerge/>
            <w:tcBorders>
              <w:top w:val="nil"/>
            </w:tcBorders>
          </w:tcPr>
          <w:p w14:paraId="405EE116"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789" w:type="dxa"/>
            <w:tcBorders>
              <w:top w:val="nil"/>
            </w:tcBorders>
          </w:tcPr>
          <w:p w14:paraId="12EDEBD3" w14:textId="072CA2B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Borders>
              <w:top w:val="nil"/>
            </w:tcBorders>
          </w:tcPr>
          <w:p w14:paraId="4C7CC788" w14:textId="0F274A4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3BE5196" w14:textId="77777777" w:rsidTr="0096285A">
        <w:trPr>
          <w:trHeight w:val="258"/>
        </w:trPr>
        <w:tc>
          <w:tcPr>
            <w:tcW w:w="4314" w:type="dxa"/>
            <w:vMerge w:val="restart"/>
          </w:tcPr>
          <w:p w14:paraId="0B5DAA19"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2789" w:type="dxa"/>
            <w:tcBorders>
              <w:bottom w:val="nil"/>
            </w:tcBorders>
          </w:tcPr>
          <w:p w14:paraId="235325E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23</w:t>
            </w:r>
          </w:p>
        </w:tc>
        <w:tc>
          <w:tcPr>
            <w:tcW w:w="2253" w:type="dxa"/>
            <w:tcBorders>
              <w:bottom w:val="nil"/>
            </w:tcBorders>
          </w:tcPr>
          <w:p w14:paraId="47E0BCF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tc>
      </w:tr>
      <w:tr w:rsidR="003E364C" w:rsidRPr="003E364C" w14:paraId="400F3BF0" w14:textId="77777777" w:rsidTr="0096285A">
        <w:trPr>
          <w:trHeight w:val="251"/>
        </w:trPr>
        <w:tc>
          <w:tcPr>
            <w:tcW w:w="4314" w:type="dxa"/>
            <w:vMerge/>
            <w:tcBorders>
              <w:top w:val="nil"/>
            </w:tcBorders>
          </w:tcPr>
          <w:p w14:paraId="074C92A8"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789" w:type="dxa"/>
            <w:tcBorders>
              <w:top w:val="nil"/>
            </w:tcBorders>
          </w:tcPr>
          <w:p w14:paraId="1FA2DC20" w14:textId="0A5DD68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Borders>
              <w:top w:val="nil"/>
            </w:tcBorders>
          </w:tcPr>
          <w:p w14:paraId="45E367BB" w14:textId="18DE0F42"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3F3F7149" w14:textId="77777777" w:rsidTr="0096285A">
        <w:trPr>
          <w:trHeight w:val="258"/>
        </w:trPr>
        <w:tc>
          <w:tcPr>
            <w:tcW w:w="4314" w:type="dxa"/>
            <w:vMerge w:val="restart"/>
          </w:tcPr>
          <w:p w14:paraId="237B3936"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2789" w:type="dxa"/>
            <w:tcBorders>
              <w:bottom w:val="nil"/>
            </w:tcBorders>
          </w:tcPr>
          <w:p w14:paraId="494E89F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p>
        </w:tc>
        <w:tc>
          <w:tcPr>
            <w:tcW w:w="2253" w:type="dxa"/>
            <w:tcBorders>
              <w:bottom w:val="nil"/>
            </w:tcBorders>
          </w:tcPr>
          <w:p w14:paraId="6510595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p>
        </w:tc>
      </w:tr>
      <w:tr w:rsidR="003E364C" w:rsidRPr="003E364C" w14:paraId="3FBEFED9" w14:textId="77777777" w:rsidTr="0096285A">
        <w:trPr>
          <w:trHeight w:val="251"/>
        </w:trPr>
        <w:tc>
          <w:tcPr>
            <w:tcW w:w="4314" w:type="dxa"/>
            <w:vMerge/>
            <w:tcBorders>
              <w:top w:val="nil"/>
            </w:tcBorders>
          </w:tcPr>
          <w:p w14:paraId="7FE9D6D5"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789" w:type="dxa"/>
            <w:tcBorders>
              <w:top w:val="nil"/>
            </w:tcBorders>
          </w:tcPr>
          <w:p w14:paraId="48E39700" w14:textId="794026B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Borders>
              <w:top w:val="nil"/>
            </w:tcBorders>
          </w:tcPr>
          <w:p w14:paraId="5E24AAF2" w14:textId="7E6219B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1574CDC" w14:textId="77777777" w:rsidTr="0096285A">
        <w:trPr>
          <w:trHeight w:val="520"/>
        </w:trPr>
        <w:tc>
          <w:tcPr>
            <w:tcW w:w="4314" w:type="dxa"/>
          </w:tcPr>
          <w:p w14:paraId="1D43AB1E"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Simptominė PE ir GVT</w:t>
            </w:r>
          </w:p>
        </w:tc>
        <w:tc>
          <w:tcPr>
            <w:tcW w:w="2789" w:type="dxa"/>
          </w:tcPr>
          <w:p w14:paraId="4808610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tc>
        <w:tc>
          <w:tcPr>
            <w:tcW w:w="2253" w:type="dxa"/>
          </w:tcPr>
          <w:p w14:paraId="047F668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p w14:paraId="268CC466" w14:textId="71E45E3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(&lt; 0,1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69764BFB" w14:textId="77777777" w:rsidTr="0096285A">
        <w:trPr>
          <w:trHeight w:val="520"/>
        </w:trPr>
        <w:tc>
          <w:tcPr>
            <w:tcW w:w="4314" w:type="dxa"/>
          </w:tcPr>
          <w:p w14:paraId="0D2C3232"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atmesti PE</w:t>
            </w:r>
          </w:p>
        </w:tc>
        <w:tc>
          <w:tcPr>
            <w:tcW w:w="2789" w:type="dxa"/>
          </w:tcPr>
          <w:p w14:paraId="738E6A5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w:t>
            </w:r>
          </w:p>
          <w:p w14:paraId="3991E668" w14:textId="51C18C7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Pr>
          <w:p w14:paraId="2D40E36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w:t>
            </w:r>
          </w:p>
          <w:p w14:paraId="2D607BB3" w14:textId="7688A04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B799062" w14:textId="77777777" w:rsidTr="0096285A">
        <w:trPr>
          <w:trHeight w:val="520"/>
        </w:trPr>
        <w:tc>
          <w:tcPr>
            <w:tcW w:w="4314" w:type="dxa"/>
          </w:tcPr>
          <w:p w14:paraId="7A4DC0B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Didysis ar klinikiniu požiūriu reikšmingas ne didysis kraujavimas</w:t>
            </w:r>
          </w:p>
        </w:tc>
        <w:tc>
          <w:tcPr>
            <w:tcW w:w="2789" w:type="dxa"/>
          </w:tcPr>
          <w:p w14:paraId="13E7E35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249</w:t>
            </w:r>
          </w:p>
          <w:p w14:paraId="420A0C06" w14:textId="6258E62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Pr>
          <w:p w14:paraId="167C269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274</w:t>
            </w:r>
          </w:p>
          <w:p w14:paraId="33E10B41" w14:textId="157D54A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DA42D11" w14:textId="77777777" w:rsidTr="0096285A">
        <w:trPr>
          <w:trHeight w:val="520"/>
        </w:trPr>
        <w:tc>
          <w:tcPr>
            <w:tcW w:w="4314" w:type="dxa"/>
          </w:tcPr>
          <w:p w14:paraId="61A4DC4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2789" w:type="dxa"/>
          </w:tcPr>
          <w:p w14:paraId="0CA3D0D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26</w:t>
            </w:r>
          </w:p>
          <w:p w14:paraId="038E6B72" w14:textId="0FCB899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Pr>
          <w:p w14:paraId="09BCAA8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52</w:t>
            </w:r>
          </w:p>
          <w:p w14:paraId="25E642FA" w14:textId="02BD10F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6E619A26" w14:textId="7992BCE1"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a)</w:t>
      </w:r>
      <w:r w:rsidRPr="003E364C">
        <w:rPr>
          <w:rFonts w:ascii="Times New Roman" w:eastAsia="Times New Roman" w:hAnsi="Times New Roman" w:cs="Times New Roman"/>
          <w:color w:val="000000"/>
          <w:sz w:val="20"/>
          <w:szCs w:val="20"/>
          <w:lang w:eastAsia="ar-SA"/>
        </w:rPr>
        <w:tab/>
        <w:t>rivaroksabano po 15</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du kartus per parą 3 savaites, vėliau - 20</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kartą per parą.</w:t>
      </w:r>
    </w:p>
    <w:p w14:paraId="31638DC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xml:space="preserve">b) </w:t>
      </w:r>
      <w:r w:rsidRPr="003E364C">
        <w:rPr>
          <w:rFonts w:ascii="Times New Roman" w:eastAsia="Times New Roman" w:hAnsi="Times New Roman" w:cs="Times New Roman"/>
          <w:color w:val="000000"/>
          <w:sz w:val="20"/>
          <w:szCs w:val="20"/>
          <w:lang w:eastAsia="ar-SA"/>
        </w:rPr>
        <w:tab/>
        <w:t xml:space="preserve">Enoksaparino ne trumpiau kaip 5 paras, kartu vartojant ir vėliau tęsiant gydymą VKA. </w:t>
      </w:r>
    </w:p>
    <w:p w14:paraId="5341F8F5" w14:textId="77777777" w:rsidR="003E364C" w:rsidRPr="003E364C" w:rsidRDefault="003E364C" w:rsidP="003E364C">
      <w:pPr>
        <w:tabs>
          <w:tab w:val="left" w:pos="567"/>
        </w:tabs>
        <w:suppressAutoHyphens/>
        <w:spacing w:after="0" w:line="260" w:lineRule="exact"/>
        <w:ind w:left="567" w:hanging="567"/>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p&lt; 0,0026 (ne prastesnis rezultatas, vertinant pagal iš anksto specifikuotą rizikos santykį 2,0); rizikos santykis:1,123 (0,749-1,684)</w:t>
      </w:r>
    </w:p>
    <w:p w14:paraId="24F8B2A9" w14:textId="77777777" w:rsidR="003E364C" w:rsidRPr="003E364C" w:rsidRDefault="003E364C" w:rsidP="003E364C">
      <w:pPr>
        <w:spacing w:after="0" w:line="240" w:lineRule="auto"/>
        <w:rPr>
          <w:rFonts w:ascii="Times New Roman" w:eastAsia="Times New Roman" w:hAnsi="Times New Roman" w:cs="Times New Roman"/>
          <w:snapToGrid w:val="0"/>
        </w:rPr>
      </w:pPr>
    </w:p>
    <w:p w14:paraId="73EAC73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Buvo atlikta iš anksto specifikuota jungtinė </w:t>
      </w:r>
      <w:r w:rsidRPr="003E364C">
        <w:rPr>
          <w:rFonts w:ascii="Times New Roman" w:eastAsia="Times New Roman" w:hAnsi="Times New Roman" w:cs="Times New Roman"/>
          <w:i/>
          <w:snapToGrid w:val="0"/>
        </w:rPr>
        <w:t xml:space="preserve">Einstein GVT </w:t>
      </w:r>
      <w:r w:rsidRPr="003E364C">
        <w:rPr>
          <w:rFonts w:ascii="Times New Roman" w:eastAsia="Times New Roman" w:hAnsi="Times New Roman" w:cs="Times New Roman"/>
          <w:snapToGrid w:val="0"/>
        </w:rPr>
        <w:t xml:space="preserve">ir </w:t>
      </w:r>
      <w:r w:rsidRPr="003E364C">
        <w:rPr>
          <w:rFonts w:ascii="Times New Roman" w:eastAsia="Times New Roman" w:hAnsi="Times New Roman" w:cs="Times New Roman"/>
          <w:i/>
          <w:snapToGrid w:val="0"/>
        </w:rPr>
        <w:t xml:space="preserve">PE </w:t>
      </w:r>
      <w:r w:rsidRPr="003E364C">
        <w:rPr>
          <w:rFonts w:ascii="Times New Roman" w:eastAsia="Times New Roman" w:hAnsi="Times New Roman" w:cs="Times New Roman"/>
          <w:snapToGrid w:val="0"/>
        </w:rPr>
        <w:t>tyrimų rezultatų analizė (žr. 8 lentelę).</w:t>
      </w:r>
    </w:p>
    <w:p w14:paraId="10E8C626" w14:textId="77777777" w:rsidR="003E364C" w:rsidRPr="003E364C" w:rsidRDefault="003E364C" w:rsidP="003E364C">
      <w:pPr>
        <w:spacing w:after="0" w:line="240" w:lineRule="auto"/>
        <w:rPr>
          <w:rFonts w:ascii="Times New Roman" w:eastAsia="Times New Roman" w:hAnsi="Times New Roman" w:cs="Times New Roman"/>
          <w:snapToGrid w:val="0"/>
        </w:rPr>
      </w:pPr>
    </w:p>
    <w:p w14:paraId="4D065261" w14:textId="77777777" w:rsidR="003E364C" w:rsidRPr="003E364C" w:rsidRDefault="003E364C" w:rsidP="003E364C">
      <w:pPr>
        <w:spacing w:after="0" w:line="240" w:lineRule="auto"/>
        <w:ind w:left="993" w:hanging="967"/>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 xml:space="preserve">8 lentelė. Veiksmingumo ir saugumo rezultatai, gauti atlikus jungtinę III fazės </w:t>
      </w:r>
      <w:r w:rsidRPr="003E364C">
        <w:rPr>
          <w:rFonts w:ascii="Times New Roman" w:eastAsia="Times New Roman" w:hAnsi="Times New Roman" w:cs="Times New Roman"/>
          <w:b/>
          <w:bCs/>
          <w:i/>
          <w:snapToGrid w:val="0"/>
        </w:rPr>
        <w:t xml:space="preserve">Einstein GVT </w:t>
      </w:r>
      <w:r w:rsidRPr="003E364C">
        <w:rPr>
          <w:rFonts w:ascii="Times New Roman" w:eastAsia="Times New Roman" w:hAnsi="Times New Roman" w:cs="Times New Roman"/>
          <w:b/>
          <w:bCs/>
          <w:snapToGrid w:val="0"/>
        </w:rPr>
        <w:t>ir</w:t>
      </w:r>
    </w:p>
    <w:p w14:paraId="06934462"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i/>
          <w:snapToGrid w:val="0"/>
        </w:rPr>
        <w:t xml:space="preserve">Einstein PE </w:t>
      </w:r>
      <w:r w:rsidRPr="003E364C">
        <w:rPr>
          <w:rFonts w:ascii="Times New Roman" w:eastAsia="Times New Roman" w:hAnsi="Times New Roman" w:cs="Times New Roman"/>
          <w:b/>
          <w:snapToGrid w:val="0"/>
        </w:rPr>
        <w:t>tyrimų analizę</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2933"/>
        <w:gridCol w:w="2109"/>
      </w:tblGrid>
      <w:tr w:rsidR="003E364C" w:rsidRPr="003E364C" w14:paraId="0B762C0E" w14:textId="77777777" w:rsidTr="0096285A">
        <w:trPr>
          <w:trHeight w:val="261"/>
        </w:trPr>
        <w:tc>
          <w:tcPr>
            <w:tcW w:w="4314" w:type="dxa"/>
          </w:tcPr>
          <w:p w14:paraId="5AB321B7"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5042" w:type="dxa"/>
            <w:gridSpan w:val="2"/>
          </w:tcPr>
          <w:p w14:paraId="25215993"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8281 pacientas, sergantis ūmine simptomine GVT arba PE</w:t>
            </w:r>
          </w:p>
        </w:tc>
      </w:tr>
      <w:tr w:rsidR="003E364C" w:rsidRPr="003E364C" w14:paraId="4D5DFCC8" w14:textId="77777777" w:rsidTr="0096285A">
        <w:trPr>
          <w:trHeight w:val="779"/>
        </w:trPr>
        <w:tc>
          <w:tcPr>
            <w:tcW w:w="4314" w:type="dxa"/>
          </w:tcPr>
          <w:p w14:paraId="4F84CBC8"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348AA86D"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 ir trukmė</w:t>
            </w:r>
          </w:p>
        </w:tc>
        <w:tc>
          <w:tcPr>
            <w:tcW w:w="2933" w:type="dxa"/>
          </w:tcPr>
          <w:p w14:paraId="466C1F3C"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 xml:space="preserve">Rivaroksabanas </w:t>
            </w:r>
            <w:r w:rsidRPr="003E364C">
              <w:rPr>
                <w:rFonts w:ascii="Times New Roman" w:eastAsia="Times New Roman" w:hAnsi="Times New Roman" w:cs="Times New Roman"/>
                <w:b/>
                <w:snapToGrid w:val="0"/>
                <w:vertAlign w:val="superscript"/>
              </w:rPr>
              <w:t>a)</w:t>
            </w:r>
          </w:p>
          <w:p w14:paraId="3CF71F22"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 6 arba 12 mėnesių</w:t>
            </w:r>
          </w:p>
          <w:p w14:paraId="6F722920"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4150</w:t>
            </w:r>
          </w:p>
        </w:tc>
        <w:tc>
          <w:tcPr>
            <w:tcW w:w="2109" w:type="dxa"/>
          </w:tcPr>
          <w:p w14:paraId="09A09F4C"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Enoksaparinas / VKA</w:t>
            </w:r>
            <w:r w:rsidRPr="003E364C">
              <w:rPr>
                <w:rFonts w:ascii="Times New Roman" w:eastAsia="Times New Roman" w:hAnsi="Times New Roman" w:cs="Times New Roman"/>
                <w:b/>
                <w:snapToGrid w:val="0"/>
                <w:vertAlign w:val="superscript"/>
              </w:rPr>
              <w:t>b)</w:t>
            </w:r>
            <w:r w:rsidRPr="003E364C">
              <w:rPr>
                <w:rFonts w:ascii="Times New Roman" w:eastAsia="Times New Roman" w:hAnsi="Times New Roman" w:cs="Times New Roman"/>
                <w:b/>
                <w:snapToGrid w:val="0"/>
              </w:rPr>
              <w:t xml:space="preserve"> 3, 6 arba 12 mėnesių</w:t>
            </w:r>
          </w:p>
          <w:p w14:paraId="720BE506"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4 131</w:t>
            </w:r>
          </w:p>
        </w:tc>
      </w:tr>
      <w:tr w:rsidR="003E364C" w:rsidRPr="003E364C" w14:paraId="41C32BCA" w14:textId="77777777" w:rsidTr="0096285A">
        <w:trPr>
          <w:trHeight w:val="259"/>
        </w:trPr>
        <w:tc>
          <w:tcPr>
            <w:tcW w:w="4314" w:type="dxa"/>
            <w:vMerge w:val="restart"/>
          </w:tcPr>
          <w:p w14:paraId="29B76A3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w:t>
            </w:r>
          </w:p>
        </w:tc>
        <w:tc>
          <w:tcPr>
            <w:tcW w:w="2933" w:type="dxa"/>
            <w:tcBorders>
              <w:bottom w:val="nil"/>
            </w:tcBorders>
          </w:tcPr>
          <w:p w14:paraId="7C716BA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86</w:t>
            </w:r>
          </w:p>
        </w:tc>
        <w:tc>
          <w:tcPr>
            <w:tcW w:w="2109" w:type="dxa"/>
            <w:tcBorders>
              <w:bottom w:val="nil"/>
            </w:tcBorders>
          </w:tcPr>
          <w:p w14:paraId="263B088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95</w:t>
            </w:r>
          </w:p>
        </w:tc>
      </w:tr>
      <w:tr w:rsidR="003E364C" w:rsidRPr="003E364C" w14:paraId="36D53612" w14:textId="77777777" w:rsidTr="0096285A">
        <w:trPr>
          <w:trHeight w:val="250"/>
        </w:trPr>
        <w:tc>
          <w:tcPr>
            <w:tcW w:w="4314" w:type="dxa"/>
            <w:vMerge/>
            <w:tcBorders>
              <w:top w:val="nil"/>
            </w:tcBorders>
          </w:tcPr>
          <w:p w14:paraId="7773AAD0"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933" w:type="dxa"/>
            <w:tcBorders>
              <w:top w:val="nil"/>
            </w:tcBorders>
          </w:tcPr>
          <w:p w14:paraId="2B6CE3E0" w14:textId="37C9EDF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0B6EDB06" w14:textId="330074C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732CAEFA" w14:textId="77777777" w:rsidTr="0096285A">
        <w:trPr>
          <w:trHeight w:val="258"/>
        </w:trPr>
        <w:tc>
          <w:tcPr>
            <w:tcW w:w="4314" w:type="dxa"/>
            <w:vMerge w:val="restart"/>
          </w:tcPr>
          <w:p w14:paraId="2C880F8E"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2933" w:type="dxa"/>
            <w:tcBorders>
              <w:bottom w:val="nil"/>
            </w:tcBorders>
          </w:tcPr>
          <w:p w14:paraId="7AC98B3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43</w:t>
            </w:r>
          </w:p>
        </w:tc>
        <w:tc>
          <w:tcPr>
            <w:tcW w:w="2109" w:type="dxa"/>
            <w:tcBorders>
              <w:bottom w:val="nil"/>
            </w:tcBorders>
          </w:tcPr>
          <w:p w14:paraId="20EE5B2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38</w:t>
            </w:r>
          </w:p>
        </w:tc>
      </w:tr>
      <w:tr w:rsidR="003E364C" w:rsidRPr="003E364C" w14:paraId="2AF16F0B" w14:textId="77777777" w:rsidTr="0096285A">
        <w:trPr>
          <w:trHeight w:val="251"/>
        </w:trPr>
        <w:tc>
          <w:tcPr>
            <w:tcW w:w="4314" w:type="dxa"/>
            <w:vMerge/>
            <w:tcBorders>
              <w:top w:val="nil"/>
            </w:tcBorders>
          </w:tcPr>
          <w:p w14:paraId="1441A0AA"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933" w:type="dxa"/>
            <w:tcBorders>
              <w:top w:val="nil"/>
            </w:tcBorders>
          </w:tcPr>
          <w:p w14:paraId="34BD4657" w14:textId="2E0D7BD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5C40545E" w14:textId="60A1EE9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5C744E5" w14:textId="77777777" w:rsidTr="0096285A">
        <w:trPr>
          <w:trHeight w:val="258"/>
        </w:trPr>
        <w:tc>
          <w:tcPr>
            <w:tcW w:w="4314" w:type="dxa"/>
            <w:vMerge w:val="restart"/>
          </w:tcPr>
          <w:p w14:paraId="0B3DCB1F"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2933" w:type="dxa"/>
            <w:tcBorders>
              <w:bottom w:val="nil"/>
            </w:tcBorders>
          </w:tcPr>
          <w:p w14:paraId="5CA61AB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32</w:t>
            </w:r>
          </w:p>
        </w:tc>
        <w:tc>
          <w:tcPr>
            <w:tcW w:w="2109" w:type="dxa"/>
            <w:tcBorders>
              <w:bottom w:val="nil"/>
            </w:tcBorders>
          </w:tcPr>
          <w:p w14:paraId="6B5C7A2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45</w:t>
            </w:r>
          </w:p>
        </w:tc>
      </w:tr>
      <w:tr w:rsidR="003E364C" w:rsidRPr="003E364C" w14:paraId="5B104015" w14:textId="77777777" w:rsidTr="0096285A">
        <w:trPr>
          <w:trHeight w:val="251"/>
        </w:trPr>
        <w:tc>
          <w:tcPr>
            <w:tcW w:w="4314" w:type="dxa"/>
            <w:vMerge/>
            <w:tcBorders>
              <w:top w:val="nil"/>
            </w:tcBorders>
          </w:tcPr>
          <w:p w14:paraId="58AAE27A"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933" w:type="dxa"/>
            <w:tcBorders>
              <w:top w:val="nil"/>
            </w:tcBorders>
          </w:tcPr>
          <w:p w14:paraId="2EBF41A1" w14:textId="4CF4A88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7A45991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  1%)</w:t>
            </w:r>
          </w:p>
        </w:tc>
      </w:tr>
      <w:tr w:rsidR="003E364C" w:rsidRPr="003E364C" w14:paraId="2A31A3EF" w14:textId="77777777" w:rsidTr="0096285A">
        <w:trPr>
          <w:trHeight w:val="258"/>
        </w:trPr>
        <w:tc>
          <w:tcPr>
            <w:tcW w:w="4314" w:type="dxa"/>
            <w:vMerge w:val="restart"/>
          </w:tcPr>
          <w:p w14:paraId="19774F5B"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PE ir GVT</w:t>
            </w:r>
          </w:p>
        </w:tc>
        <w:tc>
          <w:tcPr>
            <w:tcW w:w="2933" w:type="dxa"/>
            <w:tcBorders>
              <w:bottom w:val="nil"/>
            </w:tcBorders>
          </w:tcPr>
          <w:p w14:paraId="112C14D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tc>
        <w:tc>
          <w:tcPr>
            <w:tcW w:w="2109" w:type="dxa"/>
            <w:tcBorders>
              <w:bottom w:val="nil"/>
            </w:tcBorders>
          </w:tcPr>
          <w:p w14:paraId="6328AAE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tc>
      </w:tr>
      <w:tr w:rsidR="003E364C" w:rsidRPr="003E364C" w14:paraId="5A499DF2" w14:textId="77777777" w:rsidTr="0096285A">
        <w:trPr>
          <w:trHeight w:val="249"/>
        </w:trPr>
        <w:tc>
          <w:tcPr>
            <w:tcW w:w="4314" w:type="dxa"/>
            <w:vMerge/>
            <w:tcBorders>
              <w:top w:val="nil"/>
            </w:tcBorders>
          </w:tcPr>
          <w:p w14:paraId="4D6AC1E5"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933" w:type="dxa"/>
            <w:tcBorders>
              <w:top w:val="nil"/>
            </w:tcBorders>
          </w:tcPr>
          <w:p w14:paraId="139D3F44" w14:textId="3E1DB76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(&lt; 0,1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1290DBB6" w14:textId="5751EE8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(&lt; 0,1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6C61BEF4" w14:textId="77777777" w:rsidTr="0096285A">
        <w:trPr>
          <w:trHeight w:val="266"/>
        </w:trPr>
        <w:tc>
          <w:tcPr>
            <w:tcW w:w="4314" w:type="dxa"/>
            <w:vMerge w:val="restart"/>
          </w:tcPr>
          <w:p w14:paraId="553D3C08"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atmesti PE</w:t>
            </w:r>
          </w:p>
        </w:tc>
        <w:tc>
          <w:tcPr>
            <w:tcW w:w="2933" w:type="dxa"/>
            <w:tcBorders>
              <w:bottom w:val="nil"/>
            </w:tcBorders>
          </w:tcPr>
          <w:p w14:paraId="2934E70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15</w:t>
            </w:r>
          </w:p>
        </w:tc>
        <w:tc>
          <w:tcPr>
            <w:tcW w:w="2109" w:type="dxa"/>
            <w:tcBorders>
              <w:bottom w:val="nil"/>
            </w:tcBorders>
          </w:tcPr>
          <w:p w14:paraId="6D90F05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p>
        </w:tc>
      </w:tr>
      <w:tr w:rsidR="003E364C" w:rsidRPr="003E364C" w14:paraId="34170A29" w14:textId="77777777" w:rsidTr="0096285A">
        <w:trPr>
          <w:trHeight w:val="254"/>
        </w:trPr>
        <w:tc>
          <w:tcPr>
            <w:tcW w:w="4314" w:type="dxa"/>
            <w:vMerge/>
          </w:tcPr>
          <w:p w14:paraId="7CE7860E"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933" w:type="dxa"/>
            <w:tcBorders>
              <w:top w:val="nil"/>
            </w:tcBorders>
          </w:tcPr>
          <w:p w14:paraId="590ECB2F" w14:textId="0E2C2E5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2795ACE8" w14:textId="7C7EC44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A3FE969" w14:textId="77777777" w:rsidTr="0096285A">
        <w:trPr>
          <w:trHeight w:val="264"/>
        </w:trPr>
        <w:tc>
          <w:tcPr>
            <w:tcW w:w="4314" w:type="dxa"/>
            <w:tcBorders>
              <w:bottom w:val="nil"/>
            </w:tcBorders>
          </w:tcPr>
          <w:p w14:paraId="72EDA47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Didysis ar klinikiniu požiūriu</w:t>
            </w:r>
          </w:p>
        </w:tc>
        <w:tc>
          <w:tcPr>
            <w:tcW w:w="2933" w:type="dxa"/>
            <w:tcBorders>
              <w:bottom w:val="nil"/>
            </w:tcBorders>
          </w:tcPr>
          <w:p w14:paraId="21CBD78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388</w:t>
            </w:r>
          </w:p>
        </w:tc>
        <w:tc>
          <w:tcPr>
            <w:tcW w:w="2109" w:type="dxa"/>
            <w:tcBorders>
              <w:bottom w:val="nil"/>
            </w:tcBorders>
          </w:tcPr>
          <w:p w14:paraId="24173B0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412</w:t>
            </w:r>
          </w:p>
        </w:tc>
      </w:tr>
      <w:tr w:rsidR="003E364C" w:rsidRPr="003E364C" w14:paraId="3F1826FC" w14:textId="77777777" w:rsidTr="0096285A">
        <w:trPr>
          <w:trHeight w:val="255"/>
        </w:trPr>
        <w:tc>
          <w:tcPr>
            <w:tcW w:w="4314" w:type="dxa"/>
            <w:tcBorders>
              <w:top w:val="nil"/>
            </w:tcBorders>
          </w:tcPr>
          <w:p w14:paraId="70EA3CA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reikšmingas ne didysis kraujavimas</w:t>
            </w:r>
          </w:p>
        </w:tc>
        <w:tc>
          <w:tcPr>
            <w:tcW w:w="2933" w:type="dxa"/>
            <w:tcBorders>
              <w:top w:val="nil"/>
            </w:tcBorders>
          </w:tcPr>
          <w:p w14:paraId="6524E45F" w14:textId="6F2FB82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(9,4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535A0254" w14:textId="75A1A3B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32B3A463" w14:textId="77777777" w:rsidTr="0096285A">
        <w:trPr>
          <w:trHeight w:val="259"/>
        </w:trPr>
        <w:tc>
          <w:tcPr>
            <w:tcW w:w="4314" w:type="dxa"/>
            <w:vMerge w:val="restart"/>
          </w:tcPr>
          <w:p w14:paraId="1C9C5C8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2933" w:type="dxa"/>
            <w:tcBorders>
              <w:bottom w:val="nil"/>
            </w:tcBorders>
          </w:tcPr>
          <w:p w14:paraId="3597603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40</w:t>
            </w:r>
          </w:p>
        </w:tc>
        <w:tc>
          <w:tcPr>
            <w:tcW w:w="2109" w:type="dxa"/>
            <w:tcBorders>
              <w:bottom w:val="nil"/>
            </w:tcBorders>
          </w:tcPr>
          <w:p w14:paraId="0B540E4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72</w:t>
            </w:r>
          </w:p>
        </w:tc>
      </w:tr>
      <w:tr w:rsidR="003E364C" w:rsidRPr="003E364C" w14:paraId="7648CAC0" w14:textId="77777777" w:rsidTr="0096285A">
        <w:trPr>
          <w:trHeight w:val="250"/>
        </w:trPr>
        <w:tc>
          <w:tcPr>
            <w:tcW w:w="4314" w:type="dxa"/>
            <w:vMerge/>
            <w:tcBorders>
              <w:top w:val="nil"/>
            </w:tcBorders>
          </w:tcPr>
          <w:p w14:paraId="30B63C76"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933" w:type="dxa"/>
            <w:tcBorders>
              <w:top w:val="nil"/>
            </w:tcBorders>
          </w:tcPr>
          <w:p w14:paraId="5A3A542E" w14:textId="2CF78F99"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0ABC5656" w14:textId="07EF518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619719B7" w14:textId="714D9C95"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a)</w:t>
      </w:r>
      <w:r w:rsidRPr="003E364C">
        <w:rPr>
          <w:rFonts w:ascii="Times New Roman" w:eastAsia="Times New Roman" w:hAnsi="Times New Roman" w:cs="Times New Roman"/>
          <w:color w:val="000000"/>
          <w:sz w:val="20"/>
          <w:szCs w:val="20"/>
          <w:lang w:eastAsia="ar-SA"/>
        </w:rPr>
        <w:tab/>
        <w:t>15</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rivaroksabano du kartus per parą 3 savaites, po to - 20</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kartą per parą.</w:t>
      </w:r>
    </w:p>
    <w:p w14:paraId="7CC265F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xml:space="preserve">b) </w:t>
      </w:r>
      <w:r w:rsidRPr="003E364C">
        <w:rPr>
          <w:rFonts w:ascii="Times New Roman" w:eastAsia="Times New Roman" w:hAnsi="Times New Roman" w:cs="Times New Roman"/>
          <w:color w:val="000000"/>
          <w:sz w:val="20"/>
          <w:szCs w:val="20"/>
          <w:lang w:eastAsia="ar-SA"/>
        </w:rPr>
        <w:tab/>
        <w:t xml:space="preserve">Enoksaparino mažiausiai 5 paras, kartu vartojant ir vėliau tęsiant gydymą VKA. </w:t>
      </w:r>
    </w:p>
    <w:p w14:paraId="48CE5819" w14:textId="77777777" w:rsidR="003E364C" w:rsidRPr="003E364C" w:rsidRDefault="003E364C" w:rsidP="003E364C">
      <w:pPr>
        <w:tabs>
          <w:tab w:val="left" w:pos="567"/>
        </w:tabs>
        <w:suppressAutoHyphens/>
        <w:spacing w:after="0" w:line="260" w:lineRule="exact"/>
        <w:ind w:left="567" w:hanging="567"/>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p &lt; 0,0001 (ne prastesnis rezultatas, vertinant pagal iš anksto specifikuotą rizikos santykį 1,75); rizikos santykis:0,886 (0,661-1,186)</w:t>
      </w:r>
    </w:p>
    <w:p w14:paraId="2F1686BB" w14:textId="77777777" w:rsidR="003E364C" w:rsidRPr="003E364C" w:rsidRDefault="003E364C" w:rsidP="003E364C">
      <w:pPr>
        <w:spacing w:after="0" w:line="240" w:lineRule="auto"/>
        <w:rPr>
          <w:rFonts w:ascii="Times New Roman" w:eastAsia="Times New Roman" w:hAnsi="Times New Roman" w:cs="Times New Roman"/>
          <w:snapToGrid w:val="0"/>
        </w:rPr>
      </w:pPr>
    </w:p>
    <w:p w14:paraId="0E3B90FF" w14:textId="62AEFFA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Atlikus jungtinę analizę, buvo nustatyta iš anksto specifikuota grynoji klinikinė nauda (pirminio veiksmingumo rezultatai plius didžiojo kraujavimo atvejai): RS 0,771 (95</w:t>
      </w:r>
      <w:r w:rsidR="00AD441E">
        <w:rPr>
          <w:rFonts w:ascii="Times New Roman" w:eastAsia="Times New Roman" w:hAnsi="Times New Roman" w:cs="Times New Roman"/>
          <w:b/>
          <w:snapToGrid w:val="0"/>
        </w:rPr>
        <w:t> </w:t>
      </w:r>
      <w:r w:rsidR="00AD441E" w:rsidRPr="00C3128C">
        <w:rPr>
          <w:rFonts w:ascii="Times New Roman" w:eastAsia="Times New Roman" w:hAnsi="Times New Roman" w:cs="Times New Roman"/>
          <w:bCs/>
          <w:snapToGrid w:val="0"/>
        </w:rPr>
        <w:t>%</w:t>
      </w:r>
      <w:r w:rsidRPr="003E364C">
        <w:rPr>
          <w:rFonts w:ascii="Times New Roman" w:eastAsia="Times New Roman" w:hAnsi="Times New Roman" w:cs="Times New Roman"/>
          <w:snapToGrid w:val="0"/>
        </w:rPr>
        <w:t xml:space="preserve"> PI: 0,614–0,967), nominali p reikšmė p = 0,0244).</w:t>
      </w:r>
    </w:p>
    <w:p w14:paraId="1E36510B" w14:textId="77777777" w:rsidR="003E364C" w:rsidRPr="003E364C" w:rsidRDefault="003E364C" w:rsidP="003E364C">
      <w:pPr>
        <w:spacing w:after="0" w:line="240" w:lineRule="auto"/>
        <w:rPr>
          <w:rFonts w:ascii="Times New Roman" w:eastAsia="Times New Roman" w:hAnsi="Times New Roman" w:cs="Times New Roman"/>
          <w:snapToGrid w:val="0"/>
        </w:rPr>
      </w:pPr>
    </w:p>
    <w:p w14:paraId="24CFD4A3" w14:textId="0C030F1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i/>
          <w:snapToGrid w:val="0"/>
        </w:rPr>
        <w:t xml:space="preserve">Einstein Extention </w:t>
      </w:r>
      <w:r w:rsidRPr="003E364C">
        <w:rPr>
          <w:rFonts w:ascii="Times New Roman" w:eastAsia="Times New Roman" w:hAnsi="Times New Roman" w:cs="Times New Roman"/>
          <w:snapToGrid w:val="0"/>
        </w:rPr>
        <w:t>tyrime (žr. 9 lentelę) rivaroksabanas, vertinant pirminio ir antrinio veiksmingumo rezultatus, buvo pranašesnis už placebą. Tiriant pirminio saugumo rezultatus (didžiojo kraujavimo atvejus) pacientų, vartojusių rivaroksabano 20</w:t>
      </w:r>
      <w:r w:rsidR="00AD441E">
        <w:rPr>
          <w:rFonts w:ascii="Times New Roman" w:eastAsia="Times New Roman" w:hAnsi="Times New Roman" w:cs="Times New Roman"/>
          <w:b/>
          <w:snapToGrid w:val="0"/>
        </w:rPr>
        <w:t> </w:t>
      </w:r>
      <w:r w:rsidR="00AD441E" w:rsidRPr="00F02D2F">
        <w:rPr>
          <w:rFonts w:ascii="Times New Roman" w:eastAsia="Times New Roman" w:hAnsi="Times New Roman" w:cs="Times New Roman"/>
          <w:bCs/>
          <w:snapToGrid w:val="0"/>
        </w:rPr>
        <w:t>mg</w:t>
      </w:r>
      <w:r w:rsidRPr="003E364C">
        <w:rPr>
          <w:rFonts w:ascii="Times New Roman" w:eastAsia="Times New Roman" w:hAnsi="Times New Roman" w:cs="Times New Roman"/>
          <w:bCs/>
          <w:snapToGrid w:val="0"/>
        </w:rPr>
        <w:t xml:space="preserve"> vieną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00AD441E" w:rsidRPr="00F02D2F">
        <w:rPr>
          <w:rFonts w:ascii="Times New Roman" w:eastAsia="Times New Roman" w:hAnsi="Times New Roman" w:cs="Times New Roman"/>
          <w:bCs/>
          <w:snapToGrid w:val="0"/>
        </w:rPr>
        <w:t> mg</w:t>
      </w:r>
      <w:r w:rsidRPr="003E364C">
        <w:rPr>
          <w:rFonts w:ascii="Times New Roman" w:eastAsia="Times New Roman" w:hAnsi="Times New Roman" w:cs="Times New Roman"/>
          <w:bCs/>
          <w:snapToGrid w:val="0"/>
        </w:rPr>
        <w:t xml:space="preserve"> vieną kartą</w:t>
      </w:r>
      <w:r w:rsidRPr="003E364C">
        <w:rPr>
          <w:rFonts w:ascii="Times New Roman" w:eastAsia="Times New Roman" w:hAnsi="Times New Roman" w:cs="Times New Roman"/>
          <w:snapToGrid w:val="0"/>
        </w:rPr>
        <w:t xml:space="preserve"> per parą, palyginti su placebu.</w:t>
      </w:r>
    </w:p>
    <w:p w14:paraId="541D292F"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7DC1E436"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 xml:space="preserve">9 lentelė. Veiksmingumo ir saugumo rezultatai, gauti </w:t>
      </w:r>
      <w:r w:rsidRPr="00C3128C">
        <w:rPr>
          <w:rFonts w:ascii="Times New Roman" w:eastAsia="Times New Roman" w:hAnsi="Times New Roman" w:cs="Times New Roman"/>
          <w:b/>
          <w:i/>
          <w:iCs/>
          <w:snapToGrid w:val="0"/>
        </w:rPr>
        <w:t>Einstein Extension</w:t>
      </w:r>
      <w:r w:rsidRPr="003E364C">
        <w:rPr>
          <w:rFonts w:ascii="Times New Roman" w:eastAsia="Times New Roman" w:hAnsi="Times New Roman" w:cs="Times New Roman"/>
          <w:b/>
          <w:snapToGrid w:val="0"/>
        </w:rPr>
        <w:t xml:space="preserve"> tyrimo metu</w:t>
      </w:r>
    </w:p>
    <w:tbl>
      <w:tblPr>
        <w:tblW w:w="10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3"/>
        <w:gridCol w:w="3007"/>
        <w:gridCol w:w="2950"/>
      </w:tblGrid>
      <w:tr w:rsidR="003E364C" w:rsidRPr="003E364C" w14:paraId="1A37D437" w14:textId="77777777" w:rsidTr="0096285A">
        <w:trPr>
          <w:trHeight w:val="520"/>
        </w:trPr>
        <w:tc>
          <w:tcPr>
            <w:tcW w:w="4143" w:type="dxa"/>
          </w:tcPr>
          <w:p w14:paraId="125CDA4A"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lastRenderedPageBreak/>
              <w:t>Tyrimo populiacija</w:t>
            </w:r>
          </w:p>
        </w:tc>
        <w:tc>
          <w:tcPr>
            <w:tcW w:w="5957" w:type="dxa"/>
            <w:gridSpan w:val="2"/>
          </w:tcPr>
          <w:p w14:paraId="0F2F074D" w14:textId="04D9B752"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1</w:t>
            </w:r>
            <w:r w:rsidR="00F02D2F">
              <w:rPr>
                <w:rFonts w:ascii="Times New Roman" w:eastAsia="Times New Roman" w:hAnsi="Times New Roman" w:cs="Times New Roman"/>
                <w:b/>
                <w:snapToGrid w:val="0"/>
              </w:rPr>
              <w:t> </w:t>
            </w:r>
            <w:r w:rsidRPr="003E364C">
              <w:rPr>
                <w:rFonts w:ascii="Times New Roman" w:eastAsia="Times New Roman" w:hAnsi="Times New Roman" w:cs="Times New Roman"/>
                <w:b/>
                <w:snapToGrid w:val="0"/>
              </w:rPr>
              <w:t>197 tiriamieji tęsė pasikartojančios VTE gydymą ir profilaktiką</w:t>
            </w:r>
          </w:p>
        </w:tc>
      </w:tr>
      <w:tr w:rsidR="003E364C" w:rsidRPr="003E364C" w14:paraId="1B0150D3" w14:textId="77777777" w:rsidTr="0096285A">
        <w:trPr>
          <w:trHeight w:val="779"/>
        </w:trPr>
        <w:tc>
          <w:tcPr>
            <w:tcW w:w="4143" w:type="dxa"/>
          </w:tcPr>
          <w:p w14:paraId="6AD50125"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0899C701"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 ir trukmė</w:t>
            </w:r>
          </w:p>
        </w:tc>
        <w:tc>
          <w:tcPr>
            <w:tcW w:w="3007" w:type="dxa"/>
          </w:tcPr>
          <w:p w14:paraId="0E742DD5"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 xml:space="preserve">Rivaroksabanas </w:t>
            </w:r>
            <w:r w:rsidRPr="003E364C">
              <w:rPr>
                <w:rFonts w:ascii="Times New Roman" w:eastAsia="Times New Roman" w:hAnsi="Times New Roman" w:cs="Times New Roman"/>
                <w:b/>
                <w:snapToGrid w:val="0"/>
                <w:vertAlign w:val="superscript"/>
              </w:rPr>
              <w:t>a</w:t>
            </w:r>
            <w:r w:rsidRPr="003E364C">
              <w:rPr>
                <w:rFonts w:ascii="Times New Roman" w:eastAsia="Times New Roman" w:hAnsi="Times New Roman" w:cs="Times New Roman"/>
                <w:b/>
                <w:snapToGrid w:val="0"/>
              </w:rPr>
              <w:t>) 6 arba 12 mėnesių</w:t>
            </w:r>
          </w:p>
          <w:p w14:paraId="1A0F0E43"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602</w:t>
            </w:r>
          </w:p>
        </w:tc>
        <w:tc>
          <w:tcPr>
            <w:tcW w:w="2950" w:type="dxa"/>
          </w:tcPr>
          <w:p w14:paraId="4EA2D790"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Placebas</w:t>
            </w:r>
          </w:p>
          <w:p w14:paraId="58348421"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6 arba 12 mėnesių</w:t>
            </w:r>
          </w:p>
          <w:p w14:paraId="71BDD780"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594</w:t>
            </w:r>
          </w:p>
        </w:tc>
      </w:tr>
      <w:tr w:rsidR="003E364C" w:rsidRPr="003E364C" w14:paraId="1DD1731D" w14:textId="77777777" w:rsidTr="0096285A">
        <w:trPr>
          <w:trHeight w:val="258"/>
        </w:trPr>
        <w:tc>
          <w:tcPr>
            <w:tcW w:w="4143" w:type="dxa"/>
            <w:vMerge w:val="restart"/>
          </w:tcPr>
          <w:p w14:paraId="1C8663E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w:t>
            </w:r>
          </w:p>
        </w:tc>
        <w:tc>
          <w:tcPr>
            <w:tcW w:w="3007" w:type="dxa"/>
            <w:tcBorders>
              <w:bottom w:val="nil"/>
            </w:tcBorders>
          </w:tcPr>
          <w:p w14:paraId="6AB45A8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8</w:t>
            </w:r>
          </w:p>
        </w:tc>
        <w:tc>
          <w:tcPr>
            <w:tcW w:w="2950" w:type="dxa"/>
            <w:tcBorders>
              <w:bottom w:val="nil"/>
            </w:tcBorders>
          </w:tcPr>
          <w:p w14:paraId="2402E329"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42</w:t>
            </w:r>
          </w:p>
        </w:tc>
      </w:tr>
      <w:tr w:rsidR="003E364C" w:rsidRPr="003E364C" w14:paraId="0C369F45" w14:textId="77777777" w:rsidTr="0096285A">
        <w:trPr>
          <w:trHeight w:val="251"/>
        </w:trPr>
        <w:tc>
          <w:tcPr>
            <w:tcW w:w="4143" w:type="dxa"/>
            <w:vMerge/>
            <w:tcBorders>
              <w:top w:val="nil"/>
            </w:tcBorders>
          </w:tcPr>
          <w:p w14:paraId="0739E380"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3007" w:type="dxa"/>
            <w:tcBorders>
              <w:top w:val="nil"/>
            </w:tcBorders>
          </w:tcPr>
          <w:p w14:paraId="52D94F4F" w14:textId="0808012B"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75C4712C" w14:textId="40B0B1EC"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(7,1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47C504CF" w14:textId="77777777" w:rsidTr="0096285A">
        <w:trPr>
          <w:trHeight w:val="258"/>
        </w:trPr>
        <w:tc>
          <w:tcPr>
            <w:tcW w:w="4143" w:type="dxa"/>
            <w:vMerge w:val="restart"/>
          </w:tcPr>
          <w:p w14:paraId="2688DE54"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3007" w:type="dxa"/>
            <w:tcBorders>
              <w:bottom w:val="nil"/>
            </w:tcBorders>
          </w:tcPr>
          <w:p w14:paraId="6BC6023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tc>
        <w:tc>
          <w:tcPr>
            <w:tcW w:w="2950" w:type="dxa"/>
            <w:tcBorders>
              <w:bottom w:val="nil"/>
            </w:tcBorders>
          </w:tcPr>
          <w:p w14:paraId="264F3585"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p>
        </w:tc>
      </w:tr>
      <w:tr w:rsidR="003E364C" w:rsidRPr="003E364C" w14:paraId="7771F4D2" w14:textId="77777777" w:rsidTr="0096285A">
        <w:trPr>
          <w:trHeight w:val="249"/>
        </w:trPr>
        <w:tc>
          <w:tcPr>
            <w:tcW w:w="4143" w:type="dxa"/>
            <w:vMerge/>
            <w:tcBorders>
              <w:top w:val="nil"/>
            </w:tcBorders>
          </w:tcPr>
          <w:p w14:paraId="6C565CB4"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3007" w:type="dxa"/>
            <w:tcBorders>
              <w:top w:val="nil"/>
            </w:tcBorders>
          </w:tcPr>
          <w:p w14:paraId="482F479F" w14:textId="724F7504"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58DB7DB2" w14:textId="289BF043"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937E31B" w14:textId="77777777" w:rsidTr="0096285A">
        <w:trPr>
          <w:trHeight w:val="261"/>
        </w:trPr>
        <w:tc>
          <w:tcPr>
            <w:tcW w:w="4143" w:type="dxa"/>
            <w:vMerge w:val="restart"/>
          </w:tcPr>
          <w:p w14:paraId="69CA105A"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3007" w:type="dxa"/>
            <w:tcBorders>
              <w:bottom w:val="nil"/>
            </w:tcBorders>
          </w:tcPr>
          <w:p w14:paraId="07E2347A"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tc>
        <w:tc>
          <w:tcPr>
            <w:tcW w:w="2950" w:type="dxa"/>
            <w:tcBorders>
              <w:bottom w:val="nil"/>
            </w:tcBorders>
          </w:tcPr>
          <w:p w14:paraId="0C03CF64"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31</w:t>
            </w:r>
          </w:p>
        </w:tc>
      </w:tr>
      <w:tr w:rsidR="003E364C" w:rsidRPr="003E364C" w14:paraId="4E78B85A" w14:textId="77777777" w:rsidTr="0096285A">
        <w:trPr>
          <w:trHeight w:val="249"/>
        </w:trPr>
        <w:tc>
          <w:tcPr>
            <w:tcW w:w="4143" w:type="dxa"/>
            <w:vMerge/>
            <w:tcBorders>
              <w:top w:val="nil"/>
            </w:tcBorders>
          </w:tcPr>
          <w:p w14:paraId="401049FE"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3007" w:type="dxa"/>
            <w:tcBorders>
              <w:top w:val="nil"/>
            </w:tcBorders>
          </w:tcPr>
          <w:p w14:paraId="4BF35E2E" w14:textId="69608B74"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5270DA6F" w14:textId="2B534133"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E9FCF2C" w14:textId="77777777" w:rsidTr="0096285A">
        <w:trPr>
          <w:trHeight w:val="263"/>
        </w:trPr>
        <w:tc>
          <w:tcPr>
            <w:tcW w:w="4143" w:type="dxa"/>
            <w:vMerge w:val="restart"/>
          </w:tcPr>
          <w:p w14:paraId="08454158"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atmesti PE</w:t>
            </w:r>
          </w:p>
        </w:tc>
        <w:tc>
          <w:tcPr>
            <w:tcW w:w="3007" w:type="dxa"/>
            <w:tcBorders>
              <w:bottom w:val="nil"/>
            </w:tcBorders>
          </w:tcPr>
          <w:p w14:paraId="63E88EFB"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tc>
        <w:tc>
          <w:tcPr>
            <w:tcW w:w="2950" w:type="dxa"/>
            <w:tcBorders>
              <w:bottom w:val="nil"/>
            </w:tcBorders>
          </w:tcPr>
          <w:p w14:paraId="6BC20DFF"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tc>
      </w:tr>
      <w:tr w:rsidR="003E364C" w:rsidRPr="003E364C" w14:paraId="3224218C" w14:textId="77777777" w:rsidTr="0096285A">
        <w:trPr>
          <w:trHeight w:val="256"/>
        </w:trPr>
        <w:tc>
          <w:tcPr>
            <w:tcW w:w="4143" w:type="dxa"/>
            <w:vMerge/>
          </w:tcPr>
          <w:p w14:paraId="23DB953E"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3007" w:type="dxa"/>
            <w:tcBorders>
              <w:top w:val="nil"/>
            </w:tcBorders>
          </w:tcPr>
          <w:p w14:paraId="39F91F3A" w14:textId="73F83536"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252FB449" w14:textId="66D894EF"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4A954FB5" w14:textId="77777777" w:rsidTr="0096285A">
        <w:trPr>
          <w:trHeight w:val="259"/>
        </w:trPr>
        <w:tc>
          <w:tcPr>
            <w:tcW w:w="4143" w:type="dxa"/>
            <w:vMerge w:val="restart"/>
          </w:tcPr>
          <w:p w14:paraId="2F27C73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3007" w:type="dxa"/>
            <w:tcBorders>
              <w:bottom w:val="nil"/>
            </w:tcBorders>
          </w:tcPr>
          <w:p w14:paraId="241223CF"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4</w:t>
            </w:r>
          </w:p>
        </w:tc>
        <w:tc>
          <w:tcPr>
            <w:tcW w:w="2950" w:type="dxa"/>
            <w:tcBorders>
              <w:bottom w:val="nil"/>
            </w:tcBorders>
          </w:tcPr>
          <w:p w14:paraId="66F470B9"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tc>
      </w:tr>
      <w:tr w:rsidR="003E364C" w:rsidRPr="003E364C" w14:paraId="79D80CDA" w14:textId="77777777" w:rsidTr="0096285A">
        <w:trPr>
          <w:trHeight w:val="250"/>
        </w:trPr>
        <w:tc>
          <w:tcPr>
            <w:tcW w:w="4143" w:type="dxa"/>
            <w:vMerge/>
            <w:tcBorders>
              <w:top w:val="nil"/>
            </w:tcBorders>
          </w:tcPr>
          <w:p w14:paraId="5D1FBF2C"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3007" w:type="dxa"/>
            <w:tcBorders>
              <w:top w:val="nil"/>
            </w:tcBorders>
          </w:tcPr>
          <w:p w14:paraId="25F5F4D2" w14:textId="49A4BBCC"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67BDDD1A" w14:textId="5FAF5FED"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D450C92" w14:textId="77777777" w:rsidTr="0096285A">
        <w:trPr>
          <w:trHeight w:val="263"/>
        </w:trPr>
        <w:tc>
          <w:tcPr>
            <w:tcW w:w="4143" w:type="dxa"/>
            <w:tcBorders>
              <w:bottom w:val="nil"/>
            </w:tcBorders>
          </w:tcPr>
          <w:p w14:paraId="7072024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Klinikiniu požiūriu reikšmingas</w:t>
            </w:r>
          </w:p>
        </w:tc>
        <w:tc>
          <w:tcPr>
            <w:tcW w:w="3007" w:type="dxa"/>
            <w:tcBorders>
              <w:bottom w:val="nil"/>
            </w:tcBorders>
          </w:tcPr>
          <w:p w14:paraId="60CF2E9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32</w:t>
            </w:r>
          </w:p>
        </w:tc>
        <w:tc>
          <w:tcPr>
            <w:tcW w:w="2950" w:type="dxa"/>
            <w:tcBorders>
              <w:bottom w:val="nil"/>
            </w:tcBorders>
          </w:tcPr>
          <w:p w14:paraId="073B695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7</w:t>
            </w:r>
          </w:p>
        </w:tc>
      </w:tr>
      <w:tr w:rsidR="003E364C" w:rsidRPr="003E364C" w14:paraId="1FE45724" w14:textId="77777777" w:rsidTr="0096285A">
        <w:trPr>
          <w:trHeight w:val="257"/>
        </w:trPr>
        <w:tc>
          <w:tcPr>
            <w:tcW w:w="4143" w:type="dxa"/>
            <w:tcBorders>
              <w:top w:val="nil"/>
            </w:tcBorders>
          </w:tcPr>
          <w:p w14:paraId="2CFFE7F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ne didysis kraujavimas</w:t>
            </w:r>
          </w:p>
        </w:tc>
        <w:tc>
          <w:tcPr>
            <w:tcW w:w="3007" w:type="dxa"/>
            <w:tcBorders>
              <w:top w:val="nil"/>
            </w:tcBorders>
          </w:tcPr>
          <w:p w14:paraId="7073185E" w14:textId="23EF4E2A"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0A7AB0FC" w14:textId="5A7F47F9"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15EFBE46" w14:textId="297FF0A2"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a)</w:t>
      </w:r>
      <w:r w:rsidRPr="003E364C">
        <w:rPr>
          <w:rFonts w:ascii="Times New Roman" w:eastAsia="Times New Roman" w:hAnsi="Times New Roman" w:cs="Times New Roman"/>
          <w:color w:val="000000"/>
          <w:sz w:val="20"/>
          <w:szCs w:val="20"/>
          <w:lang w:eastAsia="ar-SA"/>
        </w:rPr>
        <w:tab/>
        <w:t>20</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rivaroksabano kartą per parą.</w:t>
      </w:r>
    </w:p>
    <w:p w14:paraId="29632DC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w:t>
      </w:r>
      <w:r w:rsidRPr="003E364C">
        <w:rPr>
          <w:rFonts w:ascii="Times New Roman" w:eastAsia="Times New Roman" w:hAnsi="Times New Roman" w:cs="Times New Roman"/>
          <w:color w:val="000000"/>
          <w:sz w:val="20"/>
          <w:szCs w:val="20"/>
          <w:lang w:eastAsia="ar-SA"/>
        </w:rPr>
        <w:tab/>
        <w:t>p &lt; 0,0001 (pranašumas), rizikos santykis: 0,185 [0,087-0,393])</w:t>
      </w:r>
    </w:p>
    <w:p w14:paraId="5CDF83BB" w14:textId="77777777" w:rsidR="003E364C" w:rsidRPr="003E364C" w:rsidRDefault="003E364C" w:rsidP="003E364C">
      <w:pPr>
        <w:spacing w:after="0" w:line="240" w:lineRule="auto"/>
        <w:rPr>
          <w:rFonts w:ascii="Times New Roman" w:eastAsia="Times New Roman" w:hAnsi="Times New Roman" w:cs="Times New Roman"/>
          <w:snapToGrid w:val="0"/>
        </w:rPr>
      </w:pPr>
    </w:p>
    <w:p w14:paraId="05CD7A60" w14:textId="3013586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Tyrimo </w:t>
      </w:r>
      <w:r w:rsidRPr="003E364C">
        <w:rPr>
          <w:rFonts w:ascii="Times New Roman" w:eastAsia="Times New Roman" w:hAnsi="Times New Roman" w:cs="Times New Roman"/>
          <w:i/>
          <w:snapToGrid w:val="0"/>
        </w:rPr>
        <w:t xml:space="preserve">Einstein Choice </w:t>
      </w:r>
      <w:r w:rsidRPr="003E364C">
        <w:rPr>
          <w:rFonts w:ascii="Times New Roman" w:eastAsia="Times New Roman" w:hAnsi="Times New Roman" w:cs="Times New Roman"/>
          <w:snapToGrid w:val="0"/>
        </w:rPr>
        <w:t>metu (žr. 10 lentelę), vertinant pirminius veiksmingumo rezultatus, 20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10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dozės buvo pranašesnės už 100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acetilsalicilo rūgšties dozę. Pacientų, vieną kartą per parą vartojusių 20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10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pagrindinis saugumo rezultatas (didžiųjų kraujavimo reiškinių dažnis) buvo panašus kaip ir vartojusių 100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acetilsalicilo rūgšties.</w:t>
      </w:r>
    </w:p>
    <w:p w14:paraId="36DC5565" w14:textId="77777777" w:rsidR="003E364C" w:rsidRPr="003E364C" w:rsidRDefault="003E364C" w:rsidP="003E364C">
      <w:pPr>
        <w:spacing w:after="0" w:line="240" w:lineRule="auto"/>
        <w:rPr>
          <w:rFonts w:ascii="Times New Roman" w:eastAsia="Times New Roman" w:hAnsi="Times New Roman" w:cs="Times New Roman"/>
          <w:b/>
          <w:bCs/>
          <w:snapToGrid w:val="0"/>
        </w:rPr>
      </w:pPr>
    </w:p>
    <w:p w14:paraId="3DC4D71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 xml:space="preserve">10 lentelė. Veiksmingumo ir saugumo rezultatai, gauti III fazės </w:t>
      </w:r>
      <w:r w:rsidRPr="003E364C">
        <w:rPr>
          <w:rFonts w:ascii="Times New Roman" w:eastAsia="Times New Roman" w:hAnsi="Times New Roman" w:cs="Times New Roman"/>
          <w:b/>
          <w:bCs/>
          <w:i/>
          <w:iCs/>
          <w:snapToGrid w:val="0"/>
        </w:rPr>
        <w:t xml:space="preserve">Einstein Choice </w:t>
      </w:r>
      <w:r w:rsidRPr="003E364C">
        <w:rPr>
          <w:rFonts w:ascii="Times New Roman" w:eastAsia="Times New Roman" w:hAnsi="Times New Roman" w:cs="Times New Roman"/>
          <w:b/>
          <w:bCs/>
          <w:snapToGrid w:val="0"/>
        </w:rPr>
        <w:t>tyrimu</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8"/>
        <w:gridCol w:w="2186"/>
        <w:gridCol w:w="2074"/>
        <w:gridCol w:w="2017"/>
      </w:tblGrid>
      <w:tr w:rsidR="003E364C" w:rsidRPr="003E364C" w14:paraId="338CDDD2" w14:textId="77777777" w:rsidTr="0096285A">
        <w:trPr>
          <w:trHeight w:val="253"/>
        </w:trPr>
        <w:tc>
          <w:tcPr>
            <w:tcW w:w="3788" w:type="dxa"/>
          </w:tcPr>
          <w:p w14:paraId="437C4733"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6277" w:type="dxa"/>
            <w:gridSpan w:val="3"/>
          </w:tcPr>
          <w:p w14:paraId="11C45210"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3396 pacientai tęsė pasikartojančios VTE profilaktiką</w:t>
            </w:r>
          </w:p>
        </w:tc>
      </w:tr>
      <w:tr w:rsidR="003E364C" w:rsidRPr="003E364C" w14:paraId="31AD5C1D" w14:textId="77777777" w:rsidTr="0096285A">
        <w:trPr>
          <w:trHeight w:val="758"/>
        </w:trPr>
        <w:tc>
          <w:tcPr>
            <w:tcW w:w="3788" w:type="dxa"/>
          </w:tcPr>
          <w:p w14:paraId="3E2688FF"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676271F4"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w:t>
            </w:r>
          </w:p>
        </w:tc>
        <w:tc>
          <w:tcPr>
            <w:tcW w:w="2186" w:type="dxa"/>
          </w:tcPr>
          <w:p w14:paraId="46BA9D3E" w14:textId="4A99BA0D"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Rivaroksabanas 20</w:t>
            </w:r>
            <w:r w:rsidR="00AD441E">
              <w:rPr>
                <w:rFonts w:ascii="Times New Roman" w:eastAsia="Times New Roman" w:hAnsi="Times New Roman" w:cs="Times New Roman"/>
                <w:b/>
                <w:snapToGrid w:val="0"/>
              </w:rPr>
              <w:t> mg</w:t>
            </w:r>
            <w:r w:rsidRPr="003E364C">
              <w:rPr>
                <w:rFonts w:ascii="Times New Roman" w:eastAsia="Times New Roman" w:hAnsi="Times New Roman" w:cs="Times New Roman"/>
                <w:b/>
                <w:snapToGrid w:val="0"/>
              </w:rPr>
              <w:t xml:space="preserve"> VKP</w:t>
            </w:r>
          </w:p>
          <w:p w14:paraId="002F3A2E"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1107</w:t>
            </w:r>
          </w:p>
        </w:tc>
        <w:tc>
          <w:tcPr>
            <w:tcW w:w="2074" w:type="dxa"/>
          </w:tcPr>
          <w:p w14:paraId="2ED7A458" w14:textId="7B75ED76"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Rivaroksabanas 10</w:t>
            </w:r>
            <w:r w:rsidR="00AD441E">
              <w:rPr>
                <w:rFonts w:ascii="Times New Roman" w:eastAsia="Times New Roman" w:hAnsi="Times New Roman" w:cs="Times New Roman"/>
                <w:b/>
                <w:snapToGrid w:val="0"/>
              </w:rPr>
              <w:t> mg</w:t>
            </w:r>
            <w:r w:rsidRPr="003E364C">
              <w:rPr>
                <w:rFonts w:ascii="Times New Roman" w:eastAsia="Times New Roman" w:hAnsi="Times New Roman" w:cs="Times New Roman"/>
                <w:b/>
                <w:snapToGrid w:val="0"/>
              </w:rPr>
              <w:t xml:space="preserve"> VKP</w:t>
            </w:r>
          </w:p>
          <w:p w14:paraId="21C88F33"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w:t>
            </w:r>
            <w:r w:rsidRPr="003E364C">
              <w:rPr>
                <w:rFonts w:ascii="Times New Roman" w:eastAsia="Times New Roman" w:hAnsi="Times New Roman" w:cs="Times New Roman"/>
              </w:rPr>
              <w:t> </w:t>
            </w:r>
            <w:r w:rsidRPr="003E364C">
              <w:rPr>
                <w:rFonts w:ascii="Times New Roman" w:eastAsia="Times New Roman" w:hAnsi="Times New Roman" w:cs="Times New Roman"/>
                <w:b/>
                <w:snapToGrid w:val="0"/>
              </w:rPr>
              <w:t>1127</w:t>
            </w:r>
          </w:p>
        </w:tc>
        <w:tc>
          <w:tcPr>
            <w:tcW w:w="2017" w:type="dxa"/>
          </w:tcPr>
          <w:p w14:paraId="262A677A" w14:textId="53A8845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Acetilsalicilo rūgštis 100</w:t>
            </w:r>
            <w:r w:rsidR="00AD441E">
              <w:rPr>
                <w:rFonts w:ascii="Times New Roman" w:eastAsia="Times New Roman" w:hAnsi="Times New Roman" w:cs="Times New Roman"/>
                <w:b/>
                <w:snapToGrid w:val="0"/>
              </w:rPr>
              <w:t> mg</w:t>
            </w:r>
            <w:r w:rsidRPr="003E364C">
              <w:rPr>
                <w:rFonts w:ascii="Times New Roman" w:eastAsia="Times New Roman" w:hAnsi="Times New Roman" w:cs="Times New Roman"/>
                <w:b/>
                <w:snapToGrid w:val="0"/>
              </w:rPr>
              <w:t xml:space="preserve"> VKP</w:t>
            </w:r>
          </w:p>
          <w:p w14:paraId="43D085E4"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1131</w:t>
            </w:r>
          </w:p>
        </w:tc>
      </w:tr>
      <w:tr w:rsidR="003E364C" w:rsidRPr="003E364C" w14:paraId="7A2DC318" w14:textId="77777777" w:rsidTr="0096285A">
        <w:trPr>
          <w:trHeight w:val="506"/>
        </w:trPr>
        <w:tc>
          <w:tcPr>
            <w:tcW w:w="3788" w:type="dxa"/>
          </w:tcPr>
          <w:p w14:paraId="62B387A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Gydymo trukmės mediana [tarpkvartilinis plotis]</w:t>
            </w:r>
          </w:p>
        </w:tc>
        <w:tc>
          <w:tcPr>
            <w:tcW w:w="2186" w:type="dxa"/>
          </w:tcPr>
          <w:p w14:paraId="1C68A1BC"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349 [189–362] dienos</w:t>
            </w:r>
          </w:p>
        </w:tc>
        <w:tc>
          <w:tcPr>
            <w:tcW w:w="2074" w:type="dxa"/>
          </w:tcPr>
          <w:p w14:paraId="75117160"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353 [190–</w:t>
            </w:r>
          </w:p>
          <w:p w14:paraId="3937660A"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362] dienos</w:t>
            </w:r>
          </w:p>
        </w:tc>
        <w:tc>
          <w:tcPr>
            <w:tcW w:w="2017" w:type="dxa"/>
          </w:tcPr>
          <w:p w14:paraId="1D52525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350 [186–362] dienos</w:t>
            </w:r>
          </w:p>
        </w:tc>
      </w:tr>
      <w:tr w:rsidR="003E364C" w:rsidRPr="003E364C" w14:paraId="68FF850C" w14:textId="77777777" w:rsidTr="0096285A">
        <w:trPr>
          <w:trHeight w:val="504"/>
        </w:trPr>
        <w:tc>
          <w:tcPr>
            <w:tcW w:w="3788" w:type="dxa"/>
          </w:tcPr>
          <w:p w14:paraId="48A27AB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w:t>
            </w:r>
          </w:p>
        </w:tc>
        <w:tc>
          <w:tcPr>
            <w:tcW w:w="2186" w:type="dxa"/>
          </w:tcPr>
          <w:p w14:paraId="1C4A6FDC"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p>
          <w:p w14:paraId="6EB2194B" w14:textId="6F2EBC0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4181524C"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p>
          <w:p w14:paraId="193F17C9" w14:textId="10D4FF40"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24803C4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50</w:t>
            </w:r>
          </w:p>
          <w:p w14:paraId="66947954" w14:textId="79BCCA3D"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(4,4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A7EAA49" w14:textId="77777777" w:rsidTr="0096285A">
        <w:trPr>
          <w:trHeight w:val="505"/>
        </w:trPr>
        <w:tc>
          <w:tcPr>
            <w:tcW w:w="3788" w:type="dxa"/>
          </w:tcPr>
          <w:p w14:paraId="2DA00F07"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2186" w:type="dxa"/>
          </w:tcPr>
          <w:p w14:paraId="706D481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2B72D426" w14:textId="67C9304E"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6F418826"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40110B8C" w14:textId="718F0C1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68F4C98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19</w:t>
            </w:r>
          </w:p>
          <w:p w14:paraId="11E35D4A" w14:textId="1590EB2F"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201BF6C" w14:textId="77777777" w:rsidTr="0096285A">
        <w:trPr>
          <w:trHeight w:val="503"/>
        </w:trPr>
        <w:tc>
          <w:tcPr>
            <w:tcW w:w="3788" w:type="dxa"/>
          </w:tcPr>
          <w:p w14:paraId="48579A85"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2186" w:type="dxa"/>
          </w:tcPr>
          <w:p w14:paraId="63CFBEA6"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9</w:t>
            </w:r>
          </w:p>
          <w:p w14:paraId="33D1DA72" w14:textId="24E86C6F"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14B60FB9"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8</w:t>
            </w:r>
          </w:p>
          <w:p w14:paraId="2785EA8D" w14:textId="78EBD1A3"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5783DB7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p>
          <w:p w14:paraId="78885A6B" w14:textId="7E66177A"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3DF150A9" w14:textId="77777777" w:rsidTr="0096285A">
        <w:trPr>
          <w:trHeight w:val="506"/>
        </w:trPr>
        <w:tc>
          <w:tcPr>
            <w:tcW w:w="3788" w:type="dxa"/>
          </w:tcPr>
          <w:p w14:paraId="38195226"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atmesti PE</w:t>
            </w:r>
          </w:p>
        </w:tc>
        <w:tc>
          <w:tcPr>
            <w:tcW w:w="2186" w:type="dxa"/>
          </w:tcPr>
          <w:p w14:paraId="3E71535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p w14:paraId="1C9650A0" w14:textId="616DB0B2"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4D9FC9D0"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tc>
        <w:tc>
          <w:tcPr>
            <w:tcW w:w="2017" w:type="dxa"/>
          </w:tcPr>
          <w:p w14:paraId="060E198A"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p w14:paraId="65F688F7" w14:textId="248DF513"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128F37C" w14:textId="77777777" w:rsidTr="0096285A">
        <w:trPr>
          <w:trHeight w:val="758"/>
        </w:trPr>
        <w:tc>
          <w:tcPr>
            <w:tcW w:w="3788" w:type="dxa"/>
          </w:tcPr>
          <w:p w14:paraId="6DB0309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w:t>
            </w:r>
          </w:p>
          <w:p w14:paraId="1B442E5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VTE, MI, insultas arba ne CNS sisteminė embolija</w:t>
            </w:r>
          </w:p>
        </w:tc>
        <w:tc>
          <w:tcPr>
            <w:tcW w:w="2186" w:type="dxa"/>
          </w:tcPr>
          <w:p w14:paraId="21B2058A"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19</w:t>
            </w:r>
          </w:p>
          <w:p w14:paraId="458B3B60" w14:textId="0E1E4E8A"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0971AD37"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p>
          <w:p w14:paraId="690EDA90" w14:textId="11BB30F8"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79E3C05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56</w:t>
            </w:r>
          </w:p>
          <w:p w14:paraId="3157D23B" w14:textId="5170EBF8"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4D88333" w14:textId="77777777" w:rsidTr="0096285A">
        <w:trPr>
          <w:trHeight w:val="506"/>
        </w:trPr>
        <w:tc>
          <w:tcPr>
            <w:tcW w:w="3788" w:type="dxa"/>
          </w:tcPr>
          <w:p w14:paraId="6B118B8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2186" w:type="dxa"/>
          </w:tcPr>
          <w:p w14:paraId="1B238035"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3BFA3EF5" w14:textId="0E202F0D"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0A4DFE5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p w14:paraId="6D23386D" w14:textId="05FA371A"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7B38B23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w:t>
            </w:r>
          </w:p>
          <w:p w14:paraId="4919FBAA" w14:textId="5B19DEF1"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DB051E0" w14:textId="77777777" w:rsidTr="0096285A">
        <w:trPr>
          <w:trHeight w:val="757"/>
        </w:trPr>
        <w:tc>
          <w:tcPr>
            <w:tcW w:w="3788" w:type="dxa"/>
          </w:tcPr>
          <w:p w14:paraId="012DF83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Klinikiniu požiūriu reikšmingas ne didysis</w:t>
            </w:r>
          </w:p>
          <w:p w14:paraId="5B985B2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kraujavimas</w:t>
            </w:r>
          </w:p>
        </w:tc>
        <w:tc>
          <w:tcPr>
            <w:tcW w:w="2186" w:type="dxa"/>
          </w:tcPr>
          <w:p w14:paraId="7EECD235"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p>
          <w:p w14:paraId="5E494306" w14:textId="0337D1D5"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3B9D1C1D"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22</w:t>
            </w:r>
          </w:p>
          <w:p w14:paraId="154C63B2" w14:textId="4330F6AB"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2E99715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p w14:paraId="4F9EE47C" w14:textId="1CAA0724"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64031D81" w14:textId="77777777" w:rsidTr="0096285A">
        <w:trPr>
          <w:trHeight w:val="1012"/>
        </w:trPr>
        <w:tc>
          <w:tcPr>
            <w:tcW w:w="3788" w:type="dxa"/>
          </w:tcPr>
          <w:p w14:paraId="1041B64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 arba didysis kraujavimas (grynoji klinikinė nauda)</w:t>
            </w:r>
          </w:p>
        </w:tc>
        <w:tc>
          <w:tcPr>
            <w:tcW w:w="2186" w:type="dxa"/>
          </w:tcPr>
          <w:p w14:paraId="43FA623D" w14:textId="77777777" w:rsidR="003E364C" w:rsidRPr="003E364C" w:rsidRDefault="003E364C" w:rsidP="00F02D2F">
            <w:pPr>
              <w:spacing w:after="0" w:line="240" w:lineRule="auto"/>
              <w:jc w:val="center"/>
              <w:rPr>
                <w:rFonts w:ascii="Times New Roman" w:eastAsia="Times New Roman" w:hAnsi="Times New Roman" w:cs="Times New Roman"/>
                <w:snapToGrid w:val="0"/>
              </w:rPr>
            </w:pPr>
          </w:p>
          <w:p w14:paraId="77978A95"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23</w:t>
            </w:r>
          </w:p>
          <w:p w14:paraId="0BAC80D3" w14:textId="62D825C8"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r w:rsidRPr="003E364C">
              <w:rPr>
                <w:rFonts w:ascii="Times New Roman" w:eastAsia="Times New Roman" w:hAnsi="Times New Roman" w:cs="Times New Roman"/>
                <w:snapToGrid w:val="0"/>
                <w:vertAlign w:val="superscript"/>
              </w:rPr>
              <w:t>+</w:t>
            </w:r>
          </w:p>
        </w:tc>
        <w:tc>
          <w:tcPr>
            <w:tcW w:w="2074" w:type="dxa"/>
          </w:tcPr>
          <w:p w14:paraId="73D6DA84" w14:textId="77777777" w:rsidR="003E364C" w:rsidRPr="003E364C" w:rsidRDefault="003E364C" w:rsidP="00F02D2F">
            <w:pPr>
              <w:spacing w:after="0" w:line="240" w:lineRule="auto"/>
              <w:jc w:val="center"/>
              <w:rPr>
                <w:rFonts w:ascii="Times New Roman" w:eastAsia="Times New Roman" w:hAnsi="Times New Roman" w:cs="Times New Roman"/>
                <w:snapToGrid w:val="0"/>
              </w:rPr>
            </w:pPr>
          </w:p>
          <w:p w14:paraId="1489FF2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p>
          <w:p w14:paraId="0D0F39B1" w14:textId="2086BDCD"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r w:rsidRPr="003E364C">
              <w:rPr>
                <w:rFonts w:ascii="Times New Roman" w:eastAsia="Times New Roman" w:hAnsi="Times New Roman" w:cs="Times New Roman"/>
                <w:snapToGrid w:val="0"/>
                <w:vertAlign w:val="superscript"/>
              </w:rPr>
              <w:t>++</w:t>
            </w:r>
          </w:p>
        </w:tc>
        <w:tc>
          <w:tcPr>
            <w:tcW w:w="2017" w:type="dxa"/>
          </w:tcPr>
          <w:p w14:paraId="1C24F4B3" w14:textId="77777777" w:rsidR="003E364C" w:rsidRPr="003E364C" w:rsidRDefault="003E364C" w:rsidP="00F02D2F">
            <w:pPr>
              <w:spacing w:after="0" w:line="240" w:lineRule="auto"/>
              <w:jc w:val="center"/>
              <w:rPr>
                <w:rFonts w:ascii="Times New Roman" w:eastAsia="Times New Roman" w:hAnsi="Times New Roman" w:cs="Times New Roman"/>
                <w:snapToGrid w:val="0"/>
              </w:rPr>
            </w:pPr>
          </w:p>
          <w:p w14:paraId="50CC2FBF"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53</w:t>
            </w:r>
          </w:p>
          <w:p w14:paraId="44509F7B" w14:textId="734ED2E2"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(4,7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668FC650" w14:textId="77777777"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VKP: vieną kartą per parą</w:t>
      </w:r>
    </w:p>
    <w:p w14:paraId="34B7CCD8" w14:textId="014607A6"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p &lt; 0,001 (pranašumas), rivaroksabanas 20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palyginti su acetilsalicilo rūgštimi 100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w:t>
      </w:r>
    </w:p>
    <w:p w14:paraId="0A3A55E3" w14:textId="77777777"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VKP; RS = 0,34 (0,20–0,59).</w:t>
      </w:r>
    </w:p>
    <w:p w14:paraId="7AFD89A7" w14:textId="0F018A13"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lastRenderedPageBreak/>
        <w:t>** p &lt; 0,001 (pranašumas), rivaroksabanas 10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palyginti su acetilsalicilo rūgštimi 100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RS = 0,26 (0,14–0,47).</w:t>
      </w:r>
    </w:p>
    <w:p w14:paraId="6B96C19A" w14:textId="41868160"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Rivaroksabanas 20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palyginti su acetilsalicilo rūgštimi 100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RS = 0,44 (0,27– 0,71), p = 0,0009 (nominali reikšmė).</w:t>
      </w:r>
    </w:p>
    <w:p w14:paraId="118E2D8E" w14:textId="52835169"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Rivaroksabanas 10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palyginti su acetilsalicilo rūgštimi 100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RS = 0,32 (0,18– 0,55), p &lt; 0,0001 (nominali reikšmė).</w:t>
      </w:r>
    </w:p>
    <w:p w14:paraId="167656C3" w14:textId="77777777" w:rsidR="003E364C" w:rsidRPr="003E364C" w:rsidRDefault="003E364C" w:rsidP="003E364C">
      <w:pPr>
        <w:spacing w:after="0" w:line="240" w:lineRule="auto"/>
        <w:rPr>
          <w:rFonts w:ascii="Times New Roman" w:eastAsia="Times New Roman" w:hAnsi="Times New Roman" w:cs="Times New Roman"/>
          <w:snapToGrid w:val="0"/>
        </w:rPr>
      </w:pPr>
    </w:p>
    <w:p w14:paraId="54EB36D4" w14:textId="104AC87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Papildant III fazės EINSTEIN programą, buvo atliktas perspektyvinis, neintervencinis, atviras kohortinis tyrimas (XALIA) su centriniu baigčių, įskaitant pasikartojančią VTE, didįjį kraujavimą ir mirtį, vertinimu.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rivaroksabano, buvo atitinkamai 0,7</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1,4</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ir 0,5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RS-iai, lyginant rivaroksabaną su standartine terapija, atitinkamai buvo 0,77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0,40–1,50), 0,91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0,54–1,54) ir 0,51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0,24–1,07).</w:t>
      </w:r>
    </w:p>
    <w:p w14:paraId="5EA3418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Šie rezultatai pacientams, stebėtiems klinikinėje praktikoje, atitinka šiai indikacijai nustatytus saugumo duomenis.</w:t>
      </w:r>
    </w:p>
    <w:p w14:paraId="3814A737" w14:textId="77777777" w:rsidR="003E364C" w:rsidRDefault="003E364C" w:rsidP="003E364C">
      <w:pPr>
        <w:spacing w:after="0" w:line="240" w:lineRule="auto"/>
        <w:rPr>
          <w:rFonts w:ascii="Times New Roman" w:eastAsia="Times New Roman" w:hAnsi="Times New Roman" w:cs="Times New Roman"/>
          <w:snapToGrid w:val="0"/>
        </w:rPr>
      </w:pPr>
    </w:p>
    <w:p w14:paraId="402A7B0D" w14:textId="664384B1" w:rsidR="00BC10CF" w:rsidRDefault="00BC10CF" w:rsidP="003E364C">
      <w:pPr>
        <w:spacing w:after="0" w:line="240" w:lineRule="auto"/>
        <w:rPr>
          <w:rFonts w:ascii="Times New Roman" w:eastAsia="Times New Roman" w:hAnsi="Times New Roman" w:cs="Times New Roman"/>
          <w:snapToGrid w:val="0"/>
        </w:rPr>
      </w:pPr>
      <w:r w:rsidRPr="00BC10CF">
        <w:rPr>
          <w:rFonts w:ascii="Times New Roman" w:eastAsia="Times New Roman" w:hAnsi="Times New Roman" w:cs="Times New Roman"/>
          <w:snapToGrid w:val="0"/>
        </w:rPr>
        <w:t>Poregistracinio neintervencinio tyrimo metu, kuriame dalyvavo daugiau nei 40 000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(95 % PI 0,40-0,97) Jungtinėje Karalystėje iki 2,30 (95 % PI 2,11-2,51) Vokietijoje. Kraujavimas, dėl kurio prireikė hospitalizacijos, pasireiškė tokiais dažniais 100-ui pacientų metų: 0,31 (95 % PI 0,23-0,42) intrakranijinio kraujavimo atveju, 0,89 (95 % PI 0,67-1,17) kraujavimo iš virškinimo trakto atveju, 0,44 (95 % PI 0,26-0,74) urogenitalinio kraujavimo atveju ir 0,41 (95 % PI 0,31-0,54) kitokio kraujavimo atveju.</w:t>
      </w:r>
    </w:p>
    <w:p w14:paraId="0C6460CD" w14:textId="77777777" w:rsidR="00BC10CF" w:rsidRPr="003E364C" w:rsidRDefault="00BC10CF" w:rsidP="003E364C">
      <w:pPr>
        <w:spacing w:after="0" w:line="240" w:lineRule="auto"/>
        <w:rPr>
          <w:rFonts w:ascii="Times New Roman" w:eastAsia="Times New Roman" w:hAnsi="Times New Roman" w:cs="Times New Roman"/>
          <w:snapToGrid w:val="0"/>
        </w:rPr>
      </w:pPr>
    </w:p>
    <w:p w14:paraId="0B5FA90C"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6FE4F072" w14:textId="77777777" w:rsidR="003E364C" w:rsidRPr="0051031F" w:rsidRDefault="003E364C" w:rsidP="003E364C">
      <w:pPr>
        <w:spacing w:after="0" w:line="240" w:lineRule="auto"/>
        <w:rPr>
          <w:rFonts w:ascii="Times New Roman" w:eastAsia="Times New Roman" w:hAnsi="Times New Roman" w:cs="Times New Roman"/>
          <w:i/>
          <w:iCs/>
          <w:snapToGrid w:val="0"/>
          <w:u w:val="single"/>
        </w:rPr>
      </w:pPr>
      <w:r w:rsidRPr="0051031F">
        <w:rPr>
          <w:rFonts w:ascii="Times New Roman" w:eastAsia="Times New Roman" w:hAnsi="Times New Roman" w:cs="Times New Roman"/>
          <w:i/>
          <w:iCs/>
          <w:snapToGrid w:val="0"/>
          <w:u w:val="single"/>
        </w:rPr>
        <w:t>VTE gydymas ir pasikartojančios VTE profilaktika vaikams</w:t>
      </w:r>
    </w:p>
    <w:p w14:paraId="3CE9435E" w14:textId="5E2CE89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 atvirų, daugiacentrių, su vaikais atliktų tyrimų metu iš viso buvo tiriami 727 vaikai, sergantys patvirtinta ūmine VTE, iš kurių 528 vartojo rivaroksabano. Kaip buvo patvirtinta III fazės tyrimu, vaikams, kurių amžius buvo nuo gimimo iki mažiau kaip 18 metų, taikant pagal kūno svorį parinktą dozavimą, buvo pasiekta rivaroksabano ekspozicija, panaši į stebimą suaugusiems pacientams, vartojantiems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nuo GVT vieną kartą per parą (žr. 5.2 skyrių).</w:t>
      </w:r>
    </w:p>
    <w:p w14:paraId="5BCA5406" w14:textId="77777777" w:rsidR="003E364C" w:rsidRPr="003E364C" w:rsidRDefault="003E364C" w:rsidP="003E364C">
      <w:pPr>
        <w:spacing w:after="0" w:line="240" w:lineRule="auto"/>
        <w:rPr>
          <w:rFonts w:ascii="Times New Roman" w:eastAsia="Times New Roman" w:hAnsi="Times New Roman" w:cs="Times New Roman"/>
          <w:snapToGrid w:val="0"/>
        </w:rPr>
      </w:pPr>
    </w:p>
    <w:p w14:paraId="7C06531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III fazės tyrimas EINSTEIN Junior buvo atsitiktinių imčių, veikliuoju vaistiniu preparatu kontroliuojamas, atviras, daugiacentris klinikinis tyrimas, kuriame dalyvavo 500 vaikų (nuo gimimo iki &lt; 18 metų amžiaus), sergančių patvirtinta ūmine VTE. 276 vaikai buvo nuo 12 iki &lt; 18 metų amžiaus, 101 vaikas nuo 6 iki &lt; 12 metų amžiaus, 69 vaikai nuo 2 iki &lt;</w:t>
      </w:r>
      <w:r w:rsidRPr="003E364C">
        <w:rPr>
          <w:rFonts w:ascii="Times New Roman" w:eastAsia="Times New Roman" w:hAnsi="Times New Roman" w:cs="Times New Roman"/>
        </w:rPr>
        <w:t> </w:t>
      </w:r>
      <w:r w:rsidRPr="003E364C">
        <w:rPr>
          <w:rFonts w:ascii="Times New Roman" w:eastAsia="Times New Roman" w:hAnsi="Times New Roman" w:cs="Times New Roman"/>
          <w:snapToGrid w:val="0"/>
        </w:rPr>
        <w:t>6 metų amžiaus ir 54 vaikai &lt; 2 metų amžiaus.</w:t>
      </w:r>
    </w:p>
    <w:p w14:paraId="19AE0B7F" w14:textId="77777777" w:rsidR="003E364C" w:rsidRPr="003E364C" w:rsidRDefault="003E364C" w:rsidP="003E364C">
      <w:pPr>
        <w:spacing w:after="0" w:line="240" w:lineRule="auto"/>
        <w:rPr>
          <w:rFonts w:ascii="Times New Roman" w:eastAsia="Times New Roman" w:hAnsi="Times New Roman" w:cs="Times New Roman"/>
          <w:snapToGrid w:val="0"/>
        </w:rPr>
      </w:pPr>
    </w:p>
    <w:p w14:paraId="44FBC9E6" w14:textId="6A6B5879"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w:t>
      </w:r>
      <w:r w:rsidR="00BC10CF">
        <w:rPr>
          <w:rFonts w:ascii="Times New Roman" w:eastAsia="Times New Roman" w:hAnsi="Times New Roman" w:cs="Times New Roman"/>
          <w:snapToGrid w:val="0"/>
        </w:rPr>
        <w:t>5</w:t>
      </w:r>
      <w:r w:rsidRPr="003E364C">
        <w:rPr>
          <w:rFonts w:ascii="Times New Roman" w:eastAsia="Times New Roman" w:hAnsi="Times New Roman" w:cs="Times New Roman"/>
          <w:snapToGrid w:val="0"/>
        </w:rPr>
        <w:t>/165 pacientai lyginamojoje grupėje). Vaikams nuo 12 iki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18 metų amžiaus dažniausia pirmąkart pasireiškusi trombozė buvo ne-CVK-VTE, kuri nustatyta 211 (76,4</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vaikams nuo 6 iki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12 metų amžiaus ir nuo 2 iki &lt; 6 metų amžiaus tai buvo GSVST, kuri nustatyta atitinkamai 48 (47,5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ir 35 (50,7</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o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 metų amžiaus vaikams tai buvo CVK-VTE, kuri nustatyta 37 (68,5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Rivaroksabano grupėje nebuvo &lt; 6 mėnesių amžiaus vaikų, sergančių GSVST. 22-iems iš GSVST sergančių pacientų buvo nustatyta CNS infekcija (13 pacientų rivaroksabano grupėje ir 9 pacientai lyginamojoje grupėje).</w:t>
      </w:r>
    </w:p>
    <w:p w14:paraId="0A7D5054" w14:textId="77777777" w:rsidR="003E364C" w:rsidRPr="003E364C" w:rsidRDefault="003E364C" w:rsidP="003E364C">
      <w:pPr>
        <w:spacing w:after="0" w:line="240" w:lineRule="auto"/>
        <w:rPr>
          <w:rFonts w:ascii="Times New Roman" w:eastAsia="Times New Roman" w:hAnsi="Times New Roman" w:cs="Times New Roman"/>
          <w:snapToGrid w:val="0"/>
        </w:rPr>
      </w:pPr>
    </w:p>
    <w:p w14:paraId="047F5CD8" w14:textId="45EEF4A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438 (87,6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vaikams VTE išprovokavo nuolatiniai, laikini arba ir nuolatiniai, ir laikini rizikos veiksniai.</w:t>
      </w:r>
    </w:p>
    <w:p w14:paraId="25197208" w14:textId="77777777" w:rsidR="003E364C" w:rsidRPr="003E364C" w:rsidRDefault="003E364C" w:rsidP="003E364C">
      <w:pPr>
        <w:spacing w:after="0" w:line="240" w:lineRule="auto"/>
        <w:rPr>
          <w:rFonts w:ascii="Times New Roman" w:eastAsia="Times New Roman" w:hAnsi="Times New Roman" w:cs="Times New Roman"/>
          <w:snapToGrid w:val="0"/>
        </w:rPr>
      </w:pPr>
    </w:p>
    <w:p w14:paraId="5C387326" w14:textId="24580C6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Pacientams ne trumpiau kaip 5 dienas buvo taikytas pradinis gydymas, skiriant terapinių NFH, MMMH arba fondaparinukso dozių, ir tada jie buvo suskirstyti atsitiktinių imčių būdu 2:1 santykiu, kad pagrindinį tyrimo gydymo laikotarpį, kuris truko 3 mėnesius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 metų vaikams, sergantiems CVK-VTE, 1 mėnesį), vartotų pagal kūno svorį dozuojamo rivaroksabano arba palyginamųjų vaistinių preparatų (heparinų, VKA). Jei buvo kliniškai tikslinga, baigiantis pagrindinio tyrimo gydymo laikotarpiui, buvo pakartoti diagnostiniai vaizdo atkūrimo tyrimai, atlikti dar tyrimo pradžioje. Šiuo momentu buvo galima nutraukti tyrimo gydymą arba tyrėjo nuožiūra tęsti iš viso iki 12 mėnesių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 metų amžiaus vaikams, sergantiems CVK-VTE, iki 3 mėnesių).</w:t>
      </w:r>
    </w:p>
    <w:p w14:paraId="7CA65543" w14:textId="77777777" w:rsidR="003E364C" w:rsidRPr="003E364C" w:rsidRDefault="003E364C" w:rsidP="003E364C">
      <w:pPr>
        <w:spacing w:after="0" w:line="240" w:lineRule="auto"/>
        <w:rPr>
          <w:rFonts w:ascii="Times New Roman" w:eastAsia="Times New Roman" w:hAnsi="Times New Roman" w:cs="Times New Roman"/>
          <w:snapToGrid w:val="0"/>
        </w:rPr>
      </w:pPr>
    </w:p>
    <w:p w14:paraId="1421F11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w:t>
      </w:r>
    </w:p>
    <w:p w14:paraId="752ABBA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Veiksmingumo ir saugumo rezultatai yra nurodyti toliau pateiktose 11 ir 12 lentelėse.</w:t>
      </w:r>
    </w:p>
    <w:p w14:paraId="036E97CB" w14:textId="77777777" w:rsidR="003E364C" w:rsidRPr="003E364C" w:rsidRDefault="003E364C" w:rsidP="003E364C">
      <w:pPr>
        <w:spacing w:after="0" w:line="240" w:lineRule="auto"/>
        <w:rPr>
          <w:rFonts w:ascii="Times New Roman" w:eastAsia="Times New Roman" w:hAnsi="Times New Roman" w:cs="Times New Roman"/>
          <w:snapToGrid w:val="0"/>
        </w:rPr>
      </w:pPr>
    </w:p>
    <w:p w14:paraId="44C20636" w14:textId="5B598FF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grupėje pasikartojanti VTE nustatyta 4-iems iš 335 pacientų, o lyginamojoje grupėje – 5-iems iš 165 pacientų. Didžiojo kraujavimo ir KRNDK sudėtinių reiškinių nustatyta 10-iai iš 329 pacientų (3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gydytų rivaroksabanu, ir 3-ims iš 162 pacientų (1,9</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gydytų palyginamuoju vaistiniu preparatu. Su grynąja klinikine nauda siejamų reiškinių (simptominės pasikartojančios VTE plius didžiojo kraujavimo reiškinių) rivaroksabano grupėje nustatyta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vaikų pasireiškė bet koks dėl gydymo atsirandantis kraujavimas rivaroksabano grupėje ir 45-iems (27,8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vaikams – lyginamojoje grupėje.</w:t>
      </w:r>
    </w:p>
    <w:p w14:paraId="627519AF" w14:textId="77777777" w:rsidR="003E364C" w:rsidRPr="003E364C" w:rsidRDefault="003E364C" w:rsidP="003E364C">
      <w:pPr>
        <w:spacing w:after="0" w:line="240" w:lineRule="auto"/>
        <w:rPr>
          <w:rFonts w:ascii="Times New Roman" w:eastAsia="Times New Roman" w:hAnsi="Times New Roman" w:cs="Times New Roman"/>
          <w:snapToGrid w:val="0"/>
        </w:rPr>
      </w:pPr>
    </w:p>
    <w:p w14:paraId="41674722" w14:textId="77777777" w:rsidR="003E364C" w:rsidRPr="003E364C" w:rsidRDefault="003E364C" w:rsidP="003E364C">
      <w:pPr>
        <w:spacing w:after="0" w:line="240" w:lineRule="auto"/>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11 lentelė. Veiksmingumo rezultatai pagrindinio gydymo laikotarpio pabaigoje</w:t>
      </w:r>
    </w:p>
    <w:tbl>
      <w:tblPr>
        <w:tblW w:w="9580" w:type="dxa"/>
        <w:tblInd w:w="-5" w:type="dxa"/>
        <w:tblLayout w:type="fixed"/>
        <w:tblCellMar>
          <w:left w:w="0" w:type="dxa"/>
          <w:right w:w="0" w:type="dxa"/>
        </w:tblCellMar>
        <w:tblLook w:val="0000" w:firstRow="0" w:lastRow="0" w:firstColumn="0" w:lastColumn="0" w:noHBand="0" w:noVBand="0"/>
      </w:tblPr>
      <w:tblGrid>
        <w:gridCol w:w="5327"/>
        <w:gridCol w:w="2126"/>
        <w:gridCol w:w="2127"/>
      </w:tblGrid>
      <w:tr w:rsidR="003E364C" w:rsidRPr="003E364C" w14:paraId="56A7E086" w14:textId="77777777" w:rsidTr="00B765F2">
        <w:trPr>
          <w:trHeight w:val="516"/>
        </w:trPr>
        <w:tc>
          <w:tcPr>
            <w:tcW w:w="5327" w:type="dxa"/>
            <w:tcBorders>
              <w:top w:val="single" w:sz="4" w:space="0" w:color="7E7E7E"/>
              <w:left w:val="single" w:sz="4" w:space="0" w:color="7E7E7E"/>
              <w:bottom w:val="single" w:sz="4" w:space="0" w:color="7E7E7E"/>
              <w:right w:val="single" w:sz="4" w:space="0" w:color="7E7E7E"/>
            </w:tcBorders>
          </w:tcPr>
          <w:p w14:paraId="3220C728"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Reiškinys</w:t>
            </w:r>
          </w:p>
        </w:tc>
        <w:tc>
          <w:tcPr>
            <w:tcW w:w="2126" w:type="dxa"/>
            <w:tcBorders>
              <w:top w:val="single" w:sz="4" w:space="0" w:color="7E7E7E"/>
              <w:left w:val="single" w:sz="4" w:space="0" w:color="7E7E7E"/>
              <w:bottom w:val="single" w:sz="4" w:space="0" w:color="7E7E7E"/>
              <w:right w:val="single" w:sz="4" w:space="0" w:color="7E7E7E"/>
            </w:tcBorders>
          </w:tcPr>
          <w:p w14:paraId="2E852146" w14:textId="0C2120A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Rivaroksabanas N = 335*</w:t>
            </w:r>
          </w:p>
        </w:tc>
        <w:tc>
          <w:tcPr>
            <w:tcW w:w="2127" w:type="dxa"/>
            <w:tcBorders>
              <w:top w:val="single" w:sz="4" w:space="0" w:color="7E7E7E"/>
              <w:left w:val="single" w:sz="4" w:space="0" w:color="7E7E7E"/>
              <w:bottom w:val="single" w:sz="4" w:space="0" w:color="7E7E7E"/>
              <w:right w:val="single" w:sz="4" w:space="0" w:color="7E7E7E"/>
            </w:tcBorders>
          </w:tcPr>
          <w:p w14:paraId="445A48C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Palyginamasis vaistinis preparatas N = 165*</w:t>
            </w:r>
          </w:p>
        </w:tc>
      </w:tr>
      <w:tr w:rsidR="003E364C" w:rsidRPr="003E364C" w14:paraId="7364C8D0" w14:textId="77777777" w:rsidTr="00B765F2">
        <w:trPr>
          <w:trHeight w:val="769"/>
        </w:trPr>
        <w:tc>
          <w:tcPr>
            <w:tcW w:w="5327" w:type="dxa"/>
            <w:tcBorders>
              <w:top w:val="single" w:sz="4" w:space="0" w:color="7E7E7E"/>
              <w:left w:val="single" w:sz="4" w:space="0" w:color="7E7E7E"/>
              <w:bottom w:val="single" w:sz="4" w:space="0" w:color="7E7E7E"/>
              <w:right w:val="single" w:sz="4" w:space="0" w:color="7E7E7E"/>
            </w:tcBorders>
          </w:tcPr>
          <w:p w14:paraId="015D5EC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Pasikartojanti VTE (pirminė veiksmingumo vertinamoji baigtis) </w:t>
            </w:r>
          </w:p>
        </w:tc>
        <w:tc>
          <w:tcPr>
            <w:tcW w:w="2126" w:type="dxa"/>
            <w:tcBorders>
              <w:top w:val="single" w:sz="4" w:space="0" w:color="7E7E7E"/>
              <w:left w:val="single" w:sz="4" w:space="0" w:color="7E7E7E"/>
              <w:bottom w:val="single" w:sz="4" w:space="0" w:color="7E7E7E"/>
              <w:right w:val="single" w:sz="4" w:space="0" w:color="7E7E7E"/>
            </w:tcBorders>
          </w:tcPr>
          <w:p w14:paraId="7609D9E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w:t>
            </w:r>
          </w:p>
          <w:p w14:paraId="72FA2692" w14:textId="5A9778D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01A6B3BE" w14:textId="46D5BFD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734A278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p w14:paraId="7EDA9BDD" w14:textId="419F9B4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239A5969" w14:textId="1093DA0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r w:rsidR="000611B6">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6,6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3C01498" w14:textId="77777777" w:rsidTr="00B765F2">
        <w:trPr>
          <w:trHeight w:val="768"/>
        </w:trPr>
        <w:tc>
          <w:tcPr>
            <w:tcW w:w="5327" w:type="dxa"/>
            <w:tcBorders>
              <w:top w:val="single" w:sz="4" w:space="0" w:color="7E7E7E"/>
              <w:left w:val="single" w:sz="4" w:space="0" w:color="7E7E7E"/>
              <w:bottom w:val="single" w:sz="4" w:space="0" w:color="7E7E7E"/>
              <w:right w:val="single" w:sz="4" w:space="0" w:color="7E7E7E"/>
            </w:tcBorders>
          </w:tcPr>
          <w:p w14:paraId="7C78D23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Sudėtiniai reiškiniai: simptominė pasikartojanti VTE + besimptomis pablogėjimas, nustatytas kartojant vaizdo atkūrimo tyrimą</w:t>
            </w:r>
          </w:p>
        </w:tc>
        <w:tc>
          <w:tcPr>
            <w:tcW w:w="2126" w:type="dxa"/>
            <w:tcBorders>
              <w:top w:val="single" w:sz="4" w:space="0" w:color="7E7E7E"/>
              <w:left w:val="single" w:sz="4" w:space="0" w:color="7E7E7E"/>
              <w:bottom w:val="single" w:sz="4" w:space="0" w:color="7E7E7E"/>
              <w:right w:val="single" w:sz="4" w:space="0" w:color="7E7E7E"/>
            </w:tcBorders>
          </w:tcPr>
          <w:p w14:paraId="42247AB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p w14:paraId="0C8595E1" w14:textId="245DFC0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7BD39DD2" w14:textId="6C3195E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3,4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005A6D4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281E7371" w14:textId="1B8A7EB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333F7033" w14:textId="022FFFB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7,6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4E07316" w14:textId="77777777" w:rsidTr="00B765F2">
        <w:trPr>
          <w:trHeight w:val="830"/>
        </w:trPr>
        <w:tc>
          <w:tcPr>
            <w:tcW w:w="5327" w:type="dxa"/>
            <w:tcBorders>
              <w:top w:val="single" w:sz="4" w:space="0" w:color="7E7E7E"/>
              <w:left w:val="single" w:sz="4" w:space="0" w:color="7E7E7E"/>
              <w:bottom w:val="single" w:sz="4" w:space="0" w:color="7E7E7E"/>
              <w:right w:val="single" w:sz="4" w:space="0" w:color="7E7E7E"/>
            </w:tcBorders>
          </w:tcPr>
          <w:p w14:paraId="1AE2CA5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Sudėtiniai reiškiniai: simptominė pasikartojanti VTE + besimptomis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tcPr>
          <w:p w14:paraId="0978104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p>
          <w:p w14:paraId="5E15CDAF" w14:textId="26D25B0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05809482" w14:textId="6394499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9,2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30CE023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19</w:t>
            </w:r>
          </w:p>
          <w:p w14:paraId="6A37BA4A" w14:textId="5467C63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76F29F91" w14:textId="411CEEC8"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17,4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A0487CA" w14:textId="77777777" w:rsidTr="00B765F2">
        <w:trPr>
          <w:trHeight w:val="857"/>
        </w:trPr>
        <w:tc>
          <w:tcPr>
            <w:tcW w:w="5327" w:type="dxa"/>
            <w:tcBorders>
              <w:top w:val="single" w:sz="4" w:space="0" w:color="7E7E7E"/>
              <w:left w:val="single" w:sz="4" w:space="0" w:color="7E7E7E"/>
              <w:bottom w:val="single" w:sz="4" w:space="0" w:color="7E7E7E"/>
              <w:right w:val="single" w:sz="4" w:space="0" w:color="7E7E7E"/>
            </w:tcBorders>
          </w:tcPr>
          <w:p w14:paraId="41AC051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Normalus vaizdas, kartojant vaizdo atkūrimo tyrimą </w:t>
            </w:r>
          </w:p>
          <w:p w14:paraId="7F4CCF25"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7E7E7E"/>
              <w:right w:val="single" w:sz="4" w:space="0" w:color="7E7E7E"/>
            </w:tcBorders>
          </w:tcPr>
          <w:p w14:paraId="40B3C5B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128</w:t>
            </w:r>
          </w:p>
          <w:p w14:paraId="4BB3C588" w14:textId="63E216D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(38,2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4AADCF04" w14:textId="4162B97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- 43,5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08EBB9C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43</w:t>
            </w:r>
          </w:p>
          <w:p w14:paraId="5642BB4B" w14:textId="4D690B6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(26,1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59180855" w14:textId="131FEA0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19,8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r w:rsidR="000611B6">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33,0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A857A4D" w14:textId="77777777" w:rsidTr="00B765F2">
        <w:trPr>
          <w:trHeight w:val="983"/>
        </w:trPr>
        <w:tc>
          <w:tcPr>
            <w:tcW w:w="5327" w:type="dxa"/>
            <w:tcBorders>
              <w:top w:val="single" w:sz="4" w:space="0" w:color="7E7E7E"/>
              <w:left w:val="single" w:sz="4" w:space="0" w:color="7E7E7E"/>
              <w:bottom w:val="single" w:sz="4" w:space="0" w:color="7E7E7E"/>
              <w:right w:val="single" w:sz="4" w:space="0" w:color="7E7E7E"/>
            </w:tcBorders>
          </w:tcPr>
          <w:p w14:paraId="6AD9FAD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Sudėtiniai reiškiniai: simptominė pasikartojanti VTE + didysis kraujavimas (grynoji klinikinė nauda) </w:t>
            </w:r>
          </w:p>
          <w:p w14:paraId="4779F01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w:t>
            </w:r>
          </w:p>
        </w:tc>
        <w:tc>
          <w:tcPr>
            <w:tcW w:w="2126" w:type="dxa"/>
            <w:tcBorders>
              <w:top w:val="single" w:sz="4" w:space="0" w:color="7E7E7E"/>
              <w:left w:val="single" w:sz="4" w:space="0" w:color="7E7E7E"/>
              <w:bottom w:val="single" w:sz="4" w:space="0" w:color="7E7E7E"/>
              <w:right w:val="single" w:sz="4" w:space="0" w:color="7E7E7E"/>
            </w:tcBorders>
          </w:tcPr>
          <w:p w14:paraId="2BFD5DE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w:t>
            </w:r>
          </w:p>
          <w:p w14:paraId="3207564F" w14:textId="5AD4FC8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5E86D8CF" w14:textId="69C3875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76385B4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w:t>
            </w:r>
          </w:p>
          <w:p w14:paraId="6B13C4EE" w14:textId="41FF1CDD"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7076D991" w14:textId="4A60E95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2,0% </w:t>
            </w:r>
            <w:r w:rsidR="000611B6">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8,4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AD27C8C" w14:textId="77777777" w:rsidTr="00B765F2">
        <w:trPr>
          <w:trHeight w:val="854"/>
        </w:trPr>
        <w:tc>
          <w:tcPr>
            <w:tcW w:w="5327" w:type="dxa"/>
            <w:tcBorders>
              <w:top w:val="single" w:sz="4" w:space="0" w:color="7E7E7E"/>
              <w:left w:val="single" w:sz="4" w:space="0" w:color="7E7E7E"/>
              <w:bottom w:val="single" w:sz="4" w:space="0" w:color="000000"/>
              <w:right w:val="single" w:sz="4" w:space="0" w:color="7E7E7E"/>
            </w:tcBorders>
          </w:tcPr>
          <w:p w14:paraId="0DB1A1B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Mirtina arba ne mirtina plaučių embolija </w:t>
            </w:r>
          </w:p>
          <w:p w14:paraId="729660E4"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000000"/>
              <w:right w:val="single" w:sz="4" w:space="0" w:color="7E7E7E"/>
            </w:tcBorders>
          </w:tcPr>
          <w:p w14:paraId="0E10027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p w14:paraId="173C5266" w14:textId="1CDE740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0031D67F" w14:textId="76E6B3D4"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1,6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000000"/>
              <w:right w:val="single" w:sz="4" w:space="0" w:color="7E7E7E"/>
            </w:tcBorders>
          </w:tcPr>
          <w:p w14:paraId="12FE658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p w14:paraId="4489F05E" w14:textId="03529802"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7AD725CF" w14:textId="0E42949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3,1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6800D48F" w14:textId="77777777" w:rsidR="003E364C" w:rsidRPr="003E364C" w:rsidRDefault="003E364C" w:rsidP="00890A97">
      <w:pPr>
        <w:spacing w:after="0" w:line="240" w:lineRule="auto"/>
        <w:ind w:left="142"/>
        <w:rPr>
          <w:rFonts w:ascii="Times New Roman" w:eastAsia="Times New Roman" w:hAnsi="Times New Roman" w:cs="Times New Roman"/>
          <w:snapToGrid w:val="0"/>
        </w:rPr>
      </w:pPr>
      <w:r w:rsidRPr="003E364C">
        <w:rPr>
          <w:rFonts w:ascii="Times New Roman" w:eastAsia="Times New Roman" w:hAnsi="Times New Roman" w:cs="Times New Roman"/>
          <w:snapToGrid w:val="0"/>
          <w:sz w:val="20"/>
          <w:szCs w:val="20"/>
        </w:rPr>
        <w:t>*VAG = visa analizės grupė, visi vaikai, kurie buvo atrinkti atsitiktinių imčių būdu</w:t>
      </w:r>
      <w:r w:rsidRPr="003E364C">
        <w:rPr>
          <w:rFonts w:ascii="Times New Roman" w:eastAsia="Times New Roman" w:hAnsi="Times New Roman" w:cs="Times New Roman"/>
          <w:snapToGrid w:val="0"/>
        </w:rPr>
        <w:t>.</w:t>
      </w:r>
    </w:p>
    <w:p w14:paraId="02E759A7" w14:textId="77777777" w:rsidR="003E364C" w:rsidRPr="003E364C" w:rsidRDefault="003E364C" w:rsidP="003E364C">
      <w:pPr>
        <w:spacing w:after="0" w:line="240" w:lineRule="auto"/>
        <w:rPr>
          <w:rFonts w:ascii="Times New Roman" w:eastAsia="Times New Roman" w:hAnsi="Times New Roman" w:cs="Times New Roman"/>
          <w:snapToGrid w:val="0"/>
        </w:rPr>
      </w:pPr>
    </w:p>
    <w:p w14:paraId="00671E22" w14:textId="77777777" w:rsidR="003E364C" w:rsidRPr="003E364C" w:rsidRDefault="003E364C" w:rsidP="003E364C">
      <w:pPr>
        <w:spacing w:after="0" w:line="240" w:lineRule="auto"/>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12 lentelė. Saugumo rezultatai pagrindinio gydymo laikotarpio pabaigoje</w:t>
      </w: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3E364C" w:rsidRPr="003E364C" w14:paraId="19EF0F81" w14:textId="77777777" w:rsidTr="0096285A">
        <w:trPr>
          <w:trHeight w:val="516"/>
        </w:trPr>
        <w:tc>
          <w:tcPr>
            <w:tcW w:w="5212" w:type="dxa"/>
            <w:tcBorders>
              <w:top w:val="single" w:sz="4" w:space="0" w:color="7E7E7E"/>
              <w:left w:val="single" w:sz="4" w:space="0" w:color="7E7E7E"/>
              <w:bottom w:val="single" w:sz="4" w:space="0" w:color="7E7E7E"/>
              <w:right w:val="single" w:sz="4" w:space="0" w:color="7E7E7E"/>
            </w:tcBorders>
          </w:tcPr>
          <w:p w14:paraId="0EFBB641"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7E7E7E"/>
              <w:right w:val="single" w:sz="4" w:space="0" w:color="7E7E7E"/>
            </w:tcBorders>
          </w:tcPr>
          <w:p w14:paraId="698B930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Rivaroksabanas N = 329*</w:t>
            </w:r>
          </w:p>
        </w:tc>
        <w:tc>
          <w:tcPr>
            <w:tcW w:w="2127" w:type="dxa"/>
            <w:tcBorders>
              <w:top w:val="single" w:sz="4" w:space="0" w:color="7E7E7E"/>
              <w:left w:val="single" w:sz="4" w:space="0" w:color="7E7E7E"/>
              <w:bottom w:val="single" w:sz="4" w:space="0" w:color="7E7E7E"/>
              <w:right w:val="single" w:sz="4" w:space="0" w:color="7E7E7E"/>
            </w:tcBorders>
          </w:tcPr>
          <w:p w14:paraId="2A95598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 xml:space="preserve">Palyginamasis vaistinis preparatas </w:t>
            </w:r>
          </w:p>
          <w:p w14:paraId="3E994B6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 = 162*</w:t>
            </w:r>
          </w:p>
        </w:tc>
      </w:tr>
      <w:tr w:rsidR="003E364C" w:rsidRPr="003E364C" w14:paraId="5E36FF5E" w14:textId="77777777" w:rsidTr="0096285A">
        <w:trPr>
          <w:trHeight w:val="768"/>
        </w:trPr>
        <w:tc>
          <w:tcPr>
            <w:tcW w:w="5212" w:type="dxa"/>
            <w:tcBorders>
              <w:top w:val="single" w:sz="4" w:space="0" w:color="7E7E7E"/>
              <w:left w:val="single" w:sz="4" w:space="0" w:color="7E7E7E"/>
              <w:bottom w:val="single" w:sz="4" w:space="0" w:color="7E7E7E"/>
              <w:right w:val="single" w:sz="4" w:space="0" w:color="7E7E7E"/>
            </w:tcBorders>
          </w:tcPr>
          <w:p w14:paraId="0332943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 xml:space="preserve">Sudėtiniai reiškiniai: didysis kraujavimas + KRNDK (pirminė saugumo vertinamoji baigtis) </w:t>
            </w:r>
          </w:p>
          <w:p w14:paraId="466CDF57"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7E7E7E"/>
              <w:right w:val="single" w:sz="4" w:space="0" w:color="7E7E7E"/>
            </w:tcBorders>
          </w:tcPr>
          <w:p w14:paraId="59C0F2E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p>
          <w:p w14:paraId="5A32B69F" w14:textId="6F626019"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6694C887" w14:textId="6689E8B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- 5,5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74DDC9E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w:t>
            </w:r>
          </w:p>
          <w:p w14:paraId="7B982544" w14:textId="396C780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(1,9</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16DAAD4C" w14:textId="5714A50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- 5,3</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32C508F" w14:textId="77777777" w:rsidTr="0096285A">
        <w:trPr>
          <w:trHeight w:val="769"/>
        </w:trPr>
        <w:tc>
          <w:tcPr>
            <w:tcW w:w="5212" w:type="dxa"/>
            <w:tcBorders>
              <w:top w:val="single" w:sz="4" w:space="0" w:color="7E7E7E"/>
              <w:left w:val="single" w:sz="4" w:space="0" w:color="7E7E7E"/>
              <w:bottom w:val="single" w:sz="4" w:space="0" w:color="7E7E7E"/>
              <w:right w:val="single" w:sz="4" w:space="0" w:color="7E7E7E"/>
            </w:tcBorders>
          </w:tcPr>
          <w:p w14:paraId="7EEFB34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Didysis kraujavimas </w:t>
            </w:r>
          </w:p>
          <w:p w14:paraId="4CBDADD8"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7E7E7E"/>
              <w:right w:val="single" w:sz="4" w:space="0" w:color="7E7E7E"/>
            </w:tcBorders>
          </w:tcPr>
          <w:p w14:paraId="23C3057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p w14:paraId="0BB5A9C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(0.0%, 95% CI</w:t>
            </w:r>
          </w:p>
          <w:p w14:paraId="53401C2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0.0% - 1.1%)</w:t>
            </w:r>
          </w:p>
        </w:tc>
        <w:tc>
          <w:tcPr>
            <w:tcW w:w="2127" w:type="dxa"/>
            <w:tcBorders>
              <w:top w:val="single" w:sz="4" w:space="0" w:color="7E7E7E"/>
              <w:left w:val="single" w:sz="4" w:space="0" w:color="7E7E7E"/>
              <w:bottom w:val="single" w:sz="4" w:space="0" w:color="7E7E7E"/>
              <w:right w:val="single" w:sz="4" w:space="0" w:color="7E7E7E"/>
            </w:tcBorders>
          </w:tcPr>
          <w:p w14:paraId="5D85CA1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p w14:paraId="70A74CE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 95% CI</w:t>
            </w:r>
          </w:p>
          <w:p w14:paraId="5D3DB3E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0.2% - 4.3%)</w:t>
            </w:r>
          </w:p>
        </w:tc>
      </w:tr>
      <w:tr w:rsidR="003E364C" w:rsidRPr="003E364C" w14:paraId="3F4D5224" w14:textId="77777777" w:rsidTr="0096285A">
        <w:trPr>
          <w:trHeight w:val="263"/>
        </w:trPr>
        <w:tc>
          <w:tcPr>
            <w:tcW w:w="5212" w:type="dxa"/>
            <w:tcBorders>
              <w:top w:val="single" w:sz="4" w:space="0" w:color="7E7E7E"/>
              <w:left w:val="single" w:sz="4" w:space="0" w:color="7E7E7E"/>
              <w:bottom w:val="single" w:sz="4" w:space="0" w:color="000000"/>
              <w:right w:val="single" w:sz="4" w:space="0" w:color="7E7E7E"/>
            </w:tcBorders>
          </w:tcPr>
          <w:p w14:paraId="761B400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tcPr>
          <w:p w14:paraId="0E747B0E" w14:textId="14F3C82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119 (36,2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000000"/>
              <w:right w:val="single" w:sz="4" w:space="0" w:color="7E7E7E"/>
            </w:tcBorders>
          </w:tcPr>
          <w:p w14:paraId="25A17D36" w14:textId="4AF803D9"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45 (27,8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1454FA89" w14:textId="77777777" w:rsidR="003E364C" w:rsidRPr="003E364C" w:rsidRDefault="003E364C" w:rsidP="00890A97">
      <w:pPr>
        <w:spacing w:after="0" w:line="240" w:lineRule="auto"/>
        <w:ind w:left="142"/>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 SAG = saugumo analizės grupė, visi vaikai, kurie buvo atrinkti atsitiktinių imčių būdu ir suvartojo bent 1 tiriamųjų vaistinių preparatų dozę </w:t>
      </w:r>
    </w:p>
    <w:p w14:paraId="1B1C09E0" w14:textId="77777777" w:rsidR="003E364C" w:rsidRPr="003E364C" w:rsidRDefault="003E364C" w:rsidP="003E364C">
      <w:pPr>
        <w:spacing w:after="0" w:line="240" w:lineRule="auto"/>
        <w:rPr>
          <w:rFonts w:ascii="Times New Roman" w:eastAsia="Times New Roman" w:hAnsi="Times New Roman" w:cs="Times New Roman"/>
          <w:snapToGrid w:val="0"/>
        </w:rPr>
      </w:pPr>
    </w:p>
    <w:p w14:paraId="1DB3A16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p w14:paraId="0F42D943" w14:textId="77777777" w:rsidR="003E364C" w:rsidRPr="003E364C" w:rsidRDefault="003E364C" w:rsidP="003E364C">
      <w:pPr>
        <w:spacing w:after="0" w:line="240" w:lineRule="auto"/>
        <w:rPr>
          <w:rFonts w:ascii="Times New Roman" w:eastAsia="Times New Roman" w:hAnsi="Times New Roman" w:cs="Times New Roman"/>
          <w:snapToGrid w:val="0"/>
        </w:rPr>
      </w:pPr>
    </w:p>
    <w:p w14:paraId="12959CB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Didelės rizikos trigubu antifosfolipidiniu sindromu sergantys pacientai</w:t>
      </w:r>
    </w:p>
    <w:p w14:paraId="10A99C88" w14:textId="6A3CC60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AD441E">
        <w:rPr>
          <w:rFonts w:ascii="Times New Roman" w:eastAsia="Times New Roman" w:hAnsi="Times New Roman" w:cs="Times New Roman"/>
          <w:b/>
          <w:snapToGrid w:val="0"/>
        </w:rPr>
        <w:t> </w:t>
      </w:r>
      <w:r w:rsidR="00AD441E" w:rsidRPr="00890A97">
        <w:rPr>
          <w:rFonts w:ascii="Times New Roman" w:eastAsia="Times New Roman" w:hAnsi="Times New Roman" w:cs="Times New Roman"/>
          <w:bCs/>
          <w:snapToGrid w:val="0"/>
        </w:rPr>
        <w:t>mg</w:t>
      </w:r>
      <w:r w:rsidRPr="003E364C">
        <w:rPr>
          <w:rFonts w:ascii="Times New Roman" w:eastAsia="Times New Roman" w:hAnsi="Times New Roman" w:cs="Times New Roman"/>
          <w:bCs/>
          <w:snapToGrid w:val="0"/>
        </w:rPr>
        <w:t xml:space="preserve"> dozė (15</w:t>
      </w:r>
      <w:r w:rsidR="00AD441E" w:rsidRPr="00890A97">
        <w:rPr>
          <w:rFonts w:ascii="Times New Roman" w:eastAsia="Times New Roman" w:hAnsi="Times New Roman" w:cs="Times New Roman"/>
          <w:bCs/>
          <w:snapToGrid w:val="0"/>
        </w:rPr>
        <w:t> mg</w:t>
      </w:r>
      <w:r w:rsidRPr="003E364C">
        <w:rPr>
          <w:rFonts w:ascii="Times New Roman" w:eastAsia="Times New Roman" w:hAnsi="Times New Roman" w:cs="Times New Roman"/>
          <w:snapToGrid w:val="0"/>
        </w:rPr>
        <w:t xml:space="preserve"> – pacientams, kurių kreatinino klirensas (KrKl) &lt; 50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ml/min), 61-am pacientui – varfarino (TNS 2,0–3,0). Tromboembolinių reiškinių nustatyta 12</w:t>
      </w:r>
      <w:r w:rsid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pacientų, kuriems buvo paskirta rivaroksabano (4 išeminio insulto ir 3 miokardo infarkto atvejai). Pacientų, kuriems buvo paskirta varfarino, grupėje nepageidaujamų reiškinių nenustatyta. Stiprus kraujavimas pasireiškė 4-iems (7</w:t>
      </w:r>
      <w:r w:rsidRPr="003E364C">
        <w:rPr>
          <w:rFonts w:ascii="Times New Roman" w:eastAsia="Times New Roman" w:hAnsi="Times New Roman" w:cs="Times New Roman"/>
          <w:b/>
          <w:snapToGrid w:val="0"/>
        </w:rPr>
        <w:t> </w:t>
      </w:r>
      <w:r w:rsidR="00890A97">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rivaroksabano grupės pacientams ir 2-iems (3</w:t>
      </w:r>
      <w:r w:rsidRPr="003E364C">
        <w:rPr>
          <w:rFonts w:ascii="Times New Roman" w:eastAsia="Times New Roman" w:hAnsi="Times New Roman" w:cs="Times New Roman"/>
          <w:b/>
          <w:snapToGrid w:val="0"/>
        </w:rPr>
        <w:t> </w:t>
      </w:r>
      <w:r w:rsidR="00890A97">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varfarino grupės pacientams.</w:t>
      </w:r>
    </w:p>
    <w:p w14:paraId="55E6B98A" w14:textId="77777777" w:rsidR="003E364C" w:rsidRPr="003E364C" w:rsidRDefault="003E364C" w:rsidP="003E364C">
      <w:pPr>
        <w:spacing w:after="0" w:line="240" w:lineRule="auto"/>
        <w:rPr>
          <w:rFonts w:ascii="Times New Roman" w:eastAsia="Times New Roman" w:hAnsi="Times New Roman" w:cs="Times New Roman"/>
          <w:snapToGrid w:val="0"/>
        </w:rPr>
      </w:pPr>
    </w:p>
    <w:p w14:paraId="0F68BC7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Vaikų populiacija</w:t>
      </w:r>
    </w:p>
    <w:p w14:paraId="40124F09" w14:textId="02E4018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Europos vaistų agentūra atleido nuo įpareigojimo pateikti </w:t>
      </w:r>
      <w:r w:rsidR="000611B6" w:rsidRPr="000611B6">
        <w:rPr>
          <w:rFonts w:ascii="Times New Roman" w:eastAsia="Times New Roman" w:hAnsi="Times New Roman" w:cs="Times New Roman"/>
          <w:snapToGrid w:val="0"/>
        </w:rPr>
        <w:t>referencinio vaistinio preparato, kurio sudėtyje yra rivaroksabano,</w:t>
      </w:r>
      <w:r w:rsidR="000611B6">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tyrimų su visais vaikų populiacijos pogrupiais duomenis tromboembolijos reiškinių profilaktikai (vartojimo vaikams informacija pateikiama 4.2 skyriuje).</w:t>
      </w:r>
    </w:p>
    <w:p w14:paraId="196EDC25" w14:textId="77777777" w:rsidR="003E364C" w:rsidRPr="003E364C" w:rsidRDefault="003E364C" w:rsidP="003E364C">
      <w:pPr>
        <w:spacing w:after="0" w:line="240" w:lineRule="auto"/>
        <w:rPr>
          <w:rFonts w:ascii="Times New Roman" w:eastAsia="Times New Roman" w:hAnsi="Times New Roman" w:cs="Times New Roman"/>
          <w:snapToGrid w:val="0"/>
        </w:rPr>
      </w:pPr>
    </w:p>
    <w:p w14:paraId="4D00430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5.2</w:t>
      </w:r>
      <w:r w:rsidRPr="003E364C">
        <w:rPr>
          <w:rFonts w:ascii="Times New Roman" w:eastAsia="Times New Roman" w:hAnsi="Times New Roman" w:cs="Times New Roman"/>
          <w:b/>
          <w:bCs/>
          <w:snapToGrid w:val="0"/>
          <w:lang w:eastAsia="x-none"/>
        </w:rPr>
        <w:tab/>
        <w:t>Farmakokinetinės savybės</w:t>
      </w:r>
    </w:p>
    <w:p w14:paraId="1E18E167" w14:textId="77777777" w:rsidR="003E364C" w:rsidRPr="003E364C" w:rsidRDefault="003E364C" w:rsidP="003E364C">
      <w:pPr>
        <w:spacing w:after="0" w:line="240" w:lineRule="auto"/>
        <w:rPr>
          <w:rFonts w:ascii="Times New Roman" w:eastAsia="Times New Roman" w:hAnsi="Times New Roman" w:cs="Times New Roman"/>
          <w:snapToGrid w:val="0"/>
          <w:u w:val="single"/>
        </w:rPr>
      </w:pPr>
    </w:p>
    <w:p w14:paraId="3B8BEF2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Absorbcija</w:t>
      </w:r>
    </w:p>
    <w:p w14:paraId="02638B7C" w14:textId="4F0603B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Toliau pateikta informacija yra pagrįsta suaugusių</w:t>
      </w:r>
      <w:r w:rsidR="00124442">
        <w:rPr>
          <w:rFonts w:ascii="Times New Roman" w:eastAsia="Times New Roman" w:hAnsi="Times New Roman" w:cs="Times New Roman"/>
          <w:snapToGrid w:val="0"/>
        </w:rPr>
        <w:t>jų</w:t>
      </w:r>
      <w:r w:rsidRPr="003E364C">
        <w:rPr>
          <w:rFonts w:ascii="Times New Roman" w:eastAsia="Times New Roman" w:hAnsi="Times New Roman" w:cs="Times New Roman"/>
          <w:snapToGrid w:val="0"/>
        </w:rPr>
        <w:t xml:space="preserve"> duomenimis.</w:t>
      </w:r>
    </w:p>
    <w:p w14:paraId="3FEACA5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Rivaroksabanas yra greitai absorbuojamas ir didžiausia koncentracija (Cmax) susidaro praėjus 2–4</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val. po tabletės pavartojimo.</w:t>
      </w:r>
    </w:p>
    <w:p w14:paraId="2D626C71" w14:textId="685C521D"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Išgertas rivaroksabanas beveik visas absorbuojamas ir biologinis geriamojo rivaroksabano prieinamumas, pavartojus 2,5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10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dozių, yra didelis (80–100</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nepriklausomai nuo to, ar vaistinio preparato vartojama valgio metu, ar nevalgius. Vartojant 2,5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10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dozių valgio metu, rivaroksabano AUC ar Cmax nepakinta.</w:t>
      </w:r>
    </w:p>
    <w:p w14:paraId="33E6F1EF" w14:textId="2B5AC44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tabletę vartojant nevalgius, dėl sumažėjusio absorbcijos masto biologinis prieinamumas yra 66</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Kai rivaroksabano 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tabletės vartojamos valgio metu, AUC vidutiniškai padidėja 39</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palyginti su tablečių vartojimu nevalgius, kas rodo beveik visišką absorbciją ir didelį geriamojo preparato biologinį prieinamumą. Rivaroksabano 15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reikia vartoti valgio metu (žr.</w:t>
      </w:r>
      <w:r w:rsidRPr="003E364C">
        <w:rPr>
          <w:rFonts w:ascii="Times New Roman" w:eastAsia="Times New Roman" w:hAnsi="Times New Roman" w:cs="Times New Roman"/>
        </w:rPr>
        <w:t xml:space="preserve">4.2 </w:t>
      </w:r>
      <w:r w:rsidRPr="003E364C">
        <w:rPr>
          <w:rFonts w:ascii="Times New Roman" w:eastAsia="Times New Roman" w:hAnsi="Times New Roman" w:cs="Times New Roman"/>
          <w:spacing w:val="-2"/>
        </w:rPr>
        <w:t>skyrių).</w:t>
      </w:r>
    </w:p>
    <w:p w14:paraId="3DDC3138" w14:textId="2F09121C"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farmakokinetika yra maždaug tiesinė, kai jo skiriama iki 15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nevalgius. Pavalgius rivaroksabano 10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15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tablečių farmakokinetika buvo proporcinga dozei. Skiriant didesnių rivaroksabano dozių, gaunama dėl tirpumo savybių ribota absorbcija su sumažėjusiu biologiniu prieinamumu ir sumažėjusiu absorbcijos greičiu, didinant dozę. Rivaroksabano </w:t>
      </w:r>
      <w:r w:rsidRPr="003E364C">
        <w:rPr>
          <w:rFonts w:ascii="Times New Roman" w:eastAsia="Times New Roman" w:hAnsi="Times New Roman" w:cs="Times New Roman"/>
          <w:snapToGrid w:val="0"/>
        </w:rPr>
        <w:lastRenderedPageBreak/>
        <w:t>farmakokinetikos kintamumas yra vidutinis, kintamumas tarp pacientų (CV%), svyruoja nuo 30</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iki 40</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p w14:paraId="4359118D" w14:textId="1C05E6FA"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Rivaroksabano absorbcija priklauso nuo jo atpalaidavimo vietos virškinimo trakte. Nustatyta, kad tada, kai susmulkintas rivaroksabanas atpalaiduojamas proksimalinėje plonosios žarnos dalyje, palyginti su tablete, AUC ir Cmax sumažėja </w:t>
      </w:r>
      <w:r w:rsidR="00124442">
        <w:rPr>
          <w:rFonts w:ascii="Times New Roman" w:eastAsia="Times New Roman" w:hAnsi="Times New Roman" w:cs="Times New Roman"/>
          <w:snapToGrid w:val="0"/>
        </w:rPr>
        <w:t xml:space="preserve">atitinkamai </w:t>
      </w:r>
      <w:r w:rsidRPr="003E364C">
        <w:rPr>
          <w:rFonts w:ascii="Times New Roman" w:eastAsia="Times New Roman" w:hAnsi="Times New Roman" w:cs="Times New Roman"/>
          <w:snapToGrid w:val="0"/>
        </w:rPr>
        <w:t>29</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ir 56</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4B0330C1" w14:textId="6EA4EFDE"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tabletės, kuri suvartojama per burną, ją sutraiškius ir išmaišius obuolių tyrėje arba ištirpinus vandenyje ir supylus per skrandžio vamzdelį, po to gaunant skysto maisto, biologinis prieinamumas (AUC ir Cmax), palyginti su nepažeista tablete, buvo panašūs. Žinant, kad rivaroksabano farmakokinetinės savybės yra nuspėjamos ir proporcingos dozei, tikėtina, kad šiame tyrime gauti biologinio prieinamumo rezultatai tinka ir mažesnėms rivaroksabano dozėms.</w:t>
      </w:r>
    </w:p>
    <w:p w14:paraId="5472307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3BBACCC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084DDB70"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Rivaroksabano tablečių arba geriamosios suspensijos vaikai vartojo maitinimo arba valgio metu arba netrukus po to ir kartu su įprastu skysčio kiekiu, kad būtų užtikrintas patikimas dozavimas. Kaip ir suaugusiesiems, tablečių arba granulių geriamajai suspensijai pavidalu išgertas rivaroksabanas vaikams yra lengvai absorbuojamas. Absorbcijos greičio ir absorbcijos laipsnio skirtumų, vartojant tablečių arba granulių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w:t>
      </w:r>
    </w:p>
    <w:p w14:paraId="2DE80A91" w14:textId="34D0DE11" w:rsidR="003E364C" w:rsidRPr="003E364C" w:rsidRDefault="00C3128C" w:rsidP="003E364C">
      <w:pPr>
        <w:keepNext/>
        <w:tabs>
          <w:tab w:val="left" w:pos="567"/>
        </w:tabs>
        <w:spacing w:after="0" w:line="260" w:lineRule="exact"/>
        <w:outlineLvl w:val="3"/>
        <w:rPr>
          <w:rFonts w:ascii="Times New Roman" w:eastAsia="Times New Roman" w:hAnsi="Times New Roman" w:cs="Times New Roman"/>
          <w:snapToGrid w:val="0"/>
        </w:rPr>
      </w:pPr>
      <w:r>
        <w:rPr>
          <w:rFonts w:ascii="Times New Roman" w:eastAsia="Times New Roman" w:hAnsi="Times New Roman" w:cs="Times New Roman"/>
          <w:snapToGrid w:val="0"/>
        </w:rPr>
        <w:t>Xiltess</w:t>
      </w:r>
      <w:r w:rsidR="003E364C" w:rsidRPr="003E364C">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20</w:t>
      </w:r>
      <w:r w:rsidR="00AD441E" w:rsidRPr="00890A97">
        <w:rPr>
          <w:rFonts w:ascii="Times New Roman" w:eastAsia="Times New Roman" w:hAnsi="Times New Roman" w:cs="Times New Roman"/>
          <w:snapToGrid w:val="0"/>
        </w:rPr>
        <w:t> mg</w:t>
      </w:r>
      <w:r w:rsidR="003E364C" w:rsidRPr="003E364C">
        <w:rPr>
          <w:rFonts w:ascii="Times New Roman" w:eastAsia="Times New Roman" w:hAnsi="Times New Roman" w:cs="Times New Roman"/>
          <w:snapToGrid w:val="0"/>
        </w:rPr>
        <w:t xml:space="preserve"> tablečių reikia vartoti maitinimo arba valgio metu (žr. 4.2 skyrių).</w:t>
      </w:r>
    </w:p>
    <w:p w14:paraId="39EA1CF7"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656603B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Pasiskirstymas</w:t>
      </w:r>
    </w:p>
    <w:p w14:paraId="15A9C1CD" w14:textId="5C2E4F91"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Daug vaistinio preparato prisijungia prie suaugusių plazmos baltymų (apie 92–95</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daugiausiai serumo albuminų. Pasiskirstymo tūris (Vss) yra vidutinis, maždaug 50 litrų.</w:t>
      </w:r>
    </w:p>
    <w:p w14:paraId="2C7C970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42BB0BA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1CBA3E1D" w14:textId="42B36610" w:rsidR="003E364C" w:rsidRPr="003E364C" w:rsidRDefault="00590FAD" w:rsidP="003E364C">
      <w:pPr>
        <w:keepNext/>
        <w:tabs>
          <w:tab w:val="left" w:pos="567"/>
        </w:tabs>
        <w:spacing w:after="0" w:line="260" w:lineRule="exact"/>
        <w:outlineLvl w:val="3"/>
        <w:rPr>
          <w:rFonts w:ascii="Times New Roman" w:eastAsia="Times New Roman" w:hAnsi="Times New Roman" w:cs="Times New Roman"/>
          <w:snapToGrid w:val="0"/>
        </w:rPr>
      </w:pPr>
      <w:r w:rsidRPr="00E37924">
        <w:rPr>
          <w:rFonts w:ascii="Times New Roman" w:eastAsia="Times New Roman" w:hAnsi="Times New Roman" w:cs="Times New Roman"/>
          <w:i/>
          <w:iCs/>
          <w:snapToGrid w:val="0"/>
        </w:rPr>
        <w:t>In vitro</w:t>
      </w:r>
      <w:r w:rsidRPr="00FF24E1">
        <w:rPr>
          <w:rFonts w:ascii="Times New Roman" w:eastAsia="Times New Roman" w:hAnsi="Times New Roman" w:cs="Times New Roman"/>
          <w:snapToGrid w:val="0"/>
        </w:rPr>
        <w:t xml:space="preserve"> duomenys nerodo reikšmingų rivaroksabano jungimosi su plazmos baltymais skirtumų skirtingų amžiaus grupių vaikams ir palyginti su suaugusiaisiais</w:t>
      </w:r>
      <w:r w:rsidR="003E364C" w:rsidRPr="003E364C">
        <w:rPr>
          <w:rFonts w:ascii="Times New Roman" w:eastAsia="Times New Roman" w:hAnsi="Times New Roman" w:cs="Times New Roman"/>
          <w:snapToGrid w:val="0"/>
        </w:rPr>
        <w:t>. Farmakokinetikos duomenų, rivaroksabano suleidus vaikams į veną, nėra. Taikant populiacijos farmakokinetikos modeliavimą, vaikams (nuo 0 iki &lt; 18 metų amžiaus) apskaičiuotas Vss, išgėrus rivaroksabano, priklauso nuo kūno svorio, jį apibūdina alometrinė funkcija ir, jei tiriamojo asmens kūno svoris yra 82,8</w:t>
      </w:r>
      <w:r w:rsidR="003E364C" w:rsidRPr="003E364C">
        <w:rPr>
          <w:rFonts w:ascii="Times New Roman" w:eastAsia="Times New Roman" w:hAnsi="Times New Roman" w:cs="Times New Roman"/>
          <w:b/>
          <w:snapToGrid w:val="0"/>
        </w:rPr>
        <w:t> </w:t>
      </w:r>
      <w:r w:rsidR="003E364C" w:rsidRPr="003E364C">
        <w:rPr>
          <w:rFonts w:ascii="Times New Roman" w:eastAsia="Times New Roman" w:hAnsi="Times New Roman" w:cs="Times New Roman"/>
          <w:snapToGrid w:val="0"/>
        </w:rPr>
        <w:t>kg, Vss vidurkis siekia 113 l.</w:t>
      </w:r>
    </w:p>
    <w:p w14:paraId="2FEDA67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4B180B7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Biotransformacija ir eliminacija</w:t>
      </w:r>
    </w:p>
    <w:p w14:paraId="747C5461"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Suaugusiesiems maždaug 2/3 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w:t>
      </w:r>
    </w:p>
    <w:p w14:paraId="60BDF503"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Rivaroksabanas yra metabolizuojamas veikiant CYP3A4, CYP2J2 ir nuo CYP nepriklausomais mechanizmais. Morfolinono dalies oksidacinis irimas ir amido jungčių hidrolizė yra pagrindinės biotransformacijos sritys. Remiantis </w:t>
      </w:r>
      <w:r w:rsidRPr="003E364C">
        <w:rPr>
          <w:rFonts w:ascii="Times New Roman" w:eastAsia="Times New Roman" w:hAnsi="Times New Roman" w:cs="Times New Roman"/>
          <w:i/>
          <w:snapToGrid w:val="0"/>
        </w:rPr>
        <w:t xml:space="preserve">in vitro </w:t>
      </w:r>
      <w:r w:rsidRPr="003E364C">
        <w:rPr>
          <w:rFonts w:ascii="Times New Roman" w:eastAsia="Times New Roman" w:hAnsi="Times New Roman" w:cs="Times New Roman"/>
          <w:snapToGrid w:val="0"/>
        </w:rPr>
        <w:t xml:space="preserve">tyrimais, rivaroksabanas yra P-gp (P-glikoproteino) ir Bcrp (angl. </w:t>
      </w:r>
      <w:r w:rsidRPr="003E364C">
        <w:rPr>
          <w:rFonts w:ascii="Times New Roman" w:eastAsia="Times New Roman" w:hAnsi="Times New Roman" w:cs="Times New Roman"/>
          <w:i/>
          <w:iCs/>
          <w:snapToGrid w:val="0"/>
        </w:rPr>
        <w:t>breast cancer resistance protein</w:t>
      </w:r>
      <w:r w:rsidRPr="003E364C">
        <w:rPr>
          <w:rFonts w:ascii="Times New Roman" w:eastAsia="Times New Roman" w:hAnsi="Times New Roman" w:cs="Times New Roman"/>
          <w:snapToGrid w:val="0"/>
        </w:rPr>
        <w:t>, krūties vėžio atsparumo baltymas) pernašų baltymų substratas.</w:t>
      </w:r>
    </w:p>
    <w:p w14:paraId="726D63F4"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69A08F1C" w14:textId="351B7CA1"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Nepakitęs rivaroksabanas yra svarbiausias darinys žmogaus plazmoje, svarbių ar aktyvių cirkuliuojančių metabolitų nėra. Sisteminis klirensas yra apie 10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l/val., dėl to rivaroksabanas gali būti priskiriamas prie mažo klirenso medžiagų. 1</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dozę suleidus į veną, pusinės eliminacijos periodas trunka apie 4,5 valandos. Išgėrus eliminacija yra ribojama dėl absorbcijos greičio. Rivaroksabano </w:t>
      </w:r>
      <w:r w:rsidRPr="003E364C">
        <w:rPr>
          <w:rFonts w:ascii="Times New Roman" w:eastAsia="Times New Roman" w:hAnsi="Times New Roman" w:cs="Times New Roman"/>
          <w:snapToGrid w:val="0"/>
        </w:rPr>
        <w:lastRenderedPageBreak/>
        <w:t>galutinis pusinės eliminacijos iš kraujo plazmos laikas jauniems asmenims yra nuo 5 iki 9 valandų, senyviems asmenims – nuo 11 iki 13 valandų.</w:t>
      </w:r>
    </w:p>
    <w:p w14:paraId="4F9F0E98"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23FFCCDD" w14:textId="77777777" w:rsidR="003E364C" w:rsidRPr="000E2F8F" w:rsidRDefault="003E364C" w:rsidP="000E2F8F">
      <w:pPr>
        <w:tabs>
          <w:tab w:val="left" w:pos="567"/>
        </w:tabs>
        <w:spacing w:after="0" w:line="240" w:lineRule="auto"/>
        <w:ind w:right="-2"/>
        <w:rPr>
          <w:rFonts w:ascii="Times New Roman" w:eastAsia="Times New Roman" w:hAnsi="Times New Roman" w:cs="Times New Roman"/>
          <w:iCs/>
          <w:u w:val="single"/>
          <w:lang w:eastAsia="lt-LT"/>
        </w:rPr>
      </w:pPr>
      <w:r w:rsidRPr="000E2F8F">
        <w:rPr>
          <w:rFonts w:ascii="Times New Roman" w:eastAsia="Times New Roman" w:hAnsi="Times New Roman" w:cs="Times New Roman"/>
          <w:iCs/>
          <w:u w:val="single"/>
          <w:lang w:eastAsia="lt-LT"/>
        </w:rPr>
        <w:t>Vaikų populiacija</w:t>
      </w:r>
    </w:p>
    <w:p w14:paraId="2763067D" w14:textId="77777777" w:rsidR="003E364C" w:rsidRPr="00A8032B" w:rsidRDefault="003E364C" w:rsidP="000E2F8F">
      <w:pPr>
        <w:tabs>
          <w:tab w:val="left" w:pos="567"/>
        </w:tabs>
        <w:spacing w:after="0" w:line="240" w:lineRule="auto"/>
        <w:ind w:right="-2"/>
        <w:rPr>
          <w:rFonts w:ascii="Times New Roman" w:eastAsia="Times New Roman" w:hAnsi="Times New Roman" w:cs="Times New Roman"/>
          <w:iCs/>
          <w:lang w:eastAsia="lt-LT"/>
        </w:rPr>
      </w:pPr>
      <w:r w:rsidRPr="00A8032B">
        <w:rPr>
          <w:rFonts w:ascii="Times New Roman" w:eastAsia="Times New Roman" w:hAnsi="Times New Roman" w:cs="Times New Roman"/>
          <w:iCs/>
          <w:lang w:eastAsia="lt-LT"/>
        </w:rPr>
        <w:t>Vaikams specifinių metabolizmo duomenų nėra. Farmakokinetikos duomenų, rivaroksabano suleidus vaikams į veną, nėra. Taikant populiacijos farmakokinetikos modeliavimą, vaikams (nuo</w:t>
      </w:r>
    </w:p>
    <w:p w14:paraId="1CFCB8D6" w14:textId="45BE6715" w:rsidR="003E364C" w:rsidRPr="000E2F8F" w:rsidRDefault="003E364C" w:rsidP="000E2F8F">
      <w:pPr>
        <w:tabs>
          <w:tab w:val="left" w:pos="567"/>
        </w:tabs>
        <w:spacing w:after="0" w:line="240" w:lineRule="auto"/>
        <w:ind w:right="-2"/>
        <w:rPr>
          <w:rFonts w:ascii="Times New Roman" w:eastAsia="Times New Roman" w:hAnsi="Times New Roman" w:cs="Times New Roman"/>
          <w:iCs/>
          <w:u w:val="single"/>
          <w:lang w:eastAsia="lt-LT"/>
        </w:rPr>
      </w:pPr>
      <w:r w:rsidRPr="00A8032B">
        <w:rPr>
          <w:rFonts w:ascii="Times New Roman" w:eastAsia="Times New Roman" w:hAnsi="Times New Roman" w:cs="Times New Roman"/>
          <w:iCs/>
          <w:lang w:eastAsia="lt-LT"/>
        </w:rPr>
        <w:t>0 iki &lt; 18 metų amžiaus) apskaičiuotas klirensas (CL), išgėrus rivaroksabano, priklauso nuo kūno svorio, jį apibūdina alometrinė funkcija ir, jei tiriamojo asmens kūno svoris yra 82,8 kg, CL vidurkis siekia 8 l/val. Mažėjant amžiui, pusinių eliminacijos laikų (t1/2) geometrinio vidurkio reikšmės, apskaičiuotos taikant farmakokinetikos modeliavimą, mažėja, ir jos svyruoja nuo 4,2</w:t>
      </w:r>
      <w:r w:rsidR="00890A97" w:rsidRPr="00A8032B">
        <w:rPr>
          <w:rFonts w:ascii="Times New Roman" w:eastAsia="Times New Roman" w:hAnsi="Times New Roman" w:cs="Times New Roman"/>
          <w:iCs/>
          <w:lang w:eastAsia="lt-LT"/>
        </w:rPr>
        <w:t> </w:t>
      </w:r>
      <w:r w:rsidRPr="00A8032B">
        <w:rPr>
          <w:rFonts w:ascii="Times New Roman" w:eastAsia="Times New Roman" w:hAnsi="Times New Roman" w:cs="Times New Roman"/>
          <w:iCs/>
          <w:lang w:eastAsia="lt-LT"/>
        </w:rPr>
        <w:t>val. paaugliams iki maždaug 3</w:t>
      </w:r>
      <w:r w:rsidR="00890A97" w:rsidRPr="00A8032B">
        <w:rPr>
          <w:rFonts w:ascii="Times New Roman" w:eastAsia="Times New Roman" w:hAnsi="Times New Roman" w:cs="Times New Roman"/>
          <w:iCs/>
          <w:lang w:eastAsia="lt-LT"/>
        </w:rPr>
        <w:t> </w:t>
      </w:r>
      <w:r w:rsidRPr="00A8032B">
        <w:rPr>
          <w:rFonts w:ascii="Times New Roman" w:eastAsia="Times New Roman" w:hAnsi="Times New Roman" w:cs="Times New Roman"/>
          <w:iCs/>
          <w:lang w:eastAsia="lt-LT"/>
        </w:rPr>
        <w:t>val. 2–12 metų vaikams ir iki 1,9 val. bei 1,6 val. atitinkamai 0,5–&lt;</w:t>
      </w:r>
      <w:r w:rsidR="00995988" w:rsidRPr="00A8032B">
        <w:rPr>
          <w:rFonts w:ascii="Times New Roman" w:eastAsia="Times New Roman" w:hAnsi="Times New Roman" w:cs="Times New Roman"/>
          <w:iCs/>
          <w:lang w:eastAsia="lt-LT"/>
        </w:rPr>
        <w:t> </w:t>
      </w:r>
      <w:r w:rsidRPr="00A8032B">
        <w:rPr>
          <w:rFonts w:ascii="Times New Roman" w:eastAsia="Times New Roman" w:hAnsi="Times New Roman" w:cs="Times New Roman"/>
          <w:iCs/>
          <w:lang w:eastAsia="lt-LT"/>
        </w:rPr>
        <w:t>2 metų ir jaunesniems kaip 0,5 metų amžiaus vaikams.</w:t>
      </w:r>
    </w:p>
    <w:p w14:paraId="264BB1E6" w14:textId="77777777" w:rsidR="003E364C" w:rsidRPr="000E2F8F" w:rsidRDefault="003E364C" w:rsidP="000E2F8F">
      <w:pPr>
        <w:tabs>
          <w:tab w:val="left" w:pos="567"/>
        </w:tabs>
        <w:spacing w:after="0" w:line="240" w:lineRule="auto"/>
        <w:ind w:right="-2"/>
        <w:rPr>
          <w:rFonts w:ascii="Times New Roman" w:eastAsia="Times New Roman" w:hAnsi="Times New Roman" w:cs="Times New Roman"/>
          <w:iCs/>
          <w:u w:val="single"/>
          <w:lang w:eastAsia="lt-LT"/>
        </w:rPr>
      </w:pPr>
    </w:p>
    <w:p w14:paraId="40F49B52" w14:textId="77777777" w:rsidR="003E364C" w:rsidRPr="000E2F8F" w:rsidRDefault="003E364C" w:rsidP="000E2F8F">
      <w:pPr>
        <w:tabs>
          <w:tab w:val="left" w:pos="567"/>
        </w:tabs>
        <w:spacing w:after="0" w:line="240" w:lineRule="auto"/>
        <w:ind w:right="-2"/>
        <w:rPr>
          <w:rFonts w:ascii="Times New Roman" w:eastAsia="Times New Roman" w:hAnsi="Times New Roman" w:cs="Times New Roman"/>
          <w:iCs/>
          <w:u w:val="single"/>
          <w:lang w:eastAsia="lt-LT"/>
        </w:rPr>
      </w:pPr>
      <w:r w:rsidRPr="000E2F8F">
        <w:rPr>
          <w:rFonts w:ascii="Times New Roman" w:eastAsia="Times New Roman" w:hAnsi="Times New Roman" w:cs="Times New Roman"/>
          <w:iCs/>
          <w:u w:val="single"/>
          <w:lang w:eastAsia="lt-LT"/>
        </w:rPr>
        <w:t>Ypatingos populiacijos</w:t>
      </w:r>
    </w:p>
    <w:p w14:paraId="02F77FAB" w14:textId="0E148B24" w:rsidR="003E364C" w:rsidRPr="000E2F8F" w:rsidRDefault="003E364C" w:rsidP="000E2F8F">
      <w:pPr>
        <w:tabs>
          <w:tab w:val="left" w:pos="567"/>
        </w:tabs>
        <w:spacing w:after="0" w:line="240" w:lineRule="auto"/>
        <w:ind w:right="-2"/>
        <w:rPr>
          <w:rFonts w:ascii="Times New Roman" w:eastAsia="Times New Roman" w:hAnsi="Times New Roman" w:cs="Times New Roman"/>
          <w:iCs/>
          <w:u w:val="single"/>
          <w:lang w:eastAsia="lt-LT"/>
        </w:rPr>
      </w:pPr>
      <w:r w:rsidRPr="00762725">
        <w:rPr>
          <w:rFonts w:ascii="Times New Roman" w:eastAsia="Times New Roman" w:hAnsi="Times New Roman" w:cs="Times New Roman"/>
          <w:i/>
          <w:iCs/>
          <w:lang w:eastAsia="lt-LT"/>
        </w:rPr>
        <w:t>Lytis</w:t>
      </w:r>
    </w:p>
    <w:p w14:paraId="6BE985A8" w14:textId="77777777" w:rsidR="003E364C" w:rsidRPr="00A8032B" w:rsidRDefault="003E364C" w:rsidP="000E2F8F">
      <w:pPr>
        <w:tabs>
          <w:tab w:val="left" w:pos="567"/>
        </w:tabs>
        <w:spacing w:after="0" w:line="240" w:lineRule="auto"/>
        <w:ind w:right="-2"/>
        <w:rPr>
          <w:rFonts w:ascii="Times New Roman" w:eastAsia="Times New Roman" w:hAnsi="Times New Roman" w:cs="Times New Roman"/>
          <w:iCs/>
          <w:lang w:eastAsia="lt-LT"/>
        </w:rPr>
      </w:pPr>
      <w:r w:rsidRPr="00A8032B">
        <w:rPr>
          <w:rFonts w:ascii="Times New Roman" w:eastAsia="Times New Roman" w:hAnsi="Times New Roman" w:cs="Times New Roman"/>
          <w:iCs/>
          <w:lang w:eastAsia="lt-LT"/>
        </w:rPr>
        <w:t>Klinikiniu požiūriu reikšmingų farmakokinetikos ir farmakodinamikos skirtumų tarp suaugusių vyrų ir moterų nustatyta nebuvo. Taikant tiriamąją analizę, reikšmingų rivaroksabano ekspozicijos skirtumų tarp berniukų ir mergaičių nenustatyta.</w:t>
      </w:r>
    </w:p>
    <w:p w14:paraId="78B96342" w14:textId="77777777" w:rsidR="003E364C" w:rsidRPr="000E2F8F" w:rsidRDefault="003E364C" w:rsidP="000E2F8F">
      <w:pPr>
        <w:tabs>
          <w:tab w:val="left" w:pos="567"/>
        </w:tabs>
        <w:spacing w:after="0" w:line="240" w:lineRule="auto"/>
        <w:ind w:right="-2"/>
        <w:rPr>
          <w:rFonts w:ascii="Times New Roman" w:eastAsia="Times New Roman" w:hAnsi="Times New Roman" w:cs="Times New Roman"/>
          <w:iCs/>
          <w:u w:val="single"/>
          <w:lang w:eastAsia="lt-LT"/>
        </w:rPr>
      </w:pPr>
    </w:p>
    <w:p w14:paraId="7B21DB07" w14:textId="77777777" w:rsidR="003E364C" w:rsidRPr="000E2F8F" w:rsidRDefault="003E364C" w:rsidP="000E2F8F">
      <w:pPr>
        <w:tabs>
          <w:tab w:val="left" w:pos="567"/>
        </w:tabs>
        <w:spacing w:after="0" w:line="240" w:lineRule="auto"/>
        <w:ind w:right="-2"/>
        <w:rPr>
          <w:rFonts w:ascii="Times New Roman" w:eastAsia="Times New Roman" w:hAnsi="Times New Roman" w:cs="Times New Roman"/>
          <w:iCs/>
          <w:u w:val="single"/>
          <w:lang w:eastAsia="lt-LT"/>
        </w:rPr>
      </w:pPr>
      <w:r w:rsidRPr="00762725">
        <w:rPr>
          <w:rFonts w:ascii="Times New Roman" w:eastAsia="Times New Roman" w:hAnsi="Times New Roman" w:cs="Times New Roman"/>
          <w:i/>
          <w:iCs/>
          <w:lang w:eastAsia="lt-LT"/>
        </w:rPr>
        <w:t>Senyvi pacientai</w:t>
      </w:r>
    </w:p>
    <w:p w14:paraId="5CDC85B7" w14:textId="77777777" w:rsidR="003E364C" w:rsidRPr="00A8032B" w:rsidRDefault="003E364C" w:rsidP="000E2F8F">
      <w:pPr>
        <w:tabs>
          <w:tab w:val="left" w:pos="567"/>
        </w:tabs>
        <w:spacing w:after="0" w:line="240" w:lineRule="auto"/>
        <w:ind w:right="-2"/>
        <w:rPr>
          <w:rFonts w:ascii="Times New Roman" w:eastAsia="Times New Roman" w:hAnsi="Times New Roman" w:cs="Times New Roman"/>
          <w:iCs/>
          <w:lang w:eastAsia="lt-LT"/>
        </w:rPr>
      </w:pPr>
      <w:r w:rsidRPr="00A8032B">
        <w:rPr>
          <w:rFonts w:ascii="Times New Roman" w:eastAsia="Times New Roman" w:hAnsi="Times New Roman" w:cs="Times New Roman"/>
          <w:iCs/>
          <w:lang w:eastAsia="lt-LT"/>
        </w:rPr>
        <w:t>Senyviems pacientams nustatyta didesnė koncentracija plazmoje nei jaunesniems pacientams, ir vidutinė AUC vertė buvo apytiksliai 1,5 karto didesnė daugiausiai dėl sumažėjusio (tikrojo) bendro ir inkstų klirenso. Dozės koreguoti nereikia.</w:t>
      </w:r>
    </w:p>
    <w:p w14:paraId="27473E15" w14:textId="77777777" w:rsidR="009A6CE4" w:rsidRDefault="009A6CE4" w:rsidP="000E2F8F">
      <w:pPr>
        <w:tabs>
          <w:tab w:val="left" w:pos="567"/>
        </w:tabs>
        <w:spacing w:after="0" w:line="240" w:lineRule="auto"/>
        <w:ind w:right="-2"/>
        <w:rPr>
          <w:rFonts w:ascii="Times New Roman" w:eastAsia="Times New Roman" w:hAnsi="Times New Roman" w:cs="Times New Roman"/>
          <w:i/>
          <w:iCs/>
          <w:lang w:eastAsia="lt-LT"/>
        </w:rPr>
      </w:pPr>
    </w:p>
    <w:p w14:paraId="67AD1CDA" w14:textId="0980A504" w:rsidR="003E364C" w:rsidRPr="00762725" w:rsidRDefault="003E364C" w:rsidP="000E2F8F">
      <w:pPr>
        <w:tabs>
          <w:tab w:val="left" w:pos="567"/>
        </w:tabs>
        <w:spacing w:after="0" w:line="240" w:lineRule="auto"/>
        <w:ind w:right="-2"/>
        <w:rPr>
          <w:rFonts w:ascii="Times New Roman" w:eastAsia="Times New Roman" w:hAnsi="Times New Roman" w:cs="Times New Roman"/>
          <w:i/>
          <w:iCs/>
          <w:lang w:eastAsia="lt-LT"/>
        </w:rPr>
      </w:pPr>
      <w:r w:rsidRPr="00762725">
        <w:rPr>
          <w:rFonts w:ascii="Times New Roman" w:eastAsia="Times New Roman" w:hAnsi="Times New Roman" w:cs="Times New Roman"/>
          <w:i/>
          <w:iCs/>
          <w:lang w:eastAsia="lt-LT"/>
        </w:rPr>
        <w:t>Skirtingas svoris</w:t>
      </w:r>
    </w:p>
    <w:p w14:paraId="7738CC9B" w14:textId="77AFE49B" w:rsidR="003E364C" w:rsidRPr="00B264CF" w:rsidRDefault="003E364C" w:rsidP="000E2F8F">
      <w:pPr>
        <w:tabs>
          <w:tab w:val="left" w:pos="567"/>
        </w:tabs>
        <w:spacing w:after="0" w:line="240" w:lineRule="auto"/>
        <w:ind w:right="-2"/>
        <w:rPr>
          <w:rFonts w:ascii="Times New Roman" w:eastAsia="Times New Roman" w:hAnsi="Times New Roman" w:cs="Times New Roman"/>
          <w:iCs/>
          <w:lang w:eastAsia="lt-LT"/>
        </w:rPr>
      </w:pPr>
      <w:r w:rsidRPr="00B264CF">
        <w:rPr>
          <w:rFonts w:ascii="Times New Roman" w:eastAsia="Times New Roman" w:hAnsi="Times New Roman" w:cs="Times New Roman"/>
          <w:iCs/>
          <w:lang w:eastAsia="lt-LT"/>
        </w:rPr>
        <w:t>Suaugusiesiems svorio kraštutinumai (&lt;</w:t>
      </w:r>
      <w:r w:rsidR="00995988" w:rsidRPr="00B264CF">
        <w:rPr>
          <w:rFonts w:ascii="Times New Roman" w:eastAsia="Times New Roman" w:hAnsi="Times New Roman" w:cs="Times New Roman"/>
          <w:iCs/>
          <w:lang w:eastAsia="lt-LT"/>
        </w:rPr>
        <w:t> </w:t>
      </w:r>
      <w:r w:rsidRPr="00B264CF">
        <w:rPr>
          <w:rFonts w:ascii="Times New Roman" w:eastAsia="Times New Roman" w:hAnsi="Times New Roman" w:cs="Times New Roman"/>
          <w:iCs/>
          <w:lang w:eastAsia="lt-LT"/>
        </w:rPr>
        <w:t>50 kg arba &gt;</w:t>
      </w:r>
      <w:r w:rsidR="00995988" w:rsidRPr="00B264CF">
        <w:rPr>
          <w:rFonts w:ascii="Times New Roman" w:eastAsia="Times New Roman" w:hAnsi="Times New Roman" w:cs="Times New Roman"/>
          <w:iCs/>
          <w:lang w:eastAsia="lt-LT"/>
        </w:rPr>
        <w:t> </w:t>
      </w:r>
      <w:r w:rsidRPr="00B264CF">
        <w:rPr>
          <w:rFonts w:ascii="Times New Roman" w:eastAsia="Times New Roman" w:hAnsi="Times New Roman" w:cs="Times New Roman"/>
          <w:iCs/>
          <w:lang w:eastAsia="lt-LT"/>
        </w:rPr>
        <w:t>120 kg) turėjo tik mažai įtakos rivaroksabano plazmos koncentracijai (mažiau nei 25</w:t>
      </w:r>
      <w:r w:rsidR="00AD441E" w:rsidRPr="00B264CF">
        <w:rPr>
          <w:rFonts w:ascii="Times New Roman" w:eastAsia="Times New Roman" w:hAnsi="Times New Roman" w:cs="Times New Roman"/>
          <w:iCs/>
          <w:lang w:eastAsia="lt-LT"/>
        </w:rPr>
        <w:t> %</w:t>
      </w:r>
      <w:r w:rsidRPr="00B264CF">
        <w:rPr>
          <w:rFonts w:ascii="Times New Roman" w:eastAsia="Times New Roman" w:hAnsi="Times New Roman" w:cs="Times New Roman"/>
          <w:iCs/>
          <w:lang w:eastAsia="lt-LT"/>
        </w:rPr>
        <w:t>). Dozės koreguoti nereikia.</w:t>
      </w:r>
    </w:p>
    <w:p w14:paraId="590E4859"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Vaikams rivaroksabanas dozuojamas pagal kūno svorį. Taikant tiriamąją analizę, reikšmingos nepakankamo svorio ar nutukimo įtakos rivaroksabano ekspozicijai vaikams nenustatyta.</w:t>
      </w:r>
    </w:p>
    <w:p w14:paraId="13FA69D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08BBC32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i/>
          <w:iCs/>
          <w:snapToGrid w:val="0"/>
        </w:rPr>
      </w:pPr>
      <w:r w:rsidRPr="003E364C">
        <w:rPr>
          <w:rFonts w:ascii="Times New Roman" w:eastAsia="Times New Roman" w:hAnsi="Times New Roman" w:cs="Times New Roman"/>
          <w:i/>
          <w:iCs/>
          <w:snapToGrid w:val="0"/>
        </w:rPr>
        <w:t>Etniniai skirtumai</w:t>
      </w:r>
    </w:p>
    <w:p w14:paraId="2639E19E"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Atsižvelgiant į rivaroksabano farmakokinetiką ir farmakodinamiką, kliniškai reikšmingų skirtumų tarp baltųjų, afroamerikiečių, ispanų, japonų ar kinų etninių grupių suaugusių pacientų nustatyta nebuvo.</w:t>
      </w:r>
    </w:p>
    <w:p w14:paraId="15914451"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Taikant tiriamąją analizę, reikšmingų rivaroksabano ekspozicijos skirtumų tarp japonų, kinų arba azijiečių (ne japonų ir ne kinų) etninių grupių vaikų, palyginti su atitinkama bendra vaikų populiacija, nenustatyta.</w:t>
      </w:r>
    </w:p>
    <w:p w14:paraId="00F689B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0D0D93A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Sutrikusi kepenų funkcija</w:t>
      </w:r>
    </w:p>
    <w:p w14:paraId="5CE688FE"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Kepenų ciroze sergantiems suaugusiesiems pacientams, kuriems buvo lengvas kepenų funkcijos sutrikimas (A klasė pagal </w:t>
      </w:r>
      <w:r w:rsidRPr="003E364C">
        <w:rPr>
          <w:rFonts w:ascii="Times New Roman" w:eastAsia="Times New Roman" w:hAnsi="Times New Roman" w:cs="Times New Roman"/>
          <w:i/>
          <w:snapToGrid w:val="0"/>
        </w:rPr>
        <w:t>Child Pugh</w:t>
      </w:r>
      <w:r w:rsidRPr="003E364C">
        <w:rPr>
          <w:rFonts w:ascii="Times New Roman" w:eastAsia="Times New Roman" w:hAnsi="Times New Roman" w:cs="Times New Roman"/>
          <w:snapToGrid w:val="0"/>
        </w:rPr>
        <w:t xml:space="preserve">), buvo stebimi tik nedideli rivaroksabano farmakokinetikos pakitimai (vidutiniškai 1,2 karto padidėjęs rivaroksabano AUC), beveik palyginami su atitinkama sveikų asmenų kontroline grupe. Kepenų ciroze sergantiems pacientams, kuriems buvo vidutinio sunkumo kepenų funkcijos sutrikimas (B klasė pagal </w:t>
      </w:r>
      <w:r w:rsidRPr="003E364C">
        <w:rPr>
          <w:rFonts w:ascii="Times New Roman" w:eastAsia="Times New Roman" w:hAnsi="Times New Roman" w:cs="Times New Roman"/>
          <w:i/>
          <w:snapToGrid w:val="0"/>
        </w:rPr>
        <w:t>Child Pugh</w:t>
      </w:r>
      <w:r w:rsidRPr="003E364C">
        <w:rPr>
          <w:rFonts w:ascii="Times New Roman" w:eastAsia="Times New Roman" w:hAnsi="Times New Roman" w:cs="Times New Roman"/>
          <w:snapToGrid w:val="0"/>
        </w:rPr>
        <w:t>), rivaroksabano vidutinis AUC buvo žymiai padidėjęs 2,3 karto, palyginti su sveikų savanorių. Laisvas AUC padidėjo 2,6 karto. Šių pacientų rivaroksabano eliminacija taip pat buvo susilpnėjusi, panašiai kaip ir pacientų, kuriems buvo vidutinio sunkumo inkstų funkcijos sutrikimas. Nėra duomenų apie pacientus, kuriems yra sunkus kepenų funkcijos sutrikimas.</w:t>
      </w:r>
    </w:p>
    <w:p w14:paraId="1322725F"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Xa faktoriaus aktyvumo slopinimas pacientams, kuriems buvo vidutinio sunkumo kepenų funkcijos sutrikimas, buvo padidėjęs 2,6 karto, palyginti su sveikų savanorių, PL (angl. </w:t>
      </w:r>
      <w:r w:rsidRPr="003E364C">
        <w:rPr>
          <w:rFonts w:ascii="Times New Roman" w:eastAsia="Times New Roman" w:hAnsi="Times New Roman" w:cs="Times New Roman"/>
          <w:i/>
          <w:snapToGrid w:val="0"/>
        </w:rPr>
        <w:t>prothrombin time</w:t>
      </w:r>
      <w:r w:rsidRPr="003E364C">
        <w:rPr>
          <w:rFonts w:ascii="Times New Roman" w:eastAsia="Times New Roman" w:hAnsi="Times New Roman" w:cs="Times New Roman"/>
          <w:snapToGrid w:val="0"/>
        </w:rPr>
        <w:t xml:space="preserve">) buvo pailgėjęs panašiai – 2,1 karto. Pacientai, kuriems buvo vidutinio sunkumo kepenų funkcijos </w:t>
      </w:r>
      <w:r w:rsidRPr="003E364C">
        <w:rPr>
          <w:rFonts w:ascii="Times New Roman" w:eastAsia="Times New Roman" w:hAnsi="Times New Roman" w:cs="Times New Roman"/>
          <w:snapToGrid w:val="0"/>
        </w:rPr>
        <w:lastRenderedPageBreak/>
        <w:t>sutrikimas, buvo jautresni rivaroksabanui, todėl buvo didesnis jų farmakokinetikos / farmakodinamikos santykis tarp koncentracijos ir PL.</w:t>
      </w:r>
    </w:p>
    <w:p w14:paraId="2B8A6C7F"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Rivaroksabano draudžiama vartoti pacientams, kurie serga kepenų ligomis, susijusiomis su koagulopatija ir klinikiniu požiūriu reikšminga kraujavimo rizika, įskaitant pacientus, sergančius kepenų ciroze (B ir C klasės pagal </w:t>
      </w:r>
      <w:r w:rsidRPr="003E364C">
        <w:rPr>
          <w:rFonts w:ascii="Times New Roman" w:eastAsia="Times New Roman" w:hAnsi="Times New Roman" w:cs="Times New Roman"/>
          <w:i/>
          <w:snapToGrid w:val="0"/>
        </w:rPr>
        <w:t>Child Pugh</w:t>
      </w:r>
      <w:r w:rsidRPr="003E364C">
        <w:rPr>
          <w:rFonts w:ascii="Times New Roman" w:eastAsia="Times New Roman" w:hAnsi="Times New Roman" w:cs="Times New Roman"/>
          <w:snapToGrid w:val="0"/>
        </w:rPr>
        <w:t>) (žr. 4.3 skyrių).</w:t>
      </w:r>
    </w:p>
    <w:p w14:paraId="787110A3"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Vaikams, kurių sutrikusi kepenų funkcija, klinikinių duomenų nėra.</w:t>
      </w:r>
    </w:p>
    <w:p w14:paraId="24982884"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7C57079F"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Sutrikusi inkstų funkcija</w:t>
      </w:r>
    </w:p>
    <w:p w14:paraId="31CC5D64"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Suaugusiesiems rivaroksabano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 15 ml/min, nėra.</w:t>
      </w:r>
    </w:p>
    <w:p w14:paraId="08279E46"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Daug rivaroksabano prisijungia prie žmogaus plazmos baltymų, todėl manoma, kad dializės metu jo nepašalinama.</w:t>
      </w:r>
    </w:p>
    <w:p w14:paraId="72EF87D8"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Nerekomenduojama skirti pacientams, kurių kreatinino klirensas &lt; 15 ml/min. Pacientams, kurių kreatinino klirensas 15–29 ml/min, rivaroksabano reikia skirti atsargiai (žr. 4.4 skyrių).</w:t>
      </w:r>
    </w:p>
    <w:p w14:paraId="6A3B4DF2"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 metų amžiaus arba vyresniems vaikams, kuriems yra vidutinio sunkumo arba sunkus inkstų funkcijos sutrikimas (glomerulų filtracijos greitis &lt; 50 ml/min./1,73 m2), klinikinių duomenų nėra.</w:t>
      </w:r>
    </w:p>
    <w:p w14:paraId="002A2D16"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6D10553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Pacientų farmakokinetikos duomenys</w:t>
      </w:r>
    </w:p>
    <w:p w14:paraId="26A32AD4" w14:textId="51B83111"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Pacientams, vartojusiems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vieną kartą per parą ūminei giliųjų venų trombozei (GVT) gydyti, geometrinis koncentracijos vidurkis (90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prognozavimo intervalas), praėjus 2–4 val. ir maždaug 24 val. po dozės pavartojimo (apytikriai tai atitinka didžiausią ir mažiausią koncentraciją laikotarpiu tarp dozių) atitinkamai buvo 215 (22–535) ir 32 (6–239) μg/l.</w:t>
      </w:r>
    </w:p>
    <w:p w14:paraId="5CAEE04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3BDE0444" w14:textId="70411358"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Vaikams, sergantiems ūmine VTE ir vartojantiems pagal kūno svorį dozuojamo rivaroksabano, siekiant panašios ekspozicijos kaip ir suaugusiems pacientams, vieną kartą per parą vartojantiems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rivaroksabano nuo GVT, koncentracijų geometriniai vidurkiai (90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intervalas), kai mėginių </w:t>
      </w:r>
      <w:r w:rsidRPr="003E364C">
        <w:rPr>
          <w:rFonts w:ascii="Times New Roman" w:eastAsia="Times New Roman" w:hAnsi="Times New Roman" w:cs="Times New Roman"/>
          <w:snapToGrid w:val="0"/>
        </w:rPr>
        <w:lastRenderedPageBreak/>
        <w:t>paėmimo intervalai apytikriai atitinka didžiausią ir mažiausią tarp dozių susidarančią koncentraciją, apibendrinami 13 lentelėje.</w:t>
      </w:r>
    </w:p>
    <w:p w14:paraId="4F5678B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43613641" w14:textId="2E82EB03"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13 lentelė. Rivaroksabano koncentracijos pusiausvyros sąlygomis (μg/l) statistikos suvestinė (geometrinis vidurkis (90</w:t>
      </w:r>
      <w:r w:rsidR="00AD441E">
        <w:rPr>
          <w:rFonts w:ascii="Times New Roman" w:eastAsia="Times New Roman" w:hAnsi="Times New Roman" w:cs="Times New Roman"/>
          <w:b/>
          <w:bCs/>
          <w:snapToGrid w:val="0"/>
        </w:rPr>
        <w:t> %</w:t>
      </w:r>
      <w:r w:rsidRPr="003E364C">
        <w:rPr>
          <w:rFonts w:ascii="Times New Roman" w:eastAsia="Times New Roman" w:hAnsi="Times New Roman" w:cs="Times New Roman"/>
          <w:b/>
          <w:bCs/>
          <w:snapToGrid w:val="0"/>
        </w:rPr>
        <w:t xml:space="preserve"> intervalas)) pagal dozavimo režimą ir amžių</w:t>
      </w:r>
    </w:p>
    <w:tbl>
      <w:tblPr>
        <w:tblW w:w="9494" w:type="dxa"/>
        <w:tblInd w:w="110" w:type="dxa"/>
        <w:tblLayout w:type="fixed"/>
        <w:tblCellMar>
          <w:left w:w="0" w:type="dxa"/>
          <w:right w:w="0" w:type="dxa"/>
        </w:tblCellMar>
        <w:tblLook w:val="0000" w:firstRow="0" w:lastRow="0" w:firstColumn="0" w:lastColumn="0" w:noHBand="0" w:noVBand="0"/>
      </w:tblPr>
      <w:tblGrid>
        <w:gridCol w:w="1337"/>
        <w:gridCol w:w="565"/>
        <w:gridCol w:w="1537"/>
        <w:gridCol w:w="514"/>
        <w:gridCol w:w="1459"/>
        <w:gridCol w:w="443"/>
        <w:gridCol w:w="1494"/>
        <w:gridCol w:w="437"/>
        <w:gridCol w:w="1708"/>
      </w:tblGrid>
      <w:tr w:rsidR="003E364C" w:rsidRPr="003E364C" w14:paraId="0D9A77B2" w14:textId="77777777" w:rsidTr="0096285A">
        <w:trPr>
          <w:trHeight w:val="516"/>
        </w:trPr>
        <w:tc>
          <w:tcPr>
            <w:tcW w:w="1337" w:type="dxa"/>
            <w:tcBorders>
              <w:top w:val="single" w:sz="4" w:space="0" w:color="000000"/>
              <w:left w:val="single" w:sz="4" w:space="0" w:color="000000"/>
              <w:bottom w:val="single" w:sz="4" w:space="0" w:color="000000"/>
              <w:right w:val="single" w:sz="4" w:space="0" w:color="000000"/>
            </w:tcBorders>
          </w:tcPr>
          <w:p w14:paraId="036B438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Laiko intervalai</w:t>
            </w:r>
          </w:p>
        </w:tc>
        <w:tc>
          <w:tcPr>
            <w:tcW w:w="565" w:type="dxa"/>
            <w:tcBorders>
              <w:top w:val="single" w:sz="4" w:space="0" w:color="000000"/>
              <w:left w:val="single" w:sz="4" w:space="0" w:color="000000"/>
              <w:bottom w:val="single" w:sz="4" w:space="0" w:color="000000"/>
              <w:right w:val="single" w:sz="4" w:space="0" w:color="000000"/>
            </w:tcBorders>
          </w:tcPr>
          <w:p w14:paraId="450ADC8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537" w:type="dxa"/>
            <w:tcBorders>
              <w:top w:val="single" w:sz="4" w:space="0" w:color="000000"/>
              <w:left w:val="single" w:sz="4" w:space="0" w:color="000000"/>
              <w:bottom w:val="single" w:sz="4" w:space="0" w:color="000000"/>
              <w:right w:val="single" w:sz="4" w:space="0" w:color="000000"/>
            </w:tcBorders>
          </w:tcPr>
          <w:p w14:paraId="4CB9EC6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514" w:type="dxa"/>
            <w:tcBorders>
              <w:top w:val="single" w:sz="4" w:space="0" w:color="000000"/>
              <w:left w:val="single" w:sz="4" w:space="0" w:color="000000"/>
              <w:bottom w:val="single" w:sz="4" w:space="0" w:color="000000"/>
              <w:right w:val="single" w:sz="4" w:space="0" w:color="000000"/>
            </w:tcBorders>
          </w:tcPr>
          <w:p w14:paraId="13AECCF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59" w:type="dxa"/>
            <w:tcBorders>
              <w:top w:val="single" w:sz="4" w:space="0" w:color="000000"/>
              <w:left w:val="single" w:sz="4" w:space="0" w:color="000000"/>
              <w:bottom w:val="single" w:sz="4" w:space="0" w:color="000000"/>
              <w:right w:val="single" w:sz="4" w:space="0" w:color="000000"/>
            </w:tcBorders>
          </w:tcPr>
          <w:p w14:paraId="33FAC7C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43" w:type="dxa"/>
            <w:tcBorders>
              <w:top w:val="single" w:sz="4" w:space="0" w:color="000000"/>
              <w:left w:val="single" w:sz="4" w:space="0" w:color="000000"/>
              <w:bottom w:val="single" w:sz="4" w:space="0" w:color="000000"/>
              <w:right w:val="single" w:sz="4" w:space="0" w:color="000000"/>
            </w:tcBorders>
          </w:tcPr>
          <w:p w14:paraId="36CEC3C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94" w:type="dxa"/>
            <w:tcBorders>
              <w:top w:val="single" w:sz="4" w:space="0" w:color="000000"/>
              <w:left w:val="single" w:sz="4" w:space="0" w:color="000000"/>
              <w:bottom w:val="single" w:sz="4" w:space="0" w:color="000000"/>
              <w:right w:val="single" w:sz="4" w:space="0" w:color="000000"/>
            </w:tcBorders>
          </w:tcPr>
          <w:p w14:paraId="353A9D9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37" w:type="dxa"/>
            <w:tcBorders>
              <w:top w:val="single" w:sz="4" w:space="0" w:color="000000"/>
              <w:left w:val="single" w:sz="4" w:space="0" w:color="000000"/>
              <w:bottom w:val="single" w:sz="4" w:space="0" w:color="000000"/>
              <w:right w:val="single" w:sz="4" w:space="0" w:color="000000"/>
            </w:tcBorders>
          </w:tcPr>
          <w:p w14:paraId="24BD597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0F1E045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6B1E4F1C" w14:textId="77777777" w:rsidTr="0096285A">
        <w:trPr>
          <w:trHeight w:val="516"/>
        </w:trPr>
        <w:tc>
          <w:tcPr>
            <w:tcW w:w="1337" w:type="dxa"/>
            <w:tcBorders>
              <w:top w:val="single" w:sz="4" w:space="0" w:color="000000"/>
              <w:left w:val="single" w:sz="4" w:space="0" w:color="000000"/>
              <w:bottom w:val="single" w:sz="4" w:space="0" w:color="000000"/>
              <w:right w:val="single" w:sz="4" w:space="0" w:color="000000"/>
            </w:tcBorders>
          </w:tcPr>
          <w:p w14:paraId="79EEB09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VKP</w:t>
            </w:r>
          </w:p>
        </w:tc>
        <w:tc>
          <w:tcPr>
            <w:tcW w:w="565" w:type="dxa"/>
            <w:tcBorders>
              <w:top w:val="single" w:sz="4" w:space="0" w:color="000000"/>
              <w:left w:val="single" w:sz="4" w:space="0" w:color="000000"/>
              <w:bottom w:val="single" w:sz="4" w:space="0" w:color="000000"/>
              <w:right w:val="single" w:sz="4" w:space="0" w:color="000000"/>
            </w:tcBorders>
          </w:tcPr>
          <w:p w14:paraId="54F8A0C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537" w:type="dxa"/>
            <w:tcBorders>
              <w:top w:val="single" w:sz="4" w:space="0" w:color="000000"/>
              <w:left w:val="single" w:sz="4" w:space="0" w:color="000000"/>
              <w:bottom w:val="single" w:sz="4" w:space="0" w:color="000000"/>
              <w:right w:val="single" w:sz="4" w:space="0" w:color="000000"/>
            </w:tcBorders>
          </w:tcPr>
          <w:p w14:paraId="613C3CD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12 - &lt; 18 metų</w:t>
            </w:r>
          </w:p>
        </w:tc>
        <w:tc>
          <w:tcPr>
            <w:tcW w:w="514" w:type="dxa"/>
            <w:tcBorders>
              <w:top w:val="single" w:sz="4" w:space="0" w:color="000000"/>
              <w:left w:val="single" w:sz="4" w:space="0" w:color="000000"/>
              <w:bottom w:val="single" w:sz="4" w:space="0" w:color="000000"/>
              <w:right w:val="single" w:sz="4" w:space="0" w:color="000000"/>
            </w:tcBorders>
          </w:tcPr>
          <w:p w14:paraId="5EF7FD4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59" w:type="dxa"/>
            <w:tcBorders>
              <w:top w:val="single" w:sz="4" w:space="0" w:color="000000"/>
              <w:left w:val="single" w:sz="4" w:space="0" w:color="000000"/>
              <w:bottom w:val="single" w:sz="4" w:space="0" w:color="000000"/>
              <w:right w:val="single" w:sz="4" w:space="0" w:color="000000"/>
            </w:tcBorders>
          </w:tcPr>
          <w:p w14:paraId="6ABD0E9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6 -&lt; 12 metų</w:t>
            </w:r>
          </w:p>
        </w:tc>
        <w:tc>
          <w:tcPr>
            <w:tcW w:w="443" w:type="dxa"/>
            <w:tcBorders>
              <w:top w:val="single" w:sz="4" w:space="0" w:color="000000"/>
              <w:left w:val="single" w:sz="4" w:space="0" w:color="000000"/>
              <w:bottom w:val="single" w:sz="4" w:space="0" w:color="000000"/>
              <w:right w:val="single" w:sz="4" w:space="0" w:color="000000"/>
            </w:tcBorders>
          </w:tcPr>
          <w:p w14:paraId="71E6C49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94" w:type="dxa"/>
            <w:tcBorders>
              <w:top w:val="single" w:sz="4" w:space="0" w:color="000000"/>
              <w:left w:val="single" w:sz="4" w:space="0" w:color="000000"/>
              <w:bottom w:val="single" w:sz="4" w:space="0" w:color="000000"/>
              <w:right w:val="single" w:sz="4" w:space="0" w:color="000000"/>
            </w:tcBorders>
          </w:tcPr>
          <w:p w14:paraId="3D101AF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37" w:type="dxa"/>
            <w:tcBorders>
              <w:top w:val="single" w:sz="4" w:space="0" w:color="000000"/>
              <w:left w:val="single" w:sz="4" w:space="0" w:color="000000"/>
              <w:bottom w:val="single" w:sz="4" w:space="0" w:color="000000"/>
              <w:right w:val="single" w:sz="4" w:space="0" w:color="000000"/>
            </w:tcBorders>
          </w:tcPr>
          <w:p w14:paraId="2DE6337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7350501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304AC714" w14:textId="77777777" w:rsidTr="0096285A">
        <w:trPr>
          <w:trHeight w:val="516"/>
        </w:trPr>
        <w:tc>
          <w:tcPr>
            <w:tcW w:w="1337" w:type="dxa"/>
            <w:tcBorders>
              <w:top w:val="single" w:sz="4" w:space="0" w:color="000000"/>
              <w:left w:val="single" w:sz="4" w:space="0" w:color="000000"/>
              <w:bottom w:val="single" w:sz="4" w:space="0" w:color="000000"/>
              <w:right w:val="single" w:sz="4" w:space="0" w:color="000000"/>
            </w:tcBorders>
          </w:tcPr>
          <w:p w14:paraId="04CDD8A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2,5-4 val. po vartojimo</w:t>
            </w:r>
          </w:p>
        </w:tc>
        <w:tc>
          <w:tcPr>
            <w:tcW w:w="565" w:type="dxa"/>
            <w:tcBorders>
              <w:top w:val="single" w:sz="4" w:space="0" w:color="000000"/>
              <w:left w:val="single" w:sz="4" w:space="0" w:color="000000"/>
              <w:bottom w:val="single" w:sz="4" w:space="0" w:color="000000"/>
              <w:right w:val="single" w:sz="4" w:space="0" w:color="000000"/>
            </w:tcBorders>
          </w:tcPr>
          <w:p w14:paraId="67FCBB9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171</w:t>
            </w:r>
          </w:p>
        </w:tc>
        <w:tc>
          <w:tcPr>
            <w:tcW w:w="1537" w:type="dxa"/>
            <w:tcBorders>
              <w:top w:val="single" w:sz="4" w:space="0" w:color="000000"/>
              <w:left w:val="single" w:sz="4" w:space="0" w:color="000000"/>
              <w:bottom w:val="single" w:sz="4" w:space="0" w:color="000000"/>
              <w:right w:val="single" w:sz="4" w:space="0" w:color="000000"/>
            </w:tcBorders>
          </w:tcPr>
          <w:p w14:paraId="65B613B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241,5</w:t>
            </w:r>
          </w:p>
          <w:p w14:paraId="151EDDE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(105-484)</w:t>
            </w:r>
          </w:p>
        </w:tc>
        <w:tc>
          <w:tcPr>
            <w:tcW w:w="514" w:type="dxa"/>
            <w:tcBorders>
              <w:top w:val="single" w:sz="4" w:space="0" w:color="000000"/>
              <w:left w:val="single" w:sz="4" w:space="0" w:color="000000"/>
              <w:bottom w:val="single" w:sz="4" w:space="0" w:color="000000"/>
              <w:right w:val="single" w:sz="4" w:space="0" w:color="000000"/>
            </w:tcBorders>
          </w:tcPr>
          <w:p w14:paraId="5C337D8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24</w:t>
            </w:r>
          </w:p>
        </w:tc>
        <w:tc>
          <w:tcPr>
            <w:tcW w:w="1459" w:type="dxa"/>
            <w:tcBorders>
              <w:top w:val="single" w:sz="4" w:space="0" w:color="000000"/>
              <w:left w:val="single" w:sz="4" w:space="0" w:color="000000"/>
              <w:bottom w:val="single" w:sz="4" w:space="0" w:color="000000"/>
              <w:right w:val="single" w:sz="4" w:space="0" w:color="000000"/>
            </w:tcBorders>
          </w:tcPr>
          <w:p w14:paraId="3E643827"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229,7</w:t>
            </w:r>
          </w:p>
          <w:p w14:paraId="25CB174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(91,5-777)</w:t>
            </w:r>
          </w:p>
        </w:tc>
        <w:tc>
          <w:tcPr>
            <w:tcW w:w="443" w:type="dxa"/>
            <w:tcBorders>
              <w:top w:val="single" w:sz="4" w:space="0" w:color="000000"/>
              <w:left w:val="single" w:sz="4" w:space="0" w:color="000000"/>
              <w:bottom w:val="single" w:sz="4" w:space="0" w:color="000000"/>
              <w:right w:val="single" w:sz="4" w:space="0" w:color="000000"/>
            </w:tcBorders>
          </w:tcPr>
          <w:p w14:paraId="7B48898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94" w:type="dxa"/>
            <w:tcBorders>
              <w:top w:val="single" w:sz="4" w:space="0" w:color="000000"/>
              <w:left w:val="single" w:sz="4" w:space="0" w:color="000000"/>
              <w:bottom w:val="single" w:sz="4" w:space="0" w:color="000000"/>
              <w:right w:val="single" w:sz="4" w:space="0" w:color="000000"/>
            </w:tcBorders>
          </w:tcPr>
          <w:p w14:paraId="28D0191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37" w:type="dxa"/>
            <w:tcBorders>
              <w:top w:val="single" w:sz="4" w:space="0" w:color="000000"/>
              <w:left w:val="single" w:sz="4" w:space="0" w:color="000000"/>
              <w:bottom w:val="single" w:sz="4" w:space="0" w:color="000000"/>
              <w:right w:val="single" w:sz="4" w:space="0" w:color="000000"/>
            </w:tcBorders>
          </w:tcPr>
          <w:p w14:paraId="525F71A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3298F06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44E832ED" w14:textId="77777777" w:rsidTr="0096285A">
        <w:trPr>
          <w:trHeight w:val="515"/>
        </w:trPr>
        <w:tc>
          <w:tcPr>
            <w:tcW w:w="1337" w:type="dxa"/>
            <w:tcBorders>
              <w:top w:val="single" w:sz="4" w:space="0" w:color="000000"/>
              <w:left w:val="single" w:sz="4" w:space="0" w:color="000000"/>
              <w:bottom w:val="single" w:sz="4" w:space="0" w:color="000000"/>
              <w:right w:val="single" w:sz="4" w:space="0" w:color="000000"/>
            </w:tcBorders>
          </w:tcPr>
          <w:p w14:paraId="3FC41E3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20-24 val. po vartojimo</w:t>
            </w:r>
          </w:p>
        </w:tc>
        <w:tc>
          <w:tcPr>
            <w:tcW w:w="565" w:type="dxa"/>
            <w:tcBorders>
              <w:top w:val="single" w:sz="4" w:space="0" w:color="000000"/>
              <w:left w:val="single" w:sz="4" w:space="0" w:color="000000"/>
              <w:bottom w:val="single" w:sz="4" w:space="0" w:color="000000"/>
              <w:right w:val="single" w:sz="4" w:space="0" w:color="000000"/>
            </w:tcBorders>
          </w:tcPr>
          <w:p w14:paraId="61C6DBB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151</w:t>
            </w:r>
          </w:p>
        </w:tc>
        <w:tc>
          <w:tcPr>
            <w:tcW w:w="1537" w:type="dxa"/>
            <w:tcBorders>
              <w:top w:val="single" w:sz="4" w:space="0" w:color="000000"/>
              <w:left w:val="single" w:sz="4" w:space="0" w:color="000000"/>
              <w:bottom w:val="single" w:sz="4" w:space="0" w:color="000000"/>
              <w:right w:val="single" w:sz="4" w:space="0" w:color="000000"/>
            </w:tcBorders>
          </w:tcPr>
          <w:p w14:paraId="24E727B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20,6</w:t>
            </w:r>
          </w:p>
          <w:p w14:paraId="52EB481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(5,69-66,5)</w:t>
            </w:r>
          </w:p>
        </w:tc>
        <w:tc>
          <w:tcPr>
            <w:tcW w:w="514" w:type="dxa"/>
            <w:tcBorders>
              <w:top w:val="single" w:sz="4" w:space="0" w:color="000000"/>
              <w:left w:val="single" w:sz="4" w:space="0" w:color="000000"/>
              <w:bottom w:val="single" w:sz="4" w:space="0" w:color="000000"/>
              <w:right w:val="single" w:sz="4" w:space="0" w:color="000000"/>
            </w:tcBorders>
          </w:tcPr>
          <w:p w14:paraId="273A2F9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24</w:t>
            </w:r>
          </w:p>
        </w:tc>
        <w:tc>
          <w:tcPr>
            <w:tcW w:w="1459" w:type="dxa"/>
            <w:tcBorders>
              <w:top w:val="single" w:sz="4" w:space="0" w:color="000000"/>
              <w:left w:val="single" w:sz="4" w:space="0" w:color="000000"/>
              <w:bottom w:val="single" w:sz="4" w:space="0" w:color="000000"/>
              <w:right w:val="single" w:sz="4" w:space="0" w:color="000000"/>
            </w:tcBorders>
          </w:tcPr>
          <w:p w14:paraId="7E40906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15,9</w:t>
            </w:r>
          </w:p>
          <w:p w14:paraId="0DF032A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(3,42-45,5)</w:t>
            </w:r>
          </w:p>
        </w:tc>
        <w:tc>
          <w:tcPr>
            <w:tcW w:w="443" w:type="dxa"/>
            <w:tcBorders>
              <w:top w:val="single" w:sz="4" w:space="0" w:color="000000"/>
              <w:left w:val="single" w:sz="4" w:space="0" w:color="000000"/>
              <w:bottom w:val="single" w:sz="4" w:space="0" w:color="000000"/>
              <w:right w:val="single" w:sz="4" w:space="0" w:color="000000"/>
            </w:tcBorders>
          </w:tcPr>
          <w:p w14:paraId="52D51BD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94" w:type="dxa"/>
            <w:tcBorders>
              <w:top w:val="single" w:sz="4" w:space="0" w:color="000000"/>
              <w:left w:val="single" w:sz="4" w:space="0" w:color="000000"/>
              <w:bottom w:val="single" w:sz="4" w:space="0" w:color="000000"/>
              <w:right w:val="single" w:sz="4" w:space="0" w:color="000000"/>
            </w:tcBorders>
          </w:tcPr>
          <w:p w14:paraId="549A171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37" w:type="dxa"/>
            <w:tcBorders>
              <w:top w:val="single" w:sz="4" w:space="0" w:color="000000"/>
              <w:left w:val="single" w:sz="4" w:space="0" w:color="000000"/>
              <w:bottom w:val="single" w:sz="4" w:space="0" w:color="000000"/>
              <w:right w:val="single" w:sz="4" w:space="0" w:color="000000"/>
            </w:tcBorders>
          </w:tcPr>
          <w:p w14:paraId="3675B81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5D23E3D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3761E5D2" w14:textId="77777777" w:rsidTr="0096285A">
        <w:trPr>
          <w:trHeight w:val="264"/>
        </w:trPr>
        <w:tc>
          <w:tcPr>
            <w:tcW w:w="1337" w:type="dxa"/>
            <w:tcBorders>
              <w:top w:val="single" w:sz="4" w:space="0" w:color="000000"/>
              <w:left w:val="single" w:sz="4" w:space="0" w:color="000000"/>
              <w:bottom w:val="single" w:sz="4" w:space="0" w:color="000000"/>
              <w:right w:val="single" w:sz="4" w:space="0" w:color="000000"/>
            </w:tcBorders>
          </w:tcPr>
          <w:p w14:paraId="1AF6920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DKP</w:t>
            </w:r>
          </w:p>
        </w:tc>
        <w:tc>
          <w:tcPr>
            <w:tcW w:w="565" w:type="dxa"/>
            <w:tcBorders>
              <w:top w:val="single" w:sz="4" w:space="0" w:color="000000"/>
              <w:left w:val="single" w:sz="4" w:space="0" w:color="000000"/>
              <w:bottom w:val="single" w:sz="4" w:space="0" w:color="000000"/>
              <w:right w:val="single" w:sz="4" w:space="0" w:color="000000"/>
            </w:tcBorders>
          </w:tcPr>
          <w:p w14:paraId="004DE26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537" w:type="dxa"/>
            <w:tcBorders>
              <w:top w:val="single" w:sz="4" w:space="0" w:color="000000"/>
              <w:left w:val="single" w:sz="4" w:space="0" w:color="000000"/>
              <w:bottom w:val="single" w:sz="4" w:space="0" w:color="000000"/>
              <w:right w:val="single" w:sz="4" w:space="0" w:color="000000"/>
            </w:tcBorders>
          </w:tcPr>
          <w:p w14:paraId="46F34F8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6 -&lt; 12 metų</w:t>
            </w:r>
          </w:p>
        </w:tc>
        <w:tc>
          <w:tcPr>
            <w:tcW w:w="514" w:type="dxa"/>
            <w:tcBorders>
              <w:top w:val="single" w:sz="4" w:space="0" w:color="000000"/>
              <w:left w:val="single" w:sz="4" w:space="0" w:color="000000"/>
              <w:bottom w:val="single" w:sz="4" w:space="0" w:color="000000"/>
              <w:right w:val="single" w:sz="4" w:space="0" w:color="000000"/>
            </w:tcBorders>
          </w:tcPr>
          <w:p w14:paraId="7F3FAEA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59" w:type="dxa"/>
            <w:tcBorders>
              <w:top w:val="single" w:sz="4" w:space="0" w:color="000000"/>
              <w:left w:val="single" w:sz="4" w:space="0" w:color="000000"/>
              <w:bottom w:val="single" w:sz="4" w:space="0" w:color="000000"/>
              <w:right w:val="single" w:sz="4" w:space="0" w:color="000000"/>
            </w:tcBorders>
          </w:tcPr>
          <w:p w14:paraId="491C7AD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2 -&lt; 6 metai</w:t>
            </w:r>
          </w:p>
        </w:tc>
        <w:tc>
          <w:tcPr>
            <w:tcW w:w="443" w:type="dxa"/>
            <w:tcBorders>
              <w:top w:val="single" w:sz="4" w:space="0" w:color="000000"/>
              <w:left w:val="single" w:sz="4" w:space="0" w:color="000000"/>
              <w:bottom w:val="single" w:sz="4" w:space="0" w:color="000000"/>
              <w:right w:val="single" w:sz="4" w:space="0" w:color="000000"/>
            </w:tcBorders>
          </w:tcPr>
          <w:p w14:paraId="64A13DE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94" w:type="dxa"/>
            <w:tcBorders>
              <w:top w:val="single" w:sz="4" w:space="0" w:color="000000"/>
              <w:left w:val="single" w:sz="4" w:space="0" w:color="000000"/>
              <w:bottom w:val="single" w:sz="4" w:space="0" w:color="000000"/>
              <w:right w:val="single" w:sz="4" w:space="0" w:color="000000"/>
            </w:tcBorders>
          </w:tcPr>
          <w:p w14:paraId="18CFCE4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0,5 -&lt; 2 metų</w:t>
            </w:r>
          </w:p>
        </w:tc>
        <w:tc>
          <w:tcPr>
            <w:tcW w:w="437" w:type="dxa"/>
            <w:tcBorders>
              <w:top w:val="single" w:sz="4" w:space="0" w:color="000000"/>
              <w:left w:val="single" w:sz="4" w:space="0" w:color="000000"/>
              <w:bottom w:val="single" w:sz="4" w:space="0" w:color="000000"/>
              <w:right w:val="single" w:sz="4" w:space="0" w:color="000000"/>
            </w:tcBorders>
          </w:tcPr>
          <w:p w14:paraId="77298F6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1070185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54060250" w14:textId="77777777" w:rsidTr="0096285A">
        <w:trPr>
          <w:trHeight w:val="516"/>
        </w:trPr>
        <w:tc>
          <w:tcPr>
            <w:tcW w:w="1337" w:type="dxa"/>
            <w:tcBorders>
              <w:top w:val="single" w:sz="4" w:space="0" w:color="000000"/>
              <w:left w:val="single" w:sz="4" w:space="0" w:color="000000"/>
              <w:bottom w:val="single" w:sz="4" w:space="0" w:color="000000"/>
              <w:right w:val="single" w:sz="4" w:space="0" w:color="000000"/>
            </w:tcBorders>
          </w:tcPr>
          <w:p w14:paraId="41BA6F9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2,5-4 val. po vartojimo</w:t>
            </w:r>
          </w:p>
        </w:tc>
        <w:tc>
          <w:tcPr>
            <w:tcW w:w="565" w:type="dxa"/>
            <w:tcBorders>
              <w:top w:val="single" w:sz="4" w:space="0" w:color="000000"/>
              <w:left w:val="single" w:sz="4" w:space="0" w:color="000000"/>
              <w:bottom w:val="single" w:sz="4" w:space="0" w:color="000000"/>
              <w:right w:val="single" w:sz="4" w:space="0" w:color="000000"/>
            </w:tcBorders>
          </w:tcPr>
          <w:p w14:paraId="28571C6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36</w:t>
            </w:r>
          </w:p>
        </w:tc>
        <w:tc>
          <w:tcPr>
            <w:tcW w:w="1537" w:type="dxa"/>
            <w:tcBorders>
              <w:top w:val="single" w:sz="4" w:space="0" w:color="000000"/>
              <w:left w:val="single" w:sz="4" w:space="0" w:color="000000"/>
              <w:bottom w:val="single" w:sz="4" w:space="0" w:color="000000"/>
              <w:right w:val="single" w:sz="4" w:space="0" w:color="000000"/>
            </w:tcBorders>
          </w:tcPr>
          <w:p w14:paraId="30E9E95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145,4</w:t>
            </w:r>
          </w:p>
          <w:p w14:paraId="18A8CE5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(46,0-343)</w:t>
            </w:r>
          </w:p>
        </w:tc>
        <w:tc>
          <w:tcPr>
            <w:tcW w:w="514" w:type="dxa"/>
            <w:tcBorders>
              <w:top w:val="single" w:sz="4" w:space="0" w:color="000000"/>
              <w:left w:val="single" w:sz="4" w:space="0" w:color="000000"/>
              <w:bottom w:val="single" w:sz="4" w:space="0" w:color="000000"/>
              <w:right w:val="single" w:sz="4" w:space="0" w:color="000000"/>
            </w:tcBorders>
          </w:tcPr>
          <w:p w14:paraId="1F00105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38</w:t>
            </w:r>
          </w:p>
        </w:tc>
        <w:tc>
          <w:tcPr>
            <w:tcW w:w="1459" w:type="dxa"/>
            <w:tcBorders>
              <w:top w:val="single" w:sz="4" w:space="0" w:color="000000"/>
              <w:left w:val="single" w:sz="4" w:space="0" w:color="000000"/>
              <w:bottom w:val="single" w:sz="4" w:space="0" w:color="000000"/>
              <w:right w:val="single" w:sz="4" w:space="0" w:color="000000"/>
            </w:tcBorders>
          </w:tcPr>
          <w:p w14:paraId="607F5FF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171,8</w:t>
            </w:r>
          </w:p>
          <w:p w14:paraId="1191BE2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(70,7-438)</w:t>
            </w:r>
          </w:p>
        </w:tc>
        <w:tc>
          <w:tcPr>
            <w:tcW w:w="443" w:type="dxa"/>
            <w:tcBorders>
              <w:top w:val="single" w:sz="4" w:space="0" w:color="000000"/>
              <w:left w:val="single" w:sz="4" w:space="0" w:color="000000"/>
              <w:bottom w:val="single" w:sz="4" w:space="0" w:color="000000"/>
              <w:right w:val="single" w:sz="4" w:space="0" w:color="000000"/>
            </w:tcBorders>
          </w:tcPr>
          <w:p w14:paraId="1F38D12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tc>
        <w:tc>
          <w:tcPr>
            <w:tcW w:w="1494" w:type="dxa"/>
            <w:tcBorders>
              <w:top w:val="single" w:sz="4" w:space="0" w:color="000000"/>
              <w:left w:val="single" w:sz="4" w:space="0" w:color="000000"/>
              <w:bottom w:val="single" w:sz="4" w:space="0" w:color="000000"/>
              <w:right w:val="single" w:sz="4" w:space="0" w:color="000000"/>
            </w:tcBorders>
          </w:tcPr>
          <w:p w14:paraId="61BDCAF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NA</w:t>
            </w:r>
          </w:p>
        </w:tc>
        <w:tc>
          <w:tcPr>
            <w:tcW w:w="437" w:type="dxa"/>
            <w:tcBorders>
              <w:top w:val="single" w:sz="4" w:space="0" w:color="000000"/>
              <w:left w:val="single" w:sz="4" w:space="0" w:color="000000"/>
              <w:bottom w:val="single" w:sz="4" w:space="0" w:color="000000"/>
              <w:right w:val="single" w:sz="4" w:space="0" w:color="000000"/>
            </w:tcBorders>
          </w:tcPr>
          <w:p w14:paraId="491F7BB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57D9A7C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5EF0CE78" w14:textId="77777777" w:rsidTr="0096285A">
        <w:trPr>
          <w:trHeight w:val="516"/>
        </w:trPr>
        <w:tc>
          <w:tcPr>
            <w:tcW w:w="1337" w:type="dxa"/>
            <w:tcBorders>
              <w:top w:val="single" w:sz="4" w:space="0" w:color="000000"/>
              <w:left w:val="single" w:sz="4" w:space="0" w:color="000000"/>
              <w:bottom w:val="single" w:sz="4" w:space="0" w:color="000000"/>
              <w:right w:val="single" w:sz="4" w:space="0" w:color="000000"/>
            </w:tcBorders>
          </w:tcPr>
          <w:p w14:paraId="0593976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10-16 val. po vartojimo</w:t>
            </w:r>
          </w:p>
        </w:tc>
        <w:tc>
          <w:tcPr>
            <w:tcW w:w="565" w:type="dxa"/>
            <w:tcBorders>
              <w:top w:val="single" w:sz="4" w:space="0" w:color="000000"/>
              <w:left w:val="single" w:sz="4" w:space="0" w:color="000000"/>
              <w:bottom w:val="single" w:sz="4" w:space="0" w:color="000000"/>
              <w:right w:val="single" w:sz="4" w:space="0" w:color="000000"/>
            </w:tcBorders>
          </w:tcPr>
          <w:p w14:paraId="0A24D45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33</w:t>
            </w:r>
          </w:p>
        </w:tc>
        <w:tc>
          <w:tcPr>
            <w:tcW w:w="1537" w:type="dxa"/>
            <w:tcBorders>
              <w:top w:val="single" w:sz="4" w:space="0" w:color="000000"/>
              <w:left w:val="single" w:sz="4" w:space="0" w:color="000000"/>
              <w:bottom w:val="single" w:sz="4" w:space="0" w:color="000000"/>
              <w:right w:val="single" w:sz="4" w:space="0" w:color="000000"/>
            </w:tcBorders>
          </w:tcPr>
          <w:p w14:paraId="41F2D9B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26,0</w:t>
            </w:r>
          </w:p>
          <w:p w14:paraId="1C97C9C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(7,99-94,9)</w:t>
            </w:r>
          </w:p>
        </w:tc>
        <w:tc>
          <w:tcPr>
            <w:tcW w:w="514" w:type="dxa"/>
            <w:tcBorders>
              <w:top w:val="single" w:sz="4" w:space="0" w:color="000000"/>
              <w:left w:val="single" w:sz="4" w:space="0" w:color="000000"/>
              <w:bottom w:val="single" w:sz="4" w:space="0" w:color="000000"/>
              <w:right w:val="single" w:sz="4" w:space="0" w:color="000000"/>
            </w:tcBorders>
          </w:tcPr>
          <w:p w14:paraId="0623BD6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37</w:t>
            </w:r>
          </w:p>
        </w:tc>
        <w:tc>
          <w:tcPr>
            <w:tcW w:w="1459" w:type="dxa"/>
            <w:tcBorders>
              <w:top w:val="single" w:sz="4" w:space="0" w:color="000000"/>
              <w:left w:val="single" w:sz="4" w:space="0" w:color="000000"/>
              <w:bottom w:val="single" w:sz="4" w:space="0" w:color="000000"/>
              <w:right w:val="single" w:sz="4" w:space="0" w:color="000000"/>
            </w:tcBorders>
          </w:tcPr>
          <w:p w14:paraId="24257BB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22,2</w:t>
            </w:r>
          </w:p>
          <w:p w14:paraId="4D082C3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(0,25-127)</w:t>
            </w:r>
          </w:p>
        </w:tc>
        <w:tc>
          <w:tcPr>
            <w:tcW w:w="443" w:type="dxa"/>
            <w:tcBorders>
              <w:top w:val="single" w:sz="4" w:space="0" w:color="000000"/>
              <w:left w:val="single" w:sz="4" w:space="0" w:color="000000"/>
              <w:bottom w:val="single" w:sz="4" w:space="0" w:color="000000"/>
              <w:right w:val="single" w:sz="4" w:space="0" w:color="000000"/>
            </w:tcBorders>
          </w:tcPr>
          <w:p w14:paraId="4D961DA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w:t>
            </w:r>
          </w:p>
        </w:tc>
        <w:tc>
          <w:tcPr>
            <w:tcW w:w="1494" w:type="dxa"/>
            <w:tcBorders>
              <w:top w:val="single" w:sz="4" w:space="0" w:color="000000"/>
              <w:left w:val="single" w:sz="4" w:space="0" w:color="000000"/>
              <w:bottom w:val="single" w:sz="4" w:space="0" w:color="000000"/>
              <w:right w:val="single" w:sz="4" w:space="0" w:color="000000"/>
            </w:tcBorders>
          </w:tcPr>
          <w:p w14:paraId="12FCE61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10,7</w:t>
            </w:r>
          </w:p>
          <w:p w14:paraId="0B14BAD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(NA-NA)</w:t>
            </w:r>
          </w:p>
        </w:tc>
        <w:tc>
          <w:tcPr>
            <w:tcW w:w="437" w:type="dxa"/>
            <w:tcBorders>
              <w:top w:val="single" w:sz="4" w:space="0" w:color="000000"/>
              <w:left w:val="single" w:sz="4" w:space="0" w:color="000000"/>
              <w:bottom w:val="single" w:sz="4" w:space="0" w:color="000000"/>
              <w:right w:val="single" w:sz="4" w:space="0" w:color="000000"/>
            </w:tcBorders>
          </w:tcPr>
          <w:p w14:paraId="35503E1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626BDC57"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43FF27FA" w14:textId="77777777" w:rsidTr="0096285A">
        <w:trPr>
          <w:trHeight w:val="516"/>
        </w:trPr>
        <w:tc>
          <w:tcPr>
            <w:tcW w:w="1337" w:type="dxa"/>
            <w:tcBorders>
              <w:top w:val="single" w:sz="4" w:space="0" w:color="000000"/>
              <w:left w:val="single" w:sz="4" w:space="0" w:color="000000"/>
              <w:bottom w:val="single" w:sz="4" w:space="0" w:color="000000"/>
              <w:right w:val="single" w:sz="4" w:space="0" w:color="000000"/>
            </w:tcBorders>
          </w:tcPr>
          <w:p w14:paraId="572DBBC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TKP</w:t>
            </w:r>
          </w:p>
        </w:tc>
        <w:tc>
          <w:tcPr>
            <w:tcW w:w="565" w:type="dxa"/>
            <w:tcBorders>
              <w:top w:val="single" w:sz="4" w:space="0" w:color="000000"/>
              <w:left w:val="single" w:sz="4" w:space="0" w:color="000000"/>
              <w:bottom w:val="single" w:sz="4" w:space="0" w:color="000000"/>
              <w:right w:val="single" w:sz="4" w:space="0" w:color="000000"/>
            </w:tcBorders>
          </w:tcPr>
          <w:p w14:paraId="108936C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537" w:type="dxa"/>
            <w:tcBorders>
              <w:top w:val="single" w:sz="4" w:space="0" w:color="000000"/>
              <w:left w:val="single" w:sz="4" w:space="0" w:color="000000"/>
              <w:bottom w:val="single" w:sz="4" w:space="0" w:color="000000"/>
              <w:right w:val="single" w:sz="4" w:space="0" w:color="000000"/>
            </w:tcBorders>
          </w:tcPr>
          <w:p w14:paraId="7B08463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2 -&lt; 6 metai</w:t>
            </w:r>
          </w:p>
        </w:tc>
        <w:tc>
          <w:tcPr>
            <w:tcW w:w="514" w:type="dxa"/>
            <w:tcBorders>
              <w:top w:val="single" w:sz="4" w:space="0" w:color="000000"/>
              <w:left w:val="single" w:sz="4" w:space="0" w:color="000000"/>
              <w:bottom w:val="single" w:sz="4" w:space="0" w:color="000000"/>
              <w:right w:val="single" w:sz="4" w:space="0" w:color="000000"/>
            </w:tcBorders>
          </w:tcPr>
          <w:p w14:paraId="077998F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59" w:type="dxa"/>
            <w:tcBorders>
              <w:top w:val="single" w:sz="4" w:space="0" w:color="000000"/>
              <w:left w:val="single" w:sz="4" w:space="0" w:color="000000"/>
              <w:bottom w:val="single" w:sz="4" w:space="0" w:color="000000"/>
              <w:right w:val="single" w:sz="4" w:space="0" w:color="000000"/>
            </w:tcBorders>
          </w:tcPr>
          <w:p w14:paraId="5EEE53E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Nuo gimimo -</w:t>
            </w:r>
          </w:p>
          <w:p w14:paraId="7815E81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&lt; 2 metai</w:t>
            </w:r>
          </w:p>
        </w:tc>
        <w:tc>
          <w:tcPr>
            <w:tcW w:w="443" w:type="dxa"/>
            <w:tcBorders>
              <w:top w:val="single" w:sz="4" w:space="0" w:color="000000"/>
              <w:left w:val="single" w:sz="4" w:space="0" w:color="000000"/>
              <w:bottom w:val="single" w:sz="4" w:space="0" w:color="000000"/>
              <w:right w:val="single" w:sz="4" w:space="0" w:color="000000"/>
            </w:tcBorders>
          </w:tcPr>
          <w:p w14:paraId="7B766B8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94" w:type="dxa"/>
            <w:tcBorders>
              <w:top w:val="single" w:sz="4" w:space="0" w:color="000000"/>
              <w:left w:val="single" w:sz="4" w:space="0" w:color="000000"/>
              <w:bottom w:val="single" w:sz="4" w:space="0" w:color="000000"/>
              <w:right w:val="single" w:sz="4" w:space="0" w:color="000000"/>
            </w:tcBorders>
          </w:tcPr>
          <w:p w14:paraId="0908603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0,5 -&lt; 2 metai</w:t>
            </w:r>
          </w:p>
        </w:tc>
        <w:tc>
          <w:tcPr>
            <w:tcW w:w="437" w:type="dxa"/>
            <w:tcBorders>
              <w:top w:val="single" w:sz="4" w:space="0" w:color="000000"/>
              <w:left w:val="single" w:sz="4" w:space="0" w:color="000000"/>
              <w:bottom w:val="single" w:sz="4" w:space="0" w:color="000000"/>
              <w:right w:val="single" w:sz="4" w:space="0" w:color="000000"/>
            </w:tcBorders>
          </w:tcPr>
          <w:p w14:paraId="21607BD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708" w:type="dxa"/>
            <w:tcBorders>
              <w:top w:val="single" w:sz="4" w:space="0" w:color="000000"/>
              <w:left w:val="single" w:sz="4" w:space="0" w:color="000000"/>
              <w:bottom w:val="single" w:sz="4" w:space="0" w:color="000000"/>
              <w:right w:val="single" w:sz="4" w:space="0" w:color="000000"/>
            </w:tcBorders>
          </w:tcPr>
          <w:p w14:paraId="0D7BE11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Nuo gimimo -</w:t>
            </w:r>
          </w:p>
          <w:p w14:paraId="6476FE1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&lt; 0,5 metų</w:t>
            </w:r>
          </w:p>
        </w:tc>
      </w:tr>
      <w:tr w:rsidR="003E364C" w:rsidRPr="003E364C" w14:paraId="1BE854F7" w14:textId="77777777" w:rsidTr="0096285A">
        <w:trPr>
          <w:trHeight w:val="515"/>
        </w:trPr>
        <w:tc>
          <w:tcPr>
            <w:tcW w:w="1337" w:type="dxa"/>
            <w:tcBorders>
              <w:top w:val="single" w:sz="4" w:space="0" w:color="000000"/>
              <w:left w:val="single" w:sz="4" w:space="0" w:color="000000"/>
              <w:bottom w:val="single" w:sz="4" w:space="0" w:color="000000"/>
              <w:right w:val="single" w:sz="4" w:space="0" w:color="000000"/>
            </w:tcBorders>
          </w:tcPr>
          <w:p w14:paraId="2EAD775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0,5-3 val. po vartojimo</w:t>
            </w:r>
          </w:p>
        </w:tc>
        <w:tc>
          <w:tcPr>
            <w:tcW w:w="565" w:type="dxa"/>
            <w:tcBorders>
              <w:top w:val="single" w:sz="4" w:space="0" w:color="000000"/>
              <w:left w:val="single" w:sz="4" w:space="0" w:color="000000"/>
              <w:bottom w:val="single" w:sz="4" w:space="0" w:color="000000"/>
              <w:right w:val="single" w:sz="4" w:space="0" w:color="000000"/>
            </w:tcBorders>
          </w:tcPr>
          <w:p w14:paraId="4FC71B9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tc>
        <w:tc>
          <w:tcPr>
            <w:tcW w:w="1537" w:type="dxa"/>
            <w:tcBorders>
              <w:top w:val="single" w:sz="4" w:space="0" w:color="000000"/>
              <w:left w:val="single" w:sz="4" w:space="0" w:color="000000"/>
              <w:bottom w:val="single" w:sz="4" w:space="0" w:color="000000"/>
              <w:right w:val="single" w:sz="4" w:space="0" w:color="000000"/>
            </w:tcBorders>
          </w:tcPr>
          <w:p w14:paraId="24796BE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164,7</w:t>
            </w:r>
          </w:p>
          <w:p w14:paraId="612D822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(108-283)</w:t>
            </w:r>
          </w:p>
        </w:tc>
        <w:tc>
          <w:tcPr>
            <w:tcW w:w="514" w:type="dxa"/>
            <w:tcBorders>
              <w:top w:val="single" w:sz="4" w:space="0" w:color="000000"/>
              <w:left w:val="single" w:sz="4" w:space="0" w:color="000000"/>
              <w:bottom w:val="single" w:sz="4" w:space="0" w:color="000000"/>
              <w:right w:val="single" w:sz="4" w:space="0" w:color="000000"/>
            </w:tcBorders>
          </w:tcPr>
          <w:p w14:paraId="29E6774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25</w:t>
            </w:r>
          </w:p>
        </w:tc>
        <w:tc>
          <w:tcPr>
            <w:tcW w:w="1459" w:type="dxa"/>
            <w:tcBorders>
              <w:top w:val="single" w:sz="4" w:space="0" w:color="000000"/>
              <w:left w:val="single" w:sz="4" w:space="0" w:color="000000"/>
              <w:bottom w:val="single" w:sz="4" w:space="0" w:color="000000"/>
              <w:right w:val="single" w:sz="4" w:space="0" w:color="000000"/>
            </w:tcBorders>
          </w:tcPr>
          <w:p w14:paraId="097A63E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111,2</w:t>
            </w:r>
          </w:p>
          <w:p w14:paraId="3756E2C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(22,9-320)</w:t>
            </w:r>
          </w:p>
        </w:tc>
        <w:tc>
          <w:tcPr>
            <w:tcW w:w="443" w:type="dxa"/>
            <w:tcBorders>
              <w:top w:val="single" w:sz="4" w:space="0" w:color="000000"/>
              <w:left w:val="single" w:sz="4" w:space="0" w:color="000000"/>
              <w:bottom w:val="single" w:sz="4" w:space="0" w:color="000000"/>
              <w:right w:val="single" w:sz="4" w:space="0" w:color="000000"/>
            </w:tcBorders>
          </w:tcPr>
          <w:p w14:paraId="1B474BB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p>
        </w:tc>
        <w:tc>
          <w:tcPr>
            <w:tcW w:w="1494" w:type="dxa"/>
            <w:tcBorders>
              <w:top w:val="single" w:sz="4" w:space="0" w:color="000000"/>
              <w:left w:val="single" w:sz="4" w:space="0" w:color="000000"/>
              <w:bottom w:val="single" w:sz="4" w:space="0" w:color="000000"/>
              <w:right w:val="single" w:sz="4" w:space="0" w:color="000000"/>
            </w:tcBorders>
          </w:tcPr>
          <w:p w14:paraId="1931117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114,3</w:t>
            </w:r>
          </w:p>
          <w:p w14:paraId="0A76BAA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(22,9-346)</w:t>
            </w:r>
          </w:p>
        </w:tc>
        <w:tc>
          <w:tcPr>
            <w:tcW w:w="437" w:type="dxa"/>
            <w:tcBorders>
              <w:top w:val="single" w:sz="4" w:space="0" w:color="000000"/>
              <w:left w:val="single" w:sz="4" w:space="0" w:color="000000"/>
              <w:bottom w:val="single" w:sz="4" w:space="0" w:color="000000"/>
              <w:right w:val="single" w:sz="4" w:space="0" w:color="000000"/>
            </w:tcBorders>
          </w:tcPr>
          <w:p w14:paraId="07E243C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p>
        </w:tc>
        <w:tc>
          <w:tcPr>
            <w:tcW w:w="1708" w:type="dxa"/>
            <w:tcBorders>
              <w:top w:val="single" w:sz="4" w:space="0" w:color="000000"/>
              <w:left w:val="single" w:sz="4" w:space="0" w:color="000000"/>
              <w:bottom w:val="single" w:sz="4" w:space="0" w:color="000000"/>
              <w:right w:val="single" w:sz="4" w:space="0" w:color="000000"/>
            </w:tcBorders>
          </w:tcPr>
          <w:p w14:paraId="0E4FC16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108,0</w:t>
            </w:r>
          </w:p>
          <w:p w14:paraId="24BA58A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(19,2-320)</w:t>
            </w:r>
          </w:p>
        </w:tc>
      </w:tr>
      <w:tr w:rsidR="003E364C" w:rsidRPr="003E364C" w14:paraId="53921F6F" w14:textId="77777777" w:rsidTr="0096285A">
        <w:trPr>
          <w:trHeight w:val="516"/>
        </w:trPr>
        <w:tc>
          <w:tcPr>
            <w:tcW w:w="1337" w:type="dxa"/>
            <w:tcBorders>
              <w:top w:val="single" w:sz="4" w:space="0" w:color="000000"/>
              <w:left w:val="single" w:sz="4" w:space="0" w:color="000000"/>
              <w:bottom w:val="single" w:sz="4" w:space="0" w:color="000000"/>
              <w:right w:val="single" w:sz="4" w:space="0" w:color="000000"/>
            </w:tcBorders>
          </w:tcPr>
          <w:p w14:paraId="3B104E17"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7-8 val. po vartojimo</w:t>
            </w:r>
          </w:p>
        </w:tc>
        <w:tc>
          <w:tcPr>
            <w:tcW w:w="565" w:type="dxa"/>
            <w:tcBorders>
              <w:top w:val="single" w:sz="4" w:space="0" w:color="000000"/>
              <w:left w:val="single" w:sz="4" w:space="0" w:color="000000"/>
              <w:bottom w:val="single" w:sz="4" w:space="0" w:color="000000"/>
              <w:right w:val="single" w:sz="4" w:space="0" w:color="000000"/>
            </w:tcBorders>
          </w:tcPr>
          <w:p w14:paraId="7B909155" w14:textId="332E04A8" w:rsidR="003E364C" w:rsidRPr="003E364C" w:rsidRDefault="00BC10CF" w:rsidP="003E364C">
            <w:pPr>
              <w:keepNext/>
              <w:tabs>
                <w:tab w:val="left" w:pos="567"/>
              </w:tabs>
              <w:spacing w:after="0" w:line="260" w:lineRule="exact"/>
              <w:jc w:val="both"/>
              <w:outlineLvl w:val="3"/>
              <w:rPr>
                <w:rFonts w:ascii="Times New Roman" w:eastAsia="Times New Roman" w:hAnsi="Times New Roman" w:cs="Times New Roman"/>
                <w:snapToGrid w:val="0"/>
              </w:rPr>
            </w:pPr>
            <w:r>
              <w:rPr>
                <w:rFonts w:ascii="Times New Roman" w:eastAsia="Times New Roman" w:hAnsi="Times New Roman" w:cs="Times New Roman"/>
                <w:snapToGrid w:val="0"/>
              </w:rPr>
              <w:t>5</w:t>
            </w:r>
          </w:p>
        </w:tc>
        <w:tc>
          <w:tcPr>
            <w:tcW w:w="1537" w:type="dxa"/>
            <w:tcBorders>
              <w:top w:val="single" w:sz="4" w:space="0" w:color="000000"/>
              <w:left w:val="single" w:sz="4" w:space="0" w:color="000000"/>
              <w:bottom w:val="single" w:sz="4" w:space="0" w:color="000000"/>
              <w:right w:val="single" w:sz="4" w:space="0" w:color="000000"/>
            </w:tcBorders>
          </w:tcPr>
          <w:p w14:paraId="742466E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33,2</w:t>
            </w:r>
          </w:p>
          <w:p w14:paraId="338DBEC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(18,7-99,7)</w:t>
            </w:r>
          </w:p>
        </w:tc>
        <w:tc>
          <w:tcPr>
            <w:tcW w:w="514" w:type="dxa"/>
            <w:tcBorders>
              <w:top w:val="single" w:sz="4" w:space="0" w:color="000000"/>
              <w:left w:val="single" w:sz="4" w:space="0" w:color="000000"/>
              <w:bottom w:val="single" w:sz="4" w:space="0" w:color="000000"/>
              <w:right w:val="single" w:sz="4" w:space="0" w:color="000000"/>
            </w:tcBorders>
          </w:tcPr>
          <w:p w14:paraId="5FDDD8E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23</w:t>
            </w:r>
          </w:p>
        </w:tc>
        <w:tc>
          <w:tcPr>
            <w:tcW w:w="1459" w:type="dxa"/>
            <w:tcBorders>
              <w:top w:val="single" w:sz="4" w:space="0" w:color="000000"/>
              <w:left w:val="single" w:sz="4" w:space="0" w:color="000000"/>
              <w:bottom w:val="single" w:sz="4" w:space="0" w:color="000000"/>
              <w:right w:val="single" w:sz="4" w:space="0" w:color="000000"/>
            </w:tcBorders>
          </w:tcPr>
          <w:p w14:paraId="5CD6D74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18,7</w:t>
            </w:r>
          </w:p>
          <w:p w14:paraId="390CC17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(10,1-36,5)</w:t>
            </w:r>
          </w:p>
        </w:tc>
        <w:tc>
          <w:tcPr>
            <w:tcW w:w="443" w:type="dxa"/>
            <w:tcBorders>
              <w:top w:val="single" w:sz="4" w:space="0" w:color="000000"/>
              <w:left w:val="single" w:sz="4" w:space="0" w:color="000000"/>
              <w:bottom w:val="single" w:sz="4" w:space="0" w:color="000000"/>
              <w:right w:val="single" w:sz="4" w:space="0" w:color="000000"/>
            </w:tcBorders>
          </w:tcPr>
          <w:p w14:paraId="3965C3F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p>
        </w:tc>
        <w:tc>
          <w:tcPr>
            <w:tcW w:w="1494" w:type="dxa"/>
            <w:tcBorders>
              <w:top w:val="single" w:sz="4" w:space="0" w:color="000000"/>
              <w:left w:val="single" w:sz="4" w:space="0" w:color="000000"/>
              <w:bottom w:val="single" w:sz="4" w:space="0" w:color="000000"/>
              <w:right w:val="single" w:sz="4" w:space="0" w:color="000000"/>
            </w:tcBorders>
          </w:tcPr>
          <w:p w14:paraId="101B081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21,4</w:t>
            </w:r>
          </w:p>
          <w:p w14:paraId="7812006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(10,5-65,6)</w:t>
            </w:r>
          </w:p>
        </w:tc>
        <w:tc>
          <w:tcPr>
            <w:tcW w:w="437" w:type="dxa"/>
            <w:tcBorders>
              <w:top w:val="single" w:sz="4" w:space="0" w:color="000000"/>
              <w:left w:val="single" w:sz="4" w:space="0" w:color="000000"/>
              <w:bottom w:val="single" w:sz="4" w:space="0" w:color="000000"/>
              <w:right w:val="single" w:sz="4" w:space="0" w:color="000000"/>
            </w:tcBorders>
          </w:tcPr>
          <w:p w14:paraId="65A6ED3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11</w:t>
            </w:r>
          </w:p>
        </w:tc>
        <w:tc>
          <w:tcPr>
            <w:tcW w:w="1708" w:type="dxa"/>
            <w:tcBorders>
              <w:top w:val="single" w:sz="4" w:space="0" w:color="000000"/>
              <w:left w:val="single" w:sz="4" w:space="0" w:color="000000"/>
              <w:bottom w:val="single" w:sz="4" w:space="0" w:color="000000"/>
              <w:right w:val="single" w:sz="4" w:space="0" w:color="000000"/>
            </w:tcBorders>
          </w:tcPr>
          <w:p w14:paraId="4FE69FC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16,1</w:t>
            </w:r>
          </w:p>
          <w:p w14:paraId="5D8BB45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(1,03-33,6)</w:t>
            </w:r>
          </w:p>
        </w:tc>
      </w:tr>
    </w:tbl>
    <w:p w14:paraId="27CCB726" w14:textId="77777777" w:rsidR="003E364C" w:rsidRPr="003E364C" w:rsidRDefault="003E364C" w:rsidP="00995988">
      <w:pPr>
        <w:keepNext/>
        <w:tabs>
          <w:tab w:val="left" w:pos="567"/>
        </w:tabs>
        <w:spacing w:after="0" w:line="260" w:lineRule="exact"/>
        <w:ind w:left="142"/>
        <w:jc w:val="both"/>
        <w:outlineLvl w:val="3"/>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VKP = vieną kartą per parą, DKP = du kartus per parą, TKP = tris kartus per parą, NA = neapskaičiuotas </w:t>
      </w:r>
    </w:p>
    <w:p w14:paraId="739AEDC4" w14:textId="77777777" w:rsidR="003E364C" w:rsidRPr="003E364C" w:rsidRDefault="003E364C" w:rsidP="00995988">
      <w:pPr>
        <w:keepNext/>
        <w:tabs>
          <w:tab w:val="left" w:pos="567"/>
        </w:tabs>
        <w:spacing w:after="0" w:line="260" w:lineRule="exact"/>
        <w:ind w:left="142"/>
        <w:jc w:val="both"/>
        <w:outlineLvl w:val="3"/>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Reikšmės, mažesnės už mažiausią kiekybinio nustatymo ribą (MKNR), buvo pakeistos 1/2 MKNR, kad būtų galima atlikti statistinius skaičiavimus (MKNR = 0,5 μg/l). </w:t>
      </w:r>
    </w:p>
    <w:p w14:paraId="19A0648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393E41E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Santykis tarp farmakokinetikos ir farmakodinamikos</w:t>
      </w:r>
    </w:p>
    <w:p w14:paraId="2472013F" w14:textId="69E5463B"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Santykis tarp farmakokinetikos ir farmakodinamikos (FK / FD) buvo vertinimas tiriant rivaroksabano koncentraciją plazmoje ir keletą farmakodinamikos rodiklių (Xa faktoriaus slopinimą, PL, DATL, </w:t>
      </w:r>
      <w:r w:rsidRPr="003E364C">
        <w:rPr>
          <w:rFonts w:ascii="Times New Roman" w:eastAsia="Times New Roman" w:hAnsi="Times New Roman" w:cs="Times New Roman"/>
          <w:i/>
          <w:iCs/>
          <w:snapToGrid w:val="0"/>
        </w:rPr>
        <w:t>Heptest</w:t>
      </w:r>
      <w:r w:rsidRPr="003E364C">
        <w:rPr>
          <w:rFonts w:ascii="Times New Roman" w:eastAsia="Times New Roman" w:hAnsi="Times New Roman" w:cs="Times New Roman"/>
          <w:snapToGrid w:val="0"/>
        </w:rPr>
        <w:t>), paskyrus įvairių dozių (po 5–30</w:t>
      </w:r>
      <w:r w:rsidR="00AD441E">
        <w:rPr>
          <w:rFonts w:ascii="Times New Roman" w:eastAsia="Times New Roman" w:hAnsi="Times New Roman" w:cs="Times New Roman"/>
          <w:b/>
          <w:snapToGrid w:val="0"/>
        </w:rPr>
        <w:t> </w:t>
      </w:r>
      <w:r w:rsidR="00AD441E" w:rsidRPr="00995988">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du kartus per parą). Rivaroksabano koncentracijos ir Xa faktoriaus aktyvumo santykį geriausiai apibrėžia Emax modelis. Vertinant PL, duomenis geriau apibūdino tiesinių atkarpų modelis. Priklausomai nuo naudotų skirtingų PL reagentų, nuolydžio reikšmės buvo labai skirtingos. Naudojant Neoplastin PL tyrimui, bazinis PL buvo apie 13</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s, o nuolydis buvo apie 3–4</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s / (100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µg/l). FK / FD tyrimų rezultatai II ir III fazėse atitiko duomenis, kurie buvo gauti su sveikais asmenimis.</w:t>
      </w:r>
    </w:p>
    <w:p w14:paraId="44A6A3A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47E2233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Vaikų populiacija</w:t>
      </w:r>
    </w:p>
    <w:p w14:paraId="496E39D1"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Saugumas ir veiksmingumas vaikams ir paaugliams iki 18 metų amžiaus insulto ir sisteminės embolijos profilaktikos, kai pacientams yra su vožtuvų liga nesusijęs prieširdžių virpėjimas, indikacijai neištirti.</w:t>
      </w:r>
    </w:p>
    <w:p w14:paraId="24ACE74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1831A5A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5.3</w:t>
      </w:r>
      <w:r w:rsidRPr="003E364C">
        <w:rPr>
          <w:rFonts w:ascii="Times New Roman" w:eastAsia="Times New Roman" w:hAnsi="Times New Roman" w:cs="Times New Roman"/>
          <w:b/>
          <w:bCs/>
          <w:snapToGrid w:val="0"/>
          <w:lang w:eastAsia="x-none"/>
        </w:rPr>
        <w:tab/>
        <w:t>Ikiklinikinių saugumo tyrimų duomenys</w:t>
      </w:r>
    </w:p>
    <w:p w14:paraId="43ABB741" w14:textId="77777777" w:rsidR="003E364C" w:rsidRPr="003E364C" w:rsidRDefault="003E364C" w:rsidP="003E364C">
      <w:pPr>
        <w:spacing w:after="0" w:line="240" w:lineRule="auto"/>
        <w:rPr>
          <w:rFonts w:ascii="Times New Roman" w:eastAsia="Times New Roman" w:hAnsi="Times New Roman" w:cs="Times New Roman"/>
          <w:snapToGrid w:val="0"/>
        </w:rPr>
      </w:pPr>
    </w:p>
    <w:p w14:paraId="2DA20112" w14:textId="77777777" w:rsidR="003E364C" w:rsidRPr="003E364C" w:rsidRDefault="003E364C" w:rsidP="003E364C">
      <w:pPr>
        <w:spacing w:after="0" w:line="240" w:lineRule="auto"/>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Įprastų farmakologinio saugumo, vienkartinių dozių toksiškumo, fototoksiškumo, genotoksiškumo, galimo kancerogeniškumo ir toksinio poveikio jaunikliams ikiklinikinių tyrimų duomenys specifinio pavojaus žmogui nerodo.</w:t>
      </w:r>
    </w:p>
    <w:p w14:paraId="3B0FDBD1" w14:textId="77777777" w:rsidR="003E364C" w:rsidRPr="003E364C" w:rsidRDefault="003E364C" w:rsidP="003E364C">
      <w:pPr>
        <w:spacing w:after="0" w:line="240" w:lineRule="auto"/>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Poveikis, stebimas kartotinių dozių toksiškumo tyrimų metu, daugiausiai pasireiškė dėl didelio farmakodinaminio rivaroksabano poveikio. Atliekant tyrimus su žiurkėmis, buvo stebėtos didesnės IgG ir IgA koncentracijos plazmoje, esant klinikiniu požiūriu reikšmingai ekspozicijai.</w:t>
      </w:r>
    </w:p>
    <w:p w14:paraId="6A70B75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w:t>
      </w:r>
      <w:r w:rsidRPr="003E364C">
        <w:rPr>
          <w:rFonts w:ascii="Times New Roman" w:eastAsia="Times New Roman" w:hAnsi="Times New Roman" w:cs="Times New Roman"/>
          <w:snapToGrid w:val="0"/>
        </w:rPr>
        <w:lastRenderedPageBreak/>
        <w:t>kepenyse) ir didesnis bendrųjų apsigimimų dažnis bei pakitimai placentoje, esant kliniškai reikšmingoms koncentracijoms plazmoje. Prenatalinių ir postnatalinių tyrimų su žiurkėmis metu, skiriant vaisingoms patelėms toksiškų dozių, buvo stebimas sumažėjęs palikuonių gyvybingumas.</w:t>
      </w:r>
    </w:p>
    <w:p w14:paraId="013588D4" w14:textId="77777777" w:rsidR="003E364C" w:rsidRPr="003E364C" w:rsidRDefault="003E364C" w:rsidP="003E364C">
      <w:pPr>
        <w:spacing w:after="0" w:line="240" w:lineRule="auto"/>
        <w:rPr>
          <w:rFonts w:ascii="Times New Roman" w:eastAsia="Times New Roman" w:hAnsi="Times New Roman" w:cs="Times New Roman"/>
          <w:snapToGrid w:val="0"/>
        </w:rPr>
      </w:pPr>
    </w:p>
    <w:p w14:paraId="7DCEDDC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041F981B" w14:textId="77777777" w:rsidR="003E364C" w:rsidRPr="003E364C" w:rsidRDefault="003E364C" w:rsidP="003E364C">
      <w:pPr>
        <w:spacing w:after="0" w:line="240" w:lineRule="auto"/>
        <w:rPr>
          <w:rFonts w:ascii="Times New Roman" w:eastAsia="Times New Roman" w:hAnsi="Times New Roman" w:cs="Times New Roman"/>
          <w:snapToGrid w:val="0"/>
        </w:rPr>
      </w:pPr>
    </w:p>
    <w:p w14:paraId="4B1AFD47" w14:textId="77777777" w:rsidR="003E364C" w:rsidRPr="003E364C" w:rsidRDefault="003E364C" w:rsidP="003E364C">
      <w:pPr>
        <w:spacing w:after="0" w:line="240" w:lineRule="auto"/>
        <w:rPr>
          <w:rFonts w:ascii="Times New Roman" w:eastAsia="Times New Roman" w:hAnsi="Times New Roman" w:cs="Times New Roman"/>
          <w:snapToGrid w:val="0"/>
        </w:rPr>
      </w:pPr>
    </w:p>
    <w:p w14:paraId="657372D8"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w:t>
      </w:r>
      <w:r w:rsidRPr="003E364C">
        <w:rPr>
          <w:rFonts w:ascii="Times New Roman" w:eastAsia="Times New Roman" w:hAnsi="Times New Roman" w:cs="Times New Roman"/>
          <w:b/>
          <w:bCs/>
          <w:snapToGrid w:val="0"/>
          <w:lang w:eastAsia="x-none"/>
        </w:rPr>
        <w:tab/>
        <w:t>FARMACINĖ INFORMACIJA</w:t>
      </w:r>
    </w:p>
    <w:p w14:paraId="1909B172" w14:textId="77777777" w:rsidR="003E364C" w:rsidRPr="003E364C" w:rsidRDefault="003E364C" w:rsidP="003E364C">
      <w:pPr>
        <w:spacing w:after="0" w:line="240" w:lineRule="auto"/>
        <w:rPr>
          <w:rFonts w:ascii="Times New Roman" w:eastAsia="Times New Roman" w:hAnsi="Times New Roman" w:cs="Times New Roman"/>
          <w:snapToGrid w:val="0"/>
        </w:rPr>
      </w:pPr>
    </w:p>
    <w:p w14:paraId="23E9284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6.1</w:t>
      </w:r>
      <w:r w:rsidRPr="003E364C">
        <w:rPr>
          <w:rFonts w:ascii="Times New Roman" w:eastAsia="Times New Roman" w:hAnsi="Times New Roman" w:cs="Times New Roman"/>
          <w:b/>
          <w:bCs/>
          <w:snapToGrid w:val="0"/>
          <w:lang w:eastAsia="x-none"/>
        </w:rPr>
        <w:tab/>
        <w:t>Pagalbinių medžiagų sąrašas</w:t>
      </w:r>
    </w:p>
    <w:p w14:paraId="42B9DDD1" w14:textId="77777777" w:rsidR="003E364C" w:rsidRPr="003E364C" w:rsidRDefault="003E364C" w:rsidP="003E364C">
      <w:pPr>
        <w:spacing w:after="0" w:line="240" w:lineRule="auto"/>
        <w:rPr>
          <w:rFonts w:ascii="Times New Roman" w:eastAsia="Times New Roman" w:hAnsi="Times New Roman" w:cs="Times New Roman"/>
          <w:snapToGrid w:val="0"/>
        </w:rPr>
      </w:pPr>
    </w:p>
    <w:p w14:paraId="1550239A"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bookmarkStart w:id="0" w:name="_Hlk117066929"/>
      <w:r w:rsidRPr="003F257C">
        <w:rPr>
          <w:rFonts w:ascii="Times New Roman" w:eastAsia="Times New Roman" w:hAnsi="Times New Roman" w:cs="Times New Roman"/>
          <w:u w:val="single"/>
        </w:rPr>
        <w:t>Tabletės šerdis</w:t>
      </w:r>
      <w:r w:rsidRPr="003F257C">
        <w:rPr>
          <w:rFonts w:ascii="Times New Roman" w:eastAsia="Times New Roman" w:hAnsi="Times New Roman" w:cs="Times New Roman"/>
        </w:rPr>
        <w:t xml:space="preserve"> </w:t>
      </w:r>
    </w:p>
    <w:p w14:paraId="3E72791A"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 xml:space="preserve">Mikrokristalinė celiuliozė </w:t>
      </w:r>
    </w:p>
    <w:p w14:paraId="489CB017"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 xml:space="preserve">Kroskarmeliozės natrio druska </w:t>
      </w:r>
    </w:p>
    <w:p w14:paraId="3E1C2D6F" w14:textId="77777777" w:rsidR="002841F4" w:rsidRPr="007F2054" w:rsidRDefault="002841F4" w:rsidP="002841F4">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lang w:eastAsia="lt-LT" w:bidi="lt-LT"/>
        </w:rPr>
        <w:t>Hidroksipropilceliuliozė</w:t>
      </w:r>
      <w:r w:rsidRPr="007F2054">
        <w:rPr>
          <w:rFonts w:ascii="Times New Roman" w:eastAsia="Times New Roman" w:hAnsi="Times New Roman" w:cs="Times New Roman"/>
        </w:rPr>
        <w:t xml:space="preserve"> </w:t>
      </w:r>
    </w:p>
    <w:p w14:paraId="5A07D550"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 xml:space="preserve">Natrio laurilsulfatas </w:t>
      </w:r>
    </w:p>
    <w:p w14:paraId="798F3DAB"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Magnio</w:t>
      </w:r>
      <w:r w:rsidRPr="003F257C">
        <w:rPr>
          <w:rFonts w:ascii="Times New Roman" w:eastAsia="Times New Roman" w:hAnsi="Times New Roman" w:cs="Times New Roman"/>
          <w:spacing w:val="-2"/>
        </w:rPr>
        <w:t xml:space="preserve"> </w:t>
      </w:r>
      <w:r w:rsidRPr="003F257C">
        <w:rPr>
          <w:rFonts w:ascii="Times New Roman" w:eastAsia="Times New Roman" w:hAnsi="Times New Roman" w:cs="Times New Roman"/>
        </w:rPr>
        <w:t>stearatas</w:t>
      </w:r>
    </w:p>
    <w:p w14:paraId="073DC0A3" w14:textId="77777777" w:rsidR="002841F4" w:rsidRPr="007F2054" w:rsidRDefault="002841F4" w:rsidP="002841F4">
      <w:pPr>
        <w:widowControl w:val="0"/>
        <w:autoSpaceDE w:val="0"/>
        <w:autoSpaceDN w:val="0"/>
        <w:spacing w:after="0" w:line="240" w:lineRule="auto"/>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Koloidinis silicio dioksidas, bevandenis</w:t>
      </w:r>
    </w:p>
    <w:p w14:paraId="6713D5E6"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
    <w:p w14:paraId="7F01CA98"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u w:val="single"/>
        </w:rPr>
        <w:t>Plėvelė</w:t>
      </w:r>
      <w:r w:rsidRPr="003F257C">
        <w:rPr>
          <w:rFonts w:ascii="Times New Roman" w:eastAsia="Times New Roman" w:hAnsi="Times New Roman" w:cs="Times New Roman"/>
        </w:rPr>
        <w:t xml:space="preserve"> </w:t>
      </w:r>
    </w:p>
    <w:p w14:paraId="02C61498"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 xml:space="preserve">Hipromeliozė </w:t>
      </w:r>
      <w:r w:rsidRPr="007F2054">
        <w:rPr>
          <w:rFonts w:ascii="Times New Roman" w:eastAsia="Times New Roman" w:hAnsi="Times New Roman" w:cs="Times New Roman"/>
        </w:rPr>
        <w:t>3 cPs (E464)</w:t>
      </w:r>
      <w:r w:rsidRPr="003F257C">
        <w:rPr>
          <w:rFonts w:ascii="Times New Roman" w:eastAsia="Times New Roman" w:hAnsi="Times New Roman" w:cs="Times New Roman"/>
        </w:rPr>
        <w:t xml:space="preserve"> </w:t>
      </w:r>
    </w:p>
    <w:p w14:paraId="0410C9F0" w14:textId="77777777" w:rsidR="002841F4" w:rsidRPr="007F2054" w:rsidRDefault="002841F4" w:rsidP="002841F4">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Makrogolis 3350 (E1521)</w:t>
      </w:r>
    </w:p>
    <w:p w14:paraId="131FB0F1" w14:textId="77777777" w:rsidR="002841F4" w:rsidRPr="007F2054" w:rsidRDefault="002841F4" w:rsidP="002841F4">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Talkas (E553b)</w:t>
      </w:r>
    </w:p>
    <w:p w14:paraId="41D3D33A" w14:textId="77777777" w:rsidR="002841F4" w:rsidRPr="007F2054" w:rsidRDefault="002841F4" w:rsidP="002841F4">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Titano dioksidas (E171)</w:t>
      </w:r>
    </w:p>
    <w:p w14:paraId="765B1FD0" w14:textId="77777777" w:rsidR="002841F4" w:rsidRPr="007F2054" w:rsidRDefault="002841F4" w:rsidP="002841F4">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Raudonasis geležies oksidas (E172)</w:t>
      </w:r>
    </w:p>
    <w:bookmarkEnd w:id="0"/>
    <w:p w14:paraId="1949434E" w14:textId="0ACDD424" w:rsidR="003E364C" w:rsidRPr="003E364C" w:rsidRDefault="003E364C" w:rsidP="003E364C">
      <w:pPr>
        <w:spacing w:after="0" w:line="240" w:lineRule="auto"/>
        <w:rPr>
          <w:rFonts w:ascii="Times New Roman" w:eastAsia="Times New Roman" w:hAnsi="Times New Roman" w:cs="Times New Roman"/>
          <w:noProof/>
          <w:snapToGrid w:val="0"/>
        </w:rPr>
      </w:pPr>
    </w:p>
    <w:p w14:paraId="00CA82D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6.2</w:t>
      </w:r>
      <w:r w:rsidRPr="003E364C">
        <w:rPr>
          <w:rFonts w:ascii="Times New Roman" w:eastAsia="Times New Roman" w:hAnsi="Times New Roman" w:cs="Times New Roman"/>
          <w:b/>
          <w:bCs/>
          <w:snapToGrid w:val="0"/>
          <w:lang w:eastAsia="x-none"/>
        </w:rPr>
        <w:tab/>
        <w:t>Nesuderinamumas</w:t>
      </w:r>
    </w:p>
    <w:p w14:paraId="74097FB0" w14:textId="77777777" w:rsidR="003E364C" w:rsidRPr="003E364C" w:rsidRDefault="003E364C" w:rsidP="003E364C">
      <w:pPr>
        <w:spacing w:after="0" w:line="240" w:lineRule="auto"/>
        <w:rPr>
          <w:rFonts w:ascii="Times New Roman" w:eastAsia="Times New Roman" w:hAnsi="Times New Roman" w:cs="Times New Roman"/>
          <w:snapToGrid w:val="0"/>
        </w:rPr>
      </w:pPr>
    </w:p>
    <w:p w14:paraId="2B74752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noProof/>
          <w:snapToGrid w:val="0"/>
        </w:rPr>
        <w:t>Duomenys nebūtini.</w:t>
      </w:r>
      <w:r w:rsidRPr="003E364C">
        <w:rPr>
          <w:rFonts w:ascii="Times New Roman" w:eastAsia="Times New Roman" w:hAnsi="Times New Roman" w:cs="Times New Roman"/>
          <w:snapToGrid w:val="0"/>
        </w:rPr>
        <w:t xml:space="preserve"> </w:t>
      </w:r>
    </w:p>
    <w:p w14:paraId="2DBE5179" w14:textId="77777777" w:rsidR="003E364C" w:rsidRPr="003E364C" w:rsidRDefault="003E364C" w:rsidP="003E364C">
      <w:pPr>
        <w:spacing w:after="0" w:line="240" w:lineRule="auto"/>
        <w:rPr>
          <w:rFonts w:ascii="Times New Roman" w:eastAsia="Times New Roman" w:hAnsi="Times New Roman" w:cs="Times New Roman"/>
          <w:snapToGrid w:val="0"/>
        </w:rPr>
      </w:pPr>
    </w:p>
    <w:p w14:paraId="79486AA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6.3</w:t>
      </w:r>
      <w:r w:rsidRPr="003E364C">
        <w:rPr>
          <w:rFonts w:ascii="Times New Roman" w:eastAsia="Times New Roman" w:hAnsi="Times New Roman" w:cs="Times New Roman"/>
          <w:b/>
          <w:bCs/>
          <w:snapToGrid w:val="0"/>
          <w:lang w:eastAsia="x-none"/>
        </w:rPr>
        <w:tab/>
        <w:t>Tinkamumo laikas</w:t>
      </w:r>
    </w:p>
    <w:p w14:paraId="6A31088C" w14:textId="77777777" w:rsidR="003E364C" w:rsidRPr="003E364C" w:rsidRDefault="003E364C" w:rsidP="003E364C">
      <w:pPr>
        <w:spacing w:after="0" w:line="240" w:lineRule="auto"/>
        <w:rPr>
          <w:rFonts w:ascii="Times New Roman" w:eastAsia="Times New Roman" w:hAnsi="Times New Roman" w:cs="Times New Roman"/>
          <w:snapToGrid w:val="0"/>
        </w:rPr>
      </w:pPr>
    </w:p>
    <w:p w14:paraId="7621C862" w14:textId="1E7A1163" w:rsidR="003E364C" w:rsidRPr="003E364C" w:rsidRDefault="003E364C" w:rsidP="003E364C">
      <w:pPr>
        <w:spacing w:after="0" w:line="240" w:lineRule="auto"/>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3</w:t>
      </w:r>
      <w:r w:rsidR="00C3128C">
        <w:rPr>
          <w:rFonts w:ascii="Times New Roman" w:eastAsia="Times New Roman" w:hAnsi="Times New Roman" w:cs="Times New Roman"/>
          <w:noProof/>
          <w:snapToGrid w:val="0"/>
        </w:rPr>
        <w:t>0 mėnesių</w:t>
      </w:r>
    </w:p>
    <w:p w14:paraId="09115C87" w14:textId="77777777" w:rsidR="003E364C" w:rsidRPr="003E364C" w:rsidRDefault="003E364C" w:rsidP="003E364C">
      <w:pPr>
        <w:spacing w:after="0" w:line="240" w:lineRule="auto"/>
        <w:rPr>
          <w:rFonts w:ascii="Times New Roman" w:eastAsia="Times New Roman" w:hAnsi="Times New Roman" w:cs="Times New Roman"/>
          <w:snapToGrid w:val="0"/>
        </w:rPr>
      </w:pPr>
    </w:p>
    <w:p w14:paraId="7A176382"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Sutraiškytos tabletės</w:t>
      </w:r>
    </w:p>
    <w:p w14:paraId="6E51627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Sutraiškytos rivaroksabano tabletės išlieka stabilios vandenyje ir obuolių tyrelėje iki 4 valandų.</w:t>
      </w:r>
    </w:p>
    <w:p w14:paraId="433B7354" w14:textId="77777777" w:rsidR="003E364C" w:rsidRPr="003E364C" w:rsidRDefault="003E364C" w:rsidP="003E364C">
      <w:pPr>
        <w:spacing w:after="0" w:line="240" w:lineRule="auto"/>
        <w:rPr>
          <w:rFonts w:ascii="Times New Roman" w:eastAsia="Times New Roman" w:hAnsi="Times New Roman" w:cs="Times New Roman"/>
          <w:snapToGrid w:val="0"/>
        </w:rPr>
      </w:pPr>
    </w:p>
    <w:p w14:paraId="5AC4405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6.4</w:t>
      </w:r>
      <w:r w:rsidRPr="003E364C">
        <w:rPr>
          <w:rFonts w:ascii="Times New Roman" w:eastAsia="Times New Roman" w:hAnsi="Times New Roman" w:cs="Times New Roman"/>
          <w:b/>
          <w:bCs/>
          <w:snapToGrid w:val="0"/>
          <w:lang w:eastAsia="x-none"/>
        </w:rPr>
        <w:tab/>
        <w:t>Specialios laikymo sąlygos</w:t>
      </w:r>
    </w:p>
    <w:p w14:paraId="35E56036" w14:textId="77777777" w:rsidR="003E364C" w:rsidRPr="003E364C" w:rsidRDefault="003E364C" w:rsidP="003E364C">
      <w:pPr>
        <w:spacing w:after="0" w:line="240" w:lineRule="auto"/>
        <w:rPr>
          <w:rFonts w:ascii="Times New Roman" w:eastAsia="Times New Roman" w:hAnsi="Times New Roman" w:cs="Times New Roman"/>
          <w:snapToGrid w:val="0"/>
        </w:rPr>
      </w:pPr>
    </w:p>
    <w:p w14:paraId="188065C3" w14:textId="7386406E" w:rsidR="002841F4" w:rsidRPr="007F2054" w:rsidRDefault="002841F4" w:rsidP="002841F4">
      <w:pPr>
        <w:tabs>
          <w:tab w:val="left" w:pos="720"/>
        </w:tabs>
        <w:snapToGrid w:val="0"/>
        <w:spacing w:after="0" w:line="240" w:lineRule="auto"/>
        <w:rPr>
          <w:rFonts w:ascii="Times New Roman" w:eastAsia="Times New Roman" w:hAnsi="Times New Roman" w:cs="Times New Roman"/>
          <w:color w:val="000000"/>
          <w:lang w:eastAsia="lt-LT" w:bidi="lt-LT"/>
        </w:rPr>
      </w:pPr>
      <w:r w:rsidRPr="007F2054">
        <w:rPr>
          <w:rFonts w:ascii="Times New Roman" w:eastAsia="Times New Roman" w:hAnsi="Times New Roman" w:cs="Times New Roman"/>
          <w:color w:val="000000"/>
          <w:lang w:eastAsia="lt-LT" w:bidi="lt-LT"/>
        </w:rPr>
        <w:t>Laikyti gamintojo pakuotėje, kad vaist</w:t>
      </w:r>
      <w:r w:rsidR="0060327D">
        <w:rPr>
          <w:rFonts w:ascii="Times New Roman" w:eastAsia="Times New Roman" w:hAnsi="Times New Roman" w:cs="Times New Roman"/>
          <w:color w:val="000000"/>
          <w:lang w:eastAsia="lt-LT" w:bidi="lt-LT"/>
        </w:rPr>
        <w:t>inis preparat</w:t>
      </w:r>
      <w:r w:rsidRPr="007F2054">
        <w:rPr>
          <w:rFonts w:ascii="Times New Roman" w:eastAsia="Times New Roman" w:hAnsi="Times New Roman" w:cs="Times New Roman"/>
          <w:color w:val="000000"/>
          <w:lang w:eastAsia="lt-LT" w:bidi="lt-LT"/>
        </w:rPr>
        <w:t>as būtų apsaugotas nuo drėgmės.</w:t>
      </w:r>
    </w:p>
    <w:p w14:paraId="570800B5" w14:textId="1A919021" w:rsidR="003E364C" w:rsidRDefault="002841F4" w:rsidP="002841F4">
      <w:pPr>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Šio vaist</w:t>
      </w:r>
      <w:r w:rsidR="0081230C">
        <w:rPr>
          <w:rFonts w:ascii="Times New Roman" w:eastAsia="Times New Roman" w:hAnsi="Times New Roman" w:cs="Times New Roman"/>
        </w:rPr>
        <w:t>inio preparato</w:t>
      </w:r>
      <w:r w:rsidRPr="007F2054">
        <w:rPr>
          <w:rFonts w:ascii="Times New Roman" w:eastAsia="Times New Roman" w:hAnsi="Times New Roman" w:cs="Times New Roman"/>
        </w:rPr>
        <w:t xml:space="preserve"> laikymui specialių temperatūros sąlygų nereikalaujama</w:t>
      </w:r>
      <w:r>
        <w:rPr>
          <w:rFonts w:ascii="Times New Roman" w:eastAsia="Times New Roman" w:hAnsi="Times New Roman" w:cs="Times New Roman"/>
        </w:rPr>
        <w:t>.</w:t>
      </w:r>
    </w:p>
    <w:p w14:paraId="7695FF53" w14:textId="77777777" w:rsidR="002841F4" w:rsidRPr="003E364C" w:rsidRDefault="002841F4" w:rsidP="002841F4">
      <w:pPr>
        <w:spacing w:after="0" w:line="240" w:lineRule="auto"/>
        <w:rPr>
          <w:rFonts w:ascii="Times New Roman" w:eastAsia="Times New Roman" w:hAnsi="Times New Roman" w:cs="Times New Roman"/>
          <w:snapToGrid w:val="0"/>
        </w:rPr>
      </w:pPr>
    </w:p>
    <w:p w14:paraId="6910114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6.5</w:t>
      </w:r>
      <w:r w:rsidRPr="003E364C">
        <w:rPr>
          <w:rFonts w:ascii="Times New Roman" w:eastAsia="Times New Roman" w:hAnsi="Times New Roman" w:cs="Times New Roman"/>
          <w:b/>
          <w:bCs/>
          <w:snapToGrid w:val="0"/>
          <w:lang w:eastAsia="x-none"/>
        </w:rPr>
        <w:tab/>
        <w:t>Talpyklės pobūdis ir jos turinys</w:t>
      </w:r>
      <w:r w:rsidRPr="003E364C">
        <w:rPr>
          <w:rFonts w:ascii="Times New Roman" w:eastAsia="Times New Roman" w:hAnsi="Times New Roman" w:cs="Times New Roman"/>
          <w:b/>
          <w:noProof/>
          <w:snapToGrid w:val="0"/>
          <w:lang w:eastAsia="x-none"/>
        </w:rPr>
        <w:t xml:space="preserve"> </w:t>
      </w:r>
    </w:p>
    <w:p w14:paraId="28736506" w14:textId="77777777" w:rsidR="003E364C" w:rsidRPr="003E364C" w:rsidRDefault="003E364C" w:rsidP="003E364C">
      <w:pPr>
        <w:spacing w:after="0" w:line="240" w:lineRule="auto"/>
        <w:rPr>
          <w:rFonts w:ascii="Times New Roman" w:eastAsia="Times New Roman" w:hAnsi="Times New Roman" w:cs="Times New Roman"/>
          <w:snapToGrid w:val="0"/>
        </w:rPr>
      </w:pPr>
    </w:p>
    <w:p w14:paraId="0566A153" w14:textId="77777777" w:rsidR="002841F4" w:rsidRPr="002841F4" w:rsidRDefault="002841F4" w:rsidP="002841F4">
      <w:pPr>
        <w:tabs>
          <w:tab w:val="left" w:pos="720"/>
        </w:tabs>
        <w:snapToGrid w:val="0"/>
        <w:spacing w:after="0" w:line="240" w:lineRule="auto"/>
        <w:rPr>
          <w:rFonts w:ascii="Times New Roman" w:eastAsia="Times New Roman" w:hAnsi="Times New Roman" w:cs="Times New Roman"/>
        </w:rPr>
      </w:pPr>
      <w:r w:rsidRPr="002841F4">
        <w:rPr>
          <w:rFonts w:ascii="Times New Roman" w:eastAsia="Times New Roman" w:hAnsi="Times New Roman" w:cs="Times New Roman"/>
        </w:rPr>
        <w:t>OPA/Al/PVC//Al</w:t>
      </w:r>
      <w:r w:rsidRPr="002841F4">
        <w:rPr>
          <w:rFonts w:ascii="Times New Roman" w:eastAsia="Times New Roman" w:hAnsi="Times New Roman" w:cs="Times New Roman"/>
          <w:b/>
          <w:bCs/>
        </w:rPr>
        <w:t xml:space="preserve"> </w:t>
      </w:r>
      <w:r w:rsidRPr="002841F4">
        <w:rPr>
          <w:rFonts w:ascii="Times New Roman" w:eastAsia="Times New Roman" w:hAnsi="Times New Roman" w:cs="Times New Roman"/>
        </w:rPr>
        <w:t>lizdinės plokštelės sulankstomose kartono dėžutėse po 28, 98 arba 100 plėvele dengtų tablečių.</w:t>
      </w:r>
    </w:p>
    <w:p w14:paraId="4D47A5F3" w14:textId="77777777" w:rsidR="002841F4" w:rsidRPr="002841F4" w:rsidRDefault="002841F4" w:rsidP="002841F4">
      <w:pPr>
        <w:tabs>
          <w:tab w:val="left" w:pos="567"/>
        </w:tabs>
        <w:snapToGrid w:val="0"/>
        <w:spacing w:after="0" w:line="240" w:lineRule="auto"/>
        <w:rPr>
          <w:rFonts w:ascii="Times New Roman" w:eastAsia="Calibri" w:hAnsi="Times New Roman" w:cs="Times New Roman"/>
          <w:bCs/>
          <w:iCs/>
        </w:rPr>
      </w:pPr>
    </w:p>
    <w:p w14:paraId="50B628FA" w14:textId="77777777" w:rsidR="002841F4" w:rsidRPr="002841F4" w:rsidRDefault="002841F4" w:rsidP="002841F4">
      <w:pPr>
        <w:tabs>
          <w:tab w:val="left" w:pos="567"/>
        </w:tabs>
        <w:snapToGrid w:val="0"/>
        <w:spacing w:after="0" w:line="240" w:lineRule="auto"/>
        <w:rPr>
          <w:rFonts w:ascii="Times New Roman" w:eastAsia="Calibri" w:hAnsi="Times New Roman" w:cs="Times New Roman"/>
          <w:bCs/>
          <w:iCs/>
        </w:rPr>
      </w:pPr>
      <w:r w:rsidRPr="002841F4">
        <w:rPr>
          <w:rFonts w:ascii="Times New Roman" w:eastAsia="Calibri" w:hAnsi="Times New Roman" w:cs="Times New Roman"/>
          <w:bCs/>
          <w:iCs/>
        </w:rPr>
        <w:t xml:space="preserve">Vienoje lizdinėje plokštelė yra 10 arba 14 plėvele dengtų tablečių, priklausomai nuo pakuotės dydžio. </w:t>
      </w:r>
    </w:p>
    <w:p w14:paraId="774EE685" w14:textId="77777777" w:rsidR="002841F4" w:rsidRPr="002841F4" w:rsidRDefault="002841F4" w:rsidP="002841F4">
      <w:pPr>
        <w:tabs>
          <w:tab w:val="left" w:pos="567"/>
        </w:tabs>
        <w:snapToGrid w:val="0"/>
        <w:spacing w:after="0" w:line="240" w:lineRule="auto"/>
        <w:rPr>
          <w:rFonts w:ascii="Times New Roman" w:eastAsia="Calibri" w:hAnsi="Times New Roman" w:cs="Times New Roman"/>
          <w:bCs/>
          <w:i/>
        </w:rPr>
      </w:pPr>
    </w:p>
    <w:p w14:paraId="41551465" w14:textId="28EE6525" w:rsidR="003E364C" w:rsidRPr="003E364C" w:rsidRDefault="002841F4" w:rsidP="002841F4">
      <w:pPr>
        <w:spacing w:after="0" w:line="240" w:lineRule="auto"/>
        <w:rPr>
          <w:rFonts w:ascii="Times New Roman" w:eastAsia="Times New Roman" w:hAnsi="Times New Roman" w:cs="Times New Roman"/>
          <w:snapToGrid w:val="0"/>
        </w:rPr>
      </w:pPr>
      <w:r w:rsidRPr="002841F4">
        <w:rPr>
          <w:rFonts w:ascii="Times New Roman" w:eastAsia="Times New Roman" w:hAnsi="Times New Roman" w:cs="Times New Roman"/>
        </w:rPr>
        <w:t>Gali būti tiekiamos ne visų dydžių pakuotės</w:t>
      </w:r>
      <w:r w:rsidR="003E364C" w:rsidRPr="003E364C">
        <w:rPr>
          <w:rFonts w:ascii="Times New Roman" w:eastAsia="Times New Roman" w:hAnsi="Times New Roman" w:cs="Times New Roman"/>
          <w:noProof/>
          <w:snapToGrid w:val="0"/>
        </w:rPr>
        <w:t>.</w:t>
      </w:r>
    </w:p>
    <w:p w14:paraId="77FC3D28" w14:textId="77777777" w:rsidR="003E364C" w:rsidRPr="003E364C" w:rsidRDefault="003E364C" w:rsidP="003E364C">
      <w:pPr>
        <w:spacing w:after="0" w:line="240" w:lineRule="auto"/>
        <w:rPr>
          <w:rFonts w:ascii="Times New Roman" w:eastAsia="Times New Roman" w:hAnsi="Times New Roman" w:cs="Times New Roman"/>
          <w:snapToGrid w:val="0"/>
        </w:rPr>
      </w:pPr>
    </w:p>
    <w:p w14:paraId="22C318E6" w14:textId="5755E169"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bookmarkStart w:id="1" w:name="OLE_LINK1"/>
      <w:r w:rsidRPr="003E364C">
        <w:rPr>
          <w:rFonts w:ascii="Times New Roman" w:eastAsia="Times New Roman" w:hAnsi="Times New Roman" w:cs="Times New Roman"/>
          <w:b/>
          <w:bCs/>
          <w:snapToGrid w:val="0"/>
          <w:lang w:eastAsia="x-none"/>
        </w:rPr>
        <w:t>6.6</w:t>
      </w:r>
      <w:r w:rsidRPr="003E364C">
        <w:rPr>
          <w:rFonts w:ascii="Times New Roman" w:eastAsia="Times New Roman" w:hAnsi="Times New Roman" w:cs="Times New Roman"/>
          <w:b/>
          <w:bCs/>
          <w:snapToGrid w:val="0"/>
          <w:lang w:eastAsia="x-none"/>
        </w:rPr>
        <w:tab/>
        <w:t>Specialūs reikalavimai atliekoms tvarkyti ir vaistiniam preparatui ruošti</w:t>
      </w:r>
    </w:p>
    <w:bookmarkEnd w:id="1"/>
    <w:p w14:paraId="319F02A7" w14:textId="77777777" w:rsidR="003E364C" w:rsidRPr="003E364C" w:rsidRDefault="003E364C" w:rsidP="003E364C">
      <w:pPr>
        <w:spacing w:after="0" w:line="240" w:lineRule="auto"/>
        <w:rPr>
          <w:rFonts w:ascii="Times New Roman" w:eastAsia="Times New Roman" w:hAnsi="Times New Roman" w:cs="Times New Roman"/>
          <w:snapToGrid w:val="0"/>
        </w:rPr>
      </w:pPr>
    </w:p>
    <w:p w14:paraId="3C358501" w14:textId="77777777" w:rsidR="003E364C" w:rsidRPr="003E364C" w:rsidRDefault="003E364C" w:rsidP="003E364C">
      <w:pPr>
        <w:spacing w:after="0" w:line="240" w:lineRule="auto"/>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Nesuvartotą vaistinį preparatą ar atliekas reikia tvarkyti laikantis vietinių reikalavimų.</w:t>
      </w:r>
    </w:p>
    <w:p w14:paraId="6C3C4403" w14:textId="77777777" w:rsidR="003E364C" w:rsidRPr="003E364C" w:rsidRDefault="003E364C" w:rsidP="003E364C">
      <w:pPr>
        <w:spacing w:after="0" w:line="240" w:lineRule="auto"/>
        <w:rPr>
          <w:rFonts w:ascii="Times New Roman" w:eastAsia="Times New Roman" w:hAnsi="Times New Roman" w:cs="Times New Roman"/>
          <w:noProof/>
          <w:snapToGrid w:val="0"/>
        </w:rPr>
      </w:pPr>
    </w:p>
    <w:p w14:paraId="5F0A2052" w14:textId="77777777" w:rsidR="003E364C" w:rsidRPr="003E364C" w:rsidRDefault="003E364C" w:rsidP="003E364C">
      <w:pPr>
        <w:spacing w:after="0" w:line="240" w:lineRule="auto"/>
        <w:rPr>
          <w:rFonts w:ascii="Times New Roman" w:eastAsia="Times New Roman" w:hAnsi="Times New Roman" w:cs="Times New Roman"/>
          <w:noProof/>
          <w:snapToGrid w:val="0"/>
          <w:u w:val="single"/>
        </w:rPr>
      </w:pPr>
      <w:r w:rsidRPr="003E364C">
        <w:rPr>
          <w:rFonts w:ascii="Times New Roman" w:eastAsia="Times New Roman" w:hAnsi="Times New Roman" w:cs="Times New Roman"/>
          <w:noProof/>
          <w:snapToGrid w:val="0"/>
          <w:u w:val="single"/>
        </w:rPr>
        <w:t>Tablečių sutraiškymas</w:t>
      </w:r>
    </w:p>
    <w:p w14:paraId="2286E619" w14:textId="4DA60AB9" w:rsidR="003E364C" w:rsidRPr="003E364C" w:rsidRDefault="00575C70" w:rsidP="003E364C">
      <w:pPr>
        <w:spacing w:after="0" w:line="240" w:lineRule="auto"/>
        <w:rPr>
          <w:rFonts w:ascii="Times New Roman" w:eastAsia="Times New Roman" w:hAnsi="Times New Roman" w:cs="Times New Roman"/>
          <w:bCs/>
          <w:noProof/>
          <w:snapToGrid w:val="0"/>
        </w:rPr>
      </w:pPr>
      <w:r>
        <w:rPr>
          <w:rFonts w:ascii="Times New Roman" w:eastAsia="Times New Roman" w:hAnsi="Times New Roman" w:cs="Times New Roman"/>
          <w:noProof/>
          <w:snapToGrid w:val="0"/>
        </w:rPr>
        <w:t>Xiltess</w:t>
      </w:r>
      <w:r w:rsidR="003E364C" w:rsidRPr="003E364C">
        <w:rPr>
          <w:rFonts w:ascii="Times New Roman" w:eastAsia="Times New Roman" w:hAnsi="Times New Roman" w:cs="Times New Roman"/>
          <w:noProof/>
          <w:snapToGrid w:val="0"/>
        </w:rPr>
        <w:t xml:space="preserve"> tabletes galima sutraiškyti ir išmaišyti 50</w:t>
      </w:r>
      <w:r w:rsidR="003E364C" w:rsidRPr="003E364C">
        <w:rPr>
          <w:rFonts w:ascii="Times New Roman" w:eastAsia="Times New Roman" w:hAnsi="Times New Roman" w:cs="Times New Roman"/>
          <w:b/>
          <w:noProof/>
          <w:snapToGrid w:val="0"/>
        </w:rPr>
        <w:t> </w:t>
      </w:r>
      <w:r w:rsidR="003E364C" w:rsidRPr="003E364C">
        <w:rPr>
          <w:rFonts w:ascii="Times New Roman" w:eastAsia="Times New Roman" w:hAnsi="Times New Roman" w:cs="Times New Roman"/>
          <w:noProof/>
          <w:snapToGrid w:val="0"/>
        </w:rPr>
        <w:t>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15</w:t>
      </w:r>
      <w:r w:rsidR="00AD441E">
        <w:rPr>
          <w:rFonts w:ascii="Times New Roman" w:eastAsia="Times New Roman" w:hAnsi="Times New Roman" w:cs="Times New Roman"/>
          <w:b/>
          <w:noProof/>
          <w:snapToGrid w:val="0"/>
        </w:rPr>
        <w:t> </w:t>
      </w:r>
      <w:r w:rsidR="00AD441E" w:rsidRPr="002841F4">
        <w:rPr>
          <w:rFonts w:ascii="Times New Roman" w:eastAsia="Times New Roman" w:hAnsi="Times New Roman" w:cs="Times New Roman"/>
          <w:bCs/>
          <w:noProof/>
          <w:snapToGrid w:val="0"/>
        </w:rPr>
        <w:t>mg</w:t>
      </w:r>
      <w:r w:rsidR="003E364C" w:rsidRPr="003E364C">
        <w:rPr>
          <w:rFonts w:ascii="Times New Roman" w:eastAsia="Times New Roman" w:hAnsi="Times New Roman" w:cs="Times New Roman"/>
          <w:bCs/>
          <w:noProof/>
          <w:snapToGrid w:val="0"/>
        </w:rPr>
        <w:t xml:space="preserve"> arba 20</w:t>
      </w:r>
      <w:r w:rsidR="00AD441E" w:rsidRPr="002841F4">
        <w:rPr>
          <w:rFonts w:ascii="Times New Roman" w:eastAsia="Times New Roman" w:hAnsi="Times New Roman" w:cs="Times New Roman"/>
          <w:bCs/>
          <w:noProof/>
          <w:snapToGrid w:val="0"/>
        </w:rPr>
        <w:t> mg</w:t>
      </w:r>
      <w:r w:rsidR="003E364C" w:rsidRPr="003E364C">
        <w:rPr>
          <w:rFonts w:ascii="Times New Roman" w:eastAsia="Times New Roman" w:hAnsi="Times New Roman" w:cs="Times New Roman"/>
          <w:bCs/>
          <w:noProof/>
          <w:snapToGrid w:val="0"/>
        </w:rPr>
        <w:t xml:space="preserve"> tablečių, reikia nedelsiant skirti enterinį maitinimą.</w:t>
      </w:r>
    </w:p>
    <w:p w14:paraId="2C360DAC" w14:textId="77777777" w:rsidR="003E364C" w:rsidRPr="003E364C" w:rsidRDefault="003E364C" w:rsidP="003E364C">
      <w:pPr>
        <w:spacing w:after="0" w:line="240" w:lineRule="auto"/>
        <w:rPr>
          <w:rFonts w:ascii="Times New Roman" w:eastAsia="Times New Roman" w:hAnsi="Times New Roman" w:cs="Times New Roman"/>
          <w:bCs/>
          <w:snapToGrid w:val="0"/>
        </w:rPr>
      </w:pPr>
    </w:p>
    <w:p w14:paraId="6CCA51A9"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
    <w:p w14:paraId="28ABB596" w14:textId="77777777" w:rsidR="002841F4" w:rsidRPr="003F257C" w:rsidRDefault="002841F4" w:rsidP="00B765F2">
      <w:pPr>
        <w:widowControl w:val="0"/>
        <w:numPr>
          <w:ilvl w:val="0"/>
          <w:numId w:val="3"/>
        </w:numPr>
        <w:tabs>
          <w:tab w:val="left" w:pos="1585"/>
          <w:tab w:val="left" w:pos="1586"/>
        </w:tabs>
        <w:autoSpaceDE w:val="0"/>
        <w:autoSpaceDN w:val="0"/>
        <w:spacing w:after="0" w:line="240" w:lineRule="auto"/>
        <w:outlineLvl w:val="0"/>
        <w:rPr>
          <w:rFonts w:ascii="Times New Roman" w:eastAsia="Times New Roman" w:hAnsi="Times New Roman" w:cs="Times New Roman"/>
          <w:b/>
          <w:bCs/>
        </w:rPr>
      </w:pPr>
      <w:r w:rsidRPr="003F257C">
        <w:rPr>
          <w:rFonts w:ascii="Times New Roman" w:eastAsia="Times New Roman" w:hAnsi="Times New Roman" w:cs="Times New Roman"/>
          <w:b/>
          <w:bCs/>
        </w:rPr>
        <w:t>REGISTRUOTOJAS</w:t>
      </w:r>
    </w:p>
    <w:p w14:paraId="5E61F243" w14:textId="77777777" w:rsidR="002841F4" w:rsidRPr="003F257C" w:rsidRDefault="002841F4" w:rsidP="002841F4">
      <w:pPr>
        <w:widowControl w:val="0"/>
        <w:autoSpaceDE w:val="0"/>
        <w:autoSpaceDN w:val="0"/>
        <w:spacing w:after="0" w:line="240" w:lineRule="auto"/>
        <w:ind w:left="630" w:hanging="630"/>
        <w:rPr>
          <w:rFonts w:ascii="Times New Roman" w:eastAsia="Times New Roman" w:hAnsi="Times New Roman" w:cs="Times New Roman"/>
          <w:b/>
        </w:rPr>
      </w:pPr>
    </w:p>
    <w:p w14:paraId="6E97EC13" w14:textId="53399943" w:rsidR="002841F4" w:rsidRPr="00764654" w:rsidRDefault="002841F4" w:rsidP="002841F4">
      <w:pPr>
        <w:autoSpaceDE w:val="0"/>
        <w:autoSpaceDN w:val="0"/>
        <w:adjustRightInd w:val="0"/>
        <w:spacing w:after="0" w:line="240" w:lineRule="auto"/>
        <w:rPr>
          <w:rFonts w:ascii="Times New Roman" w:eastAsia="Times New Roman" w:hAnsi="Times New Roman" w:cs="Times New Roman"/>
          <w:color w:val="000000"/>
        </w:rPr>
      </w:pPr>
      <w:r w:rsidRPr="00764654">
        <w:rPr>
          <w:rFonts w:ascii="Times New Roman" w:eastAsia="Times New Roman" w:hAnsi="Times New Roman" w:cs="Times New Roman"/>
          <w:color w:val="000000"/>
        </w:rPr>
        <w:t>Egis Pharmaceuticals PLC</w:t>
      </w:r>
    </w:p>
    <w:p w14:paraId="554878C8" w14:textId="77777777" w:rsidR="002841F4" w:rsidRPr="00764654" w:rsidRDefault="002841F4" w:rsidP="002841F4">
      <w:pPr>
        <w:tabs>
          <w:tab w:val="left" w:pos="720"/>
        </w:tabs>
        <w:snapToGrid w:val="0"/>
        <w:spacing w:after="0" w:line="240" w:lineRule="auto"/>
        <w:rPr>
          <w:rFonts w:ascii="Times New Roman" w:eastAsia="Times New Roman" w:hAnsi="Times New Roman" w:cs="Times New Roman"/>
          <w:color w:val="000000"/>
        </w:rPr>
      </w:pPr>
      <w:r w:rsidRPr="00764654">
        <w:rPr>
          <w:rFonts w:ascii="Times New Roman" w:eastAsia="Times New Roman" w:hAnsi="Times New Roman" w:cs="Times New Roman"/>
          <w:color w:val="000000"/>
        </w:rPr>
        <w:t>1106 Budapest, Keresztúri út 30-38</w:t>
      </w:r>
    </w:p>
    <w:p w14:paraId="584E6F70" w14:textId="77777777" w:rsidR="002841F4" w:rsidRDefault="002841F4" w:rsidP="002841F4">
      <w:pPr>
        <w:widowControl w:val="0"/>
        <w:autoSpaceDE w:val="0"/>
        <w:autoSpaceDN w:val="0"/>
        <w:spacing w:after="0" w:line="240" w:lineRule="auto"/>
        <w:rPr>
          <w:rFonts w:ascii="Times New Roman" w:eastAsia="Times New Roman" w:hAnsi="Times New Roman" w:cs="Times New Roman"/>
          <w:color w:val="000000"/>
        </w:rPr>
      </w:pPr>
      <w:r w:rsidRPr="00764654">
        <w:rPr>
          <w:rFonts w:ascii="Times New Roman" w:eastAsia="Times New Roman" w:hAnsi="Times New Roman" w:cs="Times New Roman"/>
          <w:color w:val="000000"/>
        </w:rPr>
        <w:t>Vengrija</w:t>
      </w:r>
    </w:p>
    <w:p w14:paraId="54161346"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
    <w:p w14:paraId="6DEE3A5F"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
    <w:p w14:paraId="67423576" w14:textId="77777777" w:rsidR="002841F4" w:rsidRPr="003F257C" w:rsidRDefault="002841F4" w:rsidP="009449B0">
      <w:pPr>
        <w:widowControl w:val="0"/>
        <w:numPr>
          <w:ilvl w:val="0"/>
          <w:numId w:val="3"/>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REGISTRACIJOS PAŽYMĖJIMO NUMERIS (</w:t>
      </w:r>
      <w:r w:rsidRPr="007F2054">
        <w:rPr>
          <w:rFonts w:ascii="Times New Roman" w:eastAsia="Times New Roman" w:hAnsi="Times New Roman" w:cs="Times New Roman"/>
          <w:b/>
          <w:bCs/>
        </w:rPr>
        <w:t>–</w:t>
      </w:r>
      <w:r w:rsidRPr="003F257C">
        <w:rPr>
          <w:rFonts w:ascii="Times New Roman" w:eastAsia="Times New Roman" w:hAnsi="Times New Roman" w:cs="Times New Roman"/>
          <w:b/>
          <w:bCs/>
        </w:rPr>
        <w:t>IAI)</w:t>
      </w:r>
    </w:p>
    <w:p w14:paraId="7209DFE2" w14:textId="43B1707C" w:rsidR="002841F4" w:rsidRDefault="002841F4" w:rsidP="002841F4">
      <w:pPr>
        <w:widowControl w:val="0"/>
        <w:autoSpaceDE w:val="0"/>
        <w:autoSpaceDN w:val="0"/>
        <w:spacing w:after="0" w:line="240" w:lineRule="auto"/>
        <w:ind w:left="540" w:hanging="540"/>
        <w:rPr>
          <w:rFonts w:ascii="Times New Roman" w:eastAsia="Times New Roman" w:hAnsi="Times New Roman" w:cs="Times New Roman"/>
          <w:b/>
        </w:rPr>
      </w:pPr>
    </w:p>
    <w:p w14:paraId="4FC00ADA" w14:textId="77777777" w:rsidR="0096285A" w:rsidRPr="0096285A" w:rsidRDefault="0096285A" w:rsidP="0096285A">
      <w:pPr>
        <w:autoSpaceDE w:val="0"/>
        <w:autoSpaceDN w:val="0"/>
        <w:adjustRightInd w:val="0"/>
        <w:spacing w:after="0" w:line="240" w:lineRule="auto"/>
        <w:rPr>
          <w:rFonts w:ascii="Times New Roman" w:hAnsi="Times New Roman" w:cs="Times New Roman"/>
        </w:rPr>
      </w:pPr>
      <w:r w:rsidRPr="0096285A">
        <w:rPr>
          <w:rFonts w:ascii="Times New Roman" w:hAnsi="Times New Roman" w:cs="Times New Roman"/>
        </w:rPr>
        <w:t xml:space="preserve">LT/1/23/5105/001 </w:t>
      </w:r>
      <w:r w:rsidRPr="0096285A">
        <w:rPr>
          <w:rFonts w:ascii="TimesNewRomanPSMT" w:hAnsi="TimesNewRomanPSMT" w:cs="TimesNewRomanPSMT"/>
        </w:rPr>
        <w:t xml:space="preserve">– </w:t>
      </w:r>
      <w:r w:rsidRPr="0096285A">
        <w:rPr>
          <w:rFonts w:ascii="Times New Roman" w:hAnsi="Times New Roman" w:cs="Times New Roman"/>
        </w:rPr>
        <w:t>N28</w:t>
      </w:r>
    </w:p>
    <w:p w14:paraId="156D3559" w14:textId="77777777" w:rsidR="0096285A" w:rsidRPr="0096285A" w:rsidRDefault="0096285A" w:rsidP="0096285A">
      <w:pPr>
        <w:autoSpaceDE w:val="0"/>
        <w:autoSpaceDN w:val="0"/>
        <w:adjustRightInd w:val="0"/>
        <w:spacing w:after="0" w:line="240" w:lineRule="auto"/>
        <w:rPr>
          <w:rFonts w:ascii="Times New Roman" w:hAnsi="Times New Roman" w:cs="Times New Roman"/>
        </w:rPr>
      </w:pPr>
      <w:r w:rsidRPr="0096285A">
        <w:rPr>
          <w:rFonts w:ascii="Times New Roman" w:hAnsi="Times New Roman" w:cs="Times New Roman"/>
        </w:rPr>
        <w:t xml:space="preserve">LT/1/23/5105/002 </w:t>
      </w:r>
      <w:r w:rsidRPr="0096285A">
        <w:rPr>
          <w:rFonts w:ascii="TimesNewRomanPSMT" w:hAnsi="TimesNewRomanPSMT" w:cs="TimesNewRomanPSMT"/>
        </w:rPr>
        <w:t xml:space="preserve">– </w:t>
      </w:r>
      <w:r w:rsidRPr="0096285A">
        <w:rPr>
          <w:rFonts w:ascii="Times New Roman" w:hAnsi="Times New Roman" w:cs="Times New Roman"/>
        </w:rPr>
        <w:t>N98</w:t>
      </w:r>
    </w:p>
    <w:p w14:paraId="7FDED024" w14:textId="5199D90E" w:rsidR="002841F4" w:rsidRPr="0096285A" w:rsidRDefault="0096285A" w:rsidP="0096285A">
      <w:pPr>
        <w:widowControl w:val="0"/>
        <w:autoSpaceDE w:val="0"/>
        <w:autoSpaceDN w:val="0"/>
        <w:spacing w:after="0" w:line="240" w:lineRule="auto"/>
        <w:ind w:left="540" w:hanging="540"/>
        <w:rPr>
          <w:rFonts w:ascii="Times New Roman" w:hAnsi="Times New Roman" w:cs="Times New Roman"/>
        </w:rPr>
      </w:pPr>
      <w:r w:rsidRPr="0096285A">
        <w:rPr>
          <w:rFonts w:ascii="Times New Roman" w:hAnsi="Times New Roman" w:cs="Times New Roman"/>
        </w:rPr>
        <w:t xml:space="preserve">LT/1/23/5105/003 </w:t>
      </w:r>
      <w:r w:rsidRPr="0096285A">
        <w:rPr>
          <w:rFonts w:ascii="TimesNewRomanPSMT" w:hAnsi="TimesNewRomanPSMT" w:cs="TimesNewRomanPSMT"/>
        </w:rPr>
        <w:t xml:space="preserve">– </w:t>
      </w:r>
      <w:r w:rsidRPr="0096285A">
        <w:rPr>
          <w:rFonts w:ascii="Times New Roman" w:hAnsi="Times New Roman" w:cs="Times New Roman"/>
        </w:rPr>
        <w:t>N100</w:t>
      </w:r>
    </w:p>
    <w:p w14:paraId="1628DD82" w14:textId="77777777" w:rsidR="0096285A" w:rsidRPr="0096285A" w:rsidRDefault="0096285A" w:rsidP="0096285A">
      <w:pPr>
        <w:widowControl w:val="0"/>
        <w:autoSpaceDE w:val="0"/>
        <w:autoSpaceDN w:val="0"/>
        <w:spacing w:after="0" w:line="240" w:lineRule="auto"/>
        <w:ind w:left="540" w:hanging="540"/>
        <w:rPr>
          <w:rFonts w:ascii="Times New Roman" w:eastAsia="Times New Roman" w:hAnsi="Times New Roman" w:cs="Times New Roman"/>
        </w:rPr>
      </w:pPr>
    </w:p>
    <w:p w14:paraId="30C76864" w14:textId="77777777" w:rsidR="007223B9" w:rsidRPr="003F257C" w:rsidRDefault="007223B9" w:rsidP="002841F4">
      <w:pPr>
        <w:widowControl w:val="0"/>
        <w:autoSpaceDE w:val="0"/>
        <w:autoSpaceDN w:val="0"/>
        <w:spacing w:after="0" w:line="240" w:lineRule="auto"/>
        <w:ind w:left="540" w:hanging="540"/>
        <w:rPr>
          <w:rFonts w:ascii="Times New Roman" w:eastAsia="Times New Roman" w:hAnsi="Times New Roman" w:cs="Times New Roman"/>
        </w:rPr>
      </w:pPr>
    </w:p>
    <w:p w14:paraId="21E3FCC7" w14:textId="77777777" w:rsidR="002841F4" w:rsidRPr="003F257C" w:rsidRDefault="002841F4" w:rsidP="009449B0">
      <w:pPr>
        <w:widowControl w:val="0"/>
        <w:numPr>
          <w:ilvl w:val="0"/>
          <w:numId w:val="3"/>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REGISTRAVIMO / PERREGISTRAVIMO</w:t>
      </w:r>
      <w:r w:rsidRPr="003F257C">
        <w:rPr>
          <w:rFonts w:ascii="Times New Roman" w:eastAsia="Times New Roman" w:hAnsi="Times New Roman" w:cs="Times New Roman"/>
          <w:b/>
          <w:bCs/>
          <w:spacing w:val="-3"/>
        </w:rPr>
        <w:t xml:space="preserve"> </w:t>
      </w:r>
      <w:r w:rsidRPr="003F257C">
        <w:rPr>
          <w:rFonts w:ascii="Times New Roman" w:eastAsia="Times New Roman" w:hAnsi="Times New Roman" w:cs="Times New Roman"/>
          <w:b/>
          <w:bCs/>
        </w:rPr>
        <w:t>DATA</w:t>
      </w:r>
    </w:p>
    <w:p w14:paraId="42650FF8" w14:textId="77777777"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b/>
        </w:rPr>
      </w:pPr>
    </w:p>
    <w:p w14:paraId="3A228758" w14:textId="5071ADE9"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rPr>
      </w:pPr>
      <w:r w:rsidRPr="003F257C">
        <w:rPr>
          <w:rFonts w:ascii="Times New Roman" w:eastAsia="Times New Roman" w:hAnsi="Times New Roman" w:cs="Times New Roman"/>
        </w:rPr>
        <w:t xml:space="preserve">Registravimo data </w:t>
      </w:r>
      <w:r w:rsidR="0096285A">
        <w:rPr>
          <w:rFonts w:ascii="Times New Roman" w:eastAsia="Times New Roman" w:hAnsi="Times New Roman" w:cs="Times New Roman"/>
          <w:noProof/>
          <w:snapToGrid w:val="0"/>
          <w:szCs w:val="24"/>
        </w:rPr>
        <w:t>2023 m. sausio 20 d.</w:t>
      </w:r>
    </w:p>
    <w:p w14:paraId="59AF042C" w14:textId="77777777"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rPr>
      </w:pPr>
    </w:p>
    <w:p w14:paraId="2A3FF795" w14:textId="77777777"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rPr>
      </w:pPr>
    </w:p>
    <w:p w14:paraId="7309E2AC" w14:textId="77777777" w:rsidR="002841F4" w:rsidRPr="003F257C" w:rsidRDefault="002841F4" w:rsidP="009449B0">
      <w:pPr>
        <w:widowControl w:val="0"/>
        <w:numPr>
          <w:ilvl w:val="0"/>
          <w:numId w:val="3"/>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TEKSTO PERŽIŪROS</w:t>
      </w:r>
      <w:r w:rsidRPr="003F257C">
        <w:rPr>
          <w:rFonts w:ascii="Times New Roman" w:eastAsia="Times New Roman" w:hAnsi="Times New Roman" w:cs="Times New Roman"/>
          <w:b/>
          <w:bCs/>
          <w:spacing w:val="-2"/>
        </w:rPr>
        <w:t xml:space="preserve"> </w:t>
      </w:r>
      <w:r w:rsidRPr="003F257C">
        <w:rPr>
          <w:rFonts w:ascii="Times New Roman" w:eastAsia="Times New Roman" w:hAnsi="Times New Roman" w:cs="Times New Roman"/>
          <w:b/>
          <w:bCs/>
        </w:rPr>
        <w:t>DATA</w:t>
      </w:r>
    </w:p>
    <w:p w14:paraId="5D49CEA1" w14:textId="77777777" w:rsidR="002841F4" w:rsidRPr="005A432D" w:rsidRDefault="002841F4" w:rsidP="002841F4">
      <w:pPr>
        <w:widowControl w:val="0"/>
        <w:autoSpaceDE w:val="0"/>
        <w:autoSpaceDN w:val="0"/>
        <w:spacing w:after="0" w:line="240" w:lineRule="auto"/>
        <w:ind w:left="540" w:hanging="540"/>
        <w:rPr>
          <w:rFonts w:ascii="Times New Roman" w:eastAsia="Times New Roman" w:hAnsi="Times New Roman" w:cs="Times New Roman"/>
          <w:bCs/>
        </w:rPr>
      </w:pPr>
    </w:p>
    <w:p w14:paraId="64EE6E4E" w14:textId="31BCD87F" w:rsidR="005A432D" w:rsidRPr="005A432D" w:rsidRDefault="005A432D" w:rsidP="002841F4">
      <w:pPr>
        <w:widowControl w:val="0"/>
        <w:autoSpaceDE w:val="0"/>
        <w:autoSpaceDN w:val="0"/>
        <w:spacing w:after="0" w:line="240" w:lineRule="auto"/>
        <w:ind w:left="540" w:hanging="540"/>
        <w:rPr>
          <w:rFonts w:ascii="Times New Roman" w:eastAsia="Times New Roman" w:hAnsi="Times New Roman" w:cs="Times New Roman"/>
          <w:bCs/>
        </w:rPr>
      </w:pPr>
      <w:r w:rsidRPr="005A432D">
        <w:rPr>
          <w:rFonts w:ascii="Times New Roman" w:eastAsia="Times New Roman" w:hAnsi="Times New Roman" w:cs="Times New Roman"/>
          <w:bCs/>
        </w:rPr>
        <w:t>2025 m. liepos 10 d.</w:t>
      </w:r>
    </w:p>
    <w:p w14:paraId="2410C7FD" w14:textId="77777777" w:rsidR="007223B9" w:rsidRPr="003F257C" w:rsidRDefault="007223B9" w:rsidP="002841F4">
      <w:pPr>
        <w:widowControl w:val="0"/>
        <w:autoSpaceDE w:val="0"/>
        <w:autoSpaceDN w:val="0"/>
        <w:spacing w:after="0" w:line="240" w:lineRule="auto"/>
        <w:rPr>
          <w:rFonts w:ascii="Times New Roman" w:eastAsia="Times New Roman" w:hAnsi="Times New Roman" w:cs="Times New Roman"/>
          <w:noProof/>
          <w:snapToGrid w:val="0"/>
          <w:szCs w:val="24"/>
        </w:rPr>
      </w:pPr>
    </w:p>
    <w:p w14:paraId="12ED721B" w14:textId="381B8541" w:rsidR="002841F4" w:rsidRPr="005A432D" w:rsidRDefault="002841F4" w:rsidP="002841F4">
      <w:pPr>
        <w:widowControl w:val="0"/>
        <w:autoSpaceDE w:val="0"/>
        <w:autoSpaceDN w:val="0"/>
        <w:spacing w:after="0" w:line="240" w:lineRule="auto"/>
        <w:rPr>
          <w:rFonts w:ascii="Times New Roman" w:hAnsi="Times New Roman" w:cs="Times New Roman"/>
        </w:rPr>
      </w:pPr>
      <w:r w:rsidRPr="005A432D">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5A432D">
        <w:rPr>
          <w:rFonts w:ascii="Times New Roman" w:eastAsia="Times New Roman" w:hAnsi="Times New Roman" w:cs="Times New Roman"/>
          <w:i/>
          <w:noProof/>
        </w:rPr>
        <w:t xml:space="preserve"> </w:t>
      </w:r>
      <w:r w:rsidR="005A432D" w:rsidRPr="005A432D">
        <w:rPr>
          <w:rFonts w:ascii="Times New Roman" w:hAnsi="Times New Roman" w:cs="Times New Roman"/>
          <w:color w:val="0000EE"/>
          <w:u w:val="single"/>
          <w:lang w:eastAsia="lt-LT"/>
        </w:rPr>
        <w:t>https://vvkt.lrv.lt/lt/.</w:t>
      </w:r>
    </w:p>
    <w:p w14:paraId="30C895CE" w14:textId="0AD273DC" w:rsidR="00E15257" w:rsidRDefault="00E15257">
      <w:pPr>
        <w:rPr>
          <w:rFonts w:ascii="Times New Roman" w:hAnsi="Times New Roman" w:cs="Times New Roman"/>
        </w:rPr>
      </w:pPr>
      <w:r>
        <w:rPr>
          <w:rFonts w:ascii="Times New Roman" w:hAnsi="Times New Roman" w:cs="Times New Roman"/>
        </w:rPr>
        <w:br w:type="page"/>
      </w:r>
    </w:p>
    <w:p w14:paraId="54FF2396"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5B051CA3"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6E288FAD"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251CC05B"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5B0C3B19"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7F441854"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72663E15"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5768974D"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62813F8F"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137041F2"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549E9118" w14:textId="669C71C0" w:rsidR="00E15257" w:rsidRPr="00FC7F89" w:rsidRDefault="00E15257" w:rsidP="00FC7F89">
      <w:pPr>
        <w:spacing w:after="0" w:line="240" w:lineRule="auto"/>
        <w:jc w:val="center"/>
        <w:rPr>
          <w:rFonts w:ascii="Times New Roman" w:eastAsia="Times New Roman" w:hAnsi="Times New Roman" w:cs="Times New Roman"/>
          <w:noProof/>
        </w:rPr>
      </w:pPr>
      <w:bookmarkStart w:id="2" w:name="_Toc129243128"/>
      <w:bookmarkStart w:id="3" w:name="_Toc129243253"/>
    </w:p>
    <w:p w14:paraId="1AC4C877" w14:textId="0A4B3E6C" w:rsidR="00FC7F89" w:rsidRPr="00FC7F89" w:rsidRDefault="00FC7F89" w:rsidP="00FC7F89">
      <w:pPr>
        <w:spacing w:after="0" w:line="240" w:lineRule="auto"/>
        <w:jc w:val="center"/>
        <w:rPr>
          <w:rFonts w:ascii="Times New Roman" w:eastAsia="Times New Roman" w:hAnsi="Times New Roman" w:cs="Times New Roman"/>
          <w:noProof/>
        </w:rPr>
      </w:pPr>
    </w:p>
    <w:p w14:paraId="03A669C3" w14:textId="22341DFB" w:rsidR="00FC7F89" w:rsidRPr="00FC7F89" w:rsidRDefault="00FC7F89" w:rsidP="00FC7F89">
      <w:pPr>
        <w:spacing w:after="0" w:line="240" w:lineRule="auto"/>
        <w:jc w:val="center"/>
        <w:rPr>
          <w:rFonts w:ascii="Times New Roman" w:eastAsia="Times New Roman" w:hAnsi="Times New Roman" w:cs="Times New Roman"/>
          <w:noProof/>
        </w:rPr>
      </w:pPr>
    </w:p>
    <w:p w14:paraId="446EEC3E" w14:textId="6E69D9FE" w:rsidR="00FC7F89" w:rsidRPr="00FC7F89" w:rsidRDefault="00FC7F89" w:rsidP="00FC7F89">
      <w:pPr>
        <w:spacing w:after="0" w:line="240" w:lineRule="auto"/>
        <w:jc w:val="center"/>
        <w:rPr>
          <w:rFonts w:ascii="Times New Roman" w:eastAsia="Times New Roman" w:hAnsi="Times New Roman" w:cs="Times New Roman"/>
          <w:noProof/>
        </w:rPr>
      </w:pPr>
    </w:p>
    <w:p w14:paraId="6DDCCC72" w14:textId="4A9C3643" w:rsidR="00FC7F89" w:rsidRPr="00FC7F89" w:rsidRDefault="00FC7F89" w:rsidP="00FC7F89">
      <w:pPr>
        <w:spacing w:after="0" w:line="240" w:lineRule="auto"/>
        <w:jc w:val="center"/>
        <w:rPr>
          <w:rFonts w:ascii="Times New Roman" w:eastAsia="Times New Roman" w:hAnsi="Times New Roman" w:cs="Times New Roman"/>
          <w:noProof/>
        </w:rPr>
      </w:pPr>
    </w:p>
    <w:p w14:paraId="65DA8420" w14:textId="0B0BAD06" w:rsidR="00FC7F89" w:rsidRPr="00FC7F89" w:rsidRDefault="00FC7F89" w:rsidP="00FC7F89">
      <w:pPr>
        <w:spacing w:after="0" w:line="240" w:lineRule="auto"/>
        <w:jc w:val="center"/>
        <w:rPr>
          <w:rFonts w:ascii="Times New Roman" w:eastAsia="Times New Roman" w:hAnsi="Times New Roman" w:cs="Times New Roman"/>
          <w:noProof/>
        </w:rPr>
      </w:pPr>
    </w:p>
    <w:p w14:paraId="59F97A26" w14:textId="52CFDBC5" w:rsidR="00FC7F89" w:rsidRPr="00FC7F89" w:rsidRDefault="00FC7F89" w:rsidP="00FC7F89">
      <w:pPr>
        <w:spacing w:after="0" w:line="240" w:lineRule="auto"/>
        <w:jc w:val="center"/>
        <w:rPr>
          <w:rFonts w:ascii="Times New Roman" w:eastAsia="Times New Roman" w:hAnsi="Times New Roman" w:cs="Times New Roman"/>
          <w:noProof/>
        </w:rPr>
      </w:pPr>
    </w:p>
    <w:p w14:paraId="0B2EF7DA" w14:textId="23E70D29" w:rsidR="00FC7F89" w:rsidRPr="00FC7F89" w:rsidRDefault="00FC7F89" w:rsidP="00FC7F89">
      <w:pPr>
        <w:spacing w:after="0" w:line="240" w:lineRule="auto"/>
        <w:jc w:val="center"/>
        <w:rPr>
          <w:rFonts w:ascii="Times New Roman" w:eastAsia="Times New Roman" w:hAnsi="Times New Roman" w:cs="Times New Roman"/>
          <w:noProof/>
        </w:rPr>
      </w:pPr>
    </w:p>
    <w:p w14:paraId="71F0A2C0" w14:textId="37A09D2E" w:rsidR="00FC7F89" w:rsidRPr="00FC7F89" w:rsidRDefault="00FC7F89" w:rsidP="00FC7F89">
      <w:pPr>
        <w:spacing w:after="0" w:line="240" w:lineRule="auto"/>
        <w:jc w:val="center"/>
        <w:rPr>
          <w:rFonts w:ascii="Times New Roman" w:eastAsia="Times New Roman" w:hAnsi="Times New Roman" w:cs="Times New Roman"/>
          <w:noProof/>
        </w:rPr>
      </w:pPr>
      <w:bookmarkStart w:id="4" w:name="_Hlk117845167"/>
    </w:p>
    <w:p w14:paraId="27BACA40" w14:textId="43EDB93D" w:rsidR="00FC7F89" w:rsidRPr="00FC7F89" w:rsidRDefault="00FC7F89" w:rsidP="00FC7F89">
      <w:pPr>
        <w:spacing w:after="0" w:line="240" w:lineRule="auto"/>
        <w:jc w:val="center"/>
        <w:rPr>
          <w:rFonts w:ascii="Times New Roman" w:eastAsia="Times New Roman" w:hAnsi="Times New Roman" w:cs="Times New Roman"/>
          <w:noProof/>
        </w:rPr>
      </w:pPr>
      <w:bookmarkStart w:id="5" w:name="_Hlk117845657"/>
    </w:p>
    <w:p w14:paraId="11E837A6" w14:textId="14AB90A8" w:rsidR="00FC7F89" w:rsidRPr="00FC7F89" w:rsidRDefault="00FC7F89" w:rsidP="00FC7F89">
      <w:pPr>
        <w:spacing w:after="0" w:line="240" w:lineRule="auto"/>
        <w:jc w:val="center"/>
        <w:rPr>
          <w:rFonts w:ascii="Times New Roman" w:eastAsia="Times New Roman" w:hAnsi="Times New Roman" w:cs="Times New Roman"/>
          <w:noProof/>
        </w:rPr>
      </w:pPr>
    </w:p>
    <w:p w14:paraId="14D93D19" w14:textId="6D09A72B" w:rsidR="00FC7F89" w:rsidRPr="00FC7F89" w:rsidRDefault="00FC7F89" w:rsidP="00FC7F89">
      <w:pPr>
        <w:spacing w:after="0" w:line="240" w:lineRule="auto"/>
        <w:jc w:val="center"/>
        <w:rPr>
          <w:rFonts w:ascii="Times New Roman" w:eastAsia="Times New Roman" w:hAnsi="Times New Roman" w:cs="Times New Roman"/>
          <w:noProof/>
        </w:rPr>
      </w:pPr>
    </w:p>
    <w:p w14:paraId="265F1A94" w14:textId="298B6048" w:rsidR="00FC7F89" w:rsidRPr="00FC7F89" w:rsidRDefault="00FC7F89" w:rsidP="00FC7F89">
      <w:pPr>
        <w:spacing w:after="0" w:line="240" w:lineRule="auto"/>
        <w:jc w:val="center"/>
        <w:rPr>
          <w:rFonts w:ascii="Times New Roman" w:eastAsia="Times New Roman" w:hAnsi="Times New Roman" w:cs="Times New Roman"/>
          <w:noProof/>
        </w:rPr>
      </w:pPr>
    </w:p>
    <w:p w14:paraId="62F96CB1" w14:textId="77777777" w:rsidR="00FC7F89" w:rsidRPr="00FC7F89" w:rsidRDefault="00FC7F89" w:rsidP="00FC7F89">
      <w:pPr>
        <w:spacing w:after="0" w:line="240" w:lineRule="auto"/>
        <w:jc w:val="center"/>
        <w:rPr>
          <w:rFonts w:ascii="Times New Roman" w:eastAsia="Times New Roman" w:hAnsi="Times New Roman" w:cs="Times New Roman"/>
          <w:noProof/>
        </w:rPr>
      </w:pPr>
    </w:p>
    <w:p w14:paraId="623117B0" w14:textId="77777777" w:rsidR="00E15257" w:rsidRPr="00CB7F08" w:rsidRDefault="00E15257" w:rsidP="00E15257">
      <w:pPr>
        <w:keepNext/>
        <w:tabs>
          <w:tab w:val="left" w:pos="567"/>
        </w:tabs>
        <w:spacing w:after="0" w:line="276" w:lineRule="auto"/>
        <w:jc w:val="center"/>
        <w:outlineLvl w:val="1"/>
        <w:rPr>
          <w:rFonts w:ascii="Times New Roman" w:eastAsia="Calibri" w:hAnsi="Times New Roman" w:cs="Times New Roman"/>
          <w:b/>
        </w:rPr>
      </w:pPr>
      <w:r w:rsidRPr="00CB7F08">
        <w:rPr>
          <w:rFonts w:ascii="Times New Roman" w:eastAsia="Calibri" w:hAnsi="Times New Roman" w:cs="Times New Roman"/>
          <w:b/>
        </w:rPr>
        <w:t>II PRIEDAS</w:t>
      </w:r>
    </w:p>
    <w:p w14:paraId="1066B034" w14:textId="77777777" w:rsidR="00E15257" w:rsidRPr="00CB7F08" w:rsidRDefault="00E15257" w:rsidP="00E15257">
      <w:pPr>
        <w:tabs>
          <w:tab w:val="left" w:pos="567"/>
        </w:tabs>
        <w:spacing w:after="0" w:line="260" w:lineRule="exact"/>
        <w:ind w:left="1701" w:right="1416" w:hanging="567"/>
        <w:rPr>
          <w:rFonts w:ascii="Times New Roman" w:eastAsia="Times New Roman" w:hAnsi="Times New Roman" w:cs="Times New Roman"/>
          <w:snapToGrid w:val="0"/>
        </w:rPr>
      </w:pPr>
    </w:p>
    <w:p w14:paraId="4E8278A2" w14:textId="77777777" w:rsidR="00E15257" w:rsidRPr="00CB7F08" w:rsidRDefault="00E15257" w:rsidP="00E15257">
      <w:pPr>
        <w:tabs>
          <w:tab w:val="left" w:pos="567"/>
        </w:tabs>
        <w:spacing w:after="0" w:line="260" w:lineRule="exact"/>
        <w:jc w:val="center"/>
        <w:rPr>
          <w:rFonts w:ascii="Times New Roman" w:eastAsia="Times New Roman" w:hAnsi="Times New Roman" w:cs="Times New Roman"/>
          <w:i/>
          <w:snapToGrid w:val="0"/>
        </w:rPr>
      </w:pPr>
      <w:r w:rsidRPr="00CB7F08">
        <w:rPr>
          <w:rFonts w:ascii="Times New Roman" w:eastAsia="Times New Roman" w:hAnsi="Times New Roman" w:cs="Times New Roman"/>
          <w:b/>
          <w:snapToGrid w:val="0"/>
        </w:rPr>
        <w:t>REGISTRACIJOS SĄLYGOS</w:t>
      </w:r>
    </w:p>
    <w:p w14:paraId="7E5AAC19" w14:textId="77777777" w:rsidR="00E15257" w:rsidRPr="00CB7F08" w:rsidRDefault="00E15257" w:rsidP="00E15257">
      <w:pPr>
        <w:tabs>
          <w:tab w:val="left" w:pos="567"/>
        </w:tabs>
        <w:spacing w:after="0" w:line="260" w:lineRule="exact"/>
        <w:rPr>
          <w:rFonts w:ascii="Times New Roman" w:eastAsia="SimSun" w:hAnsi="Times New Roman" w:cs="Times New Roman"/>
        </w:rPr>
      </w:pPr>
    </w:p>
    <w:p w14:paraId="778945B2" w14:textId="77777777" w:rsidR="00E15257" w:rsidRPr="00CB7F08" w:rsidRDefault="00E15257" w:rsidP="00E15257">
      <w:pPr>
        <w:tabs>
          <w:tab w:val="left" w:pos="567"/>
        </w:tabs>
        <w:spacing w:after="0" w:line="276" w:lineRule="auto"/>
        <w:ind w:left="1701" w:right="1416" w:hanging="708"/>
        <w:rPr>
          <w:rFonts w:ascii="Times New Roman" w:eastAsia="SimSun" w:hAnsi="Times New Roman" w:cs="Times New Roman"/>
          <w:b/>
        </w:rPr>
      </w:pPr>
      <w:r w:rsidRPr="00CB7F08">
        <w:rPr>
          <w:rFonts w:ascii="Times New Roman" w:eastAsia="SimSun" w:hAnsi="Times New Roman" w:cs="Times New Roman"/>
          <w:b/>
        </w:rPr>
        <w:t>A.</w:t>
      </w:r>
      <w:r w:rsidRPr="00CB7F08">
        <w:rPr>
          <w:rFonts w:ascii="Times New Roman" w:eastAsia="SimSun" w:hAnsi="Times New Roman" w:cs="Times New Roman"/>
          <w:b/>
        </w:rPr>
        <w:tab/>
      </w:r>
      <w:r w:rsidRPr="00CB7F08">
        <w:rPr>
          <w:rFonts w:ascii="Times New Roman" w:eastAsia="SimSun" w:hAnsi="Times New Roman" w:cs="Times New Roman"/>
          <w:b/>
          <w:snapToGrid w:val="0"/>
          <w:lang w:eastAsia="zh-CN"/>
        </w:rPr>
        <w:t>GAMINTOJAS</w:t>
      </w:r>
      <w:r w:rsidRPr="00CB7F08">
        <w:rPr>
          <w:rFonts w:ascii="Times New Roman" w:eastAsia="SimSun" w:hAnsi="Times New Roman" w:cs="Times New Roman"/>
          <w:b/>
        </w:rPr>
        <w:t xml:space="preserve"> (-AI), ATSAKINGAS (-I) UŽ SERIJŲ IŠLEIDIMĄ</w:t>
      </w:r>
    </w:p>
    <w:p w14:paraId="6843BF5D" w14:textId="77777777" w:rsidR="00E15257" w:rsidRPr="00CB7F08" w:rsidRDefault="00E15257" w:rsidP="00E15257">
      <w:pPr>
        <w:tabs>
          <w:tab w:val="left" w:pos="567"/>
        </w:tabs>
        <w:spacing w:after="0" w:line="260" w:lineRule="exact"/>
        <w:rPr>
          <w:rFonts w:ascii="Times New Roman" w:eastAsia="SimSun" w:hAnsi="Times New Roman" w:cs="Times New Roman"/>
          <w:snapToGrid w:val="0"/>
          <w:lang w:eastAsia="zh-CN"/>
        </w:rPr>
      </w:pPr>
    </w:p>
    <w:p w14:paraId="0A113CD0" w14:textId="51C9850D" w:rsidR="00E15257" w:rsidRPr="00B765F2" w:rsidRDefault="00E15257" w:rsidP="00E15257">
      <w:pPr>
        <w:suppressLineNumbers/>
        <w:tabs>
          <w:tab w:val="left" w:pos="567"/>
        </w:tabs>
        <w:spacing w:after="0" w:line="276" w:lineRule="auto"/>
        <w:ind w:left="1701" w:right="1416" w:hanging="708"/>
        <w:rPr>
          <w:rFonts w:ascii="Times New Roman" w:hAnsi="Times New Roman"/>
          <w:b/>
        </w:rPr>
      </w:pPr>
      <w:r w:rsidRPr="00CB7F08">
        <w:rPr>
          <w:rFonts w:ascii="Times New Roman" w:eastAsia="SimSun" w:hAnsi="Times New Roman" w:cs="Times New Roman"/>
          <w:b/>
        </w:rPr>
        <w:t>B.</w:t>
      </w:r>
      <w:r w:rsidRPr="00CB7F08">
        <w:rPr>
          <w:rFonts w:ascii="Times New Roman" w:eastAsia="SimSun" w:hAnsi="Times New Roman" w:cs="Times New Roman"/>
          <w:b/>
        </w:rPr>
        <w:tab/>
      </w:r>
      <w:r w:rsidRPr="00CB7F08">
        <w:rPr>
          <w:rFonts w:ascii="Times New Roman" w:eastAsia="SimSun" w:hAnsi="Times New Roman" w:cs="Times New Roman"/>
          <w:b/>
          <w:snapToGrid w:val="0"/>
          <w:lang w:eastAsia="zh-CN"/>
        </w:rPr>
        <w:t>TIEKIMO IR VARTOJIMO SĄLYGOS AR APRIBOJIMAI</w:t>
      </w:r>
    </w:p>
    <w:p w14:paraId="3B021F49" w14:textId="74C0A9C4" w:rsidR="00F41552" w:rsidRDefault="00F41552" w:rsidP="00E15257">
      <w:pPr>
        <w:suppressLineNumbers/>
        <w:tabs>
          <w:tab w:val="left" w:pos="567"/>
        </w:tabs>
        <w:spacing w:after="0" w:line="276" w:lineRule="auto"/>
        <w:ind w:left="1701" w:right="1416" w:hanging="708"/>
        <w:rPr>
          <w:rFonts w:ascii="Times New Roman" w:eastAsia="SimSun" w:hAnsi="Times New Roman" w:cs="Times New Roman"/>
          <w:b/>
          <w:snapToGrid w:val="0"/>
          <w:lang w:eastAsia="zh-CN"/>
        </w:rPr>
      </w:pPr>
    </w:p>
    <w:p w14:paraId="158E53FE" w14:textId="77777777" w:rsidR="00F41552" w:rsidRPr="00666077" w:rsidRDefault="00F41552" w:rsidP="00F41552">
      <w:pPr>
        <w:suppressLineNumbers/>
        <w:tabs>
          <w:tab w:val="left" w:pos="567"/>
        </w:tabs>
        <w:spacing w:after="0" w:line="276" w:lineRule="auto"/>
        <w:ind w:left="1701" w:right="1416" w:hanging="708"/>
        <w:rPr>
          <w:rFonts w:ascii="Times New Roman" w:eastAsia="SimSun" w:hAnsi="Times New Roman" w:cs="Times New Roman"/>
          <w:b/>
          <w:bCs/>
          <w:snapToGrid w:val="0"/>
          <w:lang w:eastAsia="zh-CN"/>
        </w:rPr>
      </w:pPr>
      <w:r w:rsidRPr="00666077">
        <w:rPr>
          <w:rFonts w:ascii="Times New Roman" w:eastAsia="SimSun" w:hAnsi="Times New Roman" w:cs="Times New Roman"/>
          <w:b/>
          <w:bCs/>
          <w:snapToGrid w:val="0"/>
          <w:lang w:eastAsia="zh-CN"/>
        </w:rPr>
        <w:t>C.</w:t>
      </w:r>
      <w:r w:rsidRPr="00666077">
        <w:rPr>
          <w:rFonts w:ascii="Times New Roman" w:eastAsia="SimSun" w:hAnsi="Times New Roman" w:cs="Times New Roman"/>
          <w:b/>
          <w:bCs/>
          <w:snapToGrid w:val="0"/>
          <w:lang w:eastAsia="zh-CN"/>
        </w:rPr>
        <w:tab/>
        <w:t>KITOS SĄLYGOS IR REIKALAVIMAI REGISTRUOTOJUI</w:t>
      </w:r>
    </w:p>
    <w:p w14:paraId="1038F9E3" w14:textId="77777777" w:rsidR="00F41552" w:rsidRPr="00666077" w:rsidRDefault="00F41552" w:rsidP="00F41552">
      <w:pPr>
        <w:suppressLineNumbers/>
        <w:tabs>
          <w:tab w:val="left" w:pos="567"/>
        </w:tabs>
        <w:spacing w:after="0" w:line="276" w:lineRule="auto"/>
        <w:ind w:left="1701" w:right="1416" w:hanging="708"/>
        <w:rPr>
          <w:rFonts w:ascii="Times New Roman" w:eastAsia="SimSun" w:hAnsi="Times New Roman" w:cs="Times New Roman"/>
          <w:b/>
          <w:bCs/>
          <w:snapToGrid w:val="0"/>
          <w:lang w:eastAsia="zh-CN"/>
        </w:rPr>
      </w:pPr>
    </w:p>
    <w:p w14:paraId="74D73F4C" w14:textId="77777777" w:rsidR="00F41552" w:rsidRPr="00666077" w:rsidRDefault="00F41552" w:rsidP="00F41552">
      <w:pPr>
        <w:suppressLineNumbers/>
        <w:tabs>
          <w:tab w:val="left" w:pos="567"/>
        </w:tabs>
        <w:spacing w:after="0" w:line="276" w:lineRule="auto"/>
        <w:ind w:left="1701" w:right="1416" w:hanging="708"/>
        <w:rPr>
          <w:rFonts w:ascii="Times New Roman" w:eastAsia="SimSun" w:hAnsi="Times New Roman" w:cs="Times New Roman"/>
          <w:b/>
          <w:bCs/>
          <w:snapToGrid w:val="0"/>
          <w:lang w:eastAsia="zh-CN"/>
        </w:rPr>
      </w:pPr>
      <w:r w:rsidRPr="00666077">
        <w:rPr>
          <w:rFonts w:ascii="Times New Roman" w:eastAsia="SimSun" w:hAnsi="Times New Roman" w:cs="Times New Roman"/>
          <w:b/>
          <w:bCs/>
          <w:snapToGrid w:val="0"/>
          <w:lang w:eastAsia="zh-CN"/>
        </w:rPr>
        <w:t>D.</w:t>
      </w:r>
      <w:r w:rsidRPr="00666077">
        <w:rPr>
          <w:rFonts w:ascii="Times New Roman" w:eastAsia="SimSun" w:hAnsi="Times New Roman" w:cs="Times New Roman"/>
          <w:b/>
          <w:bCs/>
          <w:snapToGrid w:val="0"/>
          <w:lang w:eastAsia="zh-CN"/>
        </w:rPr>
        <w:tab/>
        <w:t>SĄLYGOS AR APRIBOJIMAI, SKIRTI SAUGIAM IR VEIKSMINGAM VAISTINIO PREPARATO VARTOJIMUI UŽTIKRINTI</w:t>
      </w:r>
    </w:p>
    <w:p w14:paraId="1E3DCAED" w14:textId="77777777" w:rsidR="00F41552" w:rsidRPr="00CB7F08" w:rsidRDefault="00F41552" w:rsidP="00E15257">
      <w:pPr>
        <w:suppressLineNumbers/>
        <w:tabs>
          <w:tab w:val="left" w:pos="567"/>
        </w:tabs>
        <w:spacing w:after="0" w:line="276" w:lineRule="auto"/>
        <w:ind w:left="1701" w:right="1416" w:hanging="708"/>
        <w:rPr>
          <w:rFonts w:ascii="Times New Roman" w:eastAsia="SimSun" w:hAnsi="Times New Roman" w:cs="Times New Roman"/>
          <w:snapToGrid w:val="0"/>
          <w:lang w:eastAsia="zh-CN"/>
        </w:rPr>
      </w:pPr>
    </w:p>
    <w:bookmarkEnd w:id="2"/>
    <w:bookmarkEnd w:id="3"/>
    <w:p w14:paraId="03A3C687" w14:textId="77777777" w:rsidR="00E15257" w:rsidRPr="00CB7F08" w:rsidRDefault="00E15257" w:rsidP="00E15257">
      <w:pPr>
        <w:keepNext/>
        <w:tabs>
          <w:tab w:val="left" w:pos="567"/>
        </w:tabs>
        <w:spacing w:after="0" w:line="240" w:lineRule="auto"/>
        <w:ind w:left="567" w:hanging="567"/>
        <w:outlineLvl w:val="1"/>
        <w:rPr>
          <w:rFonts w:ascii="Times New Roman" w:eastAsia="Times New Roman" w:hAnsi="Times New Roman" w:cs="Times New Roman"/>
          <w:b/>
        </w:rPr>
      </w:pPr>
      <w:r w:rsidRPr="00CB7F08">
        <w:rPr>
          <w:rFonts w:ascii="Times New Roman" w:eastAsia="Times New Roman" w:hAnsi="Times New Roman" w:cs="Times New Roman"/>
          <w:b/>
        </w:rPr>
        <w:br w:type="page"/>
      </w:r>
      <w:r w:rsidRPr="00CB7F08">
        <w:rPr>
          <w:rFonts w:ascii="Times New Roman" w:eastAsia="Times New Roman" w:hAnsi="Times New Roman" w:cs="Times New Roman"/>
          <w:b/>
        </w:rPr>
        <w:lastRenderedPageBreak/>
        <w:t>A.</w:t>
      </w:r>
      <w:r w:rsidRPr="00CB7F08">
        <w:rPr>
          <w:rFonts w:ascii="Times New Roman" w:eastAsia="Times New Roman" w:hAnsi="Times New Roman" w:cs="Times New Roman"/>
          <w:b/>
        </w:rPr>
        <w:tab/>
      </w:r>
      <w:r w:rsidRPr="00CB7F08">
        <w:rPr>
          <w:rFonts w:ascii="Times New Roman" w:eastAsia="Times New Roman" w:hAnsi="Times New Roman" w:cs="Times New Roman"/>
          <w:b/>
          <w:bCs/>
        </w:rPr>
        <w:t>GAMINTOJAS (-AI), ATSAKINGAS (-I) UŽ SERIJŲ IŠLEIDIMĄ</w:t>
      </w:r>
    </w:p>
    <w:p w14:paraId="3D03D507" w14:textId="77777777" w:rsidR="00E15257" w:rsidRPr="00CB7F08" w:rsidRDefault="00E15257" w:rsidP="00E15257">
      <w:pPr>
        <w:spacing w:after="0" w:line="240" w:lineRule="auto"/>
        <w:rPr>
          <w:rFonts w:ascii="Times New Roman" w:eastAsia="Times New Roman" w:hAnsi="Times New Roman" w:cs="Times New Roman"/>
          <w:noProof/>
        </w:rPr>
      </w:pPr>
    </w:p>
    <w:p w14:paraId="0E869A63" w14:textId="77777777" w:rsidR="009449B0" w:rsidRDefault="009449B0" w:rsidP="009449B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2464853C" w14:textId="77777777" w:rsidR="00E15257" w:rsidRPr="00CB7F08" w:rsidRDefault="00E15257" w:rsidP="00E15257">
      <w:pPr>
        <w:spacing w:after="0" w:line="240" w:lineRule="auto"/>
        <w:rPr>
          <w:rFonts w:ascii="Times New Roman" w:eastAsia="Times New Roman" w:hAnsi="Times New Roman" w:cs="Times New Roman"/>
          <w:noProof/>
        </w:rPr>
      </w:pPr>
    </w:p>
    <w:p w14:paraId="1E8DDDE3" w14:textId="63B97D13" w:rsidR="00FC7F89" w:rsidRPr="009449B0" w:rsidRDefault="00FC7F89" w:rsidP="00FC7F89">
      <w:pPr>
        <w:autoSpaceDE w:val="0"/>
        <w:autoSpaceDN w:val="0"/>
        <w:adjustRightInd w:val="0"/>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 xml:space="preserve">Egis Pharmaceuticals PLC </w:t>
      </w:r>
    </w:p>
    <w:p w14:paraId="43860DD4" w14:textId="77777777" w:rsidR="00FC7F89" w:rsidRPr="009449B0" w:rsidRDefault="00FC7F89" w:rsidP="00FC7F89">
      <w:pPr>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1165 Budapest, Bökényföldi út 118-120</w:t>
      </w:r>
    </w:p>
    <w:p w14:paraId="0F54A57E" w14:textId="08CD58FB" w:rsidR="00E15257" w:rsidRPr="00CB7F08" w:rsidRDefault="00FC7F89" w:rsidP="00FC7F89">
      <w:pPr>
        <w:spacing w:after="0" w:line="240" w:lineRule="auto"/>
        <w:rPr>
          <w:rFonts w:ascii="Times New Roman" w:eastAsia="Calibri" w:hAnsi="Times New Roman" w:cs="Times New Roman"/>
        </w:rPr>
      </w:pPr>
      <w:r>
        <w:rPr>
          <w:rFonts w:ascii="Times New Roman" w:eastAsia="Times New Roman" w:hAnsi="Times New Roman" w:cs="Times New Roman"/>
          <w:color w:val="000000"/>
        </w:rPr>
        <w:t>V</w:t>
      </w:r>
      <w:r w:rsidRPr="009449B0">
        <w:rPr>
          <w:rFonts w:ascii="Times New Roman" w:eastAsia="Times New Roman" w:hAnsi="Times New Roman" w:cs="Times New Roman"/>
          <w:color w:val="000000"/>
        </w:rPr>
        <w:t>engrija</w:t>
      </w:r>
    </w:p>
    <w:p w14:paraId="3D5D91CA" w14:textId="77777777" w:rsidR="00E15257" w:rsidRPr="00CB7F08" w:rsidRDefault="00E15257" w:rsidP="00E15257">
      <w:pPr>
        <w:spacing w:after="0" w:line="240" w:lineRule="auto"/>
        <w:rPr>
          <w:rFonts w:ascii="Times New Roman" w:eastAsia="Times New Roman" w:hAnsi="Times New Roman" w:cs="Times New Roman"/>
          <w:noProof/>
        </w:rPr>
      </w:pPr>
    </w:p>
    <w:p w14:paraId="49AEC301" w14:textId="77777777" w:rsidR="00E15257" w:rsidRPr="00CB7F08" w:rsidRDefault="00E15257" w:rsidP="00E15257">
      <w:pPr>
        <w:spacing w:after="0" w:line="240" w:lineRule="auto"/>
        <w:rPr>
          <w:rFonts w:ascii="Times New Roman" w:eastAsia="Times New Roman" w:hAnsi="Times New Roman" w:cs="Times New Roman"/>
          <w:noProof/>
        </w:rPr>
      </w:pPr>
    </w:p>
    <w:p w14:paraId="507BE849" w14:textId="77777777" w:rsidR="00E15257" w:rsidRPr="00CB7F08" w:rsidRDefault="00E15257" w:rsidP="00E15257">
      <w:pPr>
        <w:suppressLineNumbers/>
        <w:tabs>
          <w:tab w:val="left" w:pos="567"/>
        </w:tabs>
        <w:spacing w:after="0" w:line="276" w:lineRule="auto"/>
        <w:ind w:left="567" w:hanging="567"/>
        <w:rPr>
          <w:rFonts w:ascii="Times New Roman" w:eastAsia="SimSun" w:hAnsi="Times New Roman" w:cs="Times New Roman"/>
          <w:b/>
        </w:rPr>
      </w:pPr>
      <w:bookmarkStart w:id="6" w:name="_Toc129243130"/>
      <w:bookmarkStart w:id="7" w:name="_Toc129243255"/>
      <w:r w:rsidRPr="00CB7F08">
        <w:rPr>
          <w:rFonts w:ascii="Times New Roman" w:eastAsia="SimSun" w:hAnsi="Times New Roman" w:cs="Times New Roman"/>
          <w:b/>
          <w:snapToGrid w:val="0"/>
          <w:lang w:eastAsia="zh-CN"/>
        </w:rPr>
        <w:t>B.</w:t>
      </w:r>
      <w:r w:rsidRPr="00CB7F08">
        <w:rPr>
          <w:rFonts w:ascii="Times New Roman" w:eastAsia="SimSun" w:hAnsi="Times New Roman" w:cs="Times New Roman"/>
          <w:b/>
        </w:rPr>
        <w:tab/>
        <w:t>TIEKIMO IR VARTOJIMO SĄLYGOS AR APRIBOJIMAI</w:t>
      </w:r>
      <w:bookmarkEnd w:id="6"/>
      <w:bookmarkEnd w:id="7"/>
    </w:p>
    <w:p w14:paraId="3C8B1A14" w14:textId="77777777" w:rsidR="00E15257" w:rsidRPr="00CB7F08" w:rsidRDefault="00E15257" w:rsidP="00E15257">
      <w:pPr>
        <w:spacing w:after="0" w:line="240" w:lineRule="auto"/>
        <w:rPr>
          <w:rFonts w:ascii="Times New Roman" w:eastAsia="Times New Roman" w:hAnsi="Times New Roman" w:cs="Times New Roman"/>
          <w:noProof/>
        </w:rPr>
      </w:pPr>
    </w:p>
    <w:p w14:paraId="3F7437C6" w14:textId="77777777" w:rsidR="00E15257" w:rsidRPr="00CB7F08" w:rsidRDefault="00E15257" w:rsidP="00E15257">
      <w:pPr>
        <w:spacing w:after="0" w:line="240" w:lineRule="auto"/>
        <w:rPr>
          <w:rFonts w:ascii="Times New Roman" w:eastAsia="Times New Roman" w:hAnsi="Times New Roman" w:cs="Times New Roman"/>
          <w:noProof/>
        </w:rPr>
      </w:pPr>
      <w:r w:rsidRPr="00CB7F08">
        <w:rPr>
          <w:rFonts w:ascii="Times New Roman" w:eastAsia="Times New Roman" w:hAnsi="Times New Roman" w:cs="Times New Roman"/>
          <w:noProof/>
        </w:rPr>
        <w:t>Receptinis vaistinis preparatas.</w:t>
      </w:r>
    </w:p>
    <w:p w14:paraId="688C7DD8" w14:textId="61290E14" w:rsidR="00E15257" w:rsidRDefault="00E15257" w:rsidP="00E15257">
      <w:pPr>
        <w:spacing w:after="0" w:line="240" w:lineRule="auto"/>
        <w:rPr>
          <w:rFonts w:ascii="Times New Roman" w:eastAsia="Times New Roman" w:hAnsi="Times New Roman" w:cs="Times New Roman"/>
          <w:noProof/>
        </w:rPr>
      </w:pPr>
    </w:p>
    <w:p w14:paraId="3B9ACDB9" w14:textId="77777777" w:rsidR="00F41552" w:rsidRDefault="00F41552" w:rsidP="00F41552">
      <w:pPr>
        <w:spacing w:after="0" w:line="240" w:lineRule="auto"/>
        <w:rPr>
          <w:rFonts w:ascii="Times New Roman" w:eastAsia="Times New Roman" w:hAnsi="Times New Roman" w:cs="Times New Roman"/>
          <w:noProof/>
        </w:rPr>
      </w:pPr>
    </w:p>
    <w:p w14:paraId="3CD2FA37" w14:textId="77777777" w:rsidR="00F41552" w:rsidRPr="000D04ED" w:rsidRDefault="00F41552" w:rsidP="00F41552">
      <w:pPr>
        <w:tabs>
          <w:tab w:val="left" w:pos="567"/>
        </w:tabs>
        <w:spacing w:after="0" w:line="260" w:lineRule="exact"/>
        <w:rPr>
          <w:rFonts w:ascii="Times New Roman" w:eastAsia="Times New Roman" w:hAnsi="Times New Roman" w:cs="Times New Roman"/>
          <w:b/>
          <w:snapToGrid w:val="0"/>
          <w:szCs w:val="20"/>
        </w:rPr>
      </w:pPr>
      <w:bookmarkStart w:id="8" w:name="_Hlk122355218"/>
      <w:r w:rsidRPr="000D04ED">
        <w:rPr>
          <w:rFonts w:ascii="Times New Roman" w:eastAsia="Times New Roman" w:hAnsi="Times New Roman" w:cs="Times New Roman"/>
          <w:b/>
          <w:snapToGrid w:val="0"/>
          <w:szCs w:val="20"/>
        </w:rPr>
        <w:t>C.</w:t>
      </w:r>
      <w:r w:rsidRPr="000D04ED">
        <w:rPr>
          <w:rFonts w:ascii="Times New Roman" w:eastAsia="Times New Roman" w:hAnsi="Times New Roman" w:cs="Times New Roman"/>
          <w:b/>
          <w:snapToGrid w:val="0"/>
          <w:szCs w:val="20"/>
        </w:rPr>
        <w:tab/>
      </w:r>
      <w:r w:rsidRPr="000D04ED">
        <w:rPr>
          <w:rFonts w:ascii="Times New Roman" w:eastAsia="Times New Roman" w:hAnsi="Times New Roman" w:cs="Times New Roman"/>
          <w:b/>
          <w:snapToGrid w:val="0"/>
          <w:szCs w:val="24"/>
        </w:rPr>
        <w:t>KITOS SĄLYGOS IR REIKALAVIMAI REGISTRUOTOJUI</w:t>
      </w:r>
    </w:p>
    <w:p w14:paraId="04D5D8D1" w14:textId="77777777" w:rsidR="00F41552" w:rsidRPr="000D04ED" w:rsidRDefault="00F41552" w:rsidP="00F41552">
      <w:pPr>
        <w:tabs>
          <w:tab w:val="left" w:pos="567"/>
        </w:tabs>
        <w:spacing w:after="0" w:line="260" w:lineRule="exact"/>
        <w:ind w:right="-1"/>
        <w:rPr>
          <w:rFonts w:ascii="Times New Roman" w:eastAsia="Times New Roman" w:hAnsi="Times New Roman" w:cs="Times New Roman"/>
          <w:i/>
          <w:snapToGrid w:val="0"/>
          <w:szCs w:val="20"/>
          <w:u w:val="single"/>
        </w:rPr>
      </w:pPr>
    </w:p>
    <w:p w14:paraId="1AEB6C52" w14:textId="77777777" w:rsidR="00F41552" w:rsidRPr="000D04ED" w:rsidRDefault="00F41552" w:rsidP="00F41552">
      <w:pPr>
        <w:numPr>
          <w:ilvl w:val="0"/>
          <w:numId w:val="22"/>
        </w:numPr>
        <w:tabs>
          <w:tab w:val="left" w:pos="567"/>
        </w:tabs>
        <w:spacing w:after="0" w:line="240" w:lineRule="auto"/>
        <w:ind w:right="-1" w:hanging="720"/>
        <w:rPr>
          <w:rFonts w:ascii="Times New Roman" w:eastAsia="Times New Roman" w:hAnsi="Times New Roman" w:cs="Times New Roman"/>
          <w:b/>
          <w:snapToGrid w:val="0"/>
          <w:szCs w:val="24"/>
        </w:rPr>
      </w:pPr>
      <w:r w:rsidRPr="000D04ED">
        <w:rPr>
          <w:rFonts w:ascii="Times New Roman" w:eastAsia="Times New Roman" w:hAnsi="Times New Roman" w:cs="Times New Roman"/>
          <w:b/>
          <w:snapToGrid w:val="0"/>
          <w:szCs w:val="20"/>
        </w:rPr>
        <w:t>Periodiškai atnaujinami saugumo protokolai (PASP)</w:t>
      </w:r>
    </w:p>
    <w:p w14:paraId="54A74793" w14:textId="77777777" w:rsidR="00F41552" w:rsidRPr="000D04ED" w:rsidRDefault="00F41552" w:rsidP="00F41552">
      <w:pPr>
        <w:tabs>
          <w:tab w:val="left" w:pos="0"/>
          <w:tab w:val="left" w:pos="567"/>
        </w:tabs>
        <w:spacing w:after="0" w:line="260" w:lineRule="exact"/>
        <w:ind w:right="567"/>
        <w:rPr>
          <w:rFonts w:ascii="Times New Roman" w:eastAsia="Times New Roman" w:hAnsi="Times New Roman" w:cs="Times New Roman"/>
          <w:snapToGrid w:val="0"/>
          <w:szCs w:val="24"/>
        </w:rPr>
      </w:pPr>
    </w:p>
    <w:p w14:paraId="3071BEAD" w14:textId="77777777" w:rsidR="00F41552" w:rsidRPr="000D04ED" w:rsidRDefault="00F41552" w:rsidP="00F41552">
      <w:pPr>
        <w:tabs>
          <w:tab w:val="left" w:pos="0"/>
          <w:tab w:val="left" w:pos="567"/>
        </w:tabs>
        <w:spacing w:after="0" w:line="260" w:lineRule="exact"/>
        <w:rPr>
          <w:rFonts w:ascii="Times New Roman" w:eastAsia="Times New Roman" w:hAnsi="Times New Roman" w:cs="Times New Roman"/>
          <w:i/>
          <w:iCs/>
          <w:snapToGrid w:val="0"/>
          <w:szCs w:val="20"/>
        </w:rPr>
      </w:pPr>
      <w:r w:rsidRPr="000D04ED">
        <w:rPr>
          <w:rFonts w:ascii="Times New Roman" w:eastAsia="Times New Roman" w:hAnsi="Times New Roman" w:cs="Times New Roman"/>
          <w:noProof/>
          <w:snapToGrid w:val="0"/>
          <w:szCs w:val="20"/>
        </w:rPr>
        <w:t xml:space="preserve">Registruotojas šio vaistinio preparato PASP teikia remdamasis Direktyvos 2001/83/EB 107c straipsnio 7 dalyje numatytame Sąjungos </w:t>
      </w:r>
      <w:r w:rsidRPr="000D04ED">
        <w:rPr>
          <w:rFonts w:ascii="Times New Roman" w:eastAsia="Times New Roman" w:hAnsi="Times New Roman" w:cs="Times New Roman"/>
          <w:snapToGrid w:val="0"/>
          <w:szCs w:val="20"/>
        </w:rPr>
        <w:t xml:space="preserve">referencinių </w:t>
      </w:r>
      <w:r w:rsidRPr="000D04ED">
        <w:rPr>
          <w:rFonts w:ascii="Times New Roman" w:eastAsia="Times New Roman" w:hAnsi="Times New Roman" w:cs="Times New Roman"/>
          <w:noProof/>
          <w:snapToGrid w:val="0"/>
          <w:szCs w:val="20"/>
        </w:rPr>
        <w:t>datų sąraše (</w:t>
      </w:r>
      <w:r w:rsidRPr="000D04ED">
        <w:rPr>
          <w:rFonts w:ascii="Times New Roman" w:eastAsia="Times New Roman" w:hAnsi="Times New Roman" w:cs="Times New Roman"/>
          <w:i/>
          <w:iCs/>
          <w:noProof/>
          <w:snapToGrid w:val="0"/>
          <w:szCs w:val="20"/>
        </w:rPr>
        <w:t>EURD</w:t>
      </w:r>
      <w:r w:rsidRPr="000D04ED">
        <w:rPr>
          <w:rFonts w:ascii="Times New Roman" w:eastAsia="Times New Roman" w:hAnsi="Times New Roman" w:cs="Times New Roman"/>
          <w:noProof/>
          <w:snapToGrid w:val="0"/>
          <w:szCs w:val="20"/>
        </w:rPr>
        <w:t xml:space="preserve"> sąraše), kuris skelbiamas Europos vaistų </w:t>
      </w:r>
      <w:r w:rsidRPr="000D04ED">
        <w:rPr>
          <w:rFonts w:ascii="Times New Roman" w:eastAsia="Times New Roman" w:hAnsi="Times New Roman" w:cs="Times New Roman"/>
          <w:snapToGrid w:val="0"/>
          <w:szCs w:val="20"/>
        </w:rPr>
        <w:t>tinklalapyje</w:t>
      </w:r>
      <w:r w:rsidRPr="000D04ED">
        <w:rPr>
          <w:rFonts w:ascii="Times New Roman" w:eastAsia="Times New Roman" w:hAnsi="Times New Roman" w:cs="Times New Roman"/>
          <w:noProof/>
          <w:snapToGrid w:val="0"/>
          <w:szCs w:val="20"/>
        </w:rPr>
        <w:t>, nustatytais reikalavimais.</w:t>
      </w:r>
    </w:p>
    <w:p w14:paraId="16ACB862" w14:textId="77777777" w:rsidR="00F41552" w:rsidRPr="000D04ED" w:rsidRDefault="00F41552" w:rsidP="00F41552">
      <w:pPr>
        <w:tabs>
          <w:tab w:val="left" w:pos="0"/>
          <w:tab w:val="left" w:pos="567"/>
        </w:tabs>
        <w:spacing w:after="0" w:line="260" w:lineRule="exact"/>
        <w:ind w:right="567"/>
        <w:rPr>
          <w:rFonts w:ascii="Times New Roman" w:eastAsia="Times New Roman" w:hAnsi="Times New Roman" w:cs="Times New Roman"/>
          <w:i/>
          <w:snapToGrid w:val="0"/>
          <w:szCs w:val="24"/>
        </w:rPr>
      </w:pPr>
    </w:p>
    <w:p w14:paraId="7B2A50A7" w14:textId="77777777" w:rsidR="00F41552" w:rsidRPr="000D04ED" w:rsidRDefault="00F41552" w:rsidP="00F41552">
      <w:pPr>
        <w:tabs>
          <w:tab w:val="left" w:pos="567"/>
        </w:tabs>
        <w:spacing w:after="0" w:line="260" w:lineRule="exact"/>
        <w:ind w:right="-1"/>
        <w:rPr>
          <w:rFonts w:ascii="Times New Roman" w:eastAsia="Times New Roman" w:hAnsi="Times New Roman" w:cs="Times New Roman"/>
          <w:i/>
          <w:noProof/>
          <w:snapToGrid w:val="0"/>
          <w:szCs w:val="24"/>
          <w:u w:val="single"/>
        </w:rPr>
      </w:pPr>
    </w:p>
    <w:p w14:paraId="21651AB2" w14:textId="77777777" w:rsidR="00F41552" w:rsidRPr="000D04ED" w:rsidRDefault="00F41552" w:rsidP="00F41552">
      <w:pPr>
        <w:tabs>
          <w:tab w:val="left" w:pos="567"/>
        </w:tabs>
        <w:spacing w:after="0" w:line="260" w:lineRule="exact"/>
        <w:ind w:left="567" w:hanging="567"/>
        <w:rPr>
          <w:rFonts w:ascii="Times New Roman" w:eastAsia="Times New Roman" w:hAnsi="Times New Roman" w:cs="Times New Roman"/>
          <w:b/>
          <w:snapToGrid w:val="0"/>
          <w:szCs w:val="24"/>
        </w:rPr>
      </w:pPr>
      <w:r w:rsidRPr="000D04ED">
        <w:rPr>
          <w:rFonts w:ascii="Times New Roman" w:eastAsia="Times New Roman" w:hAnsi="Times New Roman" w:cs="Times New Roman"/>
          <w:b/>
          <w:noProof/>
          <w:snapToGrid w:val="0"/>
          <w:szCs w:val="24"/>
        </w:rPr>
        <w:t>D.</w:t>
      </w:r>
      <w:r w:rsidRPr="000D04ED">
        <w:rPr>
          <w:rFonts w:ascii="Times New Roman" w:eastAsia="Times New Roman" w:hAnsi="Times New Roman" w:cs="Times New Roman"/>
          <w:b/>
          <w:snapToGrid w:val="0"/>
          <w:szCs w:val="24"/>
        </w:rPr>
        <w:tab/>
      </w:r>
      <w:r w:rsidRPr="000D04ED">
        <w:rPr>
          <w:rFonts w:ascii="Times New Roman" w:eastAsia="Times New Roman" w:hAnsi="Times New Roman" w:cs="Times New Roman"/>
          <w:b/>
          <w:noProof/>
          <w:snapToGrid w:val="0"/>
          <w:szCs w:val="24"/>
        </w:rPr>
        <w:t>SĄLYGOS AR APRIBOJIMAI, SKIRTI SAUGIAM IR VEIKSMINGAM VAISTINIO PREPARATO VARTOJIMUI UŽTIKRINTI</w:t>
      </w:r>
    </w:p>
    <w:p w14:paraId="3EBDD43D" w14:textId="77777777" w:rsidR="00F41552" w:rsidRPr="000D04ED" w:rsidRDefault="00F41552" w:rsidP="00F41552">
      <w:pPr>
        <w:tabs>
          <w:tab w:val="left" w:pos="567"/>
        </w:tabs>
        <w:spacing w:after="0" w:line="260" w:lineRule="exact"/>
        <w:ind w:right="-1"/>
        <w:rPr>
          <w:rFonts w:ascii="Times New Roman" w:eastAsia="Times New Roman" w:hAnsi="Times New Roman" w:cs="Times New Roman"/>
          <w:i/>
          <w:noProof/>
          <w:snapToGrid w:val="0"/>
          <w:szCs w:val="24"/>
          <w:u w:val="single"/>
        </w:rPr>
      </w:pPr>
    </w:p>
    <w:p w14:paraId="1383FD22" w14:textId="77777777" w:rsidR="00F41552" w:rsidRPr="000D04ED" w:rsidRDefault="00F41552" w:rsidP="00F41552">
      <w:pPr>
        <w:numPr>
          <w:ilvl w:val="0"/>
          <w:numId w:val="22"/>
        </w:numPr>
        <w:tabs>
          <w:tab w:val="left" w:pos="567"/>
        </w:tabs>
        <w:spacing w:after="0" w:line="240" w:lineRule="auto"/>
        <w:ind w:right="-1" w:hanging="720"/>
        <w:rPr>
          <w:rFonts w:ascii="Times New Roman" w:eastAsia="Times New Roman" w:hAnsi="Times New Roman" w:cs="Times New Roman"/>
          <w:b/>
          <w:snapToGrid w:val="0"/>
          <w:szCs w:val="24"/>
        </w:rPr>
      </w:pPr>
      <w:r w:rsidRPr="000D04ED">
        <w:rPr>
          <w:rFonts w:ascii="Times New Roman" w:eastAsia="Times New Roman" w:hAnsi="Times New Roman" w:cs="Times New Roman"/>
          <w:b/>
          <w:snapToGrid w:val="0"/>
          <w:szCs w:val="20"/>
        </w:rPr>
        <w:t>Rizikos valdymo planas (RVP)</w:t>
      </w:r>
    </w:p>
    <w:p w14:paraId="4992B414" w14:textId="77777777" w:rsidR="00F41552" w:rsidRPr="000D04ED" w:rsidRDefault="00F41552" w:rsidP="00F41552">
      <w:pPr>
        <w:tabs>
          <w:tab w:val="left" w:pos="567"/>
        </w:tabs>
        <w:spacing w:after="0" w:line="260" w:lineRule="exact"/>
        <w:ind w:right="-1"/>
        <w:rPr>
          <w:rFonts w:ascii="Times New Roman" w:eastAsia="Times New Roman" w:hAnsi="Times New Roman" w:cs="Times New Roman"/>
          <w:b/>
          <w:snapToGrid w:val="0"/>
          <w:szCs w:val="24"/>
        </w:rPr>
      </w:pPr>
    </w:p>
    <w:p w14:paraId="1C133BFC" w14:textId="77777777" w:rsidR="00F41552" w:rsidRPr="000D04ED" w:rsidRDefault="00F41552" w:rsidP="00F41552">
      <w:pPr>
        <w:tabs>
          <w:tab w:val="left" w:pos="0"/>
          <w:tab w:val="left" w:pos="567"/>
        </w:tabs>
        <w:spacing w:after="0" w:line="260" w:lineRule="exact"/>
        <w:rPr>
          <w:rFonts w:ascii="Times New Roman" w:eastAsia="Times New Roman" w:hAnsi="Times New Roman" w:cs="Times New Roman"/>
          <w:snapToGrid w:val="0"/>
          <w:szCs w:val="20"/>
        </w:rPr>
      </w:pPr>
      <w:r w:rsidRPr="000D04ED">
        <w:rPr>
          <w:rFonts w:ascii="Times New Roman" w:eastAsia="Times New Roman" w:hAnsi="Times New Roman" w:cs="Times New Roman"/>
          <w:snapToGrid w:val="0"/>
          <w:szCs w:val="20"/>
        </w:rPr>
        <w:t>Registruotojas atlieka reikalaujamą farmakologinio budrumo veiklą ir veiksmus, kurie išsamiai aprašyti registracijos bylos 1.8.2 modulyje pateiktame RVP ir suderintose tolesnėse jo versijose.</w:t>
      </w:r>
    </w:p>
    <w:p w14:paraId="28F0E86C" w14:textId="77777777" w:rsidR="00F41552" w:rsidRPr="000D04ED" w:rsidRDefault="00F41552" w:rsidP="00F41552">
      <w:pPr>
        <w:tabs>
          <w:tab w:val="left" w:pos="567"/>
        </w:tabs>
        <w:spacing w:after="0" w:line="260" w:lineRule="exact"/>
        <w:rPr>
          <w:rFonts w:ascii="Times New Roman" w:eastAsia="Times New Roman" w:hAnsi="Times New Roman" w:cs="Times New Roman"/>
          <w:snapToGrid w:val="0"/>
          <w:color w:val="008000"/>
          <w:szCs w:val="20"/>
        </w:rPr>
      </w:pPr>
    </w:p>
    <w:p w14:paraId="3D1141B7" w14:textId="77777777" w:rsidR="00F41552" w:rsidRPr="000D04ED" w:rsidRDefault="00F41552" w:rsidP="00F41552">
      <w:pPr>
        <w:tabs>
          <w:tab w:val="left" w:pos="567"/>
        </w:tabs>
        <w:spacing w:after="0" w:line="260" w:lineRule="exact"/>
        <w:ind w:right="-1"/>
        <w:rPr>
          <w:rFonts w:ascii="Times New Roman" w:eastAsia="Times New Roman" w:hAnsi="Times New Roman" w:cs="Times New Roman"/>
          <w:i/>
          <w:snapToGrid w:val="0"/>
          <w:szCs w:val="20"/>
        </w:rPr>
      </w:pPr>
      <w:r w:rsidRPr="000D04ED">
        <w:rPr>
          <w:rFonts w:ascii="Times New Roman" w:eastAsia="Times New Roman" w:hAnsi="Times New Roman" w:cs="Times New Roman"/>
          <w:snapToGrid w:val="0"/>
          <w:szCs w:val="24"/>
        </w:rPr>
        <w:t>Atnaujintas rizikos valdymo planas turi būti pateiktas</w:t>
      </w:r>
      <w:r w:rsidRPr="000D04ED">
        <w:rPr>
          <w:rFonts w:ascii="Times New Roman" w:eastAsia="Times New Roman" w:hAnsi="Times New Roman" w:cs="Times New Roman"/>
          <w:snapToGrid w:val="0"/>
          <w:szCs w:val="20"/>
        </w:rPr>
        <w:t>:</w:t>
      </w:r>
    </w:p>
    <w:p w14:paraId="5A12D216" w14:textId="77777777" w:rsidR="00F41552" w:rsidRPr="000D04ED" w:rsidRDefault="00F41552" w:rsidP="00F41552">
      <w:pPr>
        <w:numPr>
          <w:ilvl w:val="0"/>
          <w:numId w:val="21"/>
        </w:numPr>
        <w:tabs>
          <w:tab w:val="left" w:pos="567"/>
        </w:tabs>
        <w:spacing w:after="0" w:line="240" w:lineRule="auto"/>
        <w:ind w:left="567" w:hanging="567"/>
        <w:rPr>
          <w:rFonts w:ascii="Times New Roman" w:eastAsia="Times New Roman" w:hAnsi="Times New Roman" w:cs="Times New Roman"/>
          <w:i/>
          <w:noProof/>
          <w:snapToGrid w:val="0"/>
          <w:szCs w:val="24"/>
        </w:rPr>
      </w:pPr>
      <w:r w:rsidRPr="000D04ED">
        <w:rPr>
          <w:rFonts w:ascii="Times New Roman" w:eastAsia="Times New Roman" w:hAnsi="Times New Roman" w:cs="Times New Roman"/>
          <w:snapToGrid w:val="0"/>
          <w:szCs w:val="24"/>
        </w:rPr>
        <w:t>pareikalavus Valstybinei vaistų kontrolės tarnybai prie Lietuvos Respublikos sveikatos apsaugos ministerijos</w:t>
      </w:r>
      <w:r w:rsidRPr="000D04ED">
        <w:rPr>
          <w:rFonts w:ascii="Times New Roman" w:eastAsia="Times New Roman" w:hAnsi="Times New Roman" w:cs="Times New Roman"/>
          <w:i/>
          <w:noProof/>
          <w:snapToGrid w:val="0"/>
          <w:szCs w:val="24"/>
        </w:rPr>
        <w:t>;</w:t>
      </w:r>
    </w:p>
    <w:p w14:paraId="1F127035" w14:textId="77777777" w:rsidR="00F41552" w:rsidRPr="000D04ED" w:rsidRDefault="00F41552" w:rsidP="00F41552">
      <w:pPr>
        <w:numPr>
          <w:ilvl w:val="0"/>
          <w:numId w:val="21"/>
        </w:numPr>
        <w:tabs>
          <w:tab w:val="left" w:pos="567"/>
        </w:tabs>
        <w:spacing w:after="0" w:line="240" w:lineRule="auto"/>
        <w:ind w:left="567" w:hanging="567"/>
        <w:rPr>
          <w:rFonts w:ascii="Times New Roman" w:eastAsia="Times New Roman" w:hAnsi="Times New Roman" w:cs="Times New Roman"/>
          <w:snapToGrid w:val="0"/>
          <w:szCs w:val="20"/>
        </w:rPr>
      </w:pPr>
      <w:r w:rsidRPr="000D04ED">
        <w:rPr>
          <w:rFonts w:ascii="Times New Roman" w:eastAsia="Times New Roman" w:hAnsi="Times New Roman" w:cs="Times New Roman"/>
          <w:snapToGrid w:val="0"/>
          <w:szCs w:val="20"/>
        </w:rPr>
        <w:t>kai keičiama rizikos valdymo sistema, ypač gavus naujos informacijos, kuri gali lemti didelį naudos ir rizikos santykio pokytį arba pasiekus svarbų (farmakologinio budrumo ar rizikos mažinimo) etapą.</w:t>
      </w:r>
    </w:p>
    <w:p w14:paraId="21676F68" w14:textId="77777777" w:rsidR="00F41552" w:rsidRPr="000D04ED" w:rsidRDefault="00F41552" w:rsidP="00F41552">
      <w:pPr>
        <w:tabs>
          <w:tab w:val="left" w:pos="567"/>
        </w:tabs>
        <w:spacing w:after="0" w:line="260" w:lineRule="exact"/>
        <w:ind w:right="-1"/>
        <w:rPr>
          <w:rFonts w:ascii="Times New Roman" w:eastAsia="Times New Roman" w:hAnsi="Times New Roman" w:cs="Times New Roman"/>
          <w:noProof/>
          <w:snapToGrid w:val="0"/>
          <w:szCs w:val="24"/>
        </w:rPr>
      </w:pPr>
    </w:p>
    <w:p w14:paraId="1829AD91" w14:textId="77777777" w:rsidR="00F41552" w:rsidRPr="000D04ED" w:rsidRDefault="00F41552" w:rsidP="00F41552">
      <w:pPr>
        <w:numPr>
          <w:ilvl w:val="0"/>
          <w:numId w:val="22"/>
        </w:numPr>
        <w:tabs>
          <w:tab w:val="left" w:pos="567"/>
        </w:tabs>
        <w:spacing w:after="0" w:line="240" w:lineRule="auto"/>
        <w:ind w:right="-1" w:hanging="720"/>
        <w:rPr>
          <w:rFonts w:ascii="Times New Roman" w:eastAsia="Times New Roman" w:hAnsi="Times New Roman" w:cs="Times New Roman"/>
          <w:i/>
          <w:noProof/>
          <w:snapToGrid w:val="0"/>
          <w:szCs w:val="24"/>
        </w:rPr>
      </w:pPr>
      <w:r w:rsidRPr="000D04ED">
        <w:rPr>
          <w:rFonts w:ascii="Times New Roman" w:eastAsia="Times New Roman" w:hAnsi="Times New Roman" w:cs="Times New Roman"/>
          <w:b/>
          <w:snapToGrid w:val="0"/>
          <w:szCs w:val="20"/>
        </w:rPr>
        <w:t>Papildomos rizikos mažinimo priemonės (įskaitant mokomąją medžiagą)</w:t>
      </w:r>
    </w:p>
    <w:p w14:paraId="11F463C7" w14:textId="77777777" w:rsidR="00F41552" w:rsidRPr="000D04ED" w:rsidRDefault="00F41552" w:rsidP="00F41552">
      <w:pPr>
        <w:tabs>
          <w:tab w:val="left" w:pos="567"/>
        </w:tabs>
        <w:spacing w:after="0" w:line="260" w:lineRule="exact"/>
        <w:ind w:right="-1"/>
        <w:rPr>
          <w:rFonts w:ascii="Times New Roman" w:eastAsia="Times New Roman" w:hAnsi="Times New Roman" w:cs="Times New Roman"/>
          <w:i/>
          <w:noProof/>
          <w:snapToGrid w:val="0"/>
          <w:szCs w:val="24"/>
        </w:rPr>
      </w:pPr>
    </w:p>
    <w:p w14:paraId="293F5F5E" w14:textId="77777777" w:rsidR="00FE36AD" w:rsidRPr="000A202B" w:rsidRDefault="00FE36AD" w:rsidP="00FE36AD">
      <w:pPr>
        <w:rPr>
          <w:rFonts w:ascii="Times New Roman" w:hAnsi="Times New Roman" w:cs="Times New Roman"/>
        </w:rPr>
      </w:pPr>
      <w:r w:rsidRPr="000A202B">
        <w:rPr>
          <w:rFonts w:ascii="Times New Roman" w:hAnsi="Times New Roman" w:cs="Times New Roman"/>
        </w:rPr>
        <w:t>Prieš pateikdamas į rinką vaistinį preparatą, registruotojas turi pateikti mokomąjį paketą, skirtą visiems gydytojams, kurie, tikėtina, išrašys ar naudos rivaroksabaną. Šio mokomojo paketo tikslas – padidinti žinias apie galimą kraujavimo riziką, gydant rivaroksabanu, ir pateikti nurodymus, kaip valdyti šią riziką.</w:t>
      </w:r>
    </w:p>
    <w:p w14:paraId="2D5337BB" w14:textId="77777777" w:rsidR="00F41552" w:rsidRPr="000D04ED" w:rsidRDefault="00F41552" w:rsidP="00F41552">
      <w:pPr>
        <w:numPr>
          <w:ilvl w:val="12"/>
          <w:numId w:val="0"/>
        </w:numPr>
        <w:tabs>
          <w:tab w:val="left" w:pos="567"/>
        </w:tabs>
        <w:spacing w:after="0" w:line="240" w:lineRule="auto"/>
        <w:rPr>
          <w:rFonts w:ascii="Times New Roman" w:eastAsia="Times New Roman" w:hAnsi="Times New Roman" w:cs="Times New Roman"/>
          <w:lang w:eastAsia="lt-LT"/>
        </w:rPr>
      </w:pPr>
    </w:p>
    <w:p w14:paraId="6C8DC4D1" w14:textId="57F5D007" w:rsidR="00F41552" w:rsidRPr="000D04ED" w:rsidRDefault="00F41552" w:rsidP="00F41552">
      <w:pPr>
        <w:numPr>
          <w:ilvl w:val="12"/>
          <w:numId w:val="0"/>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Mokom</w:t>
      </w:r>
      <w:r w:rsidR="00FE36AD">
        <w:rPr>
          <w:rFonts w:ascii="Times New Roman" w:eastAsia="Times New Roman" w:hAnsi="Times New Roman" w:cs="Times New Roman"/>
          <w:lang w:eastAsia="lt-LT"/>
        </w:rPr>
        <w:t>ajame pakete turi būti</w:t>
      </w:r>
      <w:r w:rsidRPr="000D04ED">
        <w:rPr>
          <w:rFonts w:ascii="Times New Roman" w:eastAsia="Times New Roman" w:hAnsi="Times New Roman" w:cs="Times New Roman"/>
          <w:lang w:eastAsia="lt-LT"/>
        </w:rPr>
        <w:t>:</w:t>
      </w:r>
    </w:p>
    <w:p w14:paraId="15C4757F" w14:textId="77777777" w:rsidR="00F41552" w:rsidRPr="00666077" w:rsidRDefault="00F41552" w:rsidP="00F41552">
      <w:pPr>
        <w:numPr>
          <w:ilvl w:val="0"/>
          <w:numId w:val="21"/>
        </w:numPr>
        <w:tabs>
          <w:tab w:val="left" w:pos="567"/>
        </w:tabs>
        <w:spacing w:after="0" w:line="240" w:lineRule="auto"/>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Pr="00666077">
        <w:rPr>
          <w:rFonts w:ascii="Times New Roman" w:eastAsia="Times New Roman" w:hAnsi="Times New Roman" w:cs="Times New Roman"/>
          <w:snapToGrid w:val="0"/>
          <w:szCs w:val="20"/>
        </w:rPr>
        <w:t>reparato charakteristikų santrauka;</w:t>
      </w:r>
    </w:p>
    <w:p w14:paraId="2CDC4E72" w14:textId="77777777" w:rsidR="00F41552" w:rsidRPr="00666077" w:rsidRDefault="00F41552" w:rsidP="00F41552">
      <w:pPr>
        <w:numPr>
          <w:ilvl w:val="0"/>
          <w:numId w:val="21"/>
        </w:numPr>
        <w:tabs>
          <w:tab w:val="left" w:pos="567"/>
        </w:tabs>
        <w:spacing w:after="0" w:line="240" w:lineRule="auto"/>
        <w:ind w:left="567" w:hanging="567"/>
        <w:rPr>
          <w:rFonts w:ascii="Times New Roman" w:eastAsia="Times New Roman" w:hAnsi="Times New Roman" w:cs="Times New Roman"/>
          <w:snapToGrid w:val="0"/>
          <w:szCs w:val="20"/>
        </w:rPr>
      </w:pPr>
      <w:r w:rsidRPr="00666077">
        <w:rPr>
          <w:rFonts w:ascii="Times New Roman" w:eastAsia="Times New Roman" w:hAnsi="Times New Roman" w:cs="Times New Roman"/>
          <w:snapToGrid w:val="0"/>
          <w:szCs w:val="20"/>
        </w:rPr>
        <w:t>vaistinį preparatą išrašančio gydytojo vadovas;</w:t>
      </w:r>
    </w:p>
    <w:p w14:paraId="1ABA45EE" w14:textId="0C3A806D" w:rsidR="00F41552" w:rsidRPr="00666077" w:rsidRDefault="00F41552" w:rsidP="00F41552">
      <w:pPr>
        <w:numPr>
          <w:ilvl w:val="0"/>
          <w:numId w:val="21"/>
        </w:numPr>
        <w:tabs>
          <w:tab w:val="left" w:pos="567"/>
        </w:tabs>
        <w:spacing w:after="0" w:line="240" w:lineRule="auto"/>
        <w:ind w:left="567" w:hanging="567"/>
        <w:rPr>
          <w:rFonts w:ascii="Times New Roman" w:eastAsia="Times New Roman" w:hAnsi="Times New Roman" w:cs="Times New Roman"/>
          <w:snapToGrid w:val="0"/>
          <w:szCs w:val="20"/>
        </w:rPr>
      </w:pPr>
      <w:r w:rsidRPr="00666077">
        <w:rPr>
          <w:rFonts w:ascii="Times New Roman" w:eastAsia="Times New Roman" w:hAnsi="Times New Roman" w:cs="Times New Roman"/>
          <w:snapToGrid w:val="0"/>
          <w:szCs w:val="20"/>
        </w:rPr>
        <w:t xml:space="preserve">paciento </w:t>
      </w:r>
      <w:r w:rsidR="00FE36AD">
        <w:rPr>
          <w:rFonts w:ascii="Times New Roman" w:eastAsia="Times New Roman" w:hAnsi="Times New Roman" w:cs="Times New Roman"/>
          <w:snapToGrid w:val="0"/>
          <w:szCs w:val="20"/>
        </w:rPr>
        <w:t>įspėjimo</w:t>
      </w:r>
      <w:r w:rsidRPr="00666077">
        <w:rPr>
          <w:rFonts w:ascii="Times New Roman" w:eastAsia="Times New Roman" w:hAnsi="Times New Roman" w:cs="Times New Roman"/>
          <w:snapToGrid w:val="0"/>
          <w:szCs w:val="20"/>
        </w:rPr>
        <w:t xml:space="preserve"> kortelė [tekstas pateikiamas III priede].</w:t>
      </w:r>
    </w:p>
    <w:p w14:paraId="77197F1E" w14:textId="77777777" w:rsidR="00F41552" w:rsidRPr="000D04ED" w:rsidRDefault="00F41552" w:rsidP="00F41552">
      <w:pPr>
        <w:numPr>
          <w:ilvl w:val="12"/>
          <w:numId w:val="0"/>
        </w:numPr>
        <w:tabs>
          <w:tab w:val="left" w:pos="567"/>
        </w:tabs>
        <w:spacing w:after="0" w:line="240" w:lineRule="auto"/>
        <w:rPr>
          <w:rFonts w:ascii="Times New Roman" w:eastAsia="Times New Roman" w:hAnsi="Times New Roman" w:cs="Times New Roman"/>
          <w:lang w:eastAsia="lt-LT"/>
        </w:rPr>
      </w:pPr>
    </w:p>
    <w:p w14:paraId="282EA2ED" w14:textId="3B5D8DF2" w:rsidR="00F41552" w:rsidRDefault="00F41552" w:rsidP="00F41552">
      <w:pPr>
        <w:numPr>
          <w:ilvl w:val="12"/>
          <w:numId w:val="0"/>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Prieš išplatindamas mokomąjį paketą, vaistinį preparatą išrašančio gydytojo vadovo turinį bei formatą ir kartu komunikacijos planą registruotojas turi suderinti su kiekvienos šalies narės nacionaline tam teisę turinčia institucija.</w:t>
      </w:r>
    </w:p>
    <w:p w14:paraId="202D2FD9" w14:textId="77777777" w:rsidR="00F41552" w:rsidRPr="000D04ED" w:rsidRDefault="00F41552" w:rsidP="00F41552">
      <w:pPr>
        <w:numPr>
          <w:ilvl w:val="12"/>
          <w:numId w:val="0"/>
        </w:numPr>
        <w:tabs>
          <w:tab w:val="left" w:pos="567"/>
        </w:tabs>
        <w:spacing w:after="0" w:line="240" w:lineRule="auto"/>
        <w:rPr>
          <w:rFonts w:ascii="Times New Roman" w:eastAsia="Times New Roman" w:hAnsi="Times New Roman" w:cs="Times New Roman"/>
          <w:lang w:eastAsia="lt-LT"/>
        </w:rPr>
      </w:pPr>
    </w:p>
    <w:p w14:paraId="009151D5" w14:textId="77777777" w:rsidR="00F41552" w:rsidRPr="000D04ED" w:rsidRDefault="00F41552" w:rsidP="00F41552">
      <w:p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Vaistinį preparatą išrašančio gydytojo vadove turi būti šios svarbiausios saugumo tezės:</w:t>
      </w:r>
    </w:p>
    <w:p w14:paraId="61FCFC1E" w14:textId="77777777" w:rsidR="00F41552" w:rsidRPr="000D04ED" w:rsidRDefault="00F41552" w:rsidP="00F41552">
      <w:pPr>
        <w:tabs>
          <w:tab w:val="left" w:pos="567"/>
        </w:tabs>
        <w:spacing w:after="0" w:line="240" w:lineRule="auto"/>
        <w:rPr>
          <w:rFonts w:ascii="Times New Roman" w:eastAsia="Times New Roman" w:hAnsi="Times New Roman" w:cs="Times New Roman"/>
          <w:lang w:eastAsia="lt-LT"/>
        </w:rPr>
      </w:pPr>
    </w:p>
    <w:p w14:paraId="4160FD64" w14:textId="77777777" w:rsidR="00F41552" w:rsidRPr="000D04ED" w:rsidRDefault="00F41552" w:rsidP="00F41552">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išsami informacija apie pacientų grupes, kurioms gali būti padidėjusi kraujavimo rizika;</w:t>
      </w:r>
    </w:p>
    <w:p w14:paraId="40E5B940" w14:textId="0F1B472C" w:rsidR="00F41552" w:rsidRPr="000D04ED" w:rsidRDefault="00F41552" w:rsidP="00F41552">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dozės sumažinimo rizikos grupių pacientams</w:t>
      </w:r>
      <w:r w:rsidR="006448C5" w:rsidRPr="006448C5">
        <w:rPr>
          <w:rFonts w:ascii="Times New Roman" w:eastAsia="Times New Roman" w:hAnsi="Times New Roman" w:cs="Times New Roman"/>
          <w:lang w:eastAsia="lt-LT"/>
        </w:rPr>
        <w:t xml:space="preserve"> </w:t>
      </w:r>
      <w:r w:rsidR="006448C5" w:rsidRPr="000D04ED">
        <w:rPr>
          <w:rFonts w:ascii="Times New Roman" w:eastAsia="Times New Roman" w:hAnsi="Times New Roman" w:cs="Times New Roman"/>
          <w:lang w:eastAsia="lt-LT"/>
        </w:rPr>
        <w:t>rekomendacijos</w:t>
      </w:r>
      <w:r w:rsidRPr="000D04ED">
        <w:rPr>
          <w:rFonts w:ascii="Times New Roman" w:eastAsia="Times New Roman" w:hAnsi="Times New Roman" w:cs="Times New Roman"/>
          <w:lang w:eastAsia="lt-LT"/>
        </w:rPr>
        <w:t>;</w:t>
      </w:r>
    </w:p>
    <w:p w14:paraId="48009082" w14:textId="77777777" w:rsidR="00F41552" w:rsidRPr="000D04ED" w:rsidRDefault="00F41552" w:rsidP="00F41552">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rekomendacijos, kaip gydymą rivaroksabanu keisti kitokiu gydymu ir atvirkščiai;</w:t>
      </w:r>
    </w:p>
    <w:p w14:paraId="58B4B746" w14:textId="77777777" w:rsidR="00F41552" w:rsidRPr="000D04ED" w:rsidRDefault="00F41552" w:rsidP="00F41552">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būtinybė 15 mg ir 20 mg tabletes vartoti valgio metu;</w:t>
      </w:r>
    </w:p>
    <w:p w14:paraId="27E7CF6C" w14:textId="77777777" w:rsidR="00F41552" w:rsidRPr="000D04ED" w:rsidRDefault="00F41552" w:rsidP="00F41552">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gydymas perdozavimo atveju;</w:t>
      </w:r>
    </w:p>
    <w:p w14:paraId="030D37A8" w14:textId="77777777" w:rsidR="00F41552" w:rsidRPr="000D04ED" w:rsidRDefault="00F41552" w:rsidP="00F41552">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kraujo krešėjimo tyrimų atlikimas ir jų rezultatų vertinimas;</w:t>
      </w:r>
    </w:p>
    <w:p w14:paraId="2D1CDE35" w14:textId="77777777" w:rsidR="00F41552" w:rsidRPr="000D04ED" w:rsidRDefault="00F41552" w:rsidP="00F41552">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visus pacientus būtina informuoti apie:</w:t>
      </w:r>
    </w:p>
    <w:p w14:paraId="4785573F" w14:textId="77777777" w:rsidR="00F41552" w:rsidRPr="000D04ED" w:rsidRDefault="00F41552" w:rsidP="00F41552">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kraujavimo požymius bei simptomus ir kada reikia kreiptis į sveikatos priežiūros specialistą</w:t>
      </w:r>
      <w:r>
        <w:rPr>
          <w:rFonts w:ascii="Times New Roman" w:eastAsia="Times New Roman" w:hAnsi="Times New Roman" w:cs="Times New Roman"/>
          <w:lang w:eastAsia="lt-LT"/>
        </w:rPr>
        <w:t>;</w:t>
      </w:r>
    </w:p>
    <w:p w14:paraId="6170DB02" w14:textId="77777777" w:rsidR="00F41552" w:rsidRPr="000D04ED" w:rsidRDefault="00F41552" w:rsidP="00F41552">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gydymo nurodymų laikymosi svarbą</w:t>
      </w:r>
      <w:r>
        <w:rPr>
          <w:rFonts w:ascii="Times New Roman" w:eastAsia="Times New Roman" w:hAnsi="Times New Roman" w:cs="Times New Roman"/>
          <w:lang w:eastAsia="lt-LT"/>
        </w:rPr>
        <w:t>;</w:t>
      </w:r>
    </w:p>
    <w:p w14:paraId="418ED4BC" w14:textId="77777777" w:rsidR="00F41552" w:rsidRPr="000D04ED" w:rsidRDefault="00F41552" w:rsidP="00F41552">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būtinybę 15 mg ir 20 mg tabletes vartoti valgio metu;</w:t>
      </w:r>
    </w:p>
    <w:p w14:paraId="1F84178D" w14:textId="248616B0" w:rsidR="00F41552" w:rsidRPr="000D04ED" w:rsidRDefault="00F41552" w:rsidP="00F41552">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 xml:space="preserve">būtinybę visada nešiotis paciento </w:t>
      </w:r>
      <w:r w:rsidR="00FF6D11">
        <w:rPr>
          <w:rFonts w:ascii="Times New Roman" w:eastAsia="Times New Roman" w:hAnsi="Times New Roman" w:cs="Times New Roman"/>
          <w:lang w:eastAsia="lt-LT"/>
        </w:rPr>
        <w:t>įspėjimo</w:t>
      </w:r>
      <w:r w:rsidRPr="000D04ED">
        <w:rPr>
          <w:rFonts w:ascii="Times New Roman" w:eastAsia="Times New Roman" w:hAnsi="Times New Roman" w:cs="Times New Roman"/>
          <w:lang w:eastAsia="lt-LT"/>
        </w:rPr>
        <w:t xml:space="preserve"> kortelę, kuri pateikiama kiekvienoje pakuotėje;</w:t>
      </w:r>
    </w:p>
    <w:p w14:paraId="29883B3D" w14:textId="77777777" w:rsidR="00F41552" w:rsidRPr="000D04ED" w:rsidRDefault="00F41552" w:rsidP="00F41552">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 xml:space="preserve">būtinybę informuoti sveikatos priežiūros specialistą apie </w:t>
      </w:r>
      <w:r>
        <w:rPr>
          <w:rFonts w:ascii="Times New Roman" w:eastAsia="Times New Roman" w:hAnsi="Times New Roman" w:cs="Times New Roman"/>
          <w:lang w:eastAsia="lt-LT"/>
        </w:rPr>
        <w:t>Xiltess</w:t>
      </w:r>
      <w:r w:rsidRPr="000D04ED">
        <w:rPr>
          <w:rFonts w:ascii="Times New Roman" w:eastAsia="Times New Roman" w:hAnsi="Times New Roman" w:cs="Times New Roman"/>
          <w:lang w:eastAsia="lt-LT"/>
        </w:rPr>
        <w:t xml:space="preserve"> vartojimą, jei reikia atlikti bet kokią chirurginę ar invazinę procedūrą. </w:t>
      </w:r>
    </w:p>
    <w:p w14:paraId="6A5563C8" w14:textId="77777777" w:rsidR="00F41552" w:rsidRPr="000D04ED" w:rsidRDefault="00F41552" w:rsidP="00F41552">
      <w:pPr>
        <w:tabs>
          <w:tab w:val="left" w:pos="567"/>
        </w:tabs>
        <w:spacing w:after="0" w:line="240" w:lineRule="auto"/>
        <w:rPr>
          <w:rFonts w:ascii="Times New Roman" w:eastAsia="Times New Roman" w:hAnsi="Times New Roman" w:cs="Times New Roman"/>
          <w:lang w:eastAsia="lt-LT"/>
        </w:rPr>
      </w:pPr>
    </w:p>
    <w:p w14:paraId="68E1DA94" w14:textId="77777777" w:rsidR="00F41552" w:rsidRPr="000D04ED" w:rsidRDefault="00F41552" w:rsidP="00F41552">
      <w:pPr>
        <w:spacing w:after="0" w:line="240" w:lineRule="auto"/>
        <w:rPr>
          <w:rFonts w:ascii="Times New Roman" w:eastAsia="Calibri" w:hAnsi="Times New Roman" w:cs="Times New Roman"/>
          <w:snapToGrid w:val="0"/>
        </w:rPr>
      </w:pPr>
      <w:r w:rsidRPr="000D04ED">
        <w:rPr>
          <w:rFonts w:ascii="Times New Roman" w:eastAsia="Calibri" w:hAnsi="Times New Roman" w:cs="Times New Roman"/>
        </w:rPr>
        <w:t>Kiekvienoje vaistinio preparato pakuotėje registruotojas turi pateikti paciento budrumo kortelę, kurios tekstas nurodytas III priede.</w:t>
      </w:r>
    </w:p>
    <w:p w14:paraId="3B8B4153" w14:textId="77777777" w:rsidR="00F41552" w:rsidRPr="000D04ED" w:rsidRDefault="00F41552" w:rsidP="00B765F2">
      <w:pPr>
        <w:tabs>
          <w:tab w:val="left" w:pos="567"/>
        </w:tabs>
        <w:spacing w:after="0" w:line="240" w:lineRule="auto"/>
        <w:rPr>
          <w:rFonts w:ascii="Times New Roman" w:eastAsia="Times New Roman" w:hAnsi="Times New Roman" w:cs="Times New Roman"/>
          <w:lang w:eastAsia="lt-LT"/>
        </w:rPr>
      </w:pPr>
    </w:p>
    <w:bookmarkEnd w:id="8"/>
    <w:p w14:paraId="7F0DFBFD" w14:textId="77777777" w:rsidR="00F41552" w:rsidRPr="00CB7F08" w:rsidRDefault="00F41552" w:rsidP="00E15257">
      <w:pPr>
        <w:spacing w:after="0" w:line="240" w:lineRule="auto"/>
        <w:rPr>
          <w:rFonts w:ascii="Times New Roman" w:eastAsia="Times New Roman" w:hAnsi="Times New Roman" w:cs="Times New Roman"/>
          <w:noProof/>
        </w:rPr>
      </w:pPr>
    </w:p>
    <w:p w14:paraId="70C4BC48" w14:textId="77777777" w:rsidR="00E15257" w:rsidRPr="00CB7F08" w:rsidRDefault="00E15257" w:rsidP="00E15257">
      <w:pPr>
        <w:spacing w:after="0" w:line="240" w:lineRule="auto"/>
        <w:rPr>
          <w:rFonts w:ascii="Times New Roman" w:eastAsia="Times New Roman" w:hAnsi="Times New Roman" w:cs="Times New Roman"/>
          <w:noProof/>
        </w:rPr>
      </w:pPr>
      <w:r w:rsidRPr="00CB7F08">
        <w:rPr>
          <w:rFonts w:ascii="Times New Roman" w:eastAsia="Times New Roman" w:hAnsi="Times New Roman" w:cs="Times New Roman"/>
          <w:noProof/>
        </w:rPr>
        <w:br w:type="page"/>
      </w:r>
    </w:p>
    <w:bookmarkEnd w:id="4"/>
    <w:p w14:paraId="4677F6D0" w14:textId="77777777" w:rsidR="00E15257" w:rsidRPr="00CB7F08" w:rsidRDefault="00E15257" w:rsidP="00E15257">
      <w:pPr>
        <w:spacing w:after="0" w:line="240" w:lineRule="auto"/>
        <w:rPr>
          <w:rFonts w:ascii="Times New Roman" w:eastAsia="Times New Roman" w:hAnsi="Times New Roman" w:cs="Times New Roman"/>
          <w:noProof/>
        </w:rPr>
      </w:pPr>
    </w:p>
    <w:p w14:paraId="03446FB2" w14:textId="77777777" w:rsidR="00E15257" w:rsidRPr="00CB7F08" w:rsidRDefault="00E15257" w:rsidP="00E15257">
      <w:pPr>
        <w:spacing w:after="0" w:line="240" w:lineRule="auto"/>
        <w:rPr>
          <w:rFonts w:ascii="Times New Roman" w:eastAsia="Times New Roman" w:hAnsi="Times New Roman" w:cs="Times New Roman"/>
          <w:noProof/>
        </w:rPr>
      </w:pPr>
    </w:p>
    <w:p w14:paraId="737DA2E1" w14:textId="77777777" w:rsidR="00E15257" w:rsidRPr="00CB7F08" w:rsidRDefault="00E15257" w:rsidP="00E15257">
      <w:pPr>
        <w:spacing w:after="0" w:line="240" w:lineRule="auto"/>
        <w:rPr>
          <w:rFonts w:ascii="Times New Roman" w:eastAsia="Times New Roman" w:hAnsi="Times New Roman" w:cs="Times New Roman"/>
          <w:noProof/>
        </w:rPr>
      </w:pPr>
    </w:p>
    <w:p w14:paraId="35DE79D1" w14:textId="77777777" w:rsidR="00E15257" w:rsidRPr="00CB7F08" w:rsidRDefault="00E15257" w:rsidP="00E15257">
      <w:pPr>
        <w:spacing w:after="0" w:line="240" w:lineRule="auto"/>
        <w:rPr>
          <w:rFonts w:ascii="Times New Roman" w:eastAsia="Times New Roman" w:hAnsi="Times New Roman" w:cs="Times New Roman"/>
          <w:noProof/>
        </w:rPr>
      </w:pPr>
    </w:p>
    <w:p w14:paraId="32F41CDF" w14:textId="77777777" w:rsidR="00E15257" w:rsidRPr="00CB7F08" w:rsidRDefault="00E15257" w:rsidP="00E15257">
      <w:pPr>
        <w:spacing w:after="0" w:line="240" w:lineRule="auto"/>
        <w:rPr>
          <w:rFonts w:ascii="Times New Roman" w:eastAsia="Times New Roman" w:hAnsi="Times New Roman" w:cs="Times New Roman"/>
          <w:noProof/>
        </w:rPr>
      </w:pPr>
    </w:p>
    <w:p w14:paraId="5A045799" w14:textId="77777777" w:rsidR="00E15257" w:rsidRPr="00CB7F08" w:rsidRDefault="00E15257" w:rsidP="00E15257">
      <w:pPr>
        <w:spacing w:after="0" w:line="240" w:lineRule="auto"/>
        <w:rPr>
          <w:rFonts w:ascii="Times New Roman" w:eastAsia="Times New Roman" w:hAnsi="Times New Roman" w:cs="Times New Roman"/>
          <w:noProof/>
        </w:rPr>
      </w:pPr>
    </w:p>
    <w:p w14:paraId="73A17872" w14:textId="77777777" w:rsidR="00E15257" w:rsidRPr="00CB7F08" w:rsidRDefault="00E15257" w:rsidP="00E15257">
      <w:pPr>
        <w:spacing w:after="0" w:line="240" w:lineRule="auto"/>
        <w:rPr>
          <w:rFonts w:ascii="Times New Roman" w:eastAsia="Times New Roman" w:hAnsi="Times New Roman" w:cs="Times New Roman"/>
          <w:noProof/>
        </w:rPr>
      </w:pPr>
    </w:p>
    <w:p w14:paraId="1496B4E3" w14:textId="77777777" w:rsidR="00E15257" w:rsidRPr="00CB7F08" w:rsidRDefault="00E15257" w:rsidP="00E15257">
      <w:pPr>
        <w:spacing w:after="0" w:line="240" w:lineRule="auto"/>
        <w:rPr>
          <w:rFonts w:ascii="Times New Roman" w:eastAsia="Times New Roman" w:hAnsi="Times New Roman" w:cs="Times New Roman"/>
          <w:noProof/>
        </w:rPr>
      </w:pPr>
    </w:p>
    <w:p w14:paraId="74A62B86" w14:textId="77777777" w:rsidR="00E15257" w:rsidRPr="00CB7F08" w:rsidRDefault="00E15257" w:rsidP="00E15257">
      <w:pPr>
        <w:spacing w:after="0" w:line="240" w:lineRule="auto"/>
        <w:rPr>
          <w:rFonts w:ascii="Times New Roman" w:eastAsia="Times New Roman" w:hAnsi="Times New Roman" w:cs="Times New Roman"/>
          <w:noProof/>
        </w:rPr>
      </w:pPr>
    </w:p>
    <w:p w14:paraId="25E0A353" w14:textId="77777777" w:rsidR="00E15257" w:rsidRPr="00CB7F08" w:rsidRDefault="00E15257" w:rsidP="00E15257">
      <w:pPr>
        <w:spacing w:after="0" w:line="240" w:lineRule="auto"/>
        <w:rPr>
          <w:rFonts w:ascii="Times New Roman" w:eastAsia="Times New Roman" w:hAnsi="Times New Roman" w:cs="Times New Roman"/>
          <w:noProof/>
        </w:rPr>
      </w:pPr>
    </w:p>
    <w:p w14:paraId="35E67381" w14:textId="77777777" w:rsidR="00E15257" w:rsidRPr="00CB7F08" w:rsidRDefault="00E15257" w:rsidP="00E15257">
      <w:pPr>
        <w:spacing w:after="0" w:line="240" w:lineRule="auto"/>
        <w:rPr>
          <w:rFonts w:ascii="Times New Roman" w:eastAsia="Times New Roman" w:hAnsi="Times New Roman" w:cs="Times New Roman"/>
          <w:noProof/>
        </w:rPr>
      </w:pPr>
    </w:p>
    <w:p w14:paraId="64E9F939" w14:textId="77777777" w:rsidR="00E15257" w:rsidRPr="00CB7F08" w:rsidRDefault="00E15257" w:rsidP="00E15257">
      <w:pPr>
        <w:spacing w:after="0" w:line="240" w:lineRule="auto"/>
        <w:rPr>
          <w:rFonts w:ascii="Times New Roman" w:eastAsia="Times New Roman" w:hAnsi="Times New Roman" w:cs="Times New Roman"/>
          <w:noProof/>
        </w:rPr>
      </w:pPr>
    </w:p>
    <w:p w14:paraId="7F0AE5FB" w14:textId="77777777" w:rsidR="00E15257" w:rsidRPr="00CB7F08" w:rsidRDefault="00E15257" w:rsidP="00E15257">
      <w:pPr>
        <w:spacing w:after="0" w:line="240" w:lineRule="auto"/>
        <w:rPr>
          <w:rFonts w:ascii="Times New Roman" w:eastAsia="Times New Roman" w:hAnsi="Times New Roman" w:cs="Times New Roman"/>
          <w:noProof/>
        </w:rPr>
      </w:pPr>
    </w:p>
    <w:p w14:paraId="6025CC10" w14:textId="77777777" w:rsidR="00E15257" w:rsidRPr="00CB7F08" w:rsidRDefault="00E15257" w:rsidP="00E15257">
      <w:pPr>
        <w:spacing w:after="0" w:line="240" w:lineRule="auto"/>
        <w:rPr>
          <w:rFonts w:ascii="Times New Roman" w:eastAsia="Times New Roman" w:hAnsi="Times New Roman" w:cs="Times New Roman"/>
          <w:noProof/>
        </w:rPr>
      </w:pPr>
    </w:p>
    <w:p w14:paraId="251261A6" w14:textId="77777777" w:rsidR="00E15257" w:rsidRPr="00CB7F08" w:rsidRDefault="00E15257" w:rsidP="00E15257">
      <w:pPr>
        <w:spacing w:after="0" w:line="240" w:lineRule="auto"/>
        <w:rPr>
          <w:rFonts w:ascii="Times New Roman" w:eastAsia="Times New Roman" w:hAnsi="Times New Roman" w:cs="Times New Roman"/>
          <w:noProof/>
        </w:rPr>
      </w:pPr>
    </w:p>
    <w:p w14:paraId="4D38DCFE" w14:textId="77777777" w:rsidR="00E15257" w:rsidRPr="00CB7F08" w:rsidRDefault="00E15257" w:rsidP="00E15257">
      <w:pPr>
        <w:spacing w:after="0" w:line="240" w:lineRule="auto"/>
        <w:rPr>
          <w:rFonts w:ascii="Times New Roman" w:eastAsia="Times New Roman" w:hAnsi="Times New Roman" w:cs="Times New Roman"/>
          <w:noProof/>
        </w:rPr>
      </w:pPr>
    </w:p>
    <w:p w14:paraId="1982E540" w14:textId="77777777" w:rsidR="00E15257" w:rsidRPr="00CB7F08" w:rsidRDefault="00E15257" w:rsidP="00E15257">
      <w:pPr>
        <w:spacing w:after="0" w:line="240" w:lineRule="auto"/>
        <w:rPr>
          <w:rFonts w:ascii="Times New Roman" w:eastAsia="Times New Roman" w:hAnsi="Times New Roman" w:cs="Times New Roman"/>
          <w:noProof/>
        </w:rPr>
      </w:pPr>
    </w:p>
    <w:p w14:paraId="4DA18E15" w14:textId="77777777" w:rsidR="00E15257" w:rsidRPr="00CB7F08" w:rsidRDefault="00E15257" w:rsidP="00E15257">
      <w:pPr>
        <w:spacing w:after="0" w:line="240" w:lineRule="auto"/>
        <w:rPr>
          <w:rFonts w:ascii="Times New Roman" w:eastAsia="Times New Roman" w:hAnsi="Times New Roman" w:cs="Times New Roman"/>
          <w:noProof/>
        </w:rPr>
      </w:pPr>
    </w:p>
    <w:p w14:paraId="49D4A08F" w14:textId="77777777" w:rsidR="00E15257" w:rsidRPr="00CB7F08" w:rsidRDefault="00E15257" w:rsidP="00E15257">
      <w:pPr>
        <w:spacing w:after="0" w:line="240" w:lineRule="auto"/>
        <w:rPr>
          <w:rFonts w:ascii="Times New Roman" w:eastAsia="Times New Roman" w:hAnsi="Times New Roman" w:cs="Times New Roman"/>
          <w:noProof/>
        </w:rPr>
      </w:pPr>
    </w:p>
    <w:p w14:paraId="7D205B1F" w14:textId="77777777" w:rsidR="00E15257" w:rsidRPr="00CB7F08" w:rsidRDefault="00E15257" w:rsidP="00E15257">
      <w:pPr>
        <w:spacing w:after="0" w:line="240" w:lineRule="auto"/>
        <w:rPr>
          <w:rFonts w:ascii="Times New Roman" w:eastAsia="Times New Roman" w:hAnsi="Times New Roman" w:cs="Times New Roman"/>
          <w:noProof/>
        </w:rPr>
      </w:pPr>
    </w:p>
    <w:p w14:paraId="5D54B7E9" w14:textId="77777777" w:rsidR="00E15257" w:rsidRPr="00CB7F08" w:rsidRDefault="00E15257" w:rsidP="00E15257">
      <w:pPr>
        <w:spacing w:after="0" w:line="240" w:lineRule="auto"/>
        <w:rPr>
          <w:rFonts w:ascii="Times New Roman" w:eastAsia="Times New Roman" w:hAnsi="Times New Roman" w:cs="Times New Roman"/>
          <w:noProof/>
        </w:rPr>
      </w:pPr>
    </w:p>
    <w:p w14:paraId="16204508" w14:textId="77777777" w:rsidR="00E15257" w:rsidRPr="00CB7F08" w:rsidRDefault="00E15257" w:rsidP="00E15257">
      <w:pPr>
        <w:spacing w:after="0" w:line="240" w:lineRule="auto"/>
        <w:rPr>
          <w:rFonts w:ascii="Times New Roman" w:eastAsia="Times New Roman" w:hAnsi="Times New Roman" w:cs="Times New Roman"/>
          <w:noProof/>
        </w:rPr>
      </w:pPr>
    </w:p>
    <w:p w14:paraId="6F050025" w14:textId="77777777" w:rsidR="00E15257" w:rsidRPr="00CB7F08" w:rsidRDefault="00E15257" w:rsidP="00E15257">
      <w:pPr>
        <w:tabs>
          <w:tab w:val="left" w:pos="567"/>
        </w:tabs>
        <w:spacing w:after="0" w:line="240" w:lineRule="auto"/>
        <w:ind w:left="567" w:hanging="567"/>
        <w:jc w:val="center"/>
        <w:outlineLvl w:val="0"/>
        <w:rPr>
          <w:rFonts w:ascii="Times New Roman" w:eastAsia="Times New Roman" w:hAnsi="Times New Roman" w:cs="Times New Roman"/>
          <w:b/>
          <w:caps/>
        </w:rPr>
      </w:pPr>
      <w:bookmarkStart w:id="9" w:name="_Toc129243134"/>
      <w:bookmarkStart w:id="10" w:name="_Toc129243259"/>
      <w:bookmarkStart w:id="11" w:name="_Hlk117845186"/>
    </w:p>
    <w:p w14:paraId="2DE38D25" w14:textId="77777777" w:rsidR="00E15257" w:rsidRPr="00CB7F08" w:rsidRDefault="00E15257" w:rsidP="00E15257">
      <w:pPr>
        <w:tabs>
          <w:tab w:val="left" w:pos="567"/>
        </w:tabs>
        <w:spacing w:after="0" w:line="240" w:lineRule="auto"/>
        <w:ind w:left="567" w:hanging="567"/>
        <w:jc w:val="center"/>
        <w:outlineLvl w:val="0"/>
        <w:rPr>
          <w:rFonts w:ascii="Times New Roman" w:eastAsia="Times New Roman" w:hAnsi="Times New Roman" w:cs="Times New Roman"/>
          <w:b/>
          <w:caps/>
        </w:rPr>
      </w:pPr>
      <w:r w:rsidRPr="00CB7F08">
        <w:rPr>
          <w:rFonts w:ascii="Times New Roman" w:eastAsia="Times New Roman" w:hAnsi="Times New Roman" w:cs="Times New Roman"/>
          <w:b/>
          <w:caps/>
        </w:rPr>
        <w:t>III PRIEDAS</w:t>
      </w:r>
      <w:bookmarkEnd w:id="9"/>
      <w:bookmarkEnd w:id="10"/>
    </w:p>
    <w:p w14:paraId="0DAA881B" w14:textId="77777777" w:rsidR="00E15257" w:rsidRPr="00CB7F08" w:rsidRDefault="00E15257" w:rsidP="00E15257">
      <w:pPr>
        <w:spacing w:after="0" w:line="240" w:lineRule="auto"/>
        <w:jc w:val="center"/>
        <w:rPr>
          <w:rFonts w:ascii="Times New Roman" w:eastAsia="Times New Roman" w:hAnsi="Times New Roman" w:cs="Times New Roman"/>
          <w:noProof/>
        </w:rPr>
      </w:pPr>
    </w:p>
    <w:p w14:paraId="6234281B" w14:textId="77777777" w:rsidR="00E15257" w:rsidRPr="00CB7F08" w:rsidRDefault="00E15257" w:rsidP="00E15257">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5"/>
      <w:bookmarkStart w:id="13" w:name="_Toc129243260"/>
      <w:r w:rsidRPr="00CB7F08">
        <w:rPr>
          <w:rFonts w:ascii="Times New Roman" w:eastAsia="Times New Roman" w:hAnsi="Times New Roman" w:cs="Times New Roman"/>
          <w:b/>
          <w:caps/>
        </w:rPr>
        <w:t>ŽENKLINIMAS IR PAKUOTĖS LAPELIS</w:t>
      </w:r>
      <w:bookmarkEnd w:id="12"/>
      <w:bookmarkEnd w:id="13"/>
    </w:p>
    <w:p w14:paraId="05F38BC6" w14:textId="77777777" w:rsidR="00E15257" w:rsidRPr="00CB7F08" w:rsidRDefault="00E15257" w:rsidP="00E15257">
      <w:pPr>
        <w:spacing w:after="200" w:line="276" w:lineRule="auto"/>
        <w:rPr>
          <w:rFonts w:ascii="Times New Roman" w:eastAsia="Calibri" w:hAnsi="Times New Roman" w:cs="Times New Roman"/>
        </w:rPr>
      </w:pPr>
    </w:p>
    <w:p w14:paraId="6B45D6FC" w14:textId="77777777" w:rsidR="00E15257" w:rsidRPr="00CB7F08" w:rsidRDefault="00E15257" w:rsidP="00E15257">
      <w:pPr>
        <w:spacing w:after="200" w:line="276" w:lineRule="auto"/>
        <w:rPr>
          <w:rFonts w:ascii="Times New Roman" w:eastAsia="Calibri" w:hAnsi="Times New Roman" w:cs="Times New Roman"/>
        </w:rPr>
      </w:pPr>
      <w:r w:rsidRPr="00CB7F08">
        <w:rPr>
          <w:rFonts w:ascii="Times New Roman" w:eastAsia="Calibri" w:hAnsi="Times New Roman" w:cs="Times New Roman"/>
        </w:rPr>
        <w:br w:type="page"/>
      </w:r>
    </w:p>
    <w:bookmarkEnd w:id="5"/>
    <w:p w14:paraId="71557A41" w14:textId="77777777" w:rsidR="00E15257" w:rsidRPr="00CB7F08" w:rsidRDefault="00E15257" w:rsidP="00E15257">
      <w:pPr>
        <w:spacing w:after="0" w:line="276" w:lineRule="auto"/>
        <w:rPr>
          <w:rFonts w:ascii="Times New Roman" w:eastAsia="Calibri" w:hAnsi="Times New Roman" w:cs="Times New Roman"/>
        </w:rPr>
      </w:pPr>
    </w:p>
    <w:p w14:paraId="7740016D" w14:textId="77777777" w:rsidR="00E15257" w:rsidRPr="00CB7F08" w:rsidRDefault="00E15257" w:rsidP="00E15257">
      <w:pPr>
        <w:spacing w:after="0" w:line="276" w:lineRule="auto"/>
        <w:rPr>
          <w:rFonts w:ascii="Times New Roman" w:eastAsia="Calibri" w:hAnsi="Times New Roman" w:cs="Times New Roman"/>
        </w:rPr>
      </w:pPr>
    </w:p>
    <w:p w14:paraId="6D83AF80" w14:textId="77777777" w:rsidR="00E15257" w:rsidRPr="00CB7F08" w:rsidRDefault="00E15257" w:rsidP="00E15257">
      <w:pPr>
        <w:spacing w:after="0" w:line="276" w:lineRule="auto"/>
        <w:rPr>
          <w:rFonts w:ascii="Times New Roman" w:eastAsia="Calibri" w:hAnsi="Times New Roman" w:cs="Times New Roman"/>
        </w:rPr>
      </w:pPr>
    </w:p>
    <w:p w14:paraId="6FF0B9E8" w14:textId="77777777" w:rsidR="00E15257" w:rsidRPr="00CB7F08" w:rsidRDefault="00E15257" w:rsidP="00FC7F89">
      <w:pPr>
        <w:spacing w:after="0" w:line="276" w:lineRule="auto"/>
        <w:jc w:val="center"/>
        <w:rPr>
          <w:rFonts w:ascii="Times New Roman" w:eastAsia="Calibri" w:hAnsi="Times New Roman" w:cs="Times New Roman"/>
        </w:rPr>
      </w:pPr>
    </w:p>
    <w:p w14:paraId="0118F597" w14:textId="77777777" w:rsidR="00E15257" w:rsidRPr="00CB7F08" w:rsidRDefault="00E15257" w:rsidP="00FC7F89">
      <w:pPr>
        <w:spacing w:after="0" w:line="276" w:lineRule="auto"/>
        <w:jc w:val="center"/>
        <w:rPr>
          <w:rFonts w:ascii="Times New Roman" w:eastAsia="Calibri" w:hAnsi="Times New Roman" w:cs="Times New Roman"/>
        </w:rPr>
      </w:pPr>
    </w:p>
    <w:p w14:paraId="35926285" w14:textId="77777777" w:rsidR="00E15257" w:rsidRPr="00CB7F08" w:rsidRDefault="00E15257" w:rsidP="00FC7F89">
      <w:pPr>
        <w:spacing w:after="0" w:line="276" w:lineRule="auto"/>
        <w:jc w:val="center"/>
        <w:rPr>
          <w:rFonts w:ascii="Times New Roman" w:eastAsia="Calibri" w:hAnsi="Times New Roman" w:cs="Times New Roman"/>
        </w:rPr>
      </w:pPr>
    </w:p>
    <w:p w14:paraId="4BDA58CA" w14:textId="77777777" w:rsidR="00E15257" w:rsidRPr="00CB7F08" w:rsidRDefault="00E15257" w:rsidP="00FC7F89">
      <w:pPr>
        <w:spacing w:after="0" w:line="276" w:lineRule="auto"/>
        <w:jc w:val="center"/>
        <w:rPr>
          <w:rFonts w:ascii="Times New Roman" w:eastAsia="Calibri" w:hAnsi="Times New Roman" w:cs="Times New Roman"/>
        </w:rPr>
      </w:pPr>
    </w:p>
    <w:p w14:paraId="128D25D6" w14:textId="77777777" w:rsidR="00E15257" w:rsidRPr="00CB7F08" w:rsidRDefault="00E15257" w:rsidP="00FC7F89">
      <w:pPr>
        <w:spacing w:after="0" w:line="276" w:lineRule="auto"/>
        <w:jc w:val="center"/>
        <w:rPr>
          <w:rFonts w:ascii="Times New Roman" w:eastAsia="Calibri" w:hAnsi="Times New Roman" w:cs="Times New Roman"/>
        </w:rPr>
      </w:pPr>
    </w:p>
    <w:p w14:paraId="4BF13E29" w14:textId="77777777" w:rsidR="00E15257" w:rsidRPr="00CB7F08" w:rsidRDefault="00E15257" w:rsidP="00FC7F89">
      <w:pPr>
        <w:spacing w:after="0" w:line="276" w:lineRule="auto"/>
        <w:jc w:val="center"/>
        <w:rPr>
          <w:rFonts w:ascii="Times New Roman" w:eastAsia="Calibri" w:hAnsi="Times New Roman" w:cs="Times New Roman"/>
        </w:rPr>
      </w:pPr>
    </w:p>
    <w:p w14:paraId="00EA8650" w14:textId="77777777" w:rsidR="00E15257" w:rsidRPr="00CB7F08" w:rsidRDefault="00E15257" w:rsidP="00FC7F89">
      <w:pPr>
        <w:spacing w:after="0" w:line="276" w:lineRule="auto"/>
        <w:jc w:val="center"/>
        <w:rPr>
          <w:rFonts w:ascii="Times New Roman" w:eastAsia="Calibri" w:hAnsi="Times New Roman" w:cs="Times New Roman"/>
        </w:rPr>
      </w:pPr>
    </w:p>
    <w:p w14:paraId="402F4F41" w14:textId="77777777" w:rsidR="00E15257" w:rsidRPr="00CB7F08" w:rsidRDefault="00E15257" w:rsidP="00FC7F89">
      <w:pPr>
        <w:spacing w:after="0" w:line="276" w:lineRule="auto"/>
        <w:jc w:val="center"/>
        <w:rPr>
          <w:rFonts w:ascii="Times New Roman" w:eastAsia="Calibri" w:hAnsi="Times New Roman" w:cs="Times New Roman"/>
        </w:rPr>
      </w:pPr>
    </w:p>
    <w:p w14:paraId="72004030" w14:textId="77777777" w:rsidR="00E15257" w:rsidRPr="00CB7F08" w:rsidRDefault="00E15257" w:rsidP="00FC7F89">
      <w:pPr>
        <w:spacing w:after="0" w:line="276" w:lineRule="auto"/>
        <w:jc w:val="center"/>
        <w:rPr>
          <w:rFonts w:ascii="Times New Roman" w:eastAsia="Calibri" w:hAnsi="Times New Roman" w:cs="Times New Roman"/>
        </w:rPr>
      </w:pPr>
    </w:p>
    <w:p w14:paraId="0EAB52FF" w14:textId="77777777" w:rsidR="00E15257" w:rsidRPr="00CB7F08" w:rsidRDefault="00E15257" w:rsidP="00FC7F89">
      <w:pPr>
        <w:spacing w:after="0" w:line="276" w:lineRule="auto"/>
        <w:jc w:val="center"/>
        <w:rPr>
          <w:rFonts w:ascii="Times New Roman" w:eastAsia="Calibri" w:hAnsi="Times New Roman" w:cs="Times New Roman"/>
        </w:rPr>
      </w:pPr>
    </w:p>
    <w:p w14:paraId="5D9BC74B" w14:textId="77777777" w:rsidR="00E15257" w:rsidRPr="00FC7F89" w:rsidRDefault="00E15257" w:rsidP="00FC7F89">
      <w:pPr>
        <w:spacing w:after="0" w:line="276" w:lineRule="auto"/>
        <w:jc w:val="center"/>
        <w:rPr>
          <w:rFonts w:ascii="Times New Roman" w:eastAsia="Calibri" w:hAnsi="Times New Roman" w:cs="Times New Roman"/>
        </w:rPr>
      </w:pPr>
    </w:p>
    <w:p w14:paraId="3C396D1A" w14:textId="77777777" w:rsidR="00E15257" w:rsidRPr="00FC7F89" w:rsidRDefault="00E15257" w:rsidP="00FC7F89">
      <w:pPr>
        <w:spacing w:after="0" w:line="276" w:lineRule="auto"/>
        <w:jc w:val="center"/>
        <w:rPr>
          <w:rFonts w:ascii="Times New Roman" w:eastAsia="Calibri" w:hAnsi="Times New Roman" w:cs="Times New Roman"/>
        </w:rPr>
      </w:pPr>
    </w:p>
    <w:p w14:paraId="021B44A8" w14:textId="77777777" w:rsidR="00E15257" w:rsidRPr="00FC7F89" w:rsidRDefault="00E15257" w:rsidP="00FC7F89">
      <w:pPr>
        <w:spacing w:after="0" w:line="276" w:lineRule="auto"/>
        <w:jc w:val="center"/>
        <w:rPr>
          <w:rFonts w:ascii="Times New Roman" w:eastAsia="Calibri" w:hAnsi="Times New Roman" w:cs="Times New Roman"/>
        </w:rPr>
      </w:pPr>
    </w:p>
    <w:p w14:paraId="6B259C13" w14:textId="77777777" w:rsidR="00E15257" w:rsidRPr="00FC7F89" w:rsidRDefault="00E15257" w:rsidP="00FC7F89">
      <w:pPr>
        <w:spacing w:after="0" w:line="276" w:lineRule="auto"/>
        <w:jc w:val="center"/>
        <w:rPr>
          <w:rFonts w:ascii="Times New Roman" w:eastAsia="Calibri" w:hAnsi="Times New Roman" w:cs="Times New Roman"/>
        </w:rPr>
      </w:pPr>
    </w:p>
    <w:p w14:paraId="1CE163D7" w14:textId="77777777" w:rsidR="00E15257" w:rsidRPr="00FC7F89" w:rsidRDefault="00E15257" w:rsidP="00FC7F89">
      <w:pPr>
        <w:spacing w:after="0" w:line="276" w:lineRule="auto"/>
        <w:jc w:val="center"/>
        <w:rPr>
          <w:rFonts w:ascii="Times New Roman" w:eastAsia="Calibri" w:hAnsi="Times New Roman" w:cs="Times New Roman"/>
        </w:rPr>
      </w:pPr>
    </w:p>
    <w:p w14:paraId="0DBFFEE8" w14:textId="77777777" w:rsidR="00E15257" w:rsidRPr="00FC7F89" w:rsidRDefault="00E15257" w:rsidP="00FC7F89">
      <w:pPr>
        <w:spacing w:after="0" w:line="276" w:lineRule="auto"/>
        <w:jc w:val="center"/>
        <w:rPr>
          <w:rFonts w:ascii="Times New Roman" w:eastAsia="Calibri" w:hAnsi="Times New Roman" w:cs="Times New Roman"/>
        </w:rPr>
      </w:pPr>
    </w:p>
    <w:p w14:paraId="19A2CEEB" w14:textId="77777777" w:rsidR="00E15257" w:rsidRPr="00FC7F89" w:rsidRDefault="00E15257" w:rsidP="00FC7F89">
      <w:pPr>
        <w:spacing w:after="0" w:line="276" w:lineRule="auto"/>
        <w:jc w:val="center"/>
        <w:rPr>
          <w:rFonts w:ascii="Times New Roman" w:eastAsia="Calibri" w:hAnsi="Times New Roman" w:cs="Times New Roman"/>
        </w:rPr>
      </w:pPr>
    </w:p>
    <w:p w14:paraId="15E8CF89" w14:textId="77777777" w:rsidR="00E15257" w:rsidRPr="00FC7F89" w:rsidRDefault="00E15257" w:rsidP="00FC7F89">
      <w:pPr>
        <w:spacing w:after="0" w:line="276" w:lineRule="auto"/>
        <w:jc w:val="center"/>
        <w:rPr>
          <w:rFonts w:ascii="Times New Roman" w:eastAsia="Calibri" w:hAnsi="Times New Roman" w:cs="Times New Roman"/>
        </w:rPr>
      </w:pPr>
    </w:p>
    <w:p w14:paraId="1F6E7D29" w14:textId="77777777" w:rsidR="00E15257" w:rsidRPr="00FC7F89" w:rsidRDefault="00E15257" w:rsidP="00FC7F89">
      <w:pPr>
        <w:spacing w:after="0" w:line="276" w:lineRule="auto"/>
        <w:jc w:val="center"/>
        <w:rPr>
          <w:rFonts w:ascii="Times New Roman" w:eastAsia="Calibri" w:hAnsi="Times New Roman" w:cs="Times New Roman"/>
        </w:rPr>
      </w:pPr>
    </w:p>
    <w:p w14:paraId="6CC43ED2" w14:textId="77777777" w:rsidR="00E15257" w:rsidRPr="00CB7F08" w:rsidRDefault="00E15257" w:rsidP="00E15257">
      <w:pPr>
        <w:keepNext/>
        <w:spacing w:after="0" w:line="240" w:lineRule="auto"/>
        <w:jc w:val="center"/>
        <w:outlineLvl w:val="4"/>
        <w:rPr>
          <w:rFonts w:ascii="Times New Roman" w:eastAsia="Times New Roman" w:hAnsi="Times New Roman" w:cs="Times New Roman"/>
          <w:b/>
          <w:iCs/>
          <w:lang w:eastAsia="hu-HU"/>
        </w:rPr>
      </w:pPr>
    </w:p>
    <w:p w14:paraId="3FAAEF95" w14:textId="77777777" w:rsidR="00E15257" w:rsidRPr="00CB7F08" w:rsidRDefault="00E15257" w:rsidP="00E15257">
      <w:pPr>
        <w:keepNext/>
        <w:spacing w:after="0" w:line="240" w:lineRule="auto"/>
        <w:jc w:val="center"/>
        <w:outlineLvl w:val="4"/>
        <w:rPr>
          <w:rFonts w:ascii="Times New Roman" w:eastAsia="Times New Roman" w:hAnsi="Times New Roman" w:cs="Times New Roman"/>
          <w:b/>
          <w:iCs/>
          <w:lang w:eastAsia="hu-HU"/>
        </w:rPr>
      </w:pPr>
      <w:r w:rsidRPr="00CB7F08">
        <w:rPr>
          <w:rFonts w:ascii="Times New Roman" w:eastAsia="Times New Roman" w:hAnsi="Times New Roman" w:cs="Times New Roman"/>
          <w:b/>
          <w:iCs/>
          <w:lang w:eastAsia="hu-HU"/>
        </w:rPr>
        <w:t>A. ŽENKLINIMAS</w:t>
      </w:r>
    </w:p>
    <w:p w14:paraId="1BB5F32F" w14:textId="12F46508" w:rsidR="00E15257" w:rsidRDefault="00E15257" w:rsidP="00E15257">
      <w:pPr>
        <w:tabs>
          <w:tab w:val="left" w:pos="1080"/>
        </w:tabs>
        <w:spacing w:after="0" w:line="276" w:lineRule="auto"/>
        <w:rPr>
          <w:rFonts w:ascii="Times New Roman" w:eastAsia="Calibri" w:hAnsi="Times New Roman" w:cs="Times New Roman"/>
          <w:b/>
        </w:rPr>
      </w:pPr>
      <w:r w:rsidRPr="00CB7F08">
        <w:rPr>
          <w:rFonts w:ascii="Times New Roman" w:eastAsia="Calibri" w:hAnsi="Times New Roman" w:cs="Times New Roman"/>
          <w:b/>
        </w:rPr>
        <w:br w:type="page"/>
      </w:r>
    </w:p>
    <w:bookmarkEnd w:id="11"/>
    <w:p w14:paraId="4F570C70" w14:textId="77777777" w:rsidR="009449B0" w:rsidRPr="009A065C" w:rsidRDefault="009449B0" w:rsidP="009449B0">
      <w:pPr>
        <w:pageBreakBefore/>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rPr>
          <w:rFonts w:ascii="Times New Roman" w:eastAsia="Times New Roman" w:hAnsi="Times New Roman" w:cs="Times New Roman"/>
          <w:bCs/>
          <w:lang w:eastAsia="pl-PL"/>
        </w:rPr>
      </w:pPr>
      <w:r w:rsidRPr="009A065C">
        <w:rPr>
          <w:rFonts w:ascii="Times New Roman" w:eastAsia="Times New Roman" w:hAnsi="Times New Roman" w:cs="Times New Roman"/>
          <w:b/>
          <w:lang w:eastAsia="pl-PL"/>
        </w:rPr>
        <w:lastRenderedPageBreak/>
        <w:t>INFORMACIJA ANT IŠORINĖS PAKUOTĖS</w:t>
      </w:r>
    </w:p>
    <w:p w14:paraId="5985068B"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bCs/>
          <w:lang w:eastAsia="pl-PL"/>
        </w:rPr>
      </w:pPr>
    </w:p>
    <w:p w14:paraId="5F58E4E0"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SULANKSTOMA </w:t>
      </w:r>
      <w:r w:rsidRPr="009A065C">
        <w:rPr>
          <w:rFonts w:ascii="Times New Roman" w:eastAsia="Times New Roman" w:hAnsi="Times New Roman" w:cs="Times New Roman"/>
          <w:b/>
          <w:lang w:eastAsia="pl-PL"/>
        </w:rPr>
        <w:t xml:space="preserve">KARTONO DĖŽUTĖ </w:t>
      </w:r>
    </w:p>
    <w:p w14:paraId="7051522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7ACA31EE"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9EA7079"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w:t>
      </w:r>
      <w:r w:rsidRPr="009A065C">
        <w:rPr>
          <w:rFonts w:ascii="Times New Roman" w:eastAsia="Times New Roman" w:hAnsi="Times New Roman" w:cs="Times New Roman"/>
          <w:b/>
          <w:lang w:eastAsia="pl-PL"/>
        </w:rPr>
        <w:tab/>
        <w:t>VAISTINIO PREPARATO PAVADINIMAS</w:t>
      </w:r>
    </w:p>
    <w:p w14:paraId="71E992E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8B62DB8" w14:textId="680B465D" w:rsidR="009449B0" w:rsidRPr="009A065C" w:rsidRDefault="00575C70"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r>
        <w:rPr>
          <w:rFonts w:ascii="Times New Roman" w:eastAsia="Times New Roman" w:hAnsi="Times New Roman" w:cs="Times New Roman"/>
          <w:lang w:eastAsia="pl-PL"/>
        </w:rPr>
        <w:t>Xiltess</w:t>
      </w:r>
      <w:r w:rsidR="009449B0" w:rsidRPr="009A065C">
        <w:rPr>
          <w:rFonts w:ascii="Times New Roman" w:eastAsia="Times New Roman" w:hAnsi="Times New Roman" w:cs="Times New Roman"/>
          <w:lang w:eastAsia="pl-PL"/>
        </w:rPr>
        <w:t xml:space="preserve"> </w:t>
      </w:r>
      <w:r w:rsidR="009449B0">
        <w:rPr>
          <w:rFonts w:ascii="Times New Roman" w:eastAsia="Times New Roman" w:hAnsi="Times New Roman" w:cs="Times New Roman"/>
          <w:lang w:eastAsia="pl-PL"/>
        </w:rPr>
        <w:t>15</w:t>
      </w:r>
      <w:r w:rsidR="009449B0" w:rsidRPr="009A065C">
        <w:rPr>
          <w:rFonts w:ascii="Times New Roman" w:eastAsia="Times New Roman" w:hAnsi="Times New Roman" w:cs="Times New Roman"/>
          <w:lang w:eastAsia="pl-PL"/>
        </w:rPr>
        <w:t xml:space="preserve"> mg plėvele dengtos tabletės </w:t>
      </w:r>
    </w:p>
    <w:p w14:paraId="7004B87E" w14:textId="2F00BB79" w:rsidR="009449B0" w:rsidRPr="009A065C" w:rsidRDefault="00575C70"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r>
        <w:rPr>
          <w:rFonts w:ascii="Times New Roman" w:eastAsia="Times New Roman" w:hAnsi="Times New Roman" w:cs="Times New Roman"/>
          <w:highlight w:val="lightGray"/>
          <w:lang w:eastAsia="pl-PL"/>
        </w:rPr>
        <w:t>Xiltess</w:t>
      </w:r>
      <w:r w:rsidR="009449B0" w:rsidRPr="00F203C7">
        <w:rPr>
          <w:rFonts w:ascii="Times New Roman" w:eastAsia="Times New Roman" w:hAnsi="Times New Roman" w:cs="Times New Roman"/>
          <w:highlight w:val="lightGray"/>
          <w:lang w:eastAsia="pl-PL"/>
        </w:rPr>
        <w:t xml:space="preserve"> 20 mg plėvele dengtos tabletės</w:t>
      </w:r>
      <w:r w:rsidR="009449B0" w:rsidRPr="009A065C">
        <w:rPr>
          <w:rFonts w:ascii="Times New Roman" w:eastAsia="Times New Roman" w:hAnsi="Times New Roman" w:cs="Times New Roman"/>
          <w:lang w:eastAsia="pl-PL"/>
        </w:rPr>
        <w:t xml:space="preserve"> </w:t>
      </w:r>
    </w:p>
    <w:p w14:paraId="0026B303"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7AE29A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r</w:t>
      </w:r>
      <w:r w:rsidRPr="009A065C">
        <w:rPr>
          <w:rFonts w:ascii="Times New Roman" w:eastAsia="Times New Roman" w:hAnsi="Times New Roman" w:cs="Times New Roman"/>
          <w:lang w:eastAsia="pl-PL"/>
        </w:rPr>
        <w:t>ivaroksabanas</w:t>
      </w:r>
    </w:p>
    <w:p w14:paraId="1F816C14"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431BECC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158040F"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2.</w:t>
      </w:r>
      <w:r w:rsidRPr="009A065C">
        <w:rPr>
          <w:rFonts w:ascii="Times New Roman" w:eastAsia="Times New Roman" w:hAnsi="Times New Roman" w:cs="Times New Roman"/>
          <w:b/>
          <w:lang w:eastAsia="pl-PL"/>
        </w:rPr>
        <w:tab/>
        <w:t>VEIKLIOJI (-IOS) MEDŽIAGA (-OS) IR JOS (-Ų) KIEKIS (-IAI)</w:t>
      </w:r>
    </w:p>
    <w:p w14:paraId="48A084E5"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5117300A" w14:textId="77777777" w:rsidR="009449B0" w:rsidRDefault="009449B0" w:rsidP="009449B0">
      <w:pPr>
        <w:spacing w:after="0" w:line="240" w:lineRule="auto"/>
        <w:rPr>
          <w:rFonts w:ascii="Times New Roman" w:hAnsi="Times New Roman" w:cs="Times New Roman"/>
        </w:rPr>
      </w:pPr>
      <w:r w:rsidRPr="00EF538E">
        <w:rPr>
          <w:rFonts w:ascii="Times New Roman" w:hAnsi="Times New Roman" w:cs="Times New Roman"/>
        </w:rPr>
        <w:t>Kiekvienoje plėvele dengtoje tabletėje yra 1</w:t>
      </w:r>
      <w:r>
        <w:rPr>
          <w:rFonts w:ascii="Times New Roman" w:hAnsi="Times New Roman" w:cs="Times New Roman"/>
        </w:rPr>
        <w:t>5</w:t>
      </w:r>
      <w:r w:rsidRPr="00EF538E">
        <w:rPr>
          <w:rFonts w:ascii="Times New Roman" w:hAnsi="Times New Roman" w:cs="Times New Roman"/>
        </w:rPr>
        <w:t> mg rivaroksabano.</w:t>
      </w:r>
    </w:p>
    <w:p w14:paraId="019ACA3A" w14:textId="77777777" w:rsidR="009449B0" w:rsidRPr="00EF538E" w:rsidRDefault="009449B0" w:rsidP="009449B0">
      <w:pPr>
        <w:spacing w:after="0" w:line="240" w:lineRule="auto"/>
        <w:rPr>
          <w:rFonts w:ascii="Times New Roman" w:hAnsi="Times New Roman" w:cs="Times New Roman"/>
        </w:rPr>
      </w:pPr>
      <w:r w:rsidRPr="00F203C7">
        <w:rPr>
          <w:rFonts w:ascii="Times New Roman" w:hAnsi="Times New Roman" w:cs="Times New Roman"/>
          <w:highlight w:val="lightGray"/>
        </w:rPr>
        <w:t>Kiekvienoje plėvele dengtoje tabletėje yra 20 mg rivaroksabano.</w:t>
      </w:r>
    </w:p>
    <w:p w14:paraId="2A4CB756" w14:textId="77777777" w:rsidR="009449B0" w:rsidRPr="00EF538E" w:rsidRDefault="009449B0" w:rsidP="009449B0">
      <w:pPr>
        <w:spacing w:after="0" w:line="240" w:lineRule="auto"/>
        <w:rPr>
          <w:rFonts w:ascii="Times New Roman" w:hAnsi="Times New Roman" w:cs="Times New Roman"/>
        </w:rPr>
      </w:pPr>
    </w:p>
    <w:p w14:paraId="5C2234C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74FE07F"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3.</w:t>
      </w:r>
      <w:r w:rsidRPr="009A065C">
        <w:rPr>
          <w:rFonts w:ascii="Times New Roman" w:eastAsia="Times New Roman" w:hAnsi="Times New Roman" w:cs="Times New Roman"/>
          <w:b/>
          <w:lang w:eastAsia="pl-PL"/>
        </w:rPr>
        <w:tab/>
        <w:t>PAGALBINIŲ MEDŽIAGŲ SĄRAŠAS</w:t>
      </w:r>
    </w:p>
    <w:p w14:paraId="3E641F4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211015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16E68CA"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4.</w:t>
      </w:r>
      <w:r w:rsidRPr="009A065C">
        <w:rPr>
          <w:rFonts w:ascii="Times New Roman" w:eastAsia="Times New Roman" w:hAnsi="Times New Roman" w:cs="Times New Roman"/>
          <w:b/>
          <w:lang w:eastAsia="pl-PL"/>
        </w:rPr>
        <w:tab/>
        <w:t>FARMACINĖ FORMA IR KIEKIS PAKUOTĖJE</w:t>
      </w:r>
    </w:p>
    <w:p w14:paraId="03B6C79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6143DF5"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2D506B">
        <w:rPr>
          <w:rFonts w:ascii="Times New Roman" w:eastAsia="Times New Roman" w:hAnsi="Times New Roman" w:cs="Times New Roman"/>
          <w:lang w:eastAsia="pl-PL"/>
        </w:rPr>
        <w:t>plėvele dengta tabletė</w:t>
      </w:r>
    </w:p>
    <w:p w14:paraId="2199AB44"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F4C204F" w14:textId="055345A8" w:rsidR="009449B0" w:rsidRDefault="00575C70" w:rsidP="009449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highlight w:val="lightGray"/>
          <w:lang w:eastAsia="pl-PL"/>
        </w:rPr>
        <w:t>Xiltess</w:t>
      </w:r>
      <w:r w:rsidR="009449B0" w:rsidRPr="00B060FD">
        <w:rPr>
          <w:rFonts w:ascii="Times New Roman" w:eastAsia="Times New Roman" w:hAnsi="Times New Roman" w:cs="Times New Roman"/>
          <w:highlight w:val="lightGray"/>
          <w:lang w:eastAsia="pl-PL"/>
        </w:rPr>
        <w:t xml:space="preserve"> 15 mg plėvele dengtos tabletės</w:t>
      </w:r>
    </w:p>
    <w:p w14:paraId="46804320"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419C06F4" w14:textId="77777777" w:rsidR="009449B0" w:rsidRPr="00B060FD" w:rsidRDefault="009449B0" w:rsidP="009449B0">
      <w:pPr>
        <w:widowControl w:val="0"/>
        <w:autoSpaceDE w:val="0"/>
        <w:autoSpaceDN w:val="0"/>
        <w:adjustRightInd w:val="0"/>
        <w:spacing w:after="0" w:line="240" w:lineRule="auto"/>
        <w:rPr>
          <w:rFonts w:ascii="Times New Roman" w:eastAsia="Times New Roman" w:hAnsi="Times New Roman" w:cs="Times New Roman"/>
          <w:w w:val="105"/>
          <w:lang w:eastAsia="pl-PL"/>
        </w:rPr>
      </w:pPr>
      <w:r w:rsidRPr="00B060FD">
        <w:rPr>
          <w:rFonts w:ascii="Times New Roman" w:eastAsia="Times New Roman" w:hAnsi="Times New Roman" w:cs="Times New Roman"/>
          <w:w w:val="105"/>
          <w:lang w:eastAsia="pl-PL"/>
        </w:rPr>
        <w:t xml:space="preserve">28 </w:t>
      </w:r>
      <w:r w:rsidRPr="00B060FD">
        <w:rPr>
          <w:rFonts w:ascii="Times New Roman" w:eastAsia="Times New Roman" w:hAnsi="Times New Roman" w:cs="Times New Roman"/>
          <w:spacing w:val="-9"/>
          <w:w w:val="105"/>
          <w:lang w:eastAsia="pl-PL"/>
        </w:rPr>
        <w:t>plėvele dengtos tabletės</w:t>
      </w:r>
    </w:p>
    <w:p w14:paraId="19C3A0CD" w14:textId="77777777" w:rsidR="009449B0" w:rsidRPr="00EF538E"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Pr>
          <w:rFonts w:ascii="Times New Roman" w:eastAsia="Times New Roman" w:hAnsi="Times New Roman" w:cs="Times New Roman"/>
          <w:highlight w:val="lightGray"/>
          <w:lang w:eastAsia="pl-PL"/>
        </w:rPr>
        <w:t>42</w:t>
      </w:r>
      <w:r w:rsidRPr="00EF538E">
        <w:rPr>
          <w:rFonts w:ascii="Times New Roman" w:eastAsia="Times New Roman" w:hAnsi="Times New Roman" w:cs="Times New Roman"/>
          <w:highlight w:val="lightGray"/>
          <w:lang w:eastAsia="pl-PL"/>
        </w:rPr>
        <w:t xml:space="preserve"> </w:t>
      </w:r>
      <w:r w:rsidRPr="00EF538E">
        <w:rPr>
          <w:rFonts w:ascii="Times New Roman" w:eastAsia="Times New Roman" w:hAnsi="Times New Roman" w:cs="Times New Roman"/>
          <w:spacing w:val="-9"/>
          <w:w w:val="105"/>
          <w:highlight w:val="lightGray"/>
          <w:lang w:eastAsia="pl-PL"/>
        </w:rPr>
        <w:t>plėvele dengtų tablečių</w:t>
      </w:r>
    </w:p>
    <w:p w14:paraId="00FC8A01" w14:textId="77777777" w:rsidR="009449B0" w:rsidRPr="00EF538E"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sidRPr="00EF538E">
        <w:rPr>
          <w:rFonts w:ascii="Times New Roman" w:eastAsia="Times New Roman" w:hAnsi="Times New Roman" w:cs="Times New Roman"/>
          <w:w w:val="105"/>
          <w:highlight w:val="lightGray"/>
          <w:lang w:eastAsia="pl-PL"/>
        </w:rPr>
        <w:t xml:space="preserve">98 </w:t>
      </w:r>
      <w:r w:rsidRPr="00EF538E">
        <w:rPr>
          <w:rFonts w:ascii="Times New Roman" w:eastAsia="Times New Roman" w:hAnsi="Times New Roman" w:cs="Times New Roman"/>
          <w:spacing w:val="-9"/>
          <w:w w:val="105"/>
          <w:highlight w:val="lightGray"/>
          <w:lang w:eastAsia="pl-PL"/>
        </w:rPr>
        <w:t>plėvele dengtos tabletės</w:t>
      </w:r>
    </w:p>
    <w:p w14:paraId="7346FE4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sidRPr="00EF538E">
        <w:rPr>
          <w:rFonts w:ascii="Times New Roman" w:eastAsia="Times New Roman" w:hAnsi="Times New Roman" w:cs="Times New Roman"/>
          <w:w w:val="105"/>
          <w:highlight w:val="lightGray"/>
          <w:lang w:eastAsia="pl-PL"/>
        </w:rPr>
        <w:t xml:space="preserve">100 </w:t>
      </w:r>
      <w:r w:rsidRPr="00EF538E">
        <w:rPr>
          <w:rFonts w:ascii="Times New Roman" w:eastAsia="Times New Roman" w:hAnsi="Times New Roman" w:cs="Times New Roman"/>
          <w:spacing w:val="-9"/>
          <w:w w:val="105"/>
          <w:highlight w:val="lightGray"/>
          <w:lang w:eastAsia="pl-PL"/>
        </w:rPr>
        <w:t>plėvele dengtų tablečių</w:t>
      </w:r>
    </w:p>
    <w:p w14:paraId="05971484"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FFAB5B1" w14:textId="39C581CA" w:rsidR="009449B0" w:rsidRDefault="00575C70" w:rsidP="009449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highlight w:val="lightGray"/>
          <w:lang w:eastAsia="pl-PL"/>
        </w:rPr>
        <w:t>Xiltess</w:t>
      </w:r>
      <w:r w:rsidR="009449B0" w:rsidRPr="00B060FD">
        <w:rPr>
          <w:rFonts w:ascii="Times New Roman" w:eastAsia="Times New Roman" w:hAnsi="Times New Roman" w:cs="Times New Roman"/>
          <w:highlight w:val="lightGray"/>
          <w:lang w:eastAsia="pl-PL"/>
        </w:rPr>
        <w:t xml:space="preserve"> 20 mg plėvele dengtos tabletės</w:t>
      </w:r>
    </w:p>
    <w:p w14:paraId="20190173"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7A594A74" w14:textId="77777777" w:rsidR="009449B0" w:rsidRPr="00314AD2" w:rsidRDefault="009449B0" w:rsidP="009449B0">
      <w:pPr>
        <w:widowControl w:val="0"/>
        <w:autoSpaceDE w:val="0"/>
        <w:autoSpaceDN w:val="0"/>
        <w:adjustRightInd w:val="0"/>
        <w:spacing w:after="0" w:line="240" w:lineRule="auto"/>
        <w:rPr>
          <w:rFonts w:ascii="Times New Roman" w:eastAsia="Times New Roman" w:hAnsi="Times New Roman" w:cs="Times New Roman"/>
          <w:w w:val="105"/>
          <w:lang w:eastAsia="pl-PL"/>
        </w:rPr>
      </w:pPr>
      <w:r w:rsidRPr="00314AD2">
        <w:rPr>
          <w:rFonts w:ascii="Times New Roman" w:eastAsia="Times New Roman" w:hAnsi="Times New Roman" w:cs="Times New Roman"/>
          <w:w w:val="105"/>
          <w:lang w:eastAsia="pl-PL"/>
        </w:rPr>
        <w:t xml:space="preserve">28 </w:t>
      </w:r>
      <w:r w:rsidRPr="00314AD2">
        <w:rPr>
          <w:rFonts w:ascii="Times New Roman" w:eastAsia="Times New Roman" w:hAnsi="Times New Roman" w:cs="Times New Roman"/>
          <w:spacing w:val="-9"/>
          <w:w w:val="105"/>
          <w:lang w:eastAsia="pl-PL"/>
        </w:rPr>
        <w:t>plėvele dengtos tabletės</w:t>
      </w:r>
    </w:p>
    <w:p w14:paraId="4E8A2E63" w14:textId="77777777" w:rsidR="009449B0" w:rsidRPr="00EF538E"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sidRPr="00EF538E">
        <w:rPr>
          <w:rFonts w:ascii="Times New Roman" w:eastAsia="Times New Roman" w:hAnsi="Times New Roman" w:cs="Times New Roman"/>
          <w:w w:val="105"/>
          <w:highlight w:val="lightGray"/>
          <w:lang w:eastAsia="pl-PL"/>
        </w:rPr>
        <w:t xml:space="preserve">98 </w:t>
      </w:r>
      <w:r w:rsidRPr="00EF538E">
        <w:rPr>
          <w:rFonts w:ascii="Times New Roman" w:eastAsia="Times New Roman" w:hAnsi="Times New Roman" w:cs="Times New Roman"/>
          <w:spacing w:val="-9"/>
          <w:w w:val="105"/>
          <w:highlight w:val="lightGray"/>
          <w:lang w:eastAsia="pl-PL"/>
        </w:rPr>
        <w:t>plėvele dengtos tabletės</w:t>
      </w:r>
    </w:p>
    <w:p w14:paraId="26227BA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sidRPr="00EF538E">
        <w:rPr>
          <w:rFonts w:ascii="Times New Roman" w:eastAsia="Times New Roman" w:hAnsi="Times New Roman" w:cs="Times New Roman"/>
          <w:w w:val="105"/>
          <w:highlight w:val="lightGray"/>
          <w:lang w:eastAsia="pl-PL"/>
        </w:rPr>
        <w:t xml:space="preserve">100 </w:t>
      </w:r>
      <w:r w:rsidRPr="00EF538E">
        <w:rPr>
          <w:rFonts w:ascii="Times New Roman" w:eastAsia="Times New Roman" w:hAnsi="Times New Roman" w:cs="Times New Roman"/>
          <w:spacing w:val="-9"/>
          <w:w w:val="105"/>
          <w:highlight w:val="lightGray"/>
          <w:lang w:eastAsia="pl-PL"/>
        </w:rPr>
        <w:t>plėvele dengtų tablečių</w:t>
      </w:r>
    </w:p>
    <w:p w14:paraId="13EFBBB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F0259B0"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4837A3D5"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5.</w:t>
      </w:r>
      <w:r w:rsidRPr="009A065C">
        <w:rPr>
          <w:rFonts w:ascii="Times New Roman" w:eastAsia="Times New Roman" w:hAnsi="Times New Roman" w:cs="Times New Roman"/>
          <w:b/>
          <w:lang w:eastAsia="pl-PL"/>
        </w:rPr>
        <w:tab/>
        <w:t>VARTOJIMO METODAS IR BŪDAS (-AI)</w:t>
      </w:r>
    </w:p>
    <w:p w14:paraId="1994F5A0"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29FCD66"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Vartoti per burną.</w:t>
      </w:r>
    </w:p>
    <w:p w14:paraId="4797867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Prieš vartojimą perskaitykite pakuotės lapelį.</w:t>
      </w:r>
    </w:p>
    <w:p w14:paraId="1B0E56D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026CEF4"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BDE0D61"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6.</w:t>
      </w:r>
      <w:r w:rsidRPr="009A065C">
        <w:rPr>
          <w:rFonts w:ascii="Times New Roman" w:eastAsia="Times New Roman" w:hAnsi="Times New Roman" w:cs="Times New Roman"/>
          <w:b/>
          <w:lang w:eastAsia="pl-PL"/>
        </w:rPr>
        <w:tab/>
        <w:t>SPECIALUS ĮSPĖJIMAS, KAD VAISTINĮ PREPARATĄ BŪTINA LAIKYTI VAIKAMS NEPASTEBIMOJE IR NEPASIEKIAMOJE VIETOJE</w:t>
      </w:r>
    </w:p>
    <w:p w14:paraId="50B4188E"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81EE304"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Laikyti vaikams nepastebimoje ir nepasiekiamoje vietoje.</w:t>
      </w:r>
    </w:p>
    <w:p w14:paraId="43F7EBB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91AAE7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FA3BCAF"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7.</w:t>
      </w:r>
      <w:r w:rsidRPr="009A065C">
        <w:rPr>
          <w:rFonts w:ascii="Times New Roman" w:eastAsia="Times New Roman" w:hAnsi="Times New Roman" w:cs="Times New Roman"/>
          <w:b/>
          <w:lang w:eastAsia="pl-PL"/>
        </w:rPr>
        <w:tab/>
        <w:t>KITAS (-I) SPECIALUS (-ŪS) ĮSPĖJIMAS (-AI) (JEI REIKIA)</w:t>
      </w:r>
    </w:p>
    <w:p w14:paraId="378A5AE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51CEBEF0" w14:textId="77777777" w:rsidR="009449B0" w:rsidRPr="009A065C" w:rsidRDefault="009449B0" w:rsidP="009449B0">
      <w:pPr>
        <w:widowControl w:val="0"/>
        <w:tabs>
          <w:tab w:val="left" w:pos="749"/>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037FE7AA"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lastRenderedPageBreak/>
        <w:t>8.</w:t>
      </w:r>
      <w:r w:rsidRPr="009A065C">
        <w:rPr>
          <w:rFonts w:ascii="Times New Roman" w:eastAsia="Times New Roman" w:hAnsi="Times New Roman" w:cs="Times New Roman"/>
          <w:b/>
          <w:lang w:eastAsia="pl-PL"/>
        </w:rPr>
        <w:tab/>
        <w:t>TINKAMUMO LAIKAS</w:t>
      </w:r>
    </w:p>
    <w:p w14:paraId="5CE71C81" w14:textId="77777777" w:rsidR="009449B0" w:rsidRPr="009A065C" w:rsidRDefault="009449B0" w:rsidP="009449B0">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293D601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EXP</w:t>
      </w:r>
    </w:p>
    <w:p w14:paraId="329C73C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7117055"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30F2FB7" w14:textId="77777777" w:rsidR="009449B0" w:rsidRPr="009A065C" w:rsidRDefault="009449B0" w:rsidP="009449B0">
      <w:pPr>
        <w:keepNext/>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9.</w:t>
      </w:r>
      <w:r w:rsidRPr="009A065C">
        <w:rPr>
          <w:rFonts w:ascii="Times New Roman" w:eastAsia="Times New Roman" w:hAnsi="Times New Roman" w:cs="Times New Roman"/>
          <w:b/>
          <w:lang w:eastAsia="pl-PL"/>
        </w:rPr>
        <w:tab/>
        <w:t>SPECIALIOS LAIKYMO SĄLYGOS</w:t>
      </w:r>
    </w:p>
    <w:p w14:paraId="68A65A3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50DFEEE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Laikyti gamintojo pakuotėje, kad vaistas būtų apsaugotas nuo drėgmės.</w:t>
      </w:r>
    </w:p>
    <w:p w14:paraId="39DD2EF2" w14:textId="77777777" w:rsidR="009449B0" w:rsidRPr="009A065C" w:rsidRDefault="009449B0" w:rsidP="009449B0">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755ECCA2" w14:textId="77777777" w:rsidR="009449B0" w:rsidRPr="009A065C" w:rsidRDefault="009449B0" w:rsidP="009449B0">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50DD5112"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10.</w:t>
      </w:r>
      <w:r w:rsidRPr="009A065C">
        <w:rPr>
          <w:rFonts w:ascii="Times New Roman" w:eastAsia="Times New Roman" w:hAnsi="Times New Roman" w:cs="Times New Roman"/>
          <w:b/>
          <w:lang w:eastAsia="pl-PL"/>
        </w:rPr>
        <w:tab/>
        <w:t>SPECIALIOS ATSARGUMO PRIEMONĖS DĖL NESUVARTOTO VAISTINIO PREPARATO AR JO ATLIEKŲ TVARKYMO (JEI REIKIA)</w:t>
      </w:r>
    </w:p>
    <w:p w14:paraId="557C00D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13A42F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328541B"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11.</w:t>
      </w:r>
      <w:r w:rsidRPr="009A065C">
        <w:rPr>
          <w:rFonts w:ascii="Times New Roman" w:eastAsia="Times New Roman" w:hAnsi="Times New Roman" w:cs="Times New Roman"/>
          <w:b/>
          <w:lang w:eastAsia="pl-PL"/>
        </w:rPr>
        <w:tab/>
        <w:t>REGISTRUOTOJO PAVADINIMAS IR ADRESAS</w:t>
      </w:r>
    </w:p>
    <w:p w14:paraId="3D2F36C6"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7550ECA" w14:textId="78BB702D" w:rsidR="009449B0" w:rsidRPr="003042C7" w:rsidRDefault="009449B0" w:rsidP="009449B0">
      <w:pPr>
        <w:tabs>
          <w:tab w:val="left" w:pos="567"/>
        </w:tabs>
        <w:spacing w:after="0" w:line="240" w:lineRule="auto"/>
        <w:rPr>
          <w:rFonts w:ascii="Times New Roman" w:eastAsia="Times New Roman" w:hAnsi="Times New Roman" w:cs="Times New Roman"/>
          <w:szCs w:val="20"/>
          <w:lang w:eastAsia="lt-LT" w:bidi="lt-LT"/>
        </w:rPr>
      </w:pPr>
      <w:r w:rsidRPr="003042C7">
        <w:rPr>
          <w:rFonts w:ascii="Times New Roman" w:eastAsia="Times New Roman" w:hAnsi="Times New Roman" w:cs="Times New Roman"/>
          <w:szCs w:val="20"/>
          <w:lang w:eastAsia="lt-LT" w:bidi="lt-LT"/>
        </w:rPr>
        <w:t>Egis Pharmaceuticals PLC</w:t>
      </w:r>
    </w:p>
    <w:p w14:paraId="75254973" w14:textId="77777777" w:rsidR="009449B0" w:rsidRPr="003042C7" w:rsidRDefault="009449B0" w:rsidP="009449B0">
      <w:pPr>
        <w:tabs>
          <w:tab w:val="left" w:pos="567"/>
        </w:tabs>
        <w:spacing w:after="0" w:line="240" w:lineRule="auto"/>
        <w:rPr>
          <w:rFonts w:ascii="Times New Roman" w:eastAsia="Times New Roman" w:hAnsi="Times New Roman" w:cs="Times New Roman"/>
          <w:szCs w:val="20"/>
          <w:lang w:eastAsia="lt-LT" w:bidi="lt-LT"/>
        </w:rPr>
      </w:pPr>
      <w:r w:rsidRPr="003042C7">
        <w:rPr>
          <w:rFonts w:ascii="Times New Roman" w:eastAsia="Times New Roman" w:hAnsi="Times New Roman" w:cs="Times New Roman"/>
          <w:szCs w:val="20"/>
          <w:lang w:eastAsia="lt-LT" w:bidi="lt-LT"/>
        </w:rPr>
        <w:t>1106 Budapest</w:t>
      </w:r>
    </w:p>
    <w:p w14:paraId="327FBA76" w14:textId="77777777" w:rsidR="009449B0" w:rsidRPr="003042C7" w:rsidRDefault="009449B0" w:rsidP="009449B0">
      <w:pPr>
        <w:tabs>
          <w:tab w:val="left" w:pos="567"/>
        </w:tabs>
        <w:spacing w:after="0" w:line="240" w:lineRule="auto"/>
        <w:rPr>
          <w:rFonts w:ascii="Times New Roman" w:eastAsia="Times New Roman" w:hAnsi="Times New Roman" w:cs="Times New Roman"/>
          <w:szCs w:val="20"/>
          <w:lang w:eastAsia="lt-LT" w:bidi="lt-LT"/>
        </w:rPr>
      </w:pPr>
      <w:r w:rsidRPr="003042C7">
        <w:rPr>
          <w:rFonts w:ascii="Times New Roman" w:eastAsia="Times New Roman" w:hAnsi="Times New Roman" w:cs="Times New Roman"/>
          <w:szCs w:val="20"/>
          <w:lang w:eastAsia="lt-LT" w:bidi="lt-LT"/>
        </w:rPr>
        <w:t>Keresztúri út 30-38</w:t>
      </w:r>
    </w:p>
    <w:p w14:paraId="69211A1B" w14:textId="77777777" w:rsidR="009449B0" w:rsidRDefault="009449B0" w:rsidP="009449B0">
      <w:pPr>
        <w:tabs>
          <w:tab w:val="left" w:pos="567"/>
        </w:tabs>
        <w:spacing w:after="0" w:line="240" w:lineRule="auto"/>
        <w:rPr>
          <w:rFonts w:ascii="Times New Roman" w:eastAsia="Times New Roman" w:hAnsi="Times New Roman" w:cs="Times New Roman"/>
          <w:szCs w:val="20"/>
          <w:lang w:eastAsia="lt-LT" w:bidi="lt-LT"/>
        </w:rPr>
      </w:pPr>
      <w:r w:rsidRPr="003042C7">
        <w:rPr>
          <w:rFonts w:ascii="Times New Roman" w:eastAsia="Times New Roman" w:hAnsi="Times New Roman" w:cs="Times New Roman"/>
          <w:szCs w:val="20"/>
          <w:lang w:eastAsia="lt-LT" w:bidi="lt-LT"/>
        </w:rPr>
        <w:t>Vengrija</w:t>
      </w:r>
    </w:p>
    <w:p w14:paraId="35F36476" w14:textId="77777777" w:rsidR="009449B0" w:rsidRPr="003042C7" w:rsidRDefault="009449B0" w:rsidP="009449B0">
      <w:pPr>
        <w:tabs>
          <w:tab w:val="left" w:pos="567"/>
        </w:tabs>
        <w:spacing w:after="0" w:line="240" w:lineRule="auto"/>
        <w:rPr>
          <w:rFonts w:ascii="Times New Roman" w:eastAsia="Times New Roman" w:hAnsi="Times New Roman" w:cs="Times New Roman"/>
          <w:szCs w:val="20"/>
          <w:lang w:eastAsia="lt-LT" w:bidi="lt-LT"/>
        </w:rPr>
      </w:pPr>
    </w:p>
    <w:p w14:paraId="5561D6DC"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57CA784"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12.</w:t>
      </w:r>
      <w:r w:rsidRPr="009A065C">
        <w:rPr>
          <w:rFonts w:ascii="Times New Roman" w:eastAsia="Times New Roman" w:hAnsi="Times New Roman" w:cs="Times New Roman"/>
          <w:b/>
          <w:lang w:eastAsia="pl-PL"/>
        </w:rPr>
        <w:tab/>
        <w:t xml:space="preserve">REGISTRACIJOS PAŽYMĖJIMO NUMERIS (-IAI) </w:t>
      </w:r>
    </w:p>
    <w:p w14:paraId="3A333484" w14:textId="77777777" w:rsidR="009449B0"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p>
    <w:p w14:paraId="59728351" w14:textId="490566C5" w:rsidR="009449B0" w:rsidRDefault="00575C7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DF5A8E">
        <w:rPr>
          <w:rFonts w:ascii="Times New Roman" w:eastAsia="Times New Roman" w:hAnsi="Times New Roman" w:cs="Times New Roman"/>
          <w:highlight w:val="lightGray"/>
          <w:shd w:val="clear" w:color="auto" w:fill="D9D9D9" w:themeFill="background1" w:themeFillShade="D9"/>
          <w:lang w:eastAsia="pl-PL"/>
        </w:rPr>
        <w:t>Xiltess</w:t>
      </w:r>
      <w:r w:rsidR="009449B0" w:rsidRPr="00DF5A8E">
        <w:rPr>
          <w:rFonts w:ascii="Times New Roman" w:eastAsia="Times New Roman" w:hAnsi="Times New Roman" w:cs="Times New Roman"/>
          <w:highlight w:val="lightGray"/>
          <w:shd w:val="clear" w:color="auto" w:fill="D9D9D9" w:themeFill="background1" w:themeFillShade="D9"/>
          <w:lang w:eastAsia="pl-PL"/>
        </w:rPr>
        <w:t xml:space="preserve"> 15</w:t>
      </w:r>
      <w:r w:rsidR="009449B0" w:rsidRPr="00B060FD">
        <w:rPr>
          <w:rFonts w:ascii="Times New Roman" w:eastAsia="Times New Roman" w:hAnsi="Times New Roman" w:cs="Times New Roman"/>
          <w:highlight w:val="lightGray"/>
          <w:lang w:eastAsia="pl-PL"/>
        </w:rPr>
        <w:t xml:space="preserve"> mg </w:t>
      </w:r>
    </w:p>
    <w:p w14:paraId="18907777" w14:textId="77777777" w:rsidR="00EF3814" w:rsidRPr="00CC69F0" w:rsidRDefault="00EF3814" w:rsidP="00EF3814">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EF3814">
        <w:rPr>
          <w:rFonts w:ascii="Times New Roman" w:eastAsia="Times New Roman" w:hAnsi="Times New Roman" w:cs="Times New Roman"/>
          <w:lang w:eastAsia="pl-PL"/>
        </w:rPr>
        <w:t xml:space="preserve">LT/1/23/5104/001 </w:t>
      </w:r>
      <w:r w:rsidRPr="00CC69F0">
        <w:rPr>
          <w:rFonts w:ascii="Times New Roman" w:eastAsia="Times New Roman" w:hAnsi="Times New Roman" w:cs="Times New Roman"/>
          <w:highlight w:val="lightGray"/>
          <w:lang w:eastAsia="pl-PL"/>
        </w:rPr>
        <w:t>– N28</w:t>
      </w:r>
    </w:p>
    <w:p w14:paraId="7943BD1C" w14:textId="77777777" w:rsidR="00EF3814" w:rsidRPr="00CC69F0" w:rsidRDefault="00EF3814" w:rsidP="00EF3814">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C69F0">
        <w:rPr>
          <w:rFonts w:ascii="Times New Roman" w:eastAsia="Times New Roman" w:hAnsi="Times New Roman" w:cs="Times New Roman"/>
          <w:highlight w:val="lightGray"/>
          <w:lang w:eastAsia="pl-PL"/>
        </w:rPr>
        <w:t>LT/1/23/5104/002 – N42</w:t>
      </w:r>
    </w:p>
    <w:p w14:paraId="36BAD3CF" w14:textId="77777777" w:rsidR="00EF3814" w:rsidRPr="00CC69F0" w:rsidRDefault="00EF3814" w:rsidP="00EF3814">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C69F0">
        <w:rPr>
          <w:rFonts w:ascii="Times New Roman" w:eastAsia="Times New Roman" w:hAnsi="Times New Roman" w:cs="Times New Roman"/>
          <w:highlight w:val="lightGray"/>
          <w:lang w:eastAsia="pl-PL"/>
        </w:rPr>
        <w:t>LT/1/23/5104/003 – N98</w:t>
      </w:r>
    </w:p>
    <w:p w14:paraId="5D8703B6" w14:textId="4D5EA408" w:rsidR="009449B0" w:rsidRPr="00CC69F0" w:rsidRDefault="00EF3814" w:rsidP="00EF3814">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C69F0">
        <w:rPr>
          <w:rFonts w:ascii="Times New Roman" w:eastAsia="Times New Roman" w:hAnsi="Times New Roman" w:cs="Times New Roman"/>
          <w:highlight w:val="lightGray"/>
          <w:lang w:eastAsia="pl-PL"/>
        </w:rPr>
        <w:t>LT/1/23/5104/004 – N100</w:t>
      </w:r>
    </w:p>
    <w:p w14:paraId="42C7B3C7" w14:textId="77777777" w:rsidR="00EF3814" w:rsidRDefault="00EF3814" w:rsidP="00EF3814">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p>
    <w:p w14:paraId="1FA65587" w14:textId="307C1111" w:rsidR="009449B0" w:rsidRDefault="00575C7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highlight w:val="lightGray"/>
          <w:lang w:eastAsia="pl-PL"/>
        </w:rPr>
        <w:t>Xiltess</w:t>
      </w:r>
      <w:r w:rsidR="009449B0" w:rsidRPr="00B060FD">
        <w:rPr>
          <w:rFonts w:ascii="Times New Roman" w:eastAsia="Times New Roman" w:hAnsi="Times New Roman" w:cs="Times New Roman"/>
          <w:highlight w:val="lightGray"/>
          <w:lang w:eastAsia="pl-PL"/>
        </w:rPr>
        <w:t xml:space="preserve"> </w:t>
      </w:r>
      <w:r w:rsidR="009449B0">
        <w:rPr>
          <w:rFonts w:ascii="Times New Roman" w:eastAsia="Times New Roman" w:hAnsi="Times New Roman" w:cs="Times New Roman"/>
          <w:highlight w:val="lightGray"/>
          <w:lang w:eastAsia="pl-PL"/>
        </w:rPr>
        <w:t>20</w:t>
      </w:r>
      <w:r w:rsidR="009449B0" w:rsidRPr="00B060FD">
        <w:rPr>
          <w:rFonts w:ascii="Times New Roman" w:eastAsia="Times New Roman" w:hAnsi="Times New Roman" w:cs="Times New Roman"/>
          <w:highlight w:val="lightGray"/>
          <w:lang w:eastAsia="pl-PL"/>
        </w:rPr>
        <w:t xml:space="preserve"> mg </w:t>
      </w:r>
    </w:p>
    <w:p w14:paraId="73F5B9FA" w14:textId="77777777" w:rsidR="00EF3814" w:rsidRPr="00EF3814" w:rsidRDefault="00EF3814" w:rsidP="00EF3814">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EF3814">
        <w:rPr>
          <w:rFonts w:ascii="Times New Roman" w:eastAsia="Times New Roman" w:hAnsi="Times New Roman" w:cs="Times New Roman"/>
          <w:lang w:eastAsia="pl-PL"/>
        </w:rPr>
        <w:t xml:space="preserve">LT/1/23/5105/001 </w:t>
      </w:r>
      <w:r w:rsidRPr="00EF3814">
        <w:rPr>
          <w:rFonts w:ascii="Times New Roman" w:eastAsia="Times New Roman" w:hAnsi="Times New Roman" w:cs="Times New Roman"/>
          <w:highlight w:val="lightGray"/>
          <w:lang w:eastAsia="pl-PL"/>
        </w:rPr>
        <w:t>– N28</w:t>
      </w:r>
    </w:p>
    <w:p w14:paraId="34ECA4FB" w14:textId="77777777" w:rsidR="00EF3814" w:rsidRPr="00EF3814" w:rsidRDefault="00EF3814" w:rsidP="00EF3814">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EF3814">
        <w:rPr>
          <w:rFonts w:ascii="Times New Roman" w:eastAsia="Times New Roman" w:hAnsi="Times New Roman" w:cs="Times New Roman"/>
          <w:highlight w:val="lightGray"/>
          <w:lang w:eastAsia="pl-PL"/>
        </w:rPr>
        <w:t>LT/1/23/5105/002 – N98</w:t>
      </w:r>
    </w:p>
    <w:p w14:paraId="2F756AF3" w14:textId="609A6938" w:rsidR="00EF3814" w:rsidRDefault="00EF3814" w:rsidP="00EF3814">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EF3814">
        <w:rPr>
          <w:rFonts w:ascii="Times New Roman" w:eastAsia="Times New Roman" w:hAnsi="Times New Roman" w:cs="Times New Roman"/>
          <w:highlight w:val="lightGray"/>
          <w:lang w:eastAsia="pl-PL"/>
        </w:rPr>
        <w:t>LT/1/23/5105/003 – N100</w:t>
      </w:r>
    </w:p>
    <w:p w14:paraId="2D1963A6"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p>
    <w:p w14:paraId="4210B531"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603E322"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i/>
          <w:lang w:eastAsia="pl-PL"/>
        </w:rPr>
      </w:pPr>
      <w:r w:rsidRPr="009A065C">
        <w:rPr>
          <w:rFonts w:ascii="Times New Roman" w:eastAsia="Times New Roman" w:hAnsi="Times New Roman" w:cs="Times New Roman"/>
          <w:b/>
          <w:lang w:eastAsia="pl-PL"/>
        </w:rPr>
        <w:t>13.</w:t>
      </w:r>
      <w:r w:rsidRPr="009A065C">
        <w:rPr>
          <w:rFonts w:ascii="Times New Roman" w:eastAsia="Times New Roman" w:hAnsi="Times New Roman" w:cs="Times New Roman"/>
          <w:b/>
          <w:lang w:eastAsia="pl-PL"/>
        </w:rPr>
        <w:tab/>
        <w:t>SERIJOS NUMERIS</w:t>
      </w:r>
    </w:p>
    <w:p w14:paraId="2E2D4A06"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i/>
          <w:lang w:eastAsia="pl-PL"/>
        </w:rPr>
      </w:pPr>
    </w:p>
    <w:p w14:paraId="1A7D8446"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Lot</w:t>
      </w:r>
    </w:p>
    <w:p w14:paraId="5C483ED4"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A9F3D34"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9FBED34"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14.</w:t>
      </w:r>
      <w:r w:rsidRPr="009A065C">
        <w:rPr>
          <w:rFonts w:ascii="Times New Roman" w:eastAsia="Times New Roman" w:hAnsi="Times New Roman" w:cs="Times New Roman"/>
          <w:b/>
          <w:lang w:eastAsia="pl-PL"/>
        </w:rPr>
        <w:tab/>
        <w:t>PARDAVIMO (IŠDAVIMO) TVARKA</w:t>
      </w:r>
    </w:p>
    <w:p w14:paraId="40C79A4A"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476DDC7"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Receptinis vaistas.</w:t>
      </w:r>
    </w:p>
    <w:p w14:paraId="1F26ED6B"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36ED858"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E6E83D5" w14:textId="77777777" w:rsidR="009449B0" w:rsidRPr="009A065C" w:rsidRDefault="009449B0" w:rsidP="009449B0">
      <w:pPr>
        <w:widowControl w:val="0"/>
        <w:pBdr>
          <w:top w:val="single" w:sz="4" w:space="2"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15.</w:t>
      </w:r>
      <w:r w:rsidRPr="009A065C">
        <w:rPr>
          <w:rFonts w:ascii="Times New Roman" w:eastAsia="Times New Roman" w:hAnsi="Times New Roman" w:cs="Times New Roman"/>
          <w:b/>
          <w:lang w:eastAsia="pl-PL"/>
        </w:rPr>
        <w:tab/>
        <w:t>VARTOJIMO INSTRUKCIJA</w:t>
      </w:r>
    </w:p>
    <w:p w14:paraId="30C4506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764C7672"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E68F21E" w14:textId="77777777" w:rsidR="009449B0" w:rsidRPr="009A065C" w:rsidRDefault="009449B0" w:rsidP="009449B0">
      <w:pPr>
        <w:widowControl w:val="0"/>
        <w:pBdr>
          <w:top w:val="single" w:sz="4" w:space="1" w:color="000000"/>
          <w:left w:val="single" w:sz="4" w:space="4" w:color="000000"/>
          <w:bottom w:val="single" w:sz="4" w:space="0"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shd w:val="clear" w:color="auto" w:fill="C0C0C0"/>
          <w:lang w:eastAsia="pl-PL"/>
        </w:rPr>
      </w:pPr>
      <w:r w:rsidRPr="009A065C">
        <w:rPr>
          <w:rFonts w:ascii="Times New Roman" w:eastAsia="Times New Roman" w:hAnsi="Times New Roman" w:cs="Times New Roman"/>
          <w:b/>
          <w:lang w:eastAsia="pl-PL"/>
        </w:rPr>
        <w:t>16.</w:t>
      </w:r>
      <w:r w:rsidRPr="009A065C">
        <w:rPr>
          <w:rFonts w:ascii="Times New Roman" w:eastAsia="Times New Roman" w:hAnsi="Times New Roman" w:cs="Times New Roman"/>
          <w:b/>
          <w:lang w:eastAsia="pl-PL"/>
        </w:rPr>
        <w:tab/>
        <w:t>INFORMACIJA BRAILIO RAŠTU</w:t>
      </w:r>
    </w:p>
    <w:p w14:paraId="4B1D48B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p>
    <w:p w14:paraId="3D7C1410" w14:textId="752442B9" w:rsidR="009449B0" w:rsidRDefault="002D506B" w:rsidP="009449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x</w:t>
      </w:r>
      <w:r w:rsidR="00575C70">
        <w:rPr>
          <w:rFonts w:ascii="Times New Roman" w:eastAsia="Times New Roman" w:hAnsi="Times New Roman" w:cs="Times New Roman"/>
          <w:lang w:eastAsia="pl-PL"/>
        </w:rPr>
        <w:t>iltess</w:t>
      </w:r>
      <w:r w:rsidR="009449B0" w:rsidRPr="009A065C">
        <w:rPr>
          <w:rFonts w:ascii="Times New Roman" w:eastAsia="Times New Roman" w:hAnsi="Times New Roman" w:cs="Times New Roman"/>
          <w:lang w:eastAsia="pl-PL"/>
        </w:rPr>
        <w:t xml:space="preserve"> </w:t>
      </w:r>
      <w:r w:rsidR="009449B0">
        <w:rPr>
          <w:rFonts w:ascii="Times New Roman" w:eastAsia="Times New Roman" w:hAnsi="Times New Roman" w:cs="Times New Roman"/>
          <w:lang w:eastAsia="pl-PL"/>
        </w:rPr>
        <w:t>15</w:t>
      </w:r>
      <w:r w:rsidR="009449B0" w:rsidRPr="009A065C">
        <w:rPr>
          <w:rFonts w:ascii="Times New Roman" w:eastAsia="Times New Roman" w:hAnsi="Times New Roman" w:cs="Times New Roman"/>
          <w:lang w:eastAsia="pl-PL"/>
        </w:rPr>
        <w:t> mg</w:t>
      </w:r>
    </w:p>
    <w:p w14:paraId="5C1A7364" w14:textId="7EB54A4D" w:rsidR="009449B0" w:rsidRPr="009A065C" w:rsidRDefault="002D506B" w:rsidP="009449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highlight w:val="lightGray"/>
          <w:lang w:eastAsia="pl-PL"/>
        </w:rPr>
        <w:t>x</w:t>
      </w:r>
      <w:r w:rsidR="00575C70">
        <w:rPr>
          <w:rFonts w:ascii="Times New Roman" w:eastAsia="Times New Roman" w:hAnsi="Times New Roman" w:cs="Times New Roman"/>
          <w:highlight w:val="lightGray"/>
          <w:lang w:eastAsia="pl-PL"/>
        </w:rPr>
        <w:t>iltess</w:t>
      </w:r>
      <w:r w:rsidR="009449B0" w:rsidRPr="00B060FD">
        <w:rPr>
          <w:rFonts w:ascii="Times New Roman" w:eastAsia="Times New Roman" w:hAnsi="Times New Roman" w:cs="Times New Roman"/>
          <w:highlight w:val="lightGray"/>
          <w:lang w:eastAsia="pl-PL"/>
        </w:rPr>
        <w:t xml:space="preserve"> 20 mg</w:t>
      </w:r>
    </w:p>
    <w:p w14:paraId="7DC9AB66"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CC173B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48149DC" w14:textId="77777777" w:rsidR="009449B0" w:rsidRPr="009A065C" w:rsidRDefault="009449B0" w:rsidP="009449B0">
      <w:pPr>
        <w:widowControl w:val="0"/>
        <w:pBdr>
          <w:top w:val="single" w:sz="4" w:space="1" w:color="000000"/>
          <w:left w:val="single" w:sz="4" w:space="4" w:color="000000"/>
          <w:bottom w:val="single" w:sz="4" w:space="0" w:color="000000"/>
          <w:right w:val="single" w:sz="4" w:space="4" w:color="000000"/>
        </w:pBdr>
        <w:tabs>
          <w:tab w:val="center" w:pos="4536"/>
          <w:tab w:val="right" w:pos="8306"/>
        </w:tabs>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lastRenderedPageBreak/>
        <w:t>17.</w:t>
      </w:r>
      <w:r w:rsidRPr="009A065C">
        <w:rPr>
          <w:rFonts w:ascii="Times New Roman" w:eastAsia="Times New Roman" w:hAnsi="Times New Roman" w:cs="Times New Roman"/>
          <w:b/>
          <w:lang w:eastAsia="pl-PL"/>
        </w:rPr>
        <w:tab/>
        <w:t>UNIKALUS IDENTIFIKATORIUS – 2D BRŪKŠNINIS KODAS</w:t>
      </w:r>
    </w:p>
    <w:p w14:paraId="4EFB6BF7" w14:textId="77777777" w:rsidR="009449B0" w:rsidRPr="009A065C" w:rsidRDefault="009449B0" w:rsidP="009449B0">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1E69C3EA"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shd w:val="clear" w:color="auto" w:fill="C0C0C0"/>
          <w:lang w:eastAsia="pl-PL"/>
        </w:rPr>
        <w:t>2D brūkšninis kodas su nurodytu unikaliu identifikatoriumi.</w:t>
      </w:r>
    </w:p>
    <w:p w14:paraId="5A8DB209" w14:textId="77777777" w:rsidR="009449B0" w:rsidRPr="009A065C" w:rsidRDefault="009449B0" w:rsidP="009449B0">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08F3EECC" w14:textId="77777777" w:rsidR="009449B0" w:rsidRPr="009A065C" w:rsidRDefault="009449B0" w:rsidP="009449B0">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111CAE53" w14:textId="77777777" w:rsidR="009449B0" w:rsidRPr="009A065C" w:rsidRDefault="009449B0" w:rsidP="009449B0">
      <w:pPr>
        <w:widowControl w:val="0"/>
        <w:pBdr>
          <w:top w:val="single" w:sz="4" w:space="1" w:color="000000"/>
          <w:left w:val="single" w:sz="4" w:space="4" w:color="000000"/>
          <w:bottom w:val="single" w:sz="4" w:space="0" w:color="000000"/>
          <w:right w:val="single" w:sz="4" w:space="4" w:color="000000"/>
        </w:pBdr>
        <w:tabs>
          <w:tab w:val="center" w:pos="4536"/>
          <w:tab w:val="right" w:pos="8306"/>
        </w:tabs>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18.</w:t>
      </w:r>
      <w:r w:rsidRPr="009A065C">
        <w:rPr>
          <w:rFonts w:ascii="Times New Roman" w:eastAsia="Times New Roman" w:hAnsi="Times New Roman" w:cs="Times New Roman"/>
          <w:b/>
          <w:lang w:eastAsia="pl-PL"/>
        </w:rPr>
        <w:tab/>
        <w:t>UNIKALUS IDENTIFIKATORIUS – ŽMONĖMS SUPRANTAMI DUOMENYS</w:t>
      </w:r>
    </w:p>
    <w:p w14:paraId="1458720F" w14:textId="77777777" w:rsidR="009449B0" w:rsidRPr="009A065C" w:rsidRDefault="009449B0" w:rsidP="009449B0">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201C5D0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 xml:space="preserve">PC: {numeris} </w:t>
      </w:r>
    </w:p>
    <w:p w14:paraId="7B28A1A3"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r w:rsidRPr="009A065C">
        <w:rPr>
          <w:rFonts w:ascii="Times New Roman" w:eastAsia="Times New Roman" w:hAnsi="Times New Roman" w:cs="Times New Roman"/>
          <w:lang w:eastAsia="pl-PL"/>
        </w:rPr>
        <w:t>SN: {numeris}</w:t>
      </w:r>
    </w:p>
    <w:p w14:paraId="60CDE5D8"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highlight w:val="lightGray"/>
          <w:lang w:eastAsia="pl-PL"/>
        </w:rPr>
        <w:t>NN: {numeris}</w:t>
      </w:r>
      <w:r w:rsidRPr="009A065C">
        <w:rPr>
          <w:rFonts w:ascii="Times New Roman" w:eastAsia="Times New Roman" w:hAnsi="Times New Roman" w:cs="Times New Roman"/>
          <w:lang w:eastAsia="pl-PL"/>
        </w:rPr>
        <w:t xml:space="preserve"> </w:t>
      </w:r>
    </w:p>
    <w:p w14:paraId="55F78495" w14:textId="77777777" w:rsidR="009449B0" w:rsidRDefault="009449B0" w:rsidP="009449B0">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13A61E4D" w14:textId="77777777" w:rsidR="009449B0" w:rsidRPr="009A065C" w:rsidRDefault="009449B0" w:rsidP="009449B0">
      <w:pPr>
        <w:spacing w:after="0" w:line="240" w:lineRule="auto"/>
        <w:rPr>
          <w:rFonts w:ascii="Times New Roman" w:eastAsia="Times New Roman" w:hAnsi="Times New Roman" w:cs="Times New Roman"/>
          <w:lang w:eastAsia="pl-PL"/>
        </w:rPr>
      </w:pPr>
    </w:p>
    <w:p w14:paraId="66E51F1A" w14:textId="77777777" w:rsidR="009449B0" w:rsidRPr="009A065C" w:rsidRDefault="009449B0" w:rsidP="009449B0">
      <w:pPr>
        <w:widowControl w:val="0"/>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noProof/>
          <w:lang w:eastAsia="pl-PL"/>
        </w:rPr>
      </w:pPr>
      <w:r w:rsidRPr="009A065C">
        <w:rPr>
          <w:rFonts w:ascii="Times New Roman" w:eastAsia="Times New Roman" w:hAnsi="Times New Roman" w:cs="Times New Roman"/>
          <w:b/>
          <w:noProof/>
          <w:lang w:eastAsia="pl-PL"/>
        </w:rPr>
        <w:t>MINIMALI INFORMACIJA ANT LIZDINIŲ PLOKŠTELIŲ ARBA DVISLUOKSNIŲ JUOSTELIŲ</w:t>
      </w:r>
    </w:p>
    <w:p w14:paraId="7EE70BF2" w14:textId="77777777" w:rsidR="009449B0" w:rsidRPr="009A065C" w:rsidRDefault="009449B0" w:rsidP="009449B0">
      <w:pPr>
        <w:widowControl w:val="0"/>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noProof/>
          <w:lang w:eastAsia="pl-PL"/>
        </w:rPr>
      </w:pPr>
    </w:p>
    <w:p w14:paraId="00C24B83" w14:textId="4F20BA5C" w:rsidR="009449B0" w:rsidRPr="009A065C" w:rsidRDefault="00694B06" w:rsidP="009449B0">
      <w:pPr>
        <w:widowControl w:val="0"/>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lang w:eastAsia="pl-PL"/>
        </w:rPr>
      </w:pPr>
      <w:r>
        <w:rPr>
          <w:rFonts w:ascii="Times New Roman" w:eastAsia="Times New Roman" w:hAnsi="Times New Roman" w:cs="Times New Roman"/>
          <w:b/>
          <w:lang w:eastAsia="pl-PL"/>
        </w:rPr>
        <w:t>LIZDINĖ PLOKŠTELĖ</w:t>
      </w:r>
    </w:p>
    <w:p w14:paraId="38D7992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421B990E"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7CB8740" w14:textId="77777777" w:rsidR="009449B0" w:rsidRPr="009A065C" w:rsidRDefault="009449B0" w:rsidP="009449B0">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1.</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caps/>
          <w:noProof/>
          <w:lang w:eastAsia="pl-PL"/>
        </w:rPr>
        <w:t>VAISTINIO</w:t>
      </w:r>
      <w:r w:rsidRPr="009A065C">
        <w:rPr>
          <w:rFonts w:ascii="Times New Roman" w:eastAsia="Times New Roman" w:hAnsi="Times New Roman" w:cs="Times New Roman"/>
          <w:b/>
          <w:noProof/>
          <w:lang w:eastAsia="pl-PL"/>
        </w:rPr>
        <w:t xml:space="preserve"> PREPARATO PAVADINIMAS</w:t>
      </w:r>
    </w:p>
    <w:p w14:paraId="161081F0"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25585F1" w14:textId="20FFE3B2" w:rsidR="009449B0" w:rsidRPr="009A065C" w:rsidRDefault="00575C70"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r>
        <w:rPr>
          <w:rFonts w:ascii="Times New Roman" w:eastAsia="Times New Roman" w:hAnsi="Times New Roman" w:cs="Times New Roman"/>
          <w:lang w:eastAsia="pl-PL"/>
        </w:rPr>
        <w:t>Xiltess</w:t>
      </w:r>
      <w:r w:rsidR="009449B0" w:rsidRPr="009A065C">
        <w:rPr>
          <w:rFonts w:ascii="Times New Roman" w:eastAsia="Times New Roman" w:hAnsi="Times New Roman" w:cs="Times New Roman"/>
          <w:lang w:eastAsia="pl-PL"/>
        </w:rPr>
        <w:t xml:space="preserve"> </w:t>
      </w:r>
      <w:r w:rsidR="009449B0">
        <w:rPr>
          <w:rFonts w:ascii="Times New Roman" w:eastAsia="Times New Roman" w:hAnsi="Times New Roman" w:cs="Times New Roman"/>
          <w:lang w:eastAsia="pl-PL"/>
        </w:rPr>
        <w:t>15</w:t>
      </w:r>
      <w:r w:rsidR="009449B0" w:rsidRPr="009A065C">
        <w:rPr>
          <w:rFonts w:ascii="Times New Roman" w:eastAsia="Times New Roman" w:hAnsi="Times New Roman" w:cs="Times New Roman"/>
          <w:lang w:eastAsia="pl-PL"/>
        </w:rPr>
        <w:t xml:space="preserve"> mg plėvele dengtos tabletės </w:t>
      </w:r>
    </w:p>
    <w:p w14:paraId="76003967" w14:textId="033139F5" w:rsidR="009449B0" w:rsidRPr="009A065C" w:rsidRDefault="00575C70"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r>
        <w:rPr>
          <w:rFonts w:ascii="Times New Roman" w:eastAsia="Times New Roman" w:hAnsi="Times New Roman" w:cs="Times New Roman"/>
          <w:highlight w:val="lightGray"/>
          <w:lang w:eastAsia="pl-PL"/>
        </w:rPr>
        <w:t>Xiltess</w:t>
      </w:r>
      <w:r w:rsidR="009449B0" w:rsidRPr="00314AD2">
        <w:rPr>
          <w:rFonts w:ascii="Times New Roman" w:eastAsia="Times New Roman" w:hAnsi="Times New Roman" w:cs="Times New Roman"/>
          <w:highlight w:val="lightGray"/>
          <w:lang w:eastAsia="pl-PL"/>
        </w:rPr>
        <w:t xml:space="preserve"> 20 mg plėvele dengtos tabletės</w:t>
      </w:r>
      <w:r w:rsidR="009449B0" w:rsidRPr="009A065C">
        <w:rPr>
          <w:rFonts w:ascii="Times New Roman" w:eastAsia="Times New Roman" w:hAnsi="Times New Roman" w:cs="Times New Roman"/>
          <w:lang w:eastAsia="pl-PL"/>
        </w:rPr>
        <w:t xml:space="preserve"> </w:t>
      </w:r>
    </w:p>
    <w:p w14:paraId="01A70FD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1187D6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656176">
        <w:rPr>
          <w:rFonts w:ascii="Times New Roman" w:eastAsia="Times New Roman" w:hAnsi="Times New Roman" w:cs="Times New Roman"/>
          <w:lang w:eastAsia="pl-PL"/>
        </w:rPr>
        <w:t>r</w:t>
      </w:r>
      <w:r w:rsidRPr="009A065C">
        <w:rPr>
          <w:rFonts w:ascii="Times New Roman" w:eastAsia="Times New Roman" w:hAnsi="Times New Roman" w:cs="Times New Roman"/>
          <w:lang w:eastAsia="pl-PL"/>
        </w:rPr>
        <w:t>ivaroksabanas</w:t>
      </w:r>
    </w:p>
    <w:p w14:paraId="238FDCB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11441D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12DE9D8" w14:textId="77777777" w:rsidR="009449B0" w:rsidRPr="009A065C" w:rsidRDefault="009449B0" w:rsidP="009449B0">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2.</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caps/>
          <w:noProof/>
          <w:lang w:eastAsia="pl-PL"/>
        </w:rPr>
        <w:t>REGISTRUOTOJO pavadinimas</w:t>
      </w:r>
    </w:p>
    <w:p w14:paraId="3970EFD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CACF16E"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Egis</w:t>
      </w:r>
    </w:p>
    <w:p w14:paraId="51B6CDE5"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D05A83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D139157" w14:textId="77777777" w:rsidR="009449B0" w:rsidRPr="009A065C" w:rsidRDefault="009449B0" w:rsidP="009449B0">
      <w:pPr>
        <w:widowControl w:val="0"/>
        <w:pBdr>
          <w:top w:val="single" w:sz="4" w:space="1" w:color="auto"/>
          <w:left w:val="single" w:sz="4" w:space="4" w:color="auto"/>
          <w:bottom w:val="single" w:sz="4" w:space="2"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3.</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noProof/>
          <w:lang w:eastAsia="pl-PL"/>
        </w:rPr>
        <w:t>TINKAMUMO LAIKAS</w:t>
      </w:r>
    </w:p>
    <w:p w14:paraId="42BB692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ABEFAD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 xml:space="preserve">EXP </w:t>
      </w:r>
    </w:p>
    <w:p w14:paraId="7BAA61AC"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5271F394"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789A4469" w14:textId="77777777" w:rsidR="009449B0" w:rsidRPr="009A065C" w:rsidRDefault="009449B0" w:rsidP="009449B0">
      <w:pPr>
        <w:widowControl w:val="0"/>
        <w:suppressLineNumbers/>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4.</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noProof/>
          <w:lang w:eastAsia="pl-PL"/>
        </w:rPr>
        <w:t>SERIJOS NUMERIS</w:t>
      </w:r>
    </w:p>
    <w:p w14:paraId="513F739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A417299" w14:textId="77777777" w:rsidR="009449B0" w:rsidRPr="009A065C" w:rsidRDefault="009449B0" w:rsidP="009449B0">
      <w:pPr>
        <w:widowControl w:val="0"/>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lang w:eastAsia="pl-PL"/>
        </w:rPr>
        <w:t xml:space="preserve">Lot </w:t>
      </w:r>
    </w:p>
    <w:p w14:paraId="0BD600CC"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BE941D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E8FA3A2" w14:textId="77777777" w:rsidR="009449B0" w:rsidRPr="009A065C" w:rsidRDefault="009449B0" w:rsidP="009449B0">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5.</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noProof/>
          <w:lang w:eastAsia="pl-PL"/>
        </w:rPr>
        <w:t>KITA</w:t>
      </w:r>
    </w:p>
    <w:p w14:paraId="57853F1D"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DD31D65" w14:textId="77777777" w:rsidR="009449B0" w:rsidRDefault="009449B0" w:rsidP="009449B0">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171B67B6"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166778E" w14:textId="77777777" w:rsidR="009449B0" w:rsidRPr="00FC03F3" w:rsidRDefault="009449B0" w:rsidP="009449B0">
      <w:pPr>
        <w:spacing w:after="0"/>
        <w:ind w:left="108"/>
        <w:rPr>
          <w:rFonts w:ascii="Times New Roman" w:eastAsia="Times New Roman" w:hAnsi="Times New Roman" w:cs="Times New Roman"/>
          <w:color w:val="000000"/>
          <w:lang w:eastAsia="lt-LT"/>
        </w:rPr>
      </w:pPr>
    </w:p>
    <w:p w14:paraId="23052C2C" w14:textId="77777777" w:rsidR="009449B0" w:rsidRPr="00FC03F3" w:rsidRDefault="009449B0" w:rsidP="009449B0">
      <w:pPr>
        <w:pBdr>
          <w:top w:val="single" w:sz="4" w:space="0" w:color="000000"/>
          <w:left w:val="single" w:sz="4" w:space="0" w:color="000000"/>
          <w:bottom w:val="single" w:sz="4" w:space="0" w:color="000000"/>
          <w:right w:val="single" w:sz="4" w:space="0" w:color="000000"/>
        </w:pBdr>
        <w:spacing w:after="37"/>
        <w:ind w:left="103"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PACIENTO BUDRUMO KORTELĖ </w:t>
      </w:r>
    </w:p>
    <w:p w14:paraId="187C668F" w14:textId="77777777" w:rsidR="009449B0" w:rsidRPr="00FC03F3" w:rsidRDefault="009449B0" w:rsidP="009449B0">
      <w:pPr>
        <w:spacing w:after="67"/>
        <w:ind w:left="108"/>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777735DE" w14:textId="77777777" w:rsidR="009449B0" w:rsidRPr="00FC03F3" w:rsidRDefault="009449B0" w:rsidP="009449B0">
      <w:pPr>
        <w:spacing w:after="6" w:line="258" w:lineRule="auto"/>
        <w:ind w:left="103"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Paciento budrumo kortelė </w:t>
      </w:r>
    </w:p>
    <w:p w14:paraId="335A6F26" w14:textId="77777777" w:rsidR="009449B0" w:rsidRPr="00335DE2" w:rsidRDefault="009449B0" w:rsidP="009449B0">
      <w:pPr>
        <w:widowControl w:val="0"/>
        <w:autoSpaceDE w:val="0"/>
        <w:autoSpaceDN w:val="0"/>
        <w:spacing w:line="240" w:lineRule="auto"/>
      </w:pPr>
    </w:p>
    <w:p w14:paraId="2F66D50E" w14:textId="21E2E721" w:rsidR="009449B0" w:rsidRPr="00335DE2" w:rsidRDefault="00575C70" w:rsidP="009449B0">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Xiltess</w:t>
      </w:r>
      <w:r w:rsidR="009449B0" w:rsidRPr="00335DE2">
        <w:rPr>
          <w:rFonts w:ascii="Times New Roman" w:hAnsi="Times New Roman" w:cs="Times New Roman"/>
          <w:b/>
          <w:bCs/>
        </w:rPr>
        <w:t xml:space="preserve"> 2</w:t>
      </w:r>
      <w:r w:rsidR="002D506B">
        <w:rPr>
          <w:rFonts w:ascii="Times New Roman" w:hAnsi="Times New Roman" w:cs="Times New Roman"/>
          <w:b/>
          <w:bCs/>
        </w:rPr>
        <w:t>,</w:t>
      </w:r>
      <w:r w:rsidR="009449B0" w:rsidRPr="00335DE2">
        <w:rPr>
          <w:rFonts w:ascii="Times New Roman" w:hAnsi="Times New Roman" w:cs="Times New Roman"/>
          <w:b/>
          <w:bCs/>
        </w:rPr>
        <w:t xml:space="preserve">5 mg </w:t>
      </w:r>
      <w:r w:rsidR="009449B0" w:rsidRPr="00335DE2">
        <w:rPr>
          <w:rFonts w:ascii="Times New Roman" w:hAnsi="Times New Roman" w:cs="Times New Roman"/>
          <w:b/>
          <w:bCs/>
          <w:highlight w:val="lightGray"/>
        </w:rPr>
        <w:t>(</w:t>
      </w:r>
      <w:r w:rsidR="009449B0" w:rsidRPr="00FC03F3">
        <w:rPr>
          <w:rFonts w:ascii="Times New Roman" w:eastAsia="Times New Roman" w:hAnsi="Times New Roman" w:cs="Times New Roman"/>
          <w:b/>
          <w:bCs/>
          <w:color w:val="000000"/>
          <w:highlight w:val="lightGray"/>
          <w:lang w:eastAsia="lt-LT"/>
        </w:rPr>
        <w:t>varnele pažymėkite paskirtos dozės langel</w:t>
      </w:r>
      <w:r w:rsidR="009449B0" w:rsidRPr="00335DE2">
        <w:rPr>
          <w:rFonts w:ascii="Times New Roman" w:hAnsi="Times New Roman" w:cs="Times New Roman"/>
          <w:b/>
          <w:bCs/>
          <w:highlight w:val="lightGray"/>
        </w:rPr>
        <w:t>į)</w:t>
      </w:r>
    </w:p>
    <w:p w14:paraId="1708422B" w14:textId="0542206B" w:rsidR="009449B0" w:rsidRPr="00335DE2" w:rsidRDefault="00575C70" w:rsidP="009449B0">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Xiltess</w:t>
      </w:r>
      <w:r w:rsidR="009449B0" w:rsidRPr="00335DE2">
        <w:rPr>
          <w:rFonts w:ascii="Times New Roman" w:hAnsi="Times New Roman" w:cs="Times New Roman"/>
          <w:b/>
        </w:rPr>
        <w:t xml:space="preserve"> 10 mg </w:t>
      </w:r>
      <w:r w:rsidR="009449B0" w:rsidRPr="00335DE2">
        <w:rPr>
          <w:rFonts w:ascii="Times New Roman" w:hAnsi="Times New Roman" w:cs="Times New Roman"/>
          <w:b/>
          <w:bCs/>
          <w:highlight w:val="lightGray"/>
        </w:rPr>
        <w:t>(</w:t>
      </w:r>
      <w:r w:rsidR="009449B0" w:rsidRPr="00FC03F3">
        <w:rPr>
          <w:rFonts w:ascii="Times New Roman" w:eastAsia="Times New Roman" w:hAnsi="Times New Roman" w:cs="Times New Roman"/>
          <w:b/>
          <w:bCs/>
          <w:color w:val="000000"/>
          <w:highlight w:val="lightGray"/>
          <w:lang w:eastAsia="lt-LT"/>
        </w:rPr>
        <w:t>varnele pažymėkite paskirtos dozės langel</w:t>
      </w:r>
      <w:r w:rsidR="009449B0" w:rsidRPr="00335DE2">
        <w:rPr>
          <w:rFonts w:ascii="Times New Roman" w:hAnsi="Times New Roman" w:cs="Times New Roman"/>
          <w:b/>
          <w:bCs/>
          <w:highlight w:val="lightGray"/>
        </w:rPr>
        <w:t>į)</w:t>
      </w:r>
    </w:p>
    <w:p w14:paraId="32DF3B6C" w14:textId="0C146776" w:rsidR="009449B0" w:rsidRPr="00335DE2" w:rsidRDefault="00575C70" w:rsidP="009449B0">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Xiltess</w:t>
      </w:r>
      <w:r w:rsidR="009449B0" w:rsidRPr="00335DE2">
        <w:rPr>
          <w:rFonts w:ascii="Times New Roman" w:hAnsi="Times New Roman" w:cs="Times New Roman"/>
          <w:b/>
        </w:rPr>
        <w:t xml:space="preserve"> 15 mg </w:t>
      </w:r>
      <w:r w:rsidR="009449B0" w:rsidRPr="00335DE2">
        <w:rPr>
          <w:rFonts w:ascii="Times New Roman" w:hAnsi="Times New Roman" w:cs="Times New Roman"/>
          <w:b/>
          <w:bCs/>
          <w:highlight w:val="lightGray"/>
        </w:rPr>
        <w:t>(</w:t>
      </w:r>
      <w:r w:rsidR="009449B0" w:rsidRPr="00FC03F3">
        <w:rPr>
          <w:rFonts w:ascii="Times New Roman" w:eastAsia="Times New Roman" w:hAnsi="Times New Roman" w:cs="Times New Roman"/>
          <w:b/>
          <w:bCs/>
          <w:color w:val="000000"/>
          <w:highlight w:val="lightGray"/>
          <w:lang w:eastAsia="lt-LT"/>
        </w:rPr>
        <w:t>varnele pažymėkite paskirtos dozės langel</w:t>
      </w:r>
      <w:r w:rsidR="009449B0" w:rsidRPr="00335DE2">
        <w:rPr>
          <w:rFonts w:ascii="Times New Roman" w:hAnsi="Times New Roman" w:cs="Times New Roman"/>
          <w:b/>
          <w:bCs/>
          <w:highlight w:val="lightGray"/>
        </w:rPr>
        <w:t>į)</w:t>
      </w:r>
    </w:p>
    <w:p w14:paraId="38F762DF" w14:textId="6003F501" w:rsidR="009449B0" w:rsidRPr="00335DE2" w:rsidRDefault="00575C70" w:rsidP="009449B0">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Xiltess</w:t>
      </w:r>
      <w:r w:rsidR="009449B0" w:rsidRPr="00335DE2">
        <w:rPr>
          <w:rFonts w:ascii="Times New Roman" w:hAnsi="Times New Roman" w:cs="Times New Roman"/>
          <w:b/>
        </w:rPr>
        <w:t xml:space="preserve"> 20 mg </w:t>
      </w:r>
      <w:r w:rsidR="009449B0" w:rsidRPr="00335DE2">
        <w:rPr>
          <w:rFonts w:ascii="Times New Roman" w:hAnsi="Times New Roman" w:cs="Times New Roman"/>
          <w:b/>
          <w:bCs/>
          <w:highlight w:val="lightGray"/>
        </w:rPr>
        <w:t>(</w:t>
      </w:r>
      <w:r w:rsidR="009449B0" w:rsidRPr="00FC03F3">
        <w:rPr>
          <w:rFonts w:ascii="Times New Roman" w:eastAsia="Times New Roman" w:hAnsi="Times New Roman" w:cs="Times New Roman"/>
          <w:b/>
          <w:bCs/>
          <w:color w:val="000000"/>
          <w:highlight w:val="lightGray"/>
          <w:lang w:eastAsia="lt-LT"/>
        </w:rPr>
        <w:t>varnele pažymėkite paskirtos dozės langel</w:t>
      </w:r>
      <w:r w:rsidR="009449B0" w:rsidRPr="00335DE2">
        <w:rPr>
          <w:rFonts w:ascii="Times New Roman" w:hAnsi="Times New Roman" w:cs="Times New Roman"/>
          <w:b/>
          <w:bCs/>
          <w:highlight w:val="lightGray"/>
        </w:rPr>
        <w:t>į)</w:t>
      </w:r>
    </w:p>
    <w:p w14:paraId="0598C72D" w14:textId="77777777" w:rsidR="009449B0" w:rsidRDefault="009449B0" w:rsidP="009449B0">
      <w:pPr>
        <w:spacing w:after="5" w:line="335" w:lineRule="auto"/>
        <w:ind w:right="897" w:hanging="8"/>
        <w:rPr>
          <w:rFonts w:ascii="Times New Roman" w:eastAsia="Times New Roman" w:hAnsi="Times New Roman" w:cs="Times New Roman"/>
          <w:b/>
          <w:color w:val="000000"/>
          <w:lang w:eastAsia="lt-LT"/>
        </w:rPr>
      </w:pPr>
    </w:p>
    <w:p w14:paraId="511DCBBC" w14:textId="77777777" w:rsidR="009449B0" w:rsidRPr="008A5218"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Visada turėkite šią kortelę.</w:t>
      </w:r>
    </w:p>
    <w:p w14:paraId="7F1DC296"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Parodykite šią kortelę kiekvienam gydytojui arba odontologui prieš paskiriant Jums gydymą. </w:t>
      </w:r>
    </w:p>
    <w:p w14:paraId="33BEE5C9"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3D821C12" w14:textId="7AFA2952" w:rsidR="009449B0" w:rsidRPr="00FC03F3"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FC03F3">
        <w:rPr>
          <w:rFonts w:ascii="Times New Roman" w:eastAsia="Times New Roman" w:hAnsi="Times New Roman" w:cs="Times New Roman"/>
          <w:b/>
          <w:color w:val="000000"/>
          <w:lang w:eastAsia="lt-LT"/>
        </w:rPr>
        <w:t xml:space="preserve">Aš vartoju antikoaguliantą </w:t>
      </w:r>
      <w:r w:rsidR="00575C70">
        <w:rPr>
          <w:rFonts w:ascii="Times New Roman" w:eastAsia="Times New Roman" w:hAnsi="Times New Roman" w:cs="Times New Roman"/>
          <w:b/>
          <w:color w:val="000000"/>
          <w:lang w:eastAsia="lt-LT"/>
        </w:rPr>
        <w:t>Xiltess</w:t>
      </w:r>
      <w:r w:rsidRPr="00FC03F3">
        <w:rPr>
          <w:rFonts w:ascii="Times New Roman" w:eastAsia="Times New Roman" w:hAnsi="Times New Roman" w:cs="Times New Roman"/>
          <w:b/>
          <w:color w:val="000000"/>
          <w:lang w:eastAsia="lt-LT"/>
        </w:rPr>
        <w:t xml:space="preserve"> (rivaroksabaną) </w:t>
      </w:r>
    </w:p>
    <w:p w14:paraId="437BC664" w14:textId="77777777" w:rsidR="009449B0"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Vardas, pavardė:</w:t>
      </w:r>
    </w:p>
    <w:p w14:paraId="7E76BAB9" w14:textId="77777777" w:rsidR="009449B0" w:rsidRPr="00FC03F3"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Adresas: </w:t>
      </w:r>
    </w:p>
    <w:p w14:paraId="2BE64797" w14:textId="77777777" w:rsidR="009449B0"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Gim</w:t>
      </w:r>
      <w:r>
        <w:rPr>
          <w:rFonts w:ascii="Times New Roman" w:eastAsia="Times New Roman" w:hAnsi="Times New Roman" w:cs="Times New Roman"/>
          <w:color w:val="000000"/>
          <w:lang w:eastAsia="lt-LT"/>
        </w:rPr>
        <w:t>imo</w:t>
      </w:r>
      <w:r w:rsidRPr="00FC03F3">
        <w:rPr>
          <w:rFonts w:ascii="Times New Roman" w:eastAsia="Times New Roman" w:hAnsi="Times New Roman" w:cs="Times New Roman"/>
          <w:color w:val="000000"/>
          <w:lang w:eastAsia="lt-LT"/>
        </w:rPr>
        <w:t xml:space="preserve"> data:</w:t>
      </w:r>
    </w:p>
    <w:p w14:paraId="3C55336A" w14:textId="77777777" w:rsidR="009449B0" w:rsidRPr="00FC03F3"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Svoris: </w:t>
      </w:r>
    </w:p>
    <w:p w14:paraId="2BA22EE5" w14:textId="77777777" w:rsidR="009449B0" w:rsidRPr="00FC03F3"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Kiti vaistai / būklės: </w:t>
      </w:r>
    </w:p>
    <w:p w14:paraId="07EDC250"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p>
    <w:p w14:paraId="4744369A" w14:textId="77777777"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Skubos atveju praneškite: </w:t>
      </w:r>
    </w:p>
    <w:p w14:paraId="1EEF8CFC" w14:textId="77777777" w:rsidR="009449B0"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Gydytojo v</w:t>
      </w:r>
      <w:r>
        <w:rPr>
          <w:rFonts w:ascii="Times New Roman" w:eastAsia="Times New Roman" w:hAnsi="Times New Roman" w:cs="Times New Roman"/>
          <w:color w:val="000000"/>
          <w:lang w:eastAsia="lt-LT"/>
        </w:rPr>
        <w:t>ardas</w:t>
      </w:r>
      <w:r w:rsidRPr="00FC03F3">
        <w:rPr>
          <w:rFonts w:ascii="Times New Roman" w:eastAsia="Times New Roman" w:hAnsi="Times New Roman" w:cs="Times New Roman"/>
          <w:color w:val="000000"/>
          <w:lang w:eastAsia="lt-LT"/>
        </w:rPr>
        <w:t xml:space="preserve">, pavardė: </w:t>
      </w:r>
    </w:p>
    <w:p w14:paraId="67006D9F" w14:textId="77777777" w:rsidR="009449B0" w:rsidRPr="00FC03F3"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Gydytojo tel.</w:t>
      </w:r>
      <w:r>
        <w:rPr>
          <w:rFonts w:ascii="Times New Roman" w:eastAsia="Times New Roman" w:hAnsi="Times New Roman" w:cs="Times New Roman"/>
          <w:color w:val="000000"/>
          <w:lang w:eastAsia="lt-LT"/>
        </w:rPr>
        <w:t xml:space="preserve"> nr.</w:t>
      </w:r>
      <w:r w:rsidRPr="00FC03F3">
        <w:rPr>
          <w:rFonts w:ascii="Times New Roman" w:eastAsia="Times New Roman" w:hAnsi="Times New Roman" w:cs="Times New Roman"/>
          <w:color w:val="000000"/>
          <w:lang w:eastAsia="lt-LT"/>
        </w:rPr>
        <w:t xml:space="preserve">: </w:t>
      </w:r>
    </w:p>
    <w:p w14:paraId="167A50F2" w14:textId="77777777" w:rsidR="009449B0" w:rsidRPr="00FC03F3"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Gydytojo antspaudas: </w:t>
      </w:r>
    </w:p>
    <w:p w14:paraId="6D8001C5"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i/>
          <w:color w:val="000000"/>
          <w:lang w:eastAsia="lt-LT"/>
        </w:rPr>
        <w:t xml:space="preserve"> </w:t>
      </w:r>
    </w:p>
    <w:p w14:paraId="62D0C2B3" w14:textId="77777777"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Taip pat praneškite: </w:t>
      </w:r>
    </w:p>
    <w:p w14:paraId="7DCA28A9" w14:textId="77777777" w:rsidR="009449B0"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Vardas, pavardė:</w:t>
      </w:r>
    </w:p>
    <w:p w14:paraId="4F86E137" w14:textId="77777777" w:rsidR="009449B0" w:rsidRPr="00FC03F3"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Telefonas: </w:t>
      </w:r>
    </w:p>
    <w:p w14:paraId="047AE4B5" w14:textId="77777777" w:rsidR="009449B0" w:rsidRPr="00FC03F3"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Giminystės ryšys: </w:t>
      </w:r>
    </w:p>
    <w:p w14:paraId="79A4B28A"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3E626094" w14:textId="77777777"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Informacija sveikatos priežiūros specialistams: </w:t>
      </w:r>
    </w:p>
    <w:p w14:paraId="5F1FDEC3" w14:textId="0971BD6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TNS reikšmių nustatyti nereikia, nes tai nėra patikimas tyrimo metodas </w:t>
      </w:r>
      <w:r w:rsidR="00575C70">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b/>
          <w:color w:val="000000"/>
          <w:vertAlign w:val="superscript"/>
          <w:lang w:eastAsia="lt-LT"/>
        </w:rPr>
        <w:t xml:space="preserve"> </w:t>
      </w:r>
      <w:r w:rsidRPr="00FC03F3">
        <w:rPr>
          <w:rFonts w:ascii="Times New Roman" w:eastAsia="Times New Roman" w:hAnsi="Times New Roman" w:cs="Times New Roman"/>
          <w:color w:val="000000"/>
          <w:lang w:eastAsia="lt-LT"/>
        </w:rPr>
        <w:t xml:space="preserve">antikoaguliaciniam aktyvumui įvertinti. </w:t>
      </w:r>
    </w:p>
    <w:p w14:paraId="64B1C63D"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p>
    <w:p w14:paraId="130F057A" w14:textId="05E29208" w:rsidR="009449B0" w:rsidRDefault="009449B0" w:rsidP="009449B0">
      <w:pPr>
        <w:spacing w:after="0" w:line="240" w:lineRule="auto"/>
        <w:ind w:hanging="8"/>
        <w:rPr>
          <w:rFonts w:ascii="Times New Roman" w:eastAsia="Times New Roman" w:hAnsi="Times New Roman" w:cs="Times New Roman"/>
          <w:b/>
          <w:color w:val="000000"/>
          <w:lang w:eastAsia="lt-LT"/>
        </w:rPr>
      </w:pPr>
      <w:r w:rsidRPr="00FC03F3">
        <w:rPr>
          <w:rFonts w:ascii="Times New Roman" w:eastAsia="Times New Roman" w:hAnsi="Times New Roman" w:cs="Times New Roman"/>
          <w:b/>
          <w:color w:val="000000"/>
          <w:lang w:eastAsia="lt-LT"/>
        </w:rPr>
        <w:t xml:space="preserve">Ką turėčiau žinoti apie </w:t>
      </w:r>
      <w:r w:rsidR="00575C70">
        <w:rPr>
          <w:rFonts w:ascii="Times New Roman" w:eastAsia="Times New Roman" w:hAnsi="Times New Roman" w:cs="Times New Roman"/>
          <w:b/>
          <w:color w:val="000000"/>
          <w:lang w:eastAsia="lt-LT"/>
        </w:rPr>
        <w:t>Xiltess</w:t>
      </w:r>
      <w:r w:rsidRPr="00FC03F3">
        <w:rPr>
          <w:rFonts w:ascii="Times New Roman" w:eastAsia="Times New Roman" w:hAnsi="Times New Roman" w:cs="Times New Roman"/>
          <w:b/>
          <w:color w:val="000000"/>
          <w:lang w:eastAsia="lt-LT"/>
        </w:rPr>
        <w:t>?</w:t>
      </w:r>
    </w:p>
    <w:p w14:paraId="4251E1B4" w14:textId="5461D599" w:rsidR="009449B0"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00575C70">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suskystina kraują, o tai apsaugo nuo pavojingų kraujo krešulių susidarymo.</w:t>
      </w:r>
    </w:p>
    <w:p w14:paraId="5A4C7BB3" w14:textId="2CB788E8"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00575C70">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reikia vartoti tiksliai kaip nurodė gydytojas. Kad geriausiai apsisaugotumėte nuo kraujo krešulių susidarymo, </w:t>
      </w:r>
      <w:r w:rsidRPr="00FC03F3">
        <w:rPr>
          <w:rFonts w:ascii="Times New Roman" w:eastAsia="Times New Roman" w:hAnsi="Times New Roman" w:cs="Times New Roman"/>
          <w:b/>
          <w:bCs/>
          <w:color w:val="000000"/>
          <w:lang w:eastAsia="lt-LT"/>
        </w:rPr>
        <w:t>niekada nepraleiskite dozės</w:t>
      </w:r>
      <w:r w:rsidRPr="00FC03F3">
        <w:rPr>
          <w:rFonts w:ascii="Times New Roman" w:eastAsia="Times New Roman" w:hAnsi="Times New Roman" w:cs="Times New Roman"/>
          <w:color w:val="000000"/>
          <w:lang w:eastAsia="lt-LT"/>
        </w:rPr>
        <w:t xml:space="preserve">. </w:t>
      </w:r>
    </w:p>
    <w:p w14:paraId="43325C8A" w14:textId="204265B6"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Negalima nustoti vartoti </w:t>
      </w:r>
      <w:r w:rsidR="00575C70">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prieš tai nepasitarus su gydytoju, nes gali padidėti kraujo krešulių susidarymo rizika. </w:t>
      </w:r>
    </w:p>
    <w:p w14:paraId="7E150427" w14:textId="1EF4B0FE"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Jeigu vartojate, neseniai vartojote ar ketinate pradėti vartoti kitų vaistų, prieš pradėdami vartoti </w:t>
      </w:r>
      <w:r w:rsidR="00575C70">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apie tai pasakykite savo sveikatos priežiūros specialistui. </w:t>
      </w:r>
    </w:p>
    <w:p w14:paraId="074D4D33" w14:textId="4AA8D244"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Prieš atliekant bet kokią chirurginę ar invazinę procedūrą, savo sveikatos priežiūros specialistui pasakykite, kad vartojate </w:t>
      </w:r>
      <w:r w:rsidR="00575C70">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w:t>
      </w:r>
    </w:p>
    <w:p w14:paraId="3B9748E9"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p>
    <w:p w14:paraId="35D4F301" w14:textId="77777777"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Kada turėčiau kreiptis į savo sveikatos priežiūros specialistą? </w:t>
      </w:r>
    </w:p>
    <w:p w14:paraId="457B3778" w14:textId="7A0DEEF5" w:rsidR="009449B0" w:rsidRPr="00FC03F3"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Vartojant kraują skystinantį vaistą </w:t>
      </w:r>
      <w:r w:rsidR="00575C70">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svarbu žinoti, koks yra jo šalutinis poveikis. Dažniausias šalutinis poveikis yra kraujavimas. Jei žinote, kad Jums yra kraujavimo rizika, negalima pradėti vartoti </w:t>
      </w:r>
      <w:r w:rsidR="00575C70">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prieš tai nepasitarus su gydytoju. Nedelsdami pasakykite savo sveikatos priežiūros specialistui, jeigu pasireiškia tokie kraujavimo požymiai arba simptomai: </w:t>
      </w:r>
    </w:p>
    <w:p w14:paraId="230BC2B9"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skausmas, </w:t>
      </w:r>
    </w:p>
    <w:p w14:paraId="1539FBAA"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tinimas arba nemalonus jausmas, </w:t>
      </w:r>
    </w:p>
    <w:p w14:paraId="6C787508"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galvos skausmas, galvos svaigimas arba silpnumas, </w:t>
      </w:r>
    </w:p>
    <w:p w14:paraId="642EB0A9"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lastRenderedPageBreak/>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neįprastos mėlynės, kraujavimas iš nosies, kraujavimas iš dantenų, ilgai nepraeinantis kraujavimas įsipjovus, </w:t>
      </w:r>
    </w:p>
    <w:p w14:paraId="6E3C2DDD"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gausesnis nei įprastai mėnesinių kraujavimas arba kraujavimas iš makšties, </w:t>
      </w:r>
    </w:p>
    <w:p w14:paraId="15B87BC3"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kraujas šlapime, kuris gali būti rausvos arba rudos spalvos, raudonos arba juodos spalvos išmatos, </w:t>
      </w:r>
    </w:p>
    <w:p w14:paraId="6170A0B5"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kraujo atkosėjimas arba vėmimas krauju ar į kavos tirščius panašiu skrandžio turiniu. </w:t>
      </w:r>
    </w:p>
    <w:p w14:paraId="38D23AC9"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74261499" w14:textId="0BA6C1EF"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Kaip vartoti </w:t>
      </w:r>
      <w:r w:rsidR="00575C70">
        <w:rPr>
          <w:rFonts w:ascii="Times New Roman" w:eastAsia="Times New Roman" w:hAnsi="Times New Roman" w:cs="Times New Roman"/>
          <w:b/>
          <w:color w:val="000000"/>
          <w:lang w:eastAsia="lt-LT"/>
        </w:rPr>
        <w:t>Xiltess</w:t>
      </w:r>
      <w:r w:rsidRPr="00FC03F3">
        <w:rPr>
          <w:rFonts w:ascii="Times New Roman" w:eastAsia="Times New Roman" w:hAnsi="Times New Roman" w:cs="Times New Roman"/>
          <w:b/>
          <w:color w:val="000000"/>
          <w:lang w:eastAsia="lt-LT"/>
        </w:rPr>
        <w:t xml:space="preserve">? </w:t>
      </w:r>
    </w:p>
    <w:p w14:paraId="73F11AC7" w14:textId="71F42A8C"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Norint užtikrinti optimalią apsaugą, </w:t>
      </w:r>
      <w:r w:rsidR="00575C70">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w:t>
      </w:r>
    </w:p>
    <w:p w14:paraId="039D4566" w14:textId="001A5802" w:rsidR="009449B0" w:rsidRPr="00FC03F3" w:rsidRDefault="009449B0" w:rsidP="009449B0">
      <w:pPr>
        <w:numPr>
          <w:ilvl w:val="0"/>
          <w:numId w:val="4"/>
        </w:numPr>
        <w:tabs>
          <w:tab w:val="left" w:pos="851"/>
        </w:tabs>
        <w:spacing w:after="0" w:line="240" w:lineRule="auto"/>
        <w:ind w:left="567" w:hanging="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2,5</w:t>
      </w:r>
      <w:r w:rsidR="00B36596">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 xml:space="preserve">mg tabletes galima vartoti valgio metu arba nevalgius; </w:t>
      </w:r>
    </w:p>
    <w:p w14:paraId="437C0C55" w14:textId="0DAEE34E" w:rsidR="009449B0" w:rsidRDefault="009449B0" w:rsidP="009449B0">
      <w:pPr>
        <w:numPr>
          <w:ilvl w:val="0"/>
          <w:numId w:val="4"/>
        </w:numPr>
        <w:tabs>
          <w:tab w:val="left" w:pos="851"/>
        </w:tabs>
        <w:spacing w:after="0" w:line="240" w:lineRule="auto"/>
        <w:ind w:left="567" w:hanging="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10</w:t>
      </w:r>
      <w:r w:rsidR="00B36596">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mg tabletes galima vartoti valgio metu arba nevalgius;</w:t>
      </w:r>
    </w:p>
    <w:p w14:paraId="08F1EE27" w14:textId="0952CFA5" w:rsidR="009449B0" w:rsidRDefault="009449B0" w:rsidP="009449B0">
      <w:pPr>
        <w:numPr>
          <w:ilvl w:val="0"/>
          <w:numId w:val="4"/>
        </w:numPr>
        <w:tabs>
          <w:tab w:val="left" w:pos="851"/>
        </w:tabs>
        <w:spacing w:after="0" w:line="240" w:lineRule="auto"/>
        <w:ind w:left="567" w:hanging="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15</w:t>
      </w:r>
      <w:r w:rsidR="00B36596">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mg tabletes reikia vartoti valgio metu;</w:t>
      </w:r>
    </w:p>
    <w:p w14:paraId="4449F668" w14:textId="48F4ABE2" w:rsidR="009449B0" w:rsidRPr="00FC03F3" w:rsidRDefault="009449B0" w:rsidP="009449B0">
      <w:pPr>
        <w:numPr>
          <w:ilvl w:val="0"/>
          <w:numId w:val="4"/>
        </w:numPr>
        <w:tabs>
          <w:tab w:val="left" w:pos="851"/>
        </w:tabs>
        <w:spacing w:after="0" w:line="240" w:lineRule="auto"/>
        <w:ind w:left="567" w:hanging="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20</w:t>
      </w:r>
      <w:r w:rsidR="00B36596">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 xml:space="preserve">mg tabletes reikia vartoti valgio metu. </w:t>
      </w:r>
    </w:p>
    <w:p w14:paraId="44D4A193" w14:textId="4A064152" w:rsidR="009449B0" w:rsidRDefault="009449B0">
      <w:pPr>
        <w:rPr>
          <w:rFonts w:ascii="Times New Roman" w:eastAsia="Calibri" w:hAnsi="Times New Roman" w:cs="Times New Roman"/>
          <w:b/>
        </w:rPr>
      </w:pPr>
      <w:r>
        <w:rPr>
          <w:rFonts w:ascii="Times New Roman" w:eastAsia="Calibri" w:hAnsi="Times New Roman" w:cs="Times New Roman"/>
          <w:b/>
        </w:rPr>
        <w:br w:type="page"/>
      </w:r>
    </w:p>
    <w:p w14:paraId="38DB94BD"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5AE5F957"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439B60E9"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3AE1B079"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7F3BE606"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37F46CBD" w14:textId="7EB39416"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4A451C7C" w14:textId="58628AB3"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576FE412" w14:textId="7A8D67B8"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1DD0EE3D" w14:textId="73505F51"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6D65995D" w14:textId="6DB97733"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7F1EC773" w14:textId="5AD68495"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72A92111" w14:textId="5D667A51"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3F6F5A0E" w14:textId="2DDEA2C1"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51168D85" w14:textId="69400520"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58118659" w14:textId="335BE97C"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68191C20" w14:textId="2658EEEA"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3CD24114" w14:textId="69176D56"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42CA6A9D" w14:textId="6A68D1DD"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5247FA67" w14:textId="5A37D262" w:rsidR="009449B0" w:rsidRDefault="009449B0" w:rsidP="009449B0">
      <w:pPr>
        <w:spacing w:after="0" w:line="240" w:lineRule="auto"/>
        <w:jc w:val="center"/>
        <w:outlineLvl w:val="0"/>
        <w:rPr>
          <w:rFonts w:ascii="Times New Roman" w:eastAsia="Times New Roman" w:hAnsi="Times New Roman" w:cs="Times New Roman"/>
          <w:b/>
          <w:bCs/>
          <w:lang w:eastAsia="lt-LT"/>
        </w:rPr>
      </w:pPr>
      <w:bookmarkStart w:id="14" w:name="_Hlk117845404"/>
    </w:p>
    <w:p w14:paraId="2A8ECF9F" w14:textId="43BFCE51" w:rsidR="00FC7F89" w:rsidRDefault="00FC7F89" w:rsidP="009449B0">
      <w:pPr>
        <w:spacing w:after="0" w:line="240" w:lineRule="auto"/>
        <w:jc w:val="center"/>
        <w:outlineLvl w:val="0"/>
        <w:rPr>
          <w:rFonts w:ascii="Times New Roman" w:eastAsia="Times New Roman" w:hAnsi="Times New Roman" w:cs="Times New Roman"/>
          <w:b/>
          <w:bCs/>
          <w:lang w:eastAsia="lt-LT"/>
        </w:rPr>
      </w:pPr>
    </w:p>
    <w:p w14:paraId="305AE52D" w14:textId="2A16AA78" w:rsidR="00FC7F89" w:rsidRDefault="00FC7F89" w:rsidP="009449B0">
      <w:pPr>
        <w:spacing w:after="0" w:line="240" w:lineRule="auto"/>
        <w:jc w:val="center"/>
        <w:outlineLvl w:val="0"/>
        <w:rPr>
          <w:rFonts w:ascii="Times New Roman" w:eastAsia="Times New Roman" w:hAnsi="Times New Roman" w:cs="Times New Roman"/>
          <w:b/>
          <w:bCs/>
          <w:lang w:eastAsia="lt-LT"/>
        </w:rPr>
      </w:pPr>
    </w:p>
    <w:p w14:paraId="42967D22" w14:textId="224B5C64" w:rsidR="00FC7F89" w:rsidRDefault="00FC7F89" w:rsidP="009449B0">
      <w:pPr>
        <w:spacing w:after="0" w:line="240" w:lineRule="auto"/>
        <w:jc w:val="center"/>
        <w:outlineLvl w:val="0"/>
        <w:rPr>
          <w:rFonts w:ascii="Times New Roman" w:eastAsia="Times New Roman" w:hAnsi="Times New Roman" w:cs="Times New Roman"/>
          <w:b/>
          <w:bCs/>
          <w:lang w:eastAsia="lt-LT"/>
        </w:rPr>
      </w:pPr>
    </w:p>
    <w:p w14:paraId="40243667" w14:textId="77777777" w:rsidR="00FC7F89" w:rsidRPr="009449B0" w:rsidRDefault="00FC7F89" w:rsidP="009449B0">
      <w:pPr>
        <w:spacing w:after="0" w:line="240" w:lineRule="auto"/>
        <w:jc w:val="center"/>
        <w:outlineLvl w:val="0"/>
        <w:rPr>
          <w:rFonts w:ascii="Times New Roman" w:eastAsia="Times New Roman" w:hAnsi="Times New Roman" w:cs="Times New Roman"/>
          <w:b/>
          <w:bCs/>
          <w:lang w:eastAsia="lt-LT"/>
        </w:rPr>
      </w:pPr>
    </w:p>
    <w:p w14:paraId="36FC728A" w14:textId="77777777" w:rsidR="009449B0" w:rsidRPr="009449B0" w:rsidRDefault="009449B0" w:rsidP="009449B0">
      <w:pPr>
        <w:spacing w:after="0" w:line="240" w:lineRule="auto"/>
        <w:jc w:val="center"/>
        <w:outlineLvl w:val="0"/>
        <w:rPr>
          <w:rFonts w:ascii="Times New Roman" w:eastAsia="Times New Roman" w:hAnsi="Times New Roman" w:cs="Times New Roman"/>
          <w:b/>
          <w:bCs/>
          <w:lang w:eastAsia="lt-LT"/>
        </w:rPr>
      </w:pPr>
      <w:r w:rsidRPr="009449B0">
        <w:rPr>
          <w:rFonts w:ascii="Times New Roman" w:eastAsia="Times New Roman" w:hAnsi="Times New Roman" w:cs="Times New Roman"/>
          <w:b/>
          <w:bCs/>
          <w:lang w:eastAsia="lt-LT"/>
        </w:rPr>
        <w:t xml:space="preserve">B. </w:t>
      </w:r>
      <w:r w:rsidRPr="009449B0">
        <w:rPr>
          <w:rFonts w:ascii="Times New Roman" w:eastAsia="Times New Roman" w:hAnsi="Times New Roman" w:cs="Times New Roman"/>
          <w:b/>
          <w:lang w:eastAsia="lt-LT"/>
        </w:rPr>
        <w:t>PAKUOTĖS</w:t>
      </w:r>
      <w:r w:rsidRPr="009449B0">
        <w:rPr>
          <w:rFonts w:ascii="Times New Roman" w:eastAsia="Times New Roman" w:hAnsi="Times New Roman" w:cs="Times New Roman"/>
          <w:b/>
          <w:bCs/>
          <w:lang w:eastAsia="lt-LT"/>
        </w:rPr>
        <w:t xml:space="preserve"> LAPELIS</w:t>
      </w:r>
    </w:p>
    <w:p w14:paraId="6D04C50C" w14:textId="0DC2F6D8" w:rsidR="009449B0" w:rsidRPr="00CB7F08" w:rsidRDefault="009449B0" w:rsidP="009449B0">
      <w:pPr>
        <w:tabs>
          <w:tab w:val="left" w:pos="1080"/>
        </w:tabs>
        <w:spacing w:after="0" w:line="276" w:lineRule="auto"/>
        <w:rPr>
          <w:rFonts w:ascii="Times New Roman" w:eastAsia="Calibri" w:hAnsi="Times New Roman" w:cs="Times New Roman"/>
          <w:b/>
        </w:rPr>
      </w:pPr>
      <w:r w:rsidRPr="009449B0">
        <w:rPr>
          <w:rFonts w:ascii="Times New Roman" w:eastAsia="Times New Roman" w:hAnsi="Times New Roman" w:cs="Times New Roman"/>
          <w:b/>
          <w:bCs/>
          <w:lang w:eastAsia="lt-LT"/>
        </w:rPr>
        <w:br w:type="page"/>
      </w:r>
    </w:p>
    <w:bookmarkEnd w:id="14"/>
    <w:p w14:paraId="706B42C7" w14:textId="77777777" w:rsidR="009449B0" w:rsidRPr="009449B0" w:rsidRDefault="009449B0" w:rsidP="009449B0">
      <w:pPr>
        <w:tabs>
          <w:tab w:val="left" w:pos="720"/>
        </w:tabs>
        <w:snapToGrid w:val="0"/>
        <w:spacing w:after="0" w:line="240" w:lineRule="auto"/>
        <w:jc w:val="center"/>
        <w:outlineLvl w:val="0"/>
        <w:rPr>
          <w:rFonts w:ascii="Times New Roman" w:eastAsia="Times New Roman" w:hAnsi="Times New Roman" w:cs="Times New Roman"/>
        </w:rPr>
      </w:pPr>
      <w:r w:rsidRPr="009449B0">
        <w:rPr>
          <w:rFonts w:ascii="Times New Roman" w:eastAsia="Times New Roman" w:hAnsi="Times New Roman" w:cs="Times New Roman"/>
          <w:b/>
        </w:rPr>
        <w:lastRenderedPageBreak/>
        <w:t>Pakuotės lapelis: informacija vartotojui</w:t>
      </w:r>
    </w:p>
    <w:p w14:paraId="5DEDB09F" w14:textId="77777777" w:rsidR="009449B0" w:rsidRPr="009449B0" w:rsidRDefault="009449B0" w:rsidP="009449B0">
      <w:pPr>
        <w:shd w:val="clear" w:color="auto" w:fill="FFFFFF"/>
        <w:tabs>
          <w:tab w:val="left" w:pos="720"/>
        </w:tabs>
        <w:snapToGrid w:val="0"/>
        <w:spacing w:after="0" w:line="240" w:lineRule="auto"/>
        <w:jc w:val="center"/>
        <w:rPr>
          <w:rFonts w:ascii="Times New Roman" w:eastAsia="Times New Roman" w:hAnsi="Times New Roman" w:cs="Times New Roman"/>
        </w:rPr>
      </w:pPr>
    </w:p>
    <w:p w14:paraId="029DA5FF" w14:textId="0F3BB05C" w:rsidR="009449B0" w:rsidRPr="009449B0" w:rsidRDefault="00575C70" w:rsidP="009449B0">
      <w:pPr>
        <w:tabs>
          <w:tab w:val="left" w:pos="720"/>
        </w:tabs>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Xiltess</w:t>
      </w:r>
      <w:r w:rsidR="009449B0" w:rsidRPr="009449B0">
        <w:rPr>
          <w:rFonts w:ascii="Times New Roman" w:eastAsia="Times New Roman" w:hAnsi="Times New Roman" w:cs="Times New Roman"/>
          <w:b/>
        </w:rPr>
        <w:t xml:space="preserve"> 15 mg plėvele dengtos tabletės </w:t>
      </w:r>
    </w:p>
    <w:p w14:paraId="74F5E021" w14:textId="38F525E0" w:rsidR="009449B0" w:rsidRPr="009449B0" w:rsidRDefault="00575C70" w:rsidP="009449B0">
      <w:pPr>
        <w:tabs>
          <w:tab w:val="left" w:pos="720"/>
        </w:tabs>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Xiltess</w:t>
      </w:r>
      <w:r w:rsidR="009449B0" w:rsidRPr="009449B0">
        <w:rPr>
          <w:rFonts w:ascii="Times New Roman" w:eastAsia="Times New Roman" w:hAnsi="Times New Roman" w:cs="Times New Roman"/>
          <w:b/>
        </w:rPr>
        <w:t xml:space="preserve"> 20 mg plėvele dengtos tabletės</w:t>
      </w:r>
    </w:p>
    <w:p w14:paraId="17A4508C" w14:textId="77777777" w:rsidR="009449B0" w:rsidRPr="009449B0" w:rsidRDefault="009449B0" w:rsidP="009449B0">
      <w:pPr>
        <w:tabs>
          <w:tab w:val="left" w:pos="720"/>
        </w:tabs>
        <w:snapToGrid w:val="0"/>
        <w:spacing w:after="0" w:line="240" w:lineRule="auto"/>
        <w:jc w:val="center"/>
        <w:rPr>
          <w:rFonts w:ascii="Times New Roman" w:eastAsia="Times New Roman" w:hAnsi="Times New Roman" w:cs="Times New Roman"/>
        </w:rPr>
      </w:pPr>
      <w:r w:rsidRPr="009449B0">
        <w:rPr>
          <w:rFonts w:ascii="Times New Roman" w:eastAsia="Times New Roman" w:hAnsi="Times New Roman" w:cs="Times New Roman"/>
        </w:rPr>
        <w:t xml:space="preserve">rivaroksabanas </w:t>
      </w:r>
    </w:p>
    <w:p w14:paraId="15B2CD53" w14:textId="77777777" w:rsidR="009449B0" w:rsidRPr="009449B0" w:rsidRDefault="009449B0" w:rsidP="009449B0">
      <w:pPr>
        <w:tabs>
          <w:tab w:val="left" w:pos="720"/>
        </w:tabs>
        <w:suppressAutoHyphens/>
        <w:snapToGrid w:val="0"/>
        <w:spacing w:after="0" w:line="240" w:lineRule="auto"/>
        <w:ind w:hanging="142"/>
        <w:rPr>
          <w:rFonts w:ascii="Times New Roman" w:eastAsia="Times New Roman" w:hAnsi="Times New Roman" w:cs="Times New Roman"/>
        </w:rPr>
      </w:pPr>
    </w:p>
    <w:p w14:paraId="077BA10D" w14:textId="77777777" w:rsidR="009449B0" w:rsidRPr="009449B0" w:rsidRDefault="009449B0" w:rsidP="009449B0">
      <w:pPr>
        <w:tabs>
          <w:tab w:val="left" w:pos="720"/>
        </w:tabs>
        <w:suppressAutoHyphen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Atidžiai perskaitykite visą šį lapelį, prieš pradėdami vartoti vaistą, nes jame pateikiama Jums svarbi informacija.</w:t>
      </w:r>
    </w:p>
    <w:p w14:paraId="2CDE3688" w14:textId="77777777" w:rsidR="009449B0" w:rsidRPr="009449B0" w:rsidRDefault="009449B0" w:rsidP="009449B0">
      <w:pPr>
        <w:numPr>
          <w:ilvl w:val="0"/>
          <w:numId w:val="5"/>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Neišmeskite šio lapelio, nes vėl gali prireikti jį perskaityti. </w:t>
      </w:r>
    </w:p>
    <w:p w14:paraId="63DECBD5" w14:textId="77777777" w:rsidR="009449B0" w:rsidRPr="009449B0" w:rsidRDefault="009449B0" w:rsidP="009449B0">
      <w:pPr>
        <w:numPr>
          <w:ilvl w:val="0"/>
          <w:numId w:val="5"/>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Jeigu kiltų daugiau klausimų, kreipkitės į gydytoją arba vaistininką.</w:t>
      </w:r>
    </w:p>
    <w:p w14:paraId="753E8EB4" w14:textId="77777777" w:rsidR="009449B0" w:rsidRPr="009449B0" w:rsidRDefault="009449B0" w:rsidP="009449B0">
      <w:pPr>
        <w:numPr>
          <w:ilvl w:val="0"/>
          <w:numId w:val="5"/>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Šis vaistas skirtas tik Jums, todėl kitiems žmonėms jo duoti negalima. Vaistas gali jiems pakenkti (net tiems, kurių ligos požymiai yra tokie patys kaip Jūsų). </w:t>
      </w:r>
    </w:p>
    <w:p w14:paraId="7BF597E8" w14:textId="77777777" w:rsidR="009449B0" w:rsidRPr="009449B0" w:rsidRDefault="009449B0" w:rsidP="009449B0">
      <w:pPr>
        <w:numPr>
          <w:ilvl w:val="0"/>
          <w:numId w:val="5"/>
        </w:num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Jeigu pasireiškė šalutinis poveikis (net jeigu jis šiame lapelyje nenurodytas),</w:t>
      </w:r>
      <w:r w:rsidRPr="009449B0">
        <w:rPr>
          <w:rFonts w:ascii="Times New Roman" w:eastAsia="Times New Roman" w:hAnsi="Times New Roman" w:cs="Times New Roman"/>
          <w:color w:val="FF0000"/>
        </w:rPr>
        <w:t xml:space="preserve"> </w:t>
      </w:r>
      <w:r w:rsidRPr="009449B0">
        <w:rPr>
          <w:rFonts w:ascii="Times New Roman" w:eastAsia="Times New Roman" w:hAnsi="Times New Roman" w:cs="Times New Roman"/>
        </w:rPr>
        <w:t>kreipkitės į gydytoją arba vaistininką. Žr. 4 skyrių.</w:t>
      </w:r>
    </w:p>
    <w:p w14:paraId="17D19DB0"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5F9B2CE5"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5F1643BA" w14:textId="77777777" w:rsidR="009449B0" w:rsidRPr="009449B0" w:rsidRDefault="009449B0" w:rsidP="009449B0">
      <w:pPr>
        <w:keepNext/>
        <w:tabs>
          <w:tab w:val="left" w:pos="720"/>
        </w:tabs>
        <w:snapToGrid w:val="0"/>
        <w:spacing w:after="0" w:line="240" w:lineRule="auto"/>
        <w:outlineLvl w:val="0"/>
        <w:rPr>
          <w:rFonts w:ascii="Times New Roman" w:eastAsia="Times New Roman" w:hAnsi="Times New Roman" w:cs="Times New Roman"/>
        </w:rPr>
      </w:pPr>
      <w:r w:rsidRPr="009449B0">
        <w:rPr>
          <w:rFonts w:ascii="Times New Roman" w:eastAsia="Times New Roman" w:hAnsi="Times New Roman" w:cs="Times New Roman"/>
          <w:b/>
        </w:rPr>
        <w:t>Apie ką rašoma šiame lapelyje?</w:t>
      </w:r>
    </w:p>
    <w:p w14:paraId="74311E0B" w14:textId="2BE75AF3"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Kas yra </w:t>
      </w:r>
      <w:r w:rsidR="00575C70">
        <w:rPr>
          <w:rFonts w:ascii="Times New Roman" w:eastAsia="Times New Roman" w:hAnsi="Times New Roman" w:cs="Times New Roman"/>
          <w:lang w:eastAsia="lt-LT" w:bidi="lt-LT"/>
        </w:rPr>
        <w:t>Xiltess</w:t>
      </w:r>
      <w:r w:rsidRPr="009449B0">
        <w:rPr>
          <w:rFonts w:ascii="Times New Roman" w:eastAsia="Times New Roman" w:hAnsi="Times New Roman" w:cs="Times New Roman"/>
          <w:lang w:eastAsia="lt-LT" w:bidi="lt-LT"/>
        </w:rPr>
        <w:t xml:space="preserve"> ir kam jis vartojamas </w:t>
      </w:r>
    </w:p>
    <w:p w14:paraId="1B5A8648" w14:textId="380FAF9B"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Kas žinotina prieš vartojant </w:t>
      </w:r>
      <w:r w:rsidR="00575C70">
        <w:rPr>
          <w:rFonts w:ascii="Times New Roman" w:eastAsia="Times New Roman" w:hAnsi="Times New Roman" w:cs="Times New Roman"/>
          <w:lang w:eastAsia="lt-LT" w:bidi="lt-LT"/>
        </w:rPr>
        <w:t>Xiltess</w:t>
      </w:r>
    </w:p>
    <w:p w14:paraId="7ADE3C6A" w14:textId="7AC8F890"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Kaip vartoti </w:t>
      </w:r>
      <w:r w:rsidR="00575C70">
        <w:rPr>
          <w:rFonts w:ascii="Times New Roman" w:eastAsia="Times New Roman" w:hAnsi="Times New Roman" w:cs="Times New Roman"/>
          <w:lang w:eastAsia="lt-LT" w:bidi="lt-LT"/>
        </w:rPr>
        <w:t>Xiltess</w:t>
      </w:r>
      <w:r w:rsidRPr="009449B0">
        <w:rPr>
          <w:rFonts w:ascii="Times New Roman" w:eastAsia="Times New Roman" w:hAnsi="Times New Roman" w:cs="Times New Roman"/>
          <w:lang w:eastAsia="lt-LT" w:bidi="lt-LT"/>
        </w:rPr>
        <w:t xml:space="preserve"> </w:t>
      </w:r>
    </w:p>
    <w:p w14:paraId="3AC09A8E" w14:textId="77777777"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Galimas šalutinis poveikis </w:t>
      </w:r>
    </w:p>
    <w:p w14:paraId="09F610BB" w14:textId="63E7BF99"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Kaip laikyti </w:t>
      </w:r>
      <w:r w:rsidR="00575C70">
        <w:rPr>
          <w:rFonts w:ascii="Times New Roman" w:eastAsia="Times New Roman" w:hAnsi="Times New Roman" w:cs="Times New Roman"/>
          <w:lang w:eastAsia="lt-LT" w:bidi="lt-LT"/>
        </w:rPr>
        <w:t>Xiltess</w:t>
      </w:r>
      <w:r w:rsidRPr="009449B0">
        <w:rPr>
          <w:rFonts w:ascii="Times New Roman" w:eastAsia="Times New Roman" w:hAnsi="Times New Roman" w:cs="Times New Roman"/>
          <w:lang w:eastAsia="lt-LT" w:bidi="lt-LT"/>
        </w:rPr>
        <w:t xml:space="preserve"> </w:t>
      </w:r>
    </w:p>
    <w:p w14:paraId="3FEC92ED" w14:textId="77777777"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Pakuotės turinys ir kita informacija</w:t>
      </w:r>
    </w:p>
    <w:p w14:paraId="71CD6264" w14:textId="77777777" w:rsidR="009449B0" w:rsidRPr="009449B0" w:rsidRDefault="009449B0" w:rsidP="009449B0">
      <w:pPr>
        <w:tabs>
          <w:tab w:val="left" w:pos="720"/>
        </w:tabs>
        <w:snapToGrid w:val="0"/>
        <w:spacing w:after="0" w:line="240" w:lineRule="auto"/>
        <w:ind w:left="567" w:hanging="567"/>
        <w:rPr>
          <w:rFonts w:ascii="Times New Roman" w:eastAsia="Times New Roman" w:hAnsi="Times New Roman" w:cs="Times New Roman"/>
        </w:rPr>
      </w:pPr>
    </w:p>
    <w:p w14:paraId="6F447D6D"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18CBC67" w14:textId="5638A25F" w:rsidR="009449B0" w:rsidRPr="009449B0" w:rsidRDefault="009449B0" w:rsidP="009449B0">
      <w:pPr>
        <w:keepNext/>
        <w:numPr>
          <w:ilvl w:val="3"/>
          <w:numId w:val="10"/>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 xml:space="preserve">Kas yra </w:t>
      </w:r>
      <w:r w:rsidR="00575C70">
        <w:rPr>
          <w:rFonts w:ascii="Times New Roman" w:eastAsia="Times New Roman" w:hAnsi="Times New Roman" w:cs="Times New Roman"/>
          <w:b/>
          <w:lang w:eastAsia="lt-LT" w:bidi="lt-LT"/>
        </w:rPr>
        <w:t>Xiltess</w:t>
      </w:r>
      <w:r w:rsidRPr="009449B0">
        <w:rPr>
          <w:rFonts w:ascii="Times New Roman" w:eastAsia="Times New Roman" w:hAnsi="Times New Roman" w:cs="Times New Roman"/>
          <w:b/>
          <w:lang w:eastAsia="lt-LT" w:bidi="lt-LT"/>
        </w:rPr>
        <w:t xml:space="preserve"> ir kam jis vartojamas</w:t>
      </w:r>
    </w:p>
    <w:p w14:paraId="7F24945B"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95C5833" w14:textId="5B7CC4E3" w:rsidR="009449B0" w:rsidRPr="009449B0" w:rsidRDefault="00575C70" w:rsidP="009449B0">
      <w:pPr>
        <w:tabs>
          <w:tab w:val="left" w:pos="720"/>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sudėtyje yra veikliosios medžiagos rivaroksabano. </w:t>
      </w:r>
    </w:p>
    <w:p w14:paraId="26B08128"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5C57B332" w14:textId="6D72C6C1" w:rsidR="009449B0" w:rsidRPr="009449B0" w:rsidRDefault="00575C70" w:rsidP="009449B0">
      <w:pPr>
        <w:tabs>
          <w:tab w:val="left" w:pos="720"/>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15 mg ir 20 mg plėvele dengtos tabletės vartojamos suaugusiems </w:t>
      </w:r>
      <w:r w:rsidR="00FB4F68">
        <w:rPr>
          <w:rFonts w:ascii="Times New Roman" w:eastAsia="Times New Roman" w:hAnsi="Times New Roman" w:cs="Times New Roman"/>
        </w:rPr>
        <w:t>asmenims</w:t>
      </w:r>
      <w:r w:rsidR="009449B0" w:rsidRPr="009449B0">
        <w:rPr>
          <w:rFonts w:ascii="Times New Roman" w:eastAsia="Times New Roman" w:hAnsi="Times New Roman" w:cs="Times New Roman"/>
        </w:rPr>
        <w:t xml:space="preserve">: </w:t>
      </w:r>
    </w:p>
    <w:p w14:paraId="2B8272F0"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kraujo krešulių susidarymo smegenyse (insulto) ir kitų kūno vietų kraujagyslėse profilaktikai, jeigu Jums yra nereguliaraus širdies ritmo forma, vadinama su vožtuvų liga nesusijusiu prieširdžių virpėjimu; </w:t>
      </w:r>
    </w:p>
    <w:p w14:paraId="468018A2"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kraujo krešulių kojų venose (giliųjų venų trombozės) ir plaučių kraujagyslėse (plaučių embolijos) gydymui ir pakartotinio kraujo krešulių susidarymo kojų ir (arba) plaučių kraujagyslėse profilaktikai.</w:t>
      </w:r>
    </w:p>
    <w:p w14:paraId="3B3DE893" w14:textId="77777777" w:rsidR="009449B0" w:rsidRPr="009449B0" w:rsidRDefault="009449B0" w:rsidP="009449B0">
      <w:pPr>
        <w:tabs>
          <w:tab w:val="left" w:pos="567"/>
        </w:tabs>
        <w:spacing w:after="0" w:line="240" w:lineRule="auto"/>
        <w:ind w:left="567"/>
        <w:contextualSpacing/>
        <w:rPr>
          <w:rFonts w:ascii="Times New Roman" w:eastAsia="Times New Roman" w:hAnsi="Times New Roman" w:cs="Times New Roman"/>
          <w:lang w:eastAsia="lt-LT" w:bidi="lt-LT"/>
        </w:rPr>
      </w:pPr>
    </w:p>
    <w:p w14:paraId="5110348E" w14:textId="34DF0CE5" w:rsidR="009449B0" w:rsidRPr="009449B0" w:rsidRDefault="00575C70" w:rsidP="009449B0">
      <w:p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15 mg ir 20 mg plėvele dengtos tabletės vartojamos vaikams ir jaunesniems kaip 18 metų paaugliams, kurių kūno svoris yra 30 kg ar daugiau: </w:t>
      </w:r>
    </w:p>
    <w:p w14:paraId="75BD0DAA" w14:textId="77777777" w:rsidR="009449B0" w:rsidRPr="009449B0" w:rsidRDefault="009449B0" w:rsidP="00FC7F89">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bookmarkStart w:id="15" w:name="_Hlk97199536"/>
      <w:r w:rsidRPr="009449B0">
        <w:rPr>
          <w:rFonts w:ascii="Times New Roman" w:eastAsia="Times New Roman" w:hAnsi="Times New Roman" w:cs="Times New Roman"/>
          <w:lang w:eastAsia="lt-LT" w:bidi="lt-LT"/>
        </w:rPr>
        <w:t>kraujo krešulių, susidariusių venose arba plaučių kraujagyslėse, gydymui ir pakartotinio jų susidarymo profilaktikai po ne trumpiau kaip 5 dienas taikyto pradinio gydymo injekciniais vaistais nuo kraujo krešulių</w:t>
      </w:r>
      <w:bookmarkEnd w:id="15"/>
      <w:r w:rsidRPr="009449B0">
        <w:rPr>
          <w:rFonts w:ascii="Times New Roman" w:eastAsia="Times New Roman" w:hAnsi="Times New Roman" w:cs="Times New Roman"/>
          <w:lang w:eastAsia="lt-LT" w:bidi="lt-LT"/>
        </w:rPr>
        <w:t xml:space="preserve">. </w:t>
      </w:r>
    </w:p>
    <w:p w14:paraId="70C22A0A" w14:textId="7946F1BB" w:rsidR="009449B0" w:rsidRPr="009449B0" w:rsidRDefault="009449B0" w:rsidP="00FC7F89">
      <w:pPr>
        <w:tabs>
          <w:tab w:val="left" w:pos="567"/>
        </w:tabs>
        <w:spacing w:after="0" w:line="240" w:lineRule="auto"/>
        <w:ind w:left="567"/>
        <w:contextualSpacing/>
        <w:rPr>
          <w:rFonts w:ascii="Times New Roman" w:eastAsia="Times New Roman" w:hAnsi="Times New Roman" w:cs="Times New Roman"/>
          <w:lang w:eastAsia="lt-LT" w:bidi="lt-LT"/>
        </w:rPr>
      </w:pPr>
    </w:p>
    <w:p w14:paraId="63D3C86D" w14:textId="1D6CBCA4" w:rsidR="009449B0" w:rsidRPr="009449B0" w:rsidRDefault="00575C70" w:rsidP="009449B0">
      <w:p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priklauso antitrombozinių vaistų grupei. Jis veikia blokuodamas kraujo krešėjimo faktorių (Xa faktorių) ir taip sumažindamas polinkį formuotis kraujo krešuliams. </w:t>
      </w:r>
    </w:p>
    <w:p w14:paraId="4EBCF51C"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214022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4A33084" w14:textId="2A235A26" w:rsidR="009449B0" w:rsidRPr="009449B0" w:rsidRDefault="009449B0" w:rsidP="009449B0">
      <w:pPr>
        <w:keepNext/>
        <w:numPr>
          <w:ilvl w:val="3"/>
          <w:numId w:val="10"/>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 xml:space="preserve">Kas žinotina prieš vartojant </w:t>
      </w:r>
      <w:r w:rsidR="00575C70">
        <w:rPr>
          <w:rFonts w:ascii="Times New Roman" w:eastAsia="Times New Roman" w:hAnsi="Times New Roman" w:cs="Times New Roman"/>
          <w:b/>
          <w:lang w:eastAsia="lt-LT" w:bidi="lt-LT"/>
        </w:rPr>
        <w:t>Xiltess</w:t>
      </w:r>
      <w:r w:rsidRPr="009449B0">
        <w:rPr>
          <w:rFonts w:ascii="Times New Roman" w:eastAsia="Times New Roman" w:hAnsi="Times New Roman" w:cs="Times New Roman"/>
          <w:b/>
          <w:lang w:eastAsia="lt-LT" w:bidi="lt-LT"/>
        </w:rPr>
        <w:t xml:space="preserve"> </w:t>
      </w:r>
    </w:p>
    <w:p w14:paraId="5389011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9FB6742" w14:textId="058CC211" w:rsidR="009449B0" w:rsidRPr="009449B0" w:rsidRDefault="00575C70" w:rsidP="009449B0">
      <w:pPr>
        <w:keepNext/>
        <w:keepLines/>
        <w:spacing w:after="0" w:line="240" w:lineRule="auto"/>
        <w:ind w:hanging="10"/>
        <w:outlineLvl w:val="0"/>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Xiltess</w:t>
      </w:r>
      <w:r w:rsidR="009449B0" w:rsidRPr="009449B0">
        <w:rPr>
          <w:rFonts w:ascii="Times New Roman" w:eastAsia="Times New Roman" w:hAnsi="Times New Roman" w:cs="Times New Roman"/>
          <w:b/>
          <w:color w:val="000000"/>
          <w:lang w:eastAsia="lt-LT"/>
        </w:rPr>
        <w:t xml:space="preserve"> vartoti draudžiama </w:t>
      </w:r>
    </w:p>
    <w:p w14:paraId="4CB526A4"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yra alergija rivaroksabanui arba bet kuriai pagalbinei šio vaisto medžiagai (jos išvardytos 6 skyriuje); </w:t>
      </w:r>
    </w:p>
    <w:p w14:paraId="5C984F59"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gausiai kraujuojate; </w:t>
      </w:r>
    </w:p>
    <w:p w14:paraId="5A28E724"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Jums yra liga arba būklė, dėl kurios padidėja stipraus kraujavimo rizika (pvz., skrandžio opa, galvos smegenų pažeidimas arba kraujavimas į smegenis, neseniai atlikta chirurginė smegenų arba akių operacija); </w:t>
      </w:r>
    </w:p>
    <w:p w14:paraId="6E3839CD"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lastRenderedPageBreak/>
        <w:t xml:space="preserve">jeigu vartojate vaistų, apsaugančių nuo kraujo krešulių susidarymo (pvz., varfarino, dabigatrano, apiksabano arba heparino), išskyrus atvejus, kai keičiamas nuo kraujo krešulių apsaugantis </w:t>
      </w:r>
    </w:p>
    <w:p w14:paraId="7E0E529F"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gydymas arba kai per venos ar arterijos kateterį Jums leidžiama heparino, kad šis kateteris išliktų pralaidus; </w:t>
      </w:r>
    </w:p>
    <w:p w14:paraId="0684A65C"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sergate kepenų liga ir todėl gali būti padidėjusi kraujavimo rizika; </w:t>
      </w:r>
    </w:p>
    <w:p w14:paraId="29EECFFF"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esate nėščia arba žindote kūdikį. </w:t>
      </w:r>
    </w:p>
    <w:p w14:paraId="49AE226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386BCA07" w14:textId="38B3C2BC"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bet kuris iš šių punktų Jums tinka, </w:t>
      </w:r>
      <w:r w:rsidRPr="009449B0">
        <w:rPr>
          <w:rFonts w:ascii="Times New Roman" w:eastAsia="Times New Roman" w:hAnsi="Times New Roman" w:cs="Times New Roman"/>
          <w:b/>
          <w:bCs/>
        </w:rPr>
        <w:t xml:space="preserve">nevartokite </w:t>
      </w:r>
      <w:r w:rsidR="00575C70">
        <w:rPr>
          <w:rFonts w:ascii="Times New Roman" w:eastAsia="Times New Roman" w:hAnsi="Times New Roman" w:cs="Times New Roman"/>
          <w:b/>
          <w:bCs/>
        </w:rPr>
        <w:t>Xiltess</w:t>
      </w:r>
      <w:r w:rsidRPr="009449B0">
        <w:rPr>
          <w:rFonts w:ascii="Times New Roman" w:eastAsia="Times New Roman" w:hAnsi="Times New Roman" w:cs="Times New Roman"/>
          <w:b/>
          <w:bCs/>
        </w:rPr>
        <w:t xml:space="preserve"> ir pasakykite savo gydytojui</w:t>
      </w:r>
      <w:r w:rsidRPr="009449B0">
        <w:rPr>
          <w:rFonts w:ascii="Times New Roman" w:eastAsia="Times New Roman" w:hAnsi="Times New Roman" w:cs="Times New Roman"/>
        </w:rPr>
        <w:t xml:space="preserve">. </w:t>
      </w:r>
    </w:p>
    <w:p w14:paraId="1A322FE2"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263B391"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Įspėjimai ir atsargumo priemonės </w:t>
      </w:r>
    </w:p>
    <w:p w14:paraId="15EC7993" w14:textId="0A43047E"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Pasitarkite su gydytoju arba vaistininku, prieš pradėdami vartoti </w:t>
      </w:r>
      <w:r w:rsidR="00575C70">
        <w:rPr>
          <w:rFonts w:ascii="Times New Roman" w:eastAsia="Times New Roman" w:hAnsi="Times New Roman" w:cs="Times New Roman"/>
        </w:rPr>
        <w:t>Xiltess</w:t>
      </w:r>
      <w:r w:rsidRPr="009449B0">
        <w:rPr>
          <w:rFonts w:ascii="Times New Roman" w:eastAsia="Times New Roman" w:hAnsi="Times New Roman" w:cs="Times New Roman"/>
          <w:b/>
        </w:rPr>
        <w:t xml:space="preserve">. </w:t>
      </w:r>
    </w:p>
    <w:p w14:paraId="2C00C33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344DBB0C" w14:textId="2ADAE6F1" w:rsidR="009449B0" w:rsidRPr="009449B0" w:rsidRDefault="009449B0" w:rsidP="009449B0">
      <w:pPr>
        <w:tabs>
          <w:tab w:val="left" w:pos="567"/>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 xml:space="preserve">Vartojant </w:t>
      </w:r>
      <w:r w:rsidR="00575C70">
        <w:rPr>
          <w:rFonts w:ascii="Times New Roman" w:eastAsia="Times New Roman" w:hAnsi="Times New Roman" w:cs="Times New Roman"/>
          <w:b/>
        </w:rPr>
        <w:t>Xiltess</w:t>
      </w:r>
      <w:r w:rsidRPr="009449B0">
        <w:rPr>
          <w:rFonts w:ascii="Times New Roman" w:eastAsia="Times New Roman" w:hAnsi="Times New Roman" w:cs="Times New Roman"/>
          <w:b/>
        </w:rPr>
        <w:t xml:space="preserve"> specialių atsargumo priemonių reikia:</w:t>
      </w:r>
    </w:p>
    <w:p w14:paraId="250D7954"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Jums yra padidėjusi kraujavimo rizika, kuri galima šiais atvejais: </w:t>
      </w:r>
    </w:p>
    <w:p w14:paraId="10F44750"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sunki suaugusiųjų inkstų liga ir  vidutinio sunkumo arba sunki vaikų ir paauglių inkstų liga, nes inkstų funkcija gali turėti įtakos Jūsų organizmą veikiančio vaisto kiekiui; </w:t>
      </w:r>
    </w:p>
    <w:p w14:paraId="06607998" w14:textId="179054CD"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 </w:t>
      </w:r>
      <w:r w:rsidR="00575C70">
        <w:rPr>
          <w:rFonts w:ascii="Times New Roman" w:eastAsia="Times New Roman" w:hAnsi="Times New Roman" w:cs="Times New Roman"/>
          <w:szCs w:val="20"/>
          <w:lang w:eastAsia="lt-LT" w:bidi="lt-LT"/>
        </w:rPr>
        <w:t>Xiltess</w:t>
      </w:r>
      <w:r w:rsidRPr="009449B0">
        <w:rPr>
          <w:rFonts w:ascii="Times New Roman" w:eastAsia="Times New Roman" w:hAnsi="Times New Roman" w:cs="Times New Roman"/>
          <w:szCs w:val="20"/>
          <w:lang w:eastAsia="lt-LT" w:bidi="lt-LT"/>
        </w:rPr>
        <w:t xml:space="preserve">“); </w:t>
      </w:r>
    </w:p>
    <w:p w14:paraId="3E25722B"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kraujavimo sutrikimai; </w:t>
      </w:r>
    </w:p>
    <w:p w14:paraId="3D99AD12" w14:textId="673FC928"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labai aukštas kraujospūdis, </w:t>
      </w:r>
      <w:r w:rsidR="00FB4F68">
        <w:rPr>
          <w:rFonts w:ascii="Times New Roman" w:eastAsia="Times New Roman" w:hAnsi="Times New Roman" w:cs="Times New Roman"/>
          <w:szCs w:val="20"/>
          <w:lang w:eastAsia="lt-LT" w:bidi="lt-LT"/>
        </w:rPr>
        <w:t>nesureguliuotas</w:t>
      </w:r>
      <w:r w:rsidR="00FB4F68" w:rsidRPr="009449B0">
        <w:rPr>
          <w:rFonts w:ascii="Times New Roman" w:eastAsia="Times New Roman" w:hAnsi="Times New Roman" w:cs="Times New Roman"/>
          <w:szCs w:val="20"/>
          <w:lang w:eastAsia="lt-LT" w:bidi="lt-LT"/>
        </w:rPr>
        <w:t xml:space="preserve"> </w:t>
      </w:r>
      <w:r w:rsidRPr="009449B0">
        <w:rPr>
          <w:rFonts w:ascii="Times New Roman" w:eastAsia="Times New Roman" w:hAnsi="Times New Roman" w:cs="Times New Roman"/>
          <w:szCs w:val="20"/>
          <w:lang w:eastAsia="lt-LT" w:bidi="lt-LT"/>
        </w:rPr>
        <w:t xml:space="preserve">gydymu; </w:t>
      </w:r>
    </w:p>
    <w:p w14:paraId="4B915006"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skrandžio arba žarnyno ligos, galinčios sukelti kraujavimą, pvz., žarnyno arba skrandžio uždegimas, arba stemplės uždegimas, pvz., dėl gastroezofaginio refliukso ligos (ligos, kai skrandžio rūgštis atpilama į stemplę); </w:t>
      </w:r>
    </w:p>
    <w:p w14:paraId="20B7D0C5"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akių dugno kraujagyslių sutrikimai arba pažeidimai (retinopatija); </w:t>
      </w:r>
    </w:p>
    <w:p w14:paraId="46D0E032"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plaučių liga, kuria sergant bronchai yra išsiplėtę ir prisipildę pūlių (bronchektazės), arba anksčiau buvęs kraujavimas iš plaučių. </w:t>
      </w:r>
    </w:p>
    <w:p w14:paraId="5635B4B5"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Jums protezuoti širdies vožtuvai; </w:t>
      </w:r>
    </w:p>
    <w:p w14:paraId="656255B9"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jeigu žinote, kad sergate liga, vadinama antifosfolipidiniu sindromu (imuninės sistemos sutrikimas, dėl kurio padidėja kraujo krešulių susidarymo rizika), pasakykite apie tai savo gydytojui, kuris nuspręs, ar reikės keisti jums taikomą gydymą;</w:t>
      </w:r>
    </w:p>
    <w:p w14:paraId="087F8F79"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gydytojas nustatė, kad Jūsų kraujospūdis nestabilus, arba Jums planuojama taikyti kitokį gydymą arba chirurginę procedūrą, norint pašalinti kraujo krešulį iš plaučių. </w:t>
      </w:r>
    </w:p>
    <w:p w14:paraId="20AFD2B3"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1432EA48" w14:textId="2A11A234"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Jeigu bet kuris iš prieš tai išvardintų teiginių Jums tinka,</w:t>
      </w:r>
      <w:r w:rsidRPr="009449B0">
        <w:rPr>
          <w:rFonts w:ascii="Times New Roman" w:eastAsia="Times New Roman" w:hAnsi="Times New Roman" w:cs="Times New Roman"/>
        </w:rPr>
        <w:t xml:space="preserve"> prieš pradėdami vartoti </w:t>
      </w:r>
      <w:r w:rsidR="00575C70">
        <w:rPr>
          <w:rFonts w:ascii="Times New Roman" w:eastAsia="Times New Roman" w:hAnsi="Times New Roman" w:cs="Times New Roman"/>
        </w:rPr>
        <w:t>Xiltess</w:t>
      </w:r>
      <w:r w:rsidRPr="009449B0">
        <w:rPr>
          <w:rFonts w:ascii="Times New Roman" w:eastAsia="Times New Roman" w:hAnsi="Times New Roman" w:cs="Times New Roman"/>
        </w:rPr>
        <w:t>,</w:t>
      </w:r>
      <w:r w:rsidRPr="009449B0">
        <w:rPr>
          <w:rFonts w:ascii="Times New Roman" w:eastAsia="Times New Roman" w:hAnsi="Times New Roman" w:cs="Times New Roman"/>
          <w:b/>
        </w:rPr>
        <w:t xml:space="preserve"> pasakykite gydytojui</w:t>
      </w:r>
      <w:r w:rsidRPr="009449B0">
        <w:rPr>
          <w:rFonts w:ascii="Times New Roman" w:eastAsia="Times New Roman" w:hAnsi="Times New Roman" w:cs="Times New Roman"/>
        </w:rPr>
        <w:t xml:space="preserve">. Gydytojas nuspręs, ar skirti Jums šį vaistą ir ar Jus atidžiau stebėti. </w:t>
      </w:r>
    </w:p>
    <w:p w14:paraId="00528A0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986C98B"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Jums reikia atlikti</w:t>
      </w:r>
      <w:r w:rsidRPr="009449B0">
        <w:rPr>
          <w:rFonts w:ascii="Times New Roman" w:eastAsia="Times New Roman" w:hAnsi="Times New Roman" w:cs="Times New Roman"/>
          <w:color w:val="000000"/>
          <w:lang w:eastAsia="lt-LT"/>
        </w:rPr>
        <w:t xml:space="preserve"> </w:t>
      </w:r>
      <w:r w:rsidRPr="009449B0">
        <w:rPr>
          <w:rFonts w:ascii="Times New Roman" w:eastAsia="Times New Roman" w:hAnsi="Times New Roman" w:cs="Times New Roman"/>
          <w:b/>
          <w:color w:val="000000"/>
          <w:lang w:eastAsia="lt-LT"/>
        </w:rPr>
        <w:t>operaciją</w:t>
      </w:r>
      <w:r w:rsidRPr="009449B0">
        <w:rPr>
          <w:rFonts w:ascii="Times New Roman" w:eastAsia="Times New Roman" w:hAnsi="Times New Roman" w:cs="Times New Roman"/>
          <w:color w:val="000000"/>
          <w:lang w:eastAsia="lt-LT"/>
        </w:rPr>
        <w:t xml:space="preserve"> </w:t>
      </w:r>
    </w:p>
    <w:p w14:paraId="42EEDBDF" w14:textId="6B6A2980"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labai svarbu </w:t>
      </w:r>
      <w:r w:rsidR="00575C70">
        <w:rPr>
          <w:rFonts w:ascii="Times New Roman" w:eastAsia="Times New Roman" w:hAnsi="Times New Roman" w:cs="Times New Roman"/>
          <w:lang w:eastAsia="lt-LT" w:bidi="lt-LT"/>
        </w:rPr>
        <w:t>Xiltess</w:t>
      </w:r>
      <w:r w:rsidRPr="009449B0">
        <w:rPr>
          <w:rFonts w:ascii="Times New Roman" w:eastAsia="Times New Roman" w:hAnsi="Times New Roman" w:cs="Times New Roman"/>
          <w:lang w:eastAsia="lt-LT" w:bidi="lt-LT"/>
        </w:rPr>
        <w:t xml:space="preserve"> vartoti prieš ir po operacijos, tiksliai tuo laiku, kaip pasakė gydytojas. </w:t>
      </w:r>
    </w:p>
    <w:p w14:paraId="6075E455"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Jūsų operacijos metu bus įterpiamas kateteris arba leidžiami vaistai į stuburo kanalą (pvz., epidurinė ar spinalinė anestezija arba skausmo slopinimas): </w:t>
      </w:r>
    </w:p>
    <w:p w14:paraId="25C5876B" w14:textId="098E063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labai svarbu </w:t>
      </w:r>
      <w:r w:rsidR="00575C70">
        <w:rPr>
          <w:rFonts w:ascii="Times New Roman" w:eastAsia="Times New Roman" w:hAnsi="Times New Roman" w:cs="Times New Roman"/>
          <w:szCs w:val="20"/>
          <w:lang w:eastAsia="lt-LT" w:bidi="lt-LT"/>
        </w:rPr>
        <w:t>Xiltess</w:t>
      </w:r>
      <w:r w:rsidRPr="009449B0">
        <w:rPr>
          <w:rFonts w:ascii="Times New Roman" w:eastAsia="Times New Roman" w:hAnsi="Times New Roman" w:cs="Times New Roman"/>
          <w:szCs w:val="20"/>
          <w:lang w:eastAsia="lt-LT" w:bidi="lt-LT"/>
        </w:rPr>
        <w:t xml:space="preserve"> vartoti prieš nurodytas procedūras ar kateterio išėmimą ir po jų tiksliai tuo laiku, kaip pasakė gydytojas; </w:t>
      </w:r>
    </w:p>
    <w:p w14:paraId="25E8D4FC"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nedelsdami pasakykite savo gydytojui, jei po anestezijos pajusite kojų tirpimą ar </w:t>
      </w:r>
    </w:p>
    <w:p w14:paraId="703F9B77"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silpnumą, arba žarnyno ar šlapimo pūslės veiklos sutrikimą, nes gali prireikti skubios pagalbos. </w:t>
      </w:r>
    </w:p>
    <w:p w14:paraId="533C0EDA"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212AD51"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Vaikams ir paaugliams </w:t>
      </w:r>
    </w:p>
    <w:p w14:paraId="618FDA62" w14:textId="737E8903" w:rsidR="009449B0" w:rsidRPr="009449B0" w:rsidRDefault="00575C70" w:rsidP="009449B0">
      <w:pPr>
        <w:tabs>
          <w:tab w:val="left" w:pos="567"/>
        </w:tabs>
        <w:snapToGrid w:val="0"/>
        <w:spacing w:after="0" w:line="240" w:lineRule="auto"/>
        <w:ind w:hanging="9"/>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w:t>
      </w:r>
      <w:r w:rsidR="009449B0" w:rsidRPr="009449B0">
        <w:rPr>
          <w:rFonts w:ascii="Times New Roman" w:eastAsia="Times New Roman" w:hAnsi="Times New Roman" w:cs="Times New Roman"/>
          <w:b/>
        </w:rPr>
        <w:t xml:space="preserve">nerekomenduojamas vartoti vaikams, kurių kūno svoris nesiekia 30 kg. </w:t>
      </w:r>
      <w:r w:rsidR="009449B0" w:rsidRPr="009449B0">
        <w:rPr>
          <w:rFonts w:ascii="Times New Roman" w:eastAsia="Times New Roman" w:hAnsi="Times New Roman" w:cs="Times New Roman"/>
        </w:rPr>
        <w:t xml:space="preserve">Informacijos apie </w:t>
      </w: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vartojimą vaikams ir paaugliams pagal suaugusiųjų indikacijas nepakanka. </w:t>
      </w:r>
    </w:p>
    <w:p w14:paraId="66B9D943"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2D0BC41" w14:textId="3CDF1A56"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Kiti vaistai ir </w:t>
      </w:r>
      <w:r w:rsidR="00575C70">
        <w:rPr>
          <w:rFonts w:ascii="Times New Roman" w:eastAsia="Times New Roman" w:hAnsi="Times New Roman" w:cs="Times New Roman"/>
          <w:b/>
          <w:color w:val="000000"/>
          <w:lang w:eastAsia="lt-LT"/>
        </w:rPr>
        <w:t>Xiltess</w:t>
      </w:r>
      <w:r w:rsidRPr="009449B0">
        <w:rPr>
          <w:rFonts w:ascii="Times New Roman" w:eastAsia="Times New Roman" w:hAnsi="Times New Roman" w:cs="Times New Roman"/>
          <w:b/>
          <w:color w:val="000000"/>
          <w:lang w:eastAsia="lt-LT"/>
        </w:rPr>
        <w:t xml:space="preserve"> </w:t>
      </w:r>
    </w:p>
    <w:p w14:paraId="1CD2C61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vartojate ar neseniai vartojote kitų vaistų, įskaitant įsigytus be recepto, arba dėl to nesate tikri, apie tai pasakykite gydytojui arba vaistininkui. </w:t>
      </w:r>
    </w:p>
    <w:p w14:paraId="5D05DD82" w14:textId="77777777" w:rsidR="009449B0" w:rsidRPr="009449B0" w:rsidRDefault="009449B0" w:rsidP="009449B0">
      <w:pPr>
        <w:keepNext/>
        <w:keepLines/>
        <w:numPr>
          <w:ilvl w:val="0"/>
          <w:numId w:val="15"/>
        </w:numPr>
        <w:tabs>
          <w:tab w:val="center" w:pos="1380"/>
        </w:tabs>
        <w:spacing w:after="0" w:line="240" w:lineRule="auto"/>
        <w:ind w:left="567" w:hanging="567"/>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lastRenderedPageBreak/>
        <w:t xml:space="preserve">Jeigu vartojate </w:t>
      </w:r>
    </w:p>
    <w:p w14:paraId="450FB8D1"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 kurių kitų vaistų nuo grybelinės infekcijos (pvz., flukonazolo, itrakonazolo, vorikonazolo, pozakonazolo), išskyrus tepamus ant odos; </w:t>
      </w:r>
    </w:p>
    <w:p w14:paraId="0731F5AF"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ketokonazolo tablečių (vartojamų Kušingo sindromui, kai organizme gaminama per daug kortizolio, gydyti); </w:t>
      </w:r>
    </w:p>
    <w:p w14:paraId="22AAE031"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kai kurių vaistų, skirtų bakterinėms infekcijoms gydyti (pvz., klaritromicino, eritromicino);</w:t>
      </w:r>
    </w:p>
    <w:p w14:paraId="10677253" w14:textId="77777777" w:rsidR="009449B0" w:rsidRPr="009449B0" w:rsidRDefault="009449B0" w:rsidP="009449B0">
      <w:pPr>
        <w:numPr>
          <w:ilvl w:val="0"/>
          <w:numId w:val="16"/>
        </w:numPr>
        <w:tabs>
          <w:tab w:val="left" w:pos="567"/>
          <w:tab w:val="center" w:pos="713"/>
          <w:tab w:val="center" w:pos="4112"/>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ab/>
        <w:t xml:space="preserve">kai kurių priešvirusinių vaistų nuo ŽIV / AIDS (pvz., ritonaviro); </w:t>
      </w:r>
    </w:p>
    <w:p w14:paraId="6B99884E"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kitų vaistų, skirtų krešėjimui mažinti (pvz., enoksaparino, klopidogrelio ar vitamino K antagonistų, tokių kaip varfarinas ar acenokumarolis); </w:t>
      </w:r>
    </w:p>
    <w:p w14:paraId="7C0F1457"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vaistų nuo uždegimo ir skausmą malšinančių vaistų (pvz., naprokseno arba acetilsalicilo rūgšties); </w:t>
      </w:r>
    </w:p>
    <w:p w14:paraId="698C3F1F" w14:textId="77777777" w:rsidR="009449B0" w:rsidRPr="009449B0" w:rsidRDefault="009449B0" w:rsidP="009449B0">
      <w:pPr>
        <w:numPr>
          <w:ilvl w:val="0"/>
          <w:numId w:val="16"/>
        </w:numPr>
        <w:tabs>
          <w:tab w:val="left" w:pos="567"/>
          <w:tab w:val="center" w:pos="713"/>
          <w:tab w:val="center" w:pos="3368"/>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ab/>
        <w:t xml:space="preserve">dronedarono, vaisto nuo širdies ritmo sutrikimo; </w:t>
      </w:r>
    </w:p>
    <w:p w14:paraId="445E694B"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 kurių vaistų nuo depresijos (selektyvių serotonino reabsorbcijos inhibitorių (SSRI) arba serotonino-norepinefrino reabsorbcijos inhibitorių (SNRI)). </w:t>
      </w:r>
    </w:p>
    <w:p w14:paraId="74FA44B3"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402A7ACB"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bet kuris iš prieš tai išvardintų teiginių Jums tinka,</w:t>
      </w:r>
      <w:r w:rsidRPr="009449B0">
        <w:rPr>
          <w:rFonts w:ascii="Times New Roman" w:eastAsia="Times New Roman" w:hAnsi="Times New Roman" w:cs="Times New Roman"/>
          <w:color w:val="000000"/>
          <w:lang w:eastAsia="lt-LT"/>
        </w:rPr>
        <w:t xml:space="preserve"> prieš pradėdami vartoti </w:t>
      </w:r>
    </w:p>
    <w:p w14:paraId="38B589A6" w14:textId="5EDCE41D" w:rsidR="009449B0" w:rsidRPr="009449B0" w:rsidRDefault="00575C70" w:rsidP="009449B0">
      <w:pPr>
        <w:tabs>
          <w:tab w:val="left" w:pos="567"/>
        </w:tabs>
        <w:snapToGrid w:val="0"/>
        <w:spacing w:after="0" w:line="240" w:lineRule="auto"/>
        <w:ind w:hanging="9"/>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w:t>
      </w:r>
      <w:r w:rsidR="009449B0" w:rsidRPr="009449B0">
        <w:rPr>
          <w:rFonts w:ascii="Times New Roman" w:eastAsia="Times New Roman" w:hAnsi="Times New Roman" w:cs="Times New Roman"/>
          <w:b/>
        </w:rPr>
        <w:t xml:space="preserve"> pasakykite savo gydytojui</w:t>
      </w:r>
      <w:r w:rsidR="009449B0" w:rsidRPr="009449B0">
        <w:rPr>
          <w:rFonts w:ascii="Times New Roman" w:eastAsia="Times New Roman" w:hAnsi="Times New Roman" w:cs="Times New Roman"/>
        </w:rPr>
        <w:t xml:space="preserve">, nes </w:t>
      </w: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veiksmingumas gali </w:t>
      </w:r>
    </w:p>
    <w:p w14:paraId="276E7F38"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padidėti. Gydytojas nuspręs, ar skirti Jums šį vaistą ir ar Jus atidžiau stebėti. </w:t>
      </w:r>
    </w:p>
    <w:p w14:paraId="55135FFC"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gydytojas mano, kad Jums yra padidėjusi skrandžio ar žarnyno opų rizika, jis gali skirti ir profilaktinį opų gydymą. </w:t>
      </w:r>
    </w:p>
    <w:p w14:paraId="63561BD0"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975EF86" w14:textId="77777777" w:rsidR="009449B0" w:rsidRPr="009449B0" w:rsidRDefault="009449B0" w:rsidP="009449B0">
      <w:pPr>
        <w:keepNext/>
        <w:keepLines/>
        <w:numPr>
          <w:ilvl w:val="0"/>
          <w:numId w:val="15"/>
        </w:numPr>
        <w:tabs>
          <w:tab w:val="center" w:pos="1381"/>
        </w:tabs>
        <w:spacing w:after="0" w:line="240" w:lineRule="auto"/>
        <w:ind w:left="567" w:hanging="567"/>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Jeigu vartojate </w:t>
      </w:r>
    </w:p>
    <w:p w14:paraId="3C72D646"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kai kurių vaistų nuo epilepsijos (fenitoino, karbamazepino, fenobarbitalio);</w:t>
      </w:r>
    </w:p>
    <w:p w14:paraId="1C93192B"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paprastosios jonažolės (</w:t>
      </w:r>
      <w:r w:rsidRPr="009449B0">
        <w:rPr>
          <w:rFonts w:ascii="Times New Roman" w:eastAsia="Times New Roman" w:hAnsi="Times New Roman" w:cs="Times New Roman"/>
          <w:i/>
          <w:iCs/>
          <w:lang w:eastAsia="lt-LT" w:bidi="lt-LT"/>
        </w:rPr>
        <w:t>Hypericum perforatum</w:t>
      </w:r>
      <w:r w:rsidRPr="009449B0">
        <w:rPr>
          <w:rFonts w:ascii="Times New Roman" w:eastAsia="Times New Roman" w:hAnsi="Times New Roman" w:cs="Times New Roman"/>
          <w:lang w:eastAsia="lt-LT" w:bidi="lt-LT"/>
        </w:rPr>
        <w:t>), augalinio preparato depresijai gydyti;</w:t>
      </w:r>
    </w:p>
    <w:p w14:paraId="52394303"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antibiotiko rifampicino. </w:t>
      </w:r>
    </w:p>
    <w:p w14:paraId="79CCB35C"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3D09D87E"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bet kuris iš prieš tai išvardintų teiginių Jums tinka,</w:t>
      </w:r>
      <w:r w:rsidRPr="009449B0">
        <w:rPr>
          <w:rFonts w:ascii="Times New Roman" w:eastAsia="Times New Roman" w:hAnsi="Times New Roman" w:cs="Times New Roman"/>
          <w:color w:val="000000"/>
          <w:lang w:eastAsia="lt-LT"/>
        </w:rPr>
        <w:t xml:space="preserve"> prieš pradėdami vartoti </w:t>
      </w:r>
    </w:p>
    <w:p w14:paraId="3DC32E38" w14:textId="1DE9F4EF" w:rsidR="009449B0" w:rsidRPr="009449B0" w:rsidRDefault="00575C70" w:rsidP="009449B0">
      <w:pPr>
        <w:tabs>
          <w:tab w:val="left" w:pos="567"/>
        </w:tabs>
        <w:snapToGrid w:val="0"/>
        <w:spacing w:after="0" w:line="240" w:lineRule="auto"/>
        <w:ind w:hanging="9"/>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w:t>
      </w:r>
      <w:r w:rsidR="009449B0" w:rsidRPr="009449B0">
        <w:rPr>
          <w:rFonts w:ascii="Times New Roman" w:eastAsia="Times New Roman" w:hAnsi="Times New Roman" w:cs="Times New Roman"/>
          <w:b/>
        </w:rPr>
        <w:t>pasakykite savo gydytojui</w:t>
      </w:r>
      <w:r w:rsidR="009449B0" w:rsidRPr="009449B0">
        <w:rPr>
          <w:rFonts w:ascii="Times New Roman" w:eastAsia="Times New Roman" w:hAnsi="Times New Roman" w:cs="Times New Roman"/>
        </w:rPr>
        <w:t xml:space="preserve">, nes </w:t>
      </w: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veiksmingumas gali sumažėti. Gydytojas nuspręs, ar skirti Jums </w:t>
      </w: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ir ar Jus atidžiau stebėti. </w:t>
      </w:r>
    </w:p>
    <w:p w14:paraId="03D0E90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0883405"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Nėštumas ir žindymo laikotarpis </w:t>
      </w:r>
    </w:p>
    <w:p w14:paraId="04405712" w14:textId="1514E4DE"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esate nėščia arba žindote kūdikį,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vartoti </w:t>
      </w:r>
      <w:r w:rsidR="00FB4F68">
        <w:rPr>
          <w:rFonts w:ascii="Times New Roman" w:eastAsia="Times New Roman" w:hAnsi="Times New Roman" w:cs="Times New Roman"/>
        </w:rPr>
        <w:t>draudžiama</w:t>
      </w:r>
      <w:r w:rsidRPr="009449B0">
        <w:rPr>
          <w:rFonts w:ascii="Times New Roman" w:eastAsia="Times New Roman" w:hAnsi="Times New Roman" w:cs="Times New Roman"/>
        </w:rPr>
        <w:t xml:space="preserve">. Jei yra galimybė, kad galite pastoti, kol vartojate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naudokitės patikimu kontracepcijos metodu. Jeigu vartodama šį vaistą pastojote, nedelsdama pasakykite savo gydytojui, kuris nuspręs, kaip būsite gydoma. </w:t>
      </w:r>
    </w:p>
    <w:p w14:paraId="33590A4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9ED4395"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Vairavimas ir mechanizmų valdymas </w:t>
      </w:r>
    </w:p>
    <w:p w14:paraId="1E46A59A" w14:textId="15352C7D"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Vartojant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gali pasireikšti svaigulys (dažnas šalutinis poveikis) arba apalpimas (nedažnas šalutinis poveikis) (žr. 4 skyrių „Galimas šalutinis poveikis“). Jeigu Jums pasireiškia šie simptomai, vairuoti, važiuoti dviračiu arba valdyti kokius nors įrenginius ar mechanizmus negalima. </w:t>
      </w:r>
    </w:p>
    <w:p w14:paraId="174BC78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1337EC8" w14:textId="5AFE6596" w:rsidR="009449B0" w:rsidRPr="009449B0" w:rsidRDefault="00575C70" w:rsidP="009449B0">
      <w:pPr>
        <w:keepNext/>
        <w:keepLines/>
        <w:spacing w:after="0" w:line="240" w:lineRule="auto"/>
        <w:ind w:hanging="10"/>
        <w:outlineLvl w:val="0"/>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Xiltess</w:t>
      </w:r>
      <w:r w:rsidR="009449B0" w:rsidRPr="009449B0">
        <w:rPr>
          <w:rFonts w:ascii="Times New Roman" w:eastAsia="Times New Roman" w:hAnsi="Times New Roman" w:cs="Times New Roman"/>
          <w:b/>
          <w:color w:val="000000"/>
          <w:lang w:eastAsia="lt-LT"/>
        </w:rPr>
        <w:t xml:space="preserve"> sudėtyje yra natrio </w:t>
      </w:r>
    </w:p>
    <w:p w14:paraId="3F93A39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1DF77EAC" w14:textId="5D9CCA40"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Šio vaisto plėvele dengtoje tabletėje yra mažiau kaip 1</w:t>
      </w:r>
      <w:r w:rsidR="00B36596">
        <w:rPr>
          <w:rFonts w:ascii="Times New Roman" w:eastAsia="Times New Roman" w:hAnsi="Times New Roman" w:cs="Times New Roman"/>
        </w:rPr>
        <w:t> </w:t>
      </w:r>
      <w:r w:rsidRPr="009449B0">
        <w:rPr>
          <w:rFonts w:ascii="Times New Roman" w:eastAsia="Times New Roman" w:hAnsi="Times New Roman" w:cs="Times New Roman"/>
        </w:rPr>
        <w:t xml:space="preserve">mmol (23 mg) natrio, t. y. jis beveik neturi reikšmės. </w:t>
      </w:r>
    </w:p>
    <w:p w14:paraId="3AC34368"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FFDCC1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68B69FD" w14:textId="53A114F2" w:rsidR="009449B0" w:rsidRPr="009449B0" w:rsidRDefault="009449B0" w:rsidP="009449B0">
      <w:pPr>
        <w:keepNext/>
        <w:numPr>
          <w:ilvl w:val="3"/>
          <w:numId w:val="10"/>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 xml:space="preserve">Kaip vartoti </w:t>
      </w:r>
      <w:r w:rsidR="00575C70">
        <w:rPr>
          <w:rFonts w:ascii="Times New Roman" w:eastAsia="Times New Roman" w:hAnsi="Times New Roman" w:cs="Times New Roman"/>
          <w:b/>
          <w:lang w:eastAsia="lt-LT" w:bidi="lt-LT"/>
        </w:rPr>
        <w:t>Xiltess</w:t>
      </w:r>
      <w:r w:rsidRPr="009449B0">
        <w:rPr>
          <w:rFonts w:ascii="Times New Roman" w:eastAsia="Times New Roman" w:hAnsi="Times New Roman" w:cs="Times New Roman"/>
          <w:b/>
          <w:lang w:eastAsia="lt-LT" w:bidi="lt-LT"/>
        </w:rPr>
        <w:t xml:space="preserve"> </w:t>
      </w:r>
    </w:p>
    <w:p w14:paraId="5D6E14CE"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3211374"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Visada vartokite šį vaistą tiksliai kaip nurodė gydytojas. Jeigu abejojate, kreipkitės į gydytoją arba vaistininką. </w:t>
      </w:r>
    </w:p>
    <w:p w14:paraId="06F4233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EF76877" w14:textId="48946EE3" w:rsidR="009449B0" w:rsidRPr="009449B0" w:rsidRDefault="00575C70" w:rsidP="009449B0">
      <w:pPr>
        <w:tabs>
          <w:tab w:val="left" w:pos="567"/>
        </w:tabs>
        <w:snapToGrid w:val="0"/>
        <w:spacing w:after="0" w:line="240" w:lineRule="auto"/>
        <w:ind w:hanging="9"/>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15 mg ir 20 mg plėvele dengtas tabletes būtina vartoti valgio metu. Nurykite tabletę (-es), geriausia užsigerdami vandeniu. </w:t>
      </w:r>
    </w:p>
    <w:p w14:paraId="546F909E"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70BF31C" w14:textId="146EBF0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lastRenderedPageBreak/>
        <w:t xml:space="preserve">Jeigu sunku nuryti visą tabletę, pasikalbėkite su gydytoju apie kitus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vartojimo būdus. Prieš pat vartojant tabletę, ją galima sutraiškyti ir sumaišyti su vandeniu arba obuolių tyre. Išgėrus šį mišinį, reikia nedelsiant pavalgyti. </w:t>
      </w:r>
    </w:p>
    <w:p w14:paraId="007A60BA" w14:textId="49974793"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Jei reikia, gydytojas gali Jums paskirti vartoti sutraiškytą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tabletę ir per skrandžio vamzdelį.  </w:t>
      </w:r>
    </w:p>
    <w:p w14:paraId="71DD7418"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7BBA339" w14:textId="77777777"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b/>
        </w:rPr>
        <w:t xml:space="preserve">Kiek vartoti </w:t>
      </w:r>
    </w:p>
    <w:p w14:paraId="5471934E"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Suaugusiesiems </w:t>
      </w:r>
    </w:p>
    <w:p w14:paraId="242CE9C2" w14:textId="60F16EE4" w:rsidR="009449B0" w:rsidRPr="009449B0" w:rsidRDefault="009449B0" w:rsidP="009449B0">
      <w:pPr>
        <w:numPr>
          <w:ilvl w:val="0"/>
          <w:numId w:val="17"/>
        </w:numPr>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Kraujo krešulių susidarymo smegenyse (insulto) ir kitų kūno vietų kraujagyslėse profilaktikai Rekomenduojama dozė yra viena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20 mg plėvele dengta tabletė vieną kartą per parą. Jeigu Jūsų inkstų veikla sutrikusi, dozė gali būti sumažinta iki vienos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15 mg plėvele dengtos tabletės vieną kartą per parą. </w:t>
      </w:r>
    </w:p>
    <w:p w14:paraId="6A1089D2" w14:textId="77777777"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p>
    <w:p w14:paraId="17842F08" w14:textId="68A5C998" w:rsidR="009449B0" w:rsidRPr="009449B0" w:rsidRDefault="009449B0" w:rsidP="009449B0">
      <w:pPr>
        <w:numPr>
          <w:ilvl w:val="0"/>
          <w:numId w:val="17"/>
        </w:numPr>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Jeigu Jums reikalinga procedūra, skirta užsikimšusių širdies kraujagyslių gydymui (vadinama perkutanine koronarine intervencija – PKI su stento įvedimu), dozės sumažinimo iki vienos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15 mg plėvele dengtos tabletės vieną kartą per parą (arba iki vienos 10 mg tabletės vieną kartą per parą, jeigu Jums yra inkstų funkcijos sutrikimas), vartojant kartu su antitrombocitiniu vaistu, pavyzdžiui, klopidogreliu, patirtis yra ribota. </w:t>
      </w:r>
    </w:p>
    <w:p w14:paraId="450D1568" w14:textId="77777777"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p>
    <w:p w14:paraId="21FB05E8" w14:textId="77777777" w:rsidR="009449B0" w:rsidRPr="009449B0" w:rsidRDefault="009449B0" w:rsidP="009449B0">
      <w:pPr>
        <w:numPr>
          <w:ilvl w:val="0"/>
          <w:numId w:val="17"/>
        </w:numPr>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Kraujo krešulių kojų venose bei kraujo krešulių plaučių kraujagyslėse gydymui ir pakartotinio kraujo krešulių susidarymo profilaktikai </w:t>
      </w:r>
    </w:p>
    <w:p w14:paraId="361E67EE" w14:textId="31403536"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ab/>
        <w:t xml:space="preserve">Pirmąsias 3 savaites rekomenduojama dozė yra viena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15 mg plėvele dengta tabletė du kartus per parą. Po 3 savaičių rekomenduojama dozė yra viena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20 mg plėvele dengtos tabletė kartą per parą. </w:t>
      </w:r>
    </w:p>
    <w:p w14:paraId="4785D659" w14:textId="77777777"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ab/>
        <w:t xml:space="preserve">Po kraujo krešulio gydymo, trukusio ne mažiau kaip 6 mėnesius, gydytojas gali nuspręsti tęsti gydymą ir skirti po vieną 10 mg tabletę kartą per parą arba po vieną 20 mg tabletę kartą per parą. </w:t>
      </w:r>
    </w:p>
    <w:p w14:paraId="747CF9B5" w14:textId="6C3FB01B"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ab/>
        <w:t xml:space="preserve">Jeigu Jūsų inkstų funkcija sutrikusi ir Jūs vartojate po vieną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20 mg plėvele dengtą tabletę kartą per parą, gydytojas gali nuspręsti po trijų savaičių sumažinti dozę iki vienos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15 mg plėvele dengtos tabletės vieną kartą per parą, jei kraujavimo rizika didesnė negu naujo krešulio susidarymo rizika. </w:t>
      </w:r>
    </w:p>
    <w:p w14:paraId="79848BB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CF1BC9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0DC81C4"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Vaikai ir paaugliai</w:t>
      </w:r>
    </w:p>
    <w:p w14:paraId="766AE363" w14:textId="46E17FE9" w:rsidR="009449B0" w:rsidRPr="009449B0" w:rsidRDefault="00575C70" w:rsidP="009449B0">
      <w:p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dozė priklauso nuo kūno svorio, ją apskaičiuoja gydytojas. </w:t>
      </w:r>
    </w:p>
    <w:p w14:paraId="7DA24D17" w14:textId="76F0DFBD" w:rsidR="009449B0" w:rsidRPr="009449B0" w:rsidRDefault="009449B0" w:rsidP="009449B0">
      <w:pPr>
        <w:numPr>
          <w:ilvl w:val="0"/>
          <w:numId w:val="18"/>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Rekomenduojama dozė vaikams ir paaugliams, kurių </w:t>
      </w:r>
      <w:r w:rsidRPr="009449B0">
        <w:rPr>
          <w:rFonts w:ascii="Times New Roman" w:eastAsia="Times New Roman" w:hAnsi="Times New Roman" w:cs="Times New Roman"/>
          <w:b/>
          <w:lang w:eastAsia="lt-LT" w:bidi="lt-LT"/>
        </w:rPr>
        <w:t>kūno svoris yra nuo 30 kg iki 50 kg,</w:t>
      </w:r>
      <w:r w:rsidRPr="009449B0">
        <w:rPr>
          <w:rFonts w:ascii="Times New Roman" w:eastAsia="Times New Roman" w:hAnsi="Times New Roman" w:cs="Times New Roman"/>
          <w:lang w:eastAsia="lt-LT" w:bidi="lt-LT"/>
        </w:rPr>
        <w:t xml:space="preserve"> yra viena </w:t>
      </w:r>
      <w:r w:rsidR="00575C70">
        <w:rPr>
          <w:rFonts w:ascii="Times New Roman" w:eastAsia="Times New Roman" w:hAnsi="Times New Roman" w:cs="Times New Roman"/>
          <w:b/>
          <w:lang w:eastAsia="lt-LT" w:bidi="lt-LT"/>
        </w:rPr>
        <w:t>Xiltess</w:t>
      </w:r>
      <w:r w:rsidRPr="009449B0">
        <w:rPr>
          <w:rFonts w:ascii="Times New Roman" w:eastAsia="Times New Roman" w:hAnsi="Times New Roman" w:cs="Times New Roman"/>
          <w:b/>
          <w:lang w:eastAsia="lt-LT" w:bidi="lt-LT"/>
        </w:rPr>
        <w:t xml:space="preserve"> 15 mg </w:t>
      </w:r>
      <w:r w:rsidRPr="009449B0">
        <w:rPr>
          <w:rFonts w:ascii="Times New Roman" w:eastAsia="Times New Roman" w:hAnsi="Times New Roman" w:cs="Times New Roman"/>
          <w:b/>
          <w:bCs/>
          <w:lang w:eastAsia="lt-LT" w:bidi="lt-LT"/>
        </w:rPr>
        <w:t>plėvele dengtas</w:t>
      </w:r>
      <w:r w:rsidRPr="009449B0">
        <w:rPr>
          <w:rFonts w:ascii="Times New Roman" w:eastAsia="Times New Roman" w:hAnsi="Times New Roman" w:cs="Times New Roman"/>
          <w:lang w:eastAsia="lt-LT" w:bidi="lt-LT"/>
        </w:rPr>
        <w:t xml:space="preserve"> </w:t>
      </w:r>
      <w:r w:rsidRPr="009449B0">
        <w:rPr>
          <w:rFonts w:ascii="Times New Roman" w:eastAsia="Times New Roman" w:hAnsi="Times New Roman" w:cs="Times New Roman"/>
          <w:b/>
          <w:lang w:eastAsia="lt-LT" w:bidi="lt-LT"/>
        </w:rPr>
        <w:t>tabletė</w:t>
      </w:r>
      <w:r w:rsidRPr="009449B0">
        <w:rPr>
          <w:rFonts w:ascii="Times New Roman" w:eastAsia="Times New Roman" w:hAnsi="Times New Roman" w:cs="Times New Roman"/>
          <w:lang w:eastAsia="lt-LT" w:bidi="lt-LT"/>
        </w:rPr>
        <w:t xml:space="preserve"> kartą per parą.</w:t>
      </w:r>
    </w:p>
    <w:p w14:paraId="56745C92" w14:textId="34722D35" w:rsidR="009449B0" w:rsidRPr="009449B0" w:rsidRDefault="009449B0" w:rsidP="009449B0">
      <w:pPr>
        <w:numPr>
          <w:ilvl w:val="0"/>
          <w:numId w:val="18"/>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Rekomenduojama dozė vaikams ir paaugliams, kurių kūno svoris yra 50 kg ar daugiau, yra viena </w:t>
      </w:r>
      <w:r w:rsidR="00575C70">
        <w:rPr>
          <w:rFonts w:ascii="Times New Roman" w:eastAsia="Times New Roman" w:hAnsi="Times New Roman" w:cs="Times New Roman"/>
          <w:b/>
          <w:bCs/>
          <w:lang w:eastAsia="lt-LT" w:bidi="lt-LT"/>
        </w:rPr>
        <w:t>Xiltess</w:t>
      </w:r>
      <w:r w:rsidRPr="009449B0">
        <w:rPr>
          <w:rFonts w:ascii="Times New Roman" w:eastAsia="Times New Roman" w:hAnsi="Times New Roman" w:cs="Times New Roman"/>
          <w:b/>
          <w:bCs/>
          <w:lang w:eastAsia="lt-LT" w:bidi="lt-LT"/>
        </w:rPr>
        <w:t xml:space="preserve"> 20 mg plėvele dengta tabletė</w:t>
      </w:r>
      <w:r w:rsidRPr="009449B0">
        <w:rPr>
          <w:rFonts w:ascii="Times New Roman" w:eastAsia="Times New Roman" w:hAnsi="Times New Roman" w:cs="Times New Roman"/>
          <w:lang w:eastAsia="lt-LT" w:bidi="lt-LT"/>
        </w:rPr>
        <w:t xml:space="preserve"> vieną kartą per parą. </w:t>
      </w:r>
    </w:p>
    <w:p w14:paraId="49103890"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E56B8E4" w14:textId="12E3A6CD"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Kiekvieną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dozę gerkite valgio metu su gėrimu (pvz., užsigeriant vandeniu ar sultimis). Tabletes vartokite kiekvieną dieną maždaug tuo pačiu laiku. Galbūt vertėtų naudoti žadintuvą, kuris primintų, kada vartoti vaistus. </w:t>
      </w:r>
    </w:p>
    <w:p w14:paraId="2FFFCEB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Tėvams ar globėjams: stebėkite vaiką, kad užtikrintumėt, jog suvartojama visa dozė. </w:t>
      </w:r>
    </w:p>
    <w:p w14:paraId="03AAB5DA"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70F1E79" w14:textId="2BF952E4"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Kadangi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dozė priklauso nuo kūno svorio, svarbu reguliariai lankytis pas gydytoją, nes keičiantis svoriui gali tekti koreguoti dozę. </w:t>
      </w:r>
    </w:p>
    <w:p w14:paraId="2A10DD3A" w14:textId="39D1024E"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Niekada </w:t>
      </w:r>
      <w:r w:rsidR="00575C70">
        <w:rPr>
          <w:rFonts w:ascii="Times New Roman" w:eastAsia="Times New Roman" w:hAnsi="Times New Roman" w:cs="Times New Roman"/>
          <w:b/>
          <w:color w:val="000000"/>
          <w:lang w:eastAsia="lt-LT"/>
        </w:rPr>
        <w:t>Xiltess</w:t>
      </w:r>
      <w:r w:rsidRPr="009449B0">
        <w:rPr>
          <w:rFonts w:ascii="Times New Roman" w:eastAsia="Times New Roman" w:hAnsi="Times New Roman" w:cs="Times New Roman"/>
          <w:b/>
          <w:color w:val="000000"/>
          <w:lang w:eastAsia="lt-LT"/>
        </w:rPr>
        <w:t xml:space="preserve"> dozės nekoreguokite patys</w:t>
      </w:r>
      <w:r w:rsidRPr="009449B0">
        <w:rPr>
          <w:rFonts w:ascii="Times New Roman" w:eastAsia="Times New Roman" w:hAnsi="Times New Roman" w:cs="Times New Roman"/>
          <w:color w:val="000000"/>
          <w:lang w:eastAsia="lt-LT"/>
        </w:rPr>
        <w:t xml:space="preserve">. Jei reikės, gydytojas koreguos </w:t>
      </w:r>
      <w:r w:rsidRPr="009449B0">
        <w:rPr>
          <w:rFonts w:ascii="Times New Roman" w:eastAsia="Times New Roman" w:hAnsi="Times New Roman" w:cs="Times New Roman"/>
          <w:bCs/>
          <w:color w:val="000000"/>
          <w:lang w:eastAsia="lt-LT"/>
        </w:rPr>
        <w:t>dozę</w:t>
      </w:r>
      <w:r w:rsidRPr="009449B0">
        <w:rPr>
          <w:rFonts w:ascii="Times New Roman" w:eastAsia="Times New Roman" w:hAnsi="Times New Roman" w:cs="Times New Roman"/>
          <w:b/>
          <w:color w:val="000000"/>
          <w:lang w:eastAsia="lt-LT"/>
        </w:rPr>
        <w:t xml:space="preserve">. </w:t>
      </w:r>
    </w:p>
    <w:p w14:paraId="6403C8A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03636B8" w14:textId="77777777" w:rsidR="009449B0" w:rsidRPr="009449B0" w:rsidRDefault="009449B0" w:rsidP="009449B0">
      <w:pPr>
        <w:tabs>
          <w:tab w:val="left" w:pos="567"/>
        </w:tabs>
        <w:snapToGrid w:val="0"/>
        <w:spacing w:after="0" w:line="240" w:lineRule="auto"/>
        <w:ind w:right="-2"/>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Neskaldykite tabletės, kad gautumėte dalį tabletės dozės. </w:t>
      </w:r>
    </w:p>
    <w:p w14:paraId="3ADDE837" w14:textId="77777777" w:rsidR="009449B0" w:rsidRPr="009449B0" w:rsidRDefault="009449B0" w:rsidP="009449B0">
      <w:pPr>
        <w:tabs>
          <w:tab w:val="left" w:pos="567"/>
        </w:tabs>
        <w:snapToGrid w:val="0"/>
        <w:spacing w:after="0" w:line="240" w:lineRule="auto"/>
        <w:ind w:right="-2"/>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Jei reikia mažesnės dozės, Jūsų gydytojas gali rekomenduoti vartoti rivaroksabano granulių geriamajai suspensijai. </w:t>
      </w:r>
    </w:p>
    <w:p w14:paraId="6E2268BC" w14:textId="77777777" w:rsidR="009449B0" w:rsidRPr="009449B0" w:rsidRDefault="009449B0" w:rsidP="009449B0">
      <w:pPr>
        <w:tabs>
          <w:tab w:val="left" w:pos="567"/>
        </w:tabs>
        <w:snapToGrid w:val="0"/>
        <w:spacing w:after="0" w:line="240" w:lineRule="auto"/>
        <w:ind w:right="-2"/>
        <w:rPr>
          <w:rFonts w:ascii="Times New Roman" w:eastAsia="Times New Roman" w:hAnsi="Times New Roman" w:cs="Times New Roman"/>
          <w:szCs w:val="20"/>
        </w:rPr>
      </w:pPr>
    </w:p>
    <w:p w14:paraId="3918EBF5" w14:textId="24A0497F" w:rsidR="009449B0" w:rsidRPr="009449B0" w:rsidRDefault="009449B0" w:rsidP="009449B0">
      <w:pPr>
        <w:tabs>
          <w:tab w:val="left" w:pos="567"/>
        </w:tabs>
        <w:snapToGrid w:val="0"/>
        <w:spacing w:after="0" w:line="240" w:lineRule="auto"/>
        <w:ind w:right="-2"/>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Vaikams ir paaugliams, kurie negali nuryti visos tabletės, galima </w:t>
      </w:r>
      <w:r w:rsidR="00575C70">
        <w:rPr>
          <w:rFonts w:ascii="Times New Roman" w:eastAsia="Times New Roman" w:hAnsi="Times New Roman" w:cs="Times New Roman"/>
          <w:szCs w:val="20"/>
        </w:rPr>
        <w:t>Xiltess</w:t>
      </w:r>
      <w:r w:rsidRPr="009449B0">
        <w:rPr>
          <w:rFonts w:ascii="Times New Roman" w:eastAsia="Times New Roman" w:hAnsi="Times New Roman" w:cs="Times New Roman"/>
          <w:szCs w:val="20"/>
        </w:rPr>
        <w:t xml:space="preserve"> tabletę sutraiškyti ir prieš pat vartojimą sumaišyti su vandeniu arba obuolių tyre. Išgėrus tokio mišinio reikia nedelsiant pavalgyti. Jei reikia, gydytojas gali Jums paskirti vartoti sutraiškytą </w:t>
      </w:r>
      <w:r w:rsidR="00575C70">
        <w:rPr>
          <w:rFonts w:ascii="Times New Roman" w:eastAsia="Times New Roman" w:hAnsi="Times New Roman" w:cs="Times New Roman"/>
          <w:szCs w:val="20"/>
        </w:rPr>
        <w:t>Xiltess</w:t>
      </w:r>
      <w:r w:rsidRPr="009449B0">
        <w:rPr>
          <w:rFonts w:ascii="Times New Roman" w:eastAsia="Times New Roman" w:hAnsi="Times New Roman" w:cs="Times New Roman"/>
          <w:szCs w:val="20"/>
        </w:rPr>
        <w:t xml:space="preserve"> tabletę per skrandžio zondą.</w:t>
      </w:r>
    </w:p>
    <w:p w14:paraId="0C20F2FE"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716BDB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E78B4DF" w14:textId="77777777" w:rsidR="009449B0" w:rsidRPr="009449B0" w:rsidRDefault="009449B0" w:rsidP="009449B0">
      <w:pPr>
        <w:tabs>
          <w:tab w:val="left" w:pos="567"/>
        </w:tabs>
        <w:autoSpaceDE w:val="0"/>
        <w:autoSpaceDN w:val="0"/>
        <w:adjustRightInd w:val="0"/>
        <w:snapToGrid w:val="0"/>
        <w:spacing w:after="0" w:line="240" w:lineRule="auto"/>
        <w:rPr>
          <w:rFonts w:ascii="Times New Roman" w:eastAsia="Calibri" w:hAnsi="Times New Roman" w:cs="Times New Roman"/>
          <w:b/>
          <w:szCs w:val="20"/>
        </w:rPr>
      </w:pPr>
      <w:r w:rsidRPr="009449B0">
        <w:rPr>
          <w:rFonts w:ascii="Times New Roman" w:eastAsia="Calibri" w:hAnsi="Times New Roman" w:cs="Times New Roman"/>
          <w:b/>
          <w:szCs w:val="20"/>
        </w:rPr>
        <w:lastRenderedPageBreak/>
        <w:t>Jei išspjovėte vaisto dozę arba vėmėte</w:t>
      </w:r>
    </w:p>
    <w:p w14:paraId="27BFD356" w14:textId="3B2B6D33" w:rsidR="009449B0" w:rsidRPr="009449B0" w:rsidRDefault="009449B0" w:rsidP="009449B0">
      <w:pPr>
        <w:numPr>
          <w:ilvl w:val="0"/>
          <w:numId w:val="18"/>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 nuo </w:t>
      </w:r>
      <w:r w:rsidR="00575C70">
        <w:rPr>
          <w:rFonts w:ascii="Times New Roman" w:eastAsia="Times New Roman" w:hAnsi="Times New Roman" w:cs="Times New Roman"/>
          <w:lang w:eastAsia="lt-LT" w:bidi="lt-LT"/>
        </w:rPr>
        <w:t>Xiltess</w:t>
      </w:r>
      <w:r w:rsidRPr="009449B0">
        <w:rPr>
          <w:rFonts w:ascii="Times New Roman" w:eastAsia="Times New Roman" w:hAnsi="Times New Roman" w:cs="Times New Roman"/>
          <w:lang w:eastAsia="lt-LT" w:bidi="lt-LT"/>
        </w:rPr>
        <w:t xml:space="preserve"> vartojimo praėjo mažiau nei 30 minučių, suvartokite naują dozę. </w:t>
      </w:r>
    </w:p>
    <w:p w14:paraId="051B5BB1" w14:textId="10BE5507" w:rsidR="009449B0" w:rsidRPr="009449B0" w:rsidRDefault="009449B0" w:rsidP="009449B0">
      <w:pPr>
        <w:numPr>
          <w:ilvl w:val="0"/>
          <w:numId w:val="18"/>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 nuo </w:t>
      </w:r>
      <w:r w:rsidR="00575C70">
        <w:rPr>
          <w:rFonts w:ascii="Times New Roman" w:eastAsia="Times New Roman" w:hAnsi="Times New Roman" w:cs="Times New Roman"/>
          <w:lang w:eastAsia="lt-LT" w:bidi="lt-LT"/>
        </w:rPr>
        <w:t>Xiltess</w:t>
      </w:r>
      <w:r w:rsidRPr="009449B0">
        <w:rPr>
          <w:rFonts w:ascii="Times New Roman" w:eastAsia="Times New Roman" w:hAnsi="Times New Roman" w:cs="Times New Roman"/>
          <w:lang w:eastAsia="lt-LT" w:bidi="lt-LT"/>
        </w:rPr>
        <w:t xml:space="preserve"> vartojimo praėjo daugiau nei 30 minučių, </w:t>
      </w:r>
      <w:r w:rsidRPr="009449B0">
        <w:rPr>
          <w:rFonts w:ascii="Times New Roman" w:eastAsia="Times New Roman" w:hAnsi="Times New Roman" w:cs="Times New Roman"/>
          <w:b/>
          <w:bCs/>
          <w:lang w:eastAsia="lt-LT" w:bidi="lt-LT"/>
        </w:rPr>
        <w:t>naujos dozės nebevartokite</w:t>
      </w:r>
      <w:r w:rsidRPr="009449B0">
        <w:rPr>
          <w:rFonts w:ascii="Times New Roman" w:eastAsia="Times New Roman" w:hAnsi="Times New Roman" w:cs="Times New Roman"/>
          <w:lang w:eastAsia="lt-LT" w:bidi="lt-LT"/>
        </w:rPr>
        <w:t xml:space="preserve">. Tokiu atveju kitą </w:t>
      </w:r>
      <w:r w:rsidR="00575C70">
        <w:rPr>
          <w:rFonts w:ascii="Times New Roman" w:eastAsia="Times New Roman" w:hAnsi="Times New Roman" w:cs="Times New Roman"/>
          <w:lang w:eastAsia="lt-LT" w:bidi="lt-LT"/>
        </w:rPr>
        <w:t>Xiltess</w:t>
      </w:r>
      <w:r w:rsidRPr="009449B0">
        <w:rPr>
          <w:rFonts w:ascii="Times New Roman" w:eastAsia="Times New Roman" w:hAnsi="Times New Roman" w:cs="Times New Roman"/>
          <w:lang w:eastAsia="lt-LT" w:bidi="lt-LT"/>
        </w:rPr>
        <w:t xml:space="preserve"> dozę gerkite įprastu laiku. </w:t>
      </w:r>
    </w:p>
    <w:p w14:paraId="059959CA"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67164E9B" w14:textId="11C90B72" w:rsidR="009449B0" w:rsidRPr="009449B0" w:rsidRDefault="009449B0" w:rsidP="009449B0">
      <w:pPr>
        <w:tabs>
          <w:tab w:val="left" w:pos="567"/>
        </w:tabs>
        <w:snapToGrid w:val="0"/>
        <w:spacing w:after="0" w:line="240" w:lineRule="auto"/>
        <w:rPr>
          <w:rFonts w:ascii="Times New Roman" w:eastAsia="Times New Roman" w:hAnsi="Times New Roman" w:cs="Times New Roman"/>
          <w:szCs w:val="20"/>
        </w:rPr>
      </w:pPr>
      <w:bookmarkStart w:id="16" w:name="_Hlk97199993"/>
      <w:r w:rsidRPr="009449B0">
        <w:rPr>
          <w:rFonts w:ascii="Times New Roman" w:eastAsia="Times New Roman" w:hAnsi="Times New Roman" w:cs="Times New Roman"/>
          <w:szCs w:val="20"/>
        </w:rPr>
        <w:t xml:space="preserve">Jei pavartoję </w:t>
      </w:r>
      <w:r w:rsidR="00575C70">
        <w:rPr>
          <w:rFonts w:ascii="Times New Roman" w:eastAsia="Times New Roman" w:hAnsi="Times New Roman" w:cs="Times New Roman"/>
          <w:szCs w:val="20"/>
        </w:rPr>
        <w:t>Xiltess</w:t>
      </w:r>
      <w:r w:rsidRPr="009449B0">
        <w:rPr>
          <w:rFonts w:ascii="Times New Roman" w:eastAsia="Times New Roman" w:hAnsi="Times New Roman" w:cs="Times New Roman"/>
          <w:szCs w:val="20"/>
        </w:rPr>
        <w:t xml:space="preserve"> kelis kartus išspjovėte vaisto dozę ar vėmėte</w:t>
      </w:r>
      <w:bookmarkEnd w:id="16"/>
      <w:r w:rsidRPr="009449B0">
        <w:rPr>
          <w:rFonts w:ascii="Times New Roman" w:eastAsia="Times New Roman" w:hAnsi="Times New Roman" w:cs="Times New Roman"/>
          <w:szCs w:val="20"/>
        </w:rPr>
        <w:t>, kreipkitės į gydytoją.</w:t>
      </w:r>
    </w:p>
    <w:p w14:paraId="5DD2814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FB73D83" w14:textId="78F70F84"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Kada vartoti </w:t>
      </w:r>
      <w:r w:rsidR="00575C70">
        <w:rPr>
          <w:rFonts w:ascii="Times New Roman" w:eastAsia="Times New Roman" w:hAnsi="Times New Roman" w:cs="Times New Roman"/>
          <w:b/>
          <w:color w:val="000000"/>
          <w:lang w:eastAsia="lt-LT"/>
        </w:rPr>
        <w:t>Xiltess</w:t>
      </w:r>
      <w:r w:rsidRPr="009449B0">
        <w:rPr>
          <w:rFonts w:ascii="Times New Roman" w:eastAsia="Times New Roman" w:hAnsi="Times New Roman" w:cs="Times New Roman"/>
          <w:b/>
          <w:color w:val="000000"/>
          <w:lang w:eastAsia="lt-LT"/>
        </w:rPr>
        <w:t xml:space="preserve"> </w:t>
      </w:r>
    </w:p>
    <w:p w14:paraId="63BFC2EC" w14:textId="77777777"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Gerkite tabletę (-es) kasdien, kol gydytojas pasakys, kada nustoti. </w:t>
      </w:r>
    </w:p>
    <w:p w14:paraId="4EA5CD2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Stenkitės vartoti tabletę (-es) tuo pačiu laiku kiekvieną dieną, nes taip geriau prisiminsite. Jūsų gydytojas nuspręs, kiek laiko reikės tęsti gydymą. </w:t>
      </w:r>
    </w:p>
    <w:p w14:paraId="49BBF67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AEBB80E"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Kraujo krešulių smegenyse (insulto) ir kitose kraujagyslėse prevencijai: </w:t>
      </w:r>
    </w:p>
    <w:p w14:paraId="5000D617" w14:textId="62B3D68E"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Jūsų širdies ritmas turi būti normalizuotas kardioversijos procedūros metu, vartokite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tada, kai Jums liepia gydytojas. </w:t>
      </w:r>
    </w:p>
    <w:p w14:paraId="4B220480"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73137BA9" w14:textId="6307DC87"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b/>
        </w:rPr>
        <w:t xml:space="preserve">Ką daryti pavartojus per didelę </w:t>
      </w:r>
      <w:r w:rsidR="00575C70">
        <w:rPr>
          <w:rFonts w:ascii="Times New Roman" w:eastAsia="Times New Roman" w:hAnsi="Times New Roman" w:cs="Times New Roman"/>
          <w:b/>
        </w:rPr>
        <w:t>Xiltess</w:t>
      </w:r>
      <w:r w:rsidRPr="009449B0">
        <w:rPr>
          <w:rFonts w:ascii="Times New Roman" w:eastAsia="Times New Roman" w:hAnsi="Times New Roman" w:cs="Times New Roman"/>
          <w:b/>
        </w:rPr>
        <w:t xml:space="preserve"> dozę </w:t>
      </w:r>
    </w:p>
    <w:p w14:paraId="4D7C0871" w14:textId="207C89AF"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Nedelsdami kreipkitės į gydytoją, jeigu pavartojote per daug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tablečių. Pavartojus per daug </w:t>
      </w:r>
      <w:r w:rsidR="00575C70">
        <w:rPr>
          <w:rFonts w:ascii="Times New Roman" w:eastAsia="Times New Roman" w:hAnsi="Times New Roman" w:cs="Times New Roman"/>
        </w:rPr>
        <w:t>Xiltess</w:t>
      </w:r>
      <w:r w:rsidRPr="009449B0">
        <w:rPr>
          <w:rFonts w:ascii="Times New Roman" w:eastAsia="Times New Roman" w:hAnsi="Times New Roman" w:cs="Times New Roman"/>
        </w:rPr>
        <w:t xml:space="preserve">, padidėja kraujavimo rizika. </w:t>
      </w:r>
    </w:p>
    <w:p w14:paraId="2A5CAF3E"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0BBAF58" w14:textId="6E13176E"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b/>
        </w:rPr>
      </w:pPr>
      <w:r w:rsidRPr="009449B0">
        <w:rPr>
          <w:rFonts w:ascii="Times New Roman" w:eastAsia="Times New Roman" w:hAnsi="Times New Roman" w:cs="Times New Roman"/>
          <w:b/>
        </w:rPr>
        <w:t xml:space="preserve">Pamiršus pavartoti </w:t>
      </w:r>
      <w:r w:rsidR="00575C70">
        <w:rPr>
          <w:rFonts w:ascii="Times New Roman" w:eastAsia="Times New Roman" w:hAnsi="Times New Roman" w:cs="Times New Roman"/>
          <w:b/>
        </w:rPr>
        <w:t>Xiltess</w:t>
      </w:r>
    </w:p>
    <w:p w14:paraId="7B42AA4B" w14:textId="77777777"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Arial" w:hAnsi="Times New Roman" w:cs="Times New Roman"/>
        </w:rPr>
        <w:tab/>
      </w:r>
      <w:r w:rsidRPr="009449B0">
        <w:rPr>
          <w:rFonts w:ascii="Times New Roman" w:eastAsia="Times New Roman" w:hAnsi="Times New Roman" w:cs="Times New Roman"/>
          <w:u w:val="single" w:color="000000"/>
        </w:rPr>
        <w:t>Suaugusieji, vaikai ir paaugliai:</w:t>
      </w:r>
      <w:r w:rsidRPr="009449B0">
        <w:rPr>
          <w:rFonts w:ascii="Times New Roman" w:eastAsia="Times New Roman" w:hAnsi="Times New Roman" w:cs="Times New Roman"/>
        </w:rPr>
        <w:t xml:space="preserve"> </w:t>
      </w:r>
    </w:p>
    <w:p w14:paraId="478BEB98" w14:textId="77777777" w:rsidR="009449B0" w:rsidRPr="009449B0" w:rsidRDefault="009449B0" w:rsidP="009449B0">
      <w:pPr>
        <w:numPr>
          <w:ilvl w:val="0"/>
          <w:numId w:val="12"/>
        </w:numPr>
        <w:spacing w:after="0" w:line="240" w:lineRule="auto"/>
        <w:ind w:left="284"/>
        <w:rPr>
          <w:rFonts w:ascii="Times New Roman" w:eastAsia="Times New Roman" w:hAnsi="Times New Roman" w:cs="Times New Roman"/>
        </w:rPr>
      </w:pPr>
      <w:r w:rsidRPr="009449B0">
        <w:rPr>
          <w:rFonts w:ascii="Times New Roman" w:eastAsia="Times New Roman" w:hAnsi="Times New Roman" w:cs="Times New Roman"/>
        </w:rPr>
        <w:t xml:space="preserve">Jeigu vartojate vieną 20 mg tabletę arba vieną 15 mg tabletę </w:t>
      </w:r>
      <w:r w:rsidRPr="009449B0">
        <w:rPr>
          <w:rFonts w:ascii="Times New Roman" w:eastAsia="Times New Roman" w:hAnsi="Times New Roman" w:cs="Times New Roman"/>
          <w:u w:val="single" w:color="000000"/>
        </w:rPr>
        <w:t>vieną kartą</w:t>
      </w:r>
      <w:r w:rsidRPr="009449B0">
        <w:rPr>
          <w:rFonts w:ascii="Times New Roman" w:eastAsia="Times New Roman" w:hAnsi="Times New Roman" w:cs="Times New Roman"/>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5DD9F2DE" w14:textId="77777777" w:rsidR="009449B0" w:rsidRPr="009449B0" w:rsidRDefault="009449B0" w:rsidP="009449B0">
      <w:pPr>
        <w:spacing w:after="0" w:line="240" w:lineRule="auto"/>
        <w:rPr>
          <w:rFonts w:ascii="Times New Roman" w:eastAsia="Times New Roman" w:hAnsi="Times New Roman" w:cs="Times New Roman"/>
          <w:u w:val="single" w:color="000000"/>
        </w:rPr>
      </w:pPr>
    </w:p>
    <w:p w14:paraId="0D4727E3" w14:textId="77777777" w:rsidR="009449B0" w:rsidRPr="009449B0" w:rsidRDefault="009449B0" w:rsidP="009449B0">
      <w:pPr>
        <w:spacing w:after="0" w:line="240" w:lineRule="auto"/>
        <w:rPr>
          <w:rFonts w:ascii="Times New Roman" w:eastAsia="Times New Roman" w:hAnsi="Times New Roman" w:cs="Times New Roman"/>
        </w:rPr>
      </w:pPr>
      <w:r w:rsidRPr="009449B0">
        <w:rPr>
          <w:rFonts w:ascii="Times New Roman" w:eastAsia="Times New Roman" w:hAnsi="Times New Roman" w:cs="Times New Roman"/>
          <w:u w:val="single" w:color="000000"/>
        </w:rPr>
        <w:t>Suaugusieji:</w:t>
      </w:r>
      <w:r w:rsidRPr="009449B0">
        <w:rPr>
          <w:rFonts w:ascii="Times New Roman" w:eastAsia="Times New Roman" w:hAnsi="Times New Roman" w:cs="Times New Roman"/>
        </w:rPr>
        <w:t xml:space="preserve"> </w:t>
      </w:r>
    </w:p>
    <w:p w14:paraId="7DD1DEE4" w14:textId="77777777" w:rsidR="009449B0" w:rsidRPr="009449B0" w:rsidRDefault="009449B0" w:rsidP="009449B0">
      <w:pPr>
        <w:numPr>
          <w:ilvl w:val="0"/>
          <w:numId w:val="12"/>
        </w:numPr>
        <w:spacing w:after="0" w:line="240" w:lineRule="auto"/>
        <w:ind w:left="284"/>
        <w:rPr>
          <w:rFonts w:ascii="Times New Roman" w:eastAsia="Times New Roman" w:hAnsi="Times New Roman" w:cs="Times New Roman"/>
        </w:rPr>
      </w:pPr>
      <w:r w:rsidRPr="009449B0">
        <w:rPr>
          <w:rFonts w:ascii="Times New Roman" w:eastAsia="Times New Roman" w:hAnsi="Times New Roman" w:cs="Times New Roman"/>
        </w:rPr>
        <w:t xml:space="preserve">Jeigu vartojate po vieną 15 mg tabletę du kartus per parą ir pamiršote pavartoti dozę, padarykite tai iš karto, kai tik tai prisiminsite. Tą pačią dieną negalima vartoti daugiau kaip dviejų 15 mg tablečių. Jeigu pamiršote pavartoti tabletę, galite vartoti dvi 15 mg tabletes tuo pačiu metu, kad suvartotumėte visą dviejų tablečių kiekį (30 mg) tą pačią dieną. Kitą dieną vartokite po vieną 15 mg tabletę du kartus per parą. </w:t>
      </w:r>
    </w:p>
    <w:p w14:paraId="7760D034"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8205300" w14:textId="7F55042D"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Nustojus vartoti </w:t>
      </w:r>
      <w:r w:rsidR="00575C70">
        <w:rPr>
          <w:rFonts w:ascii="Times New Roman" w:eastAsia="Times New Roman" w:hAnsi="Times New Roman" w:cs="Times New Roman"/>
          <w:b/>
          <w:color w:val="000000"/>
          <w:lang w:eastAsia="lt-LT"/>
        </w:rPr>
        <w:t>Xiltess</w:t>
      </w:r>
      <w:r w:rsidRPr="009449B0">
        <w:rPr>
          <w:rFonts w:ascii="Times New Roman" w:eastAsia="Times New Roman" w:hAnsi="Times New Roman" w:cs="Times New Roman"/>
          <w:b/>
          <w:color w:val="000000"/>
          <w:lang w:eastAsia="lt-LT"/>
        </w:rPr>
        <w:t xml:space="preserve"> </w:t>
      </w:r>
    </w:p>
    <w:p w14:paraId="6B1D076E" w14:textId="7190287E" w:rsidR="009449B0" w:rsidRPr="009449B0" w:rsidRDefault="00575C70" w:rsidP="009449B0">
      <w:pPr>
        <w:tabs>
          <w:tab w:val="left" w:pos="567"/>
        </w:tabs>
        <w:snapToGrid w:val="0"/>
        <w:spacing w:after="0" w:line="240" w:lineRule="auto"/>
        <w:ind w:hanging="9"/>
        <w:rPr>
          <w:rFonts w:ascii="Times New Roman" w:eastAsia="Times New Roman" w:hAnsi="Times New Roman" w:cs="Times New Roman"/>
        </w:rPr>
      </w:pP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vartojimo, nepasitarus su gydytoju, nutraukti negalima, nes </w:t>
      </w:r>
      <w:r>
        <w:rPr>
          <w:rFonts w:ascii="Times New Roman" w:eastAsia="Times New Roman" w:hAnsi="Times New Roman" w:cs="Times New Roman"/>
        </w:rPr>
        <w:t>Xiltess</w:t>
      </w:r>
      <w:r w:rsidR="009449B0" w:rsidRPr="009449B0">
        <w:rPr>
          <w:rFonts w:ascii="Times New Roman" w:eastAsia="Times New Roman" w:hAnsi="Times New Roman" w:cs="Times New Roman"/>
        </w:rPr>
        <w:t xml:space="preserve"> gydo sunkias būkles ir nuo jų apsaugo. </w:t>
      </w:r>
    </w:p>
    <w:p w14:paraId="53B2FE6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4D65737"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kiltų daugiau klausimų dėl šio vaisto vartojimo, kreipkitės į Jūsų gydytoją arba vaistininką. </w:t>
      </w:r>
    </w:p>
    <w:p w14:paraId="7DDC8961"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08F5B7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6B5404B" w14:textId="77777777" w:rsidR="009449B0" w:rsidRPr="009449B0" w:rsidRDefault="009449B0" w:rsidP="009449B0">
      <w:pPr>
        <w:keepNext/>
        <w:keepLines/>
        <w:tabs>
          <w:tab w:val="center" w:pos="1898"/>
        </w:tabs>
        <w:spacing w:after="0" w:line="240" w:lineRule="auto"/>
        <w:ind w:left="567" w:hanging="567"/>
        <w:outlineLvl w:val="1"/>
        <w:rPr>
          <w:rFonts w:ascii="Times New Roman" w:eastAsia="Times New Roman" w:hAnsi="Times New Roman" w:cs="Times New Roman"/>
          <w:color w:val="000000"/>
          <w:u w:val="single" w:color="000000"/>
          <w:lang w:eastAsia="lt-LT"/>
        </w:rPr>
      </w:pPr>
      <w:r w:rsidRPr="009449B0">
        <w:rPr>
          <w:rFonts w:ascii="Times New Roman" w:eastAsia="Times New Roman" w:hAnsi="Times New Roman" w:cs="Times New Roman"/>
          <w:b/>
          <w:color w:val="000000"/>
          <w:u w:color="000000"/>
          <w:lang w:eastAsia="lt-LT"/>
        </w:rPr>
        <w:t xml:space="preserve">4. </w:t>
      </w:r>
      <w:r w:rsidRPr="009449B0">
        <w:rPr>
          <w:rFonts w:ascii="Times New Roman" w:eastAsia="Times New Roman" w:hAnsi="Times New Roman" w:cs="Times New Roman"/>
          <w:b/>
          <w:color w:val="000000"/>
          <w:u w:color="000000"/>
          <w:lang w:eastAsia="lt-LT"/>
        </w:rPr>
        <w:tab/>
        <w:t xml:space="preserve">Galimas šalutinis poveikis </w:t>
      </w:r>
    </w:p>
    <w:p w14:paraId="52706971"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i/>
        </w:rPr>
        <w:t xml:space="preserve"> </w:t>
      </w:r>
    </w:p>
    <w:p w14:paraId="3D89F8F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Šis vaistas, kaip ir visi kiti, gali sukelti šalutinį poveikį, nors jis pasireiškia ne visiems žmonėms. </w:t>
      </w:r>
    </w:p>
    <w:p w14:paraId="7121825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2D92E0B6" w14:textId="1CB15DF0" w:rsidR="009449B0" w:rsidRPr="009449B0" w:rsidRDefault="009449B0" w:rsidP="009449B0">
      <w:pPr>
        <w:tabs>
          <w:tab w:val="left" w:pos="720"/>
        </w:tabs>
        <w:snapToGrid w:val="0"/>
        <w:spacing w:after="0" w:line="240" w:lineRule="auto"/>
        <w:ind w:right="-29"/>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Kaip ir kiti panašūs vaistai, slopinantys kraujo krešulių susidarymą, </w:t>
      </w:r>
      <w:r w:rsidR="00575C70">
        <w:rPr>
          <w:rFonts w:ascii="Times New Roman" w:eastAsia="Times New Roman" w:hAnsi="Times New Roman" w:cs="Times New Roman"/>
          <w:szCs w:val="20"/>
        </w:rPr>
        <w:t>Xiltess</w:t>
      </w:r>
      <w:r w:rsidRPr="009449B0">
        <w:rPr>
          <w:rFonts w:ascii="Times New Roman" w:eastAsia="Times New Roman" w:hAnsi="Times New Roman" w:cs="Times New Roman"/>
          <w:szCs w:val="20"/>
        </w:rPr>
        <w:t xml:space="preserve"> gali sukelti kraujavimą, galintį kelti pavojų gyvybei. Gausiai kraujuojant, gali staigiai nukristi kraujospūdis (išsivystyti šokas). Kai kuriais atvejais kraujavimas gali būti nepastebimas. </w:t>
      </w:r>
    </w:p>
    <w:p w14:paraId="76C35F22"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025A452" w14:textId="77777777"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b/>
        </w:rPr>
        <w:t>Nedelsdami pasakykite savo gydytojui,</w:t>
      </w:r>
      <w:r w:rsidRPr="009449B0">
        <w:rPr>
          <w:rFonts w:ascii="Times New Roman" w:eastAsia="Times New Roman" w:hAnsi="Times New Roman" w:cs="Times New Roman"/>
        </w:rPr>
        <w:t xml:space="preserve"> </w:t>
      </w:r>
      <w:r w:rsidRPr="009449B0">
        <w:rPr>
          <w:rFonts w:ascii="Times New Roman" w:eastAsia="Times New Roman" w:hAnsi="Times New Roman" w:cs="Times New Roman"/>
          <w:b/>
        </w:rPr>
        <w:t xml:space="preserve">jei pasireiškia bet kuris iš šių šalutinių poveikių: </w:t>
      </w:r>
    </w:p>
    <w:p w14:paraId="7F1DB920" w14:textId="77777777" w:rsidR="009449B0" w:rsidRPr="009449B0" w:rsidRDefault="009449B0" w:rsidP="009449B0">
      <w:pPr>
        <w:tabs>
          <w:tab w:val="left" w:pos="720"/>
        </w:tabs>
        <w:snapToGrid w:val="0"/>
        <w:spacing w:after="0" w:line="240" w:lineRule="auto"/>
        <w:ind w:right="-29"/>
        <w:rPr>
          <w:rFonts w:ascii="Times New Roman" w:eastAsia="Times New Roman" w:hAnsi="Times New Roman" w:cs="Times New Roman"/>
          <w:b/>
          <w:szCs w:val="20"/>
        </w:rPr>
      </w:pPr>
      <w:r w:rsidRPr="009449B0">
        <w:rPr>
          <w:rFonts w:ascii="Times New Roman" w:eastAsia="Times New Roman" w:hAnsi="Times New Roman" w:cs="Times New Roman"/>
          <w:b/>
          <w:szCs w:val="20"/>
        </w:rPr>
        <w:t>Kraujavimo požymiai:</w:t>
      </w:r>
    </w:p>
    <w:p w14:paraId="3253EA93"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smegenis arba į kaukolės vidų (galimi simptomai yra galvos skausmas, vienos kūno pusės silpnumas, vėmimas, traukuliai, sąmonės pritemimas, sprando sąstingis). Tai sunki skubios medicinos pagalbos reikalaujanti būklė. Reikia nedelsiant kreiptis skubios medicinos pagalbos!; </w:t>
      </w:r>
    </w:p>
    <w:p w14:paraId="585ADD3F" w14:textId="77777777" w:rsidR="009449B0" w:rsidRPr="009449B0" w:rsidRDefault="009449B0" w:rsidP="009449B0">
      <w:pPr>
        <w:numPr>
          <w:ilvl w:val="0"/>
          <w:numId w:val="7"/>
        </w:numPr>
        <w:tabs>
          <w:tab w:val="left" w:pos="567"/>
        </w:tabs>
        <w:spacing w:after="0" w:line="240" w:lineRule="auto"/>
        <w:ind w:left="567" w:right="-29"/>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ilgai trunkantis ar gausus kraujavimas; </w:t>
      </w:r>
    </w:p>
    <w:p w14:paraId="30E69D8B" w14:textId="77777777" w:rsidR="009449B0" w:rsidRPr="009449B0" w:rsidRDefault="009449B0" w:rsidP="009449B0">
      <w:pPr>
        <w:numPr>
          <w:ilvl w:val="0"/>
          <w:numId w:val="7"/>
        </w:numPr>
        <w:tabs>
          <w:tab w:val="left" w:pos="567"/>
        </w:tabs>
        <w:spacing w:after="0" w:line="240" w:lineRule="auto"/>
        <w:ind w:left="567" w:right="-29"/>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lastRenderedPageBreak/>
        <w:t xml:space="preserve">neįprastas silpnumas, nuovargis, blyškumas, svaigulys, galvos skausmas, nepaaiškinamas tinimas, dusulys, krūtinės skausmas arba krūtinės angina, kurie gali būti kraujavimo požymiai. </w:t>
      </w:r>
    </w:p>
    <w:p w14:paraId="1A36A74E" w14:textId="77777777" w:rsidR="009449B0" w:rsidRPr="009449B0" w:rsidRDefault="009449B0" w:rsidP="009449B0">
      <w:pPr>
        <w:tabs>
          <w:tab w:val="left" w:pos="720"/>
        </w:tabs>
        <w:snapToGrid w:val="0"/>
        <w:spacing w:after="0" w:line="240" w:lineRule="auto"/>
        <w:ind w:right="-29"/>
        <w:rPr>
          <w:rFonts w:ascii="Times New Roman" w:eastAsia="Times New Roman" w:hAnsi="Times New Roman" w:cs="Times New Roman"/>
        </w:rPr>
      </w:pPr>
      <w:r w:rsidRPr="009449B0">
        <w:rPr>
          <w:rFonts w:ascii="Times New Roman" w:eastAsia="Times New Roman" w:hAnsi="Times New Roman" w:cs="Times New Roman"/>
          <w:szCs w:val="20"/>
        </w:rPr>
        <w:t>Jūsų gydytojas gali nuspręsti Jus atidžiau stebėti arba pakeisti gydymą.</w:t>
      </w:r>
    </w:p>
    <w:p w14:paraId="3DBD0B97"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187278CC" w14:textId="77777777" w:rsidR="009449B0" w:rsidRPr="009449B0" w:rsidRDefault="009449B0" w:rsidP="009449B0">
      <w:pPr>
        <w:tabs>
          <w:tab w:val="left" w:pos="720"/>
        </w:tabs>
        <w:snapToGrid w:val="0"/>
        <w:spacing w:after="0" w:line="240" w:lineRule="auto"/>
        <w:ind w:right="-29"/>
        <w:rPr>
          <w:rFonts w:ascii="Times New Roman" w:eastAsia="Times New Roman" w:hAnsi="Times New Roman" w:cs="Times New Roman"/>
          <w:b/>
          <w:szCs w:val="20"/>
        </w:rPr>
      </w:pPr>
      <w:r w:rsidRPr="009449B0">
        <w:rPr>
          <w:rFonts w:ascii="Times New Roman" w:eastAsia="Times New Roman" w:hAnsi="Times New Roman" w:cs="Times New Roman"/>
          <w:b/>
          <w:szCs w:val="20"/>
        </w:rPr>
        <w:t xml:space="preserve">Sunkių odos reakcijų požymiai </w:t>
      </w:r>
    </w:p>
    <w:p w14:paraId="7A90F4E2"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plintantis intensyvus odos išbėrimas, pūslės arba gleivinių pažeidimai, pvz., burnos arba akių (Stivenso-Džonsono (</w:t>
      </w:r>
      <w:r w:rsidRPr="009449B0">
        <w:rPr>
          <w:rFonts w:ascii="Times New Roman" w:eastAsia="Times New Roman" w:hAnsi="Times New Roman" w:cs="Times New Roman"/>
          <w:i/>
          <w:iCs/>
          <w:szCs w:val="20"/>
          <w:lang w:eastAsia="lt-LT" w:bidi="lt-LT"/>
        </w:rPr>
        <w:t>Stevens-Johnson</w:t>
      </w:r>
      <w:r w:rsidRPr="009449B0">
        <w:rPr>
          <w:rFonts w:ascii="Times New Roman" w:eastAsia="Times New Roman" w:hAnsi="Times New Roman" w:cs="Times New Roman"/>
          <w:szCs w:val="20"/>
          <w:lang w:eastAsia="lt-LT" w:bidi="lt-LT"/>
        </w:rPr>
        <w:t xml:space="preserve">) sindromas ir (arba) toksinė epidermio nekrolizė); </w:t>
      </w:r>
    </w:p>
    <w:p w14:paraId="260F8CF2"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vaisto sukeltas išbėrimas, karščiavimas, vidaus organų uždegimas, kraujo rodiklių pokyčiai ir sisteminiai simptomai (DRESS sindromas).  </w:t>
      </w:r>
    </w:p>
    <w:p w14:paraId="3D9EE9B8" w14:textId="77777777"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rPr>
        <w:t xml:space="preserve">Šios nepageidaujamos reakcijos dažnis yra labai retas (gali pasireikšti rečiau kaip 1 iš 10 000 </w:t>
      </w:r>
    </w:p>
    <w:p w14:paraId="14790E77"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asmenų). </w:t>
      </w:r>
    </w:p>
    <w:p w14:paraId="032C9DD0"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1AED8FA" w14:textId="77777777" w:rsidR="009449B0" w:rsidRPr="009449B0" w:rsidRDefault="009449B0" w:rsidP="009449B0">
      <w:pPr>
        <w:keepNext/>
        <w:keepLines/>
        <w:tabs>
          <w:tab w:val="center" w:pos="2334"/>
        </w:tabs>
        <w:spacing w:after="0" w:line="240" w:lineRule="auto"/>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Sunkių alerginių reakcijų požymiai </w:t>
      </w:r>
    </w:p>
    <w:p w14:paraId="0BC6D34E"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veido, lūpų, burnos, liežuvio ir ryklės tinimas, apsunkintas rijimas, dilgėlinė ir apsunkintas kvėpavimas, staigus kraujospūdžio sumažėjimas.  </w:t>
      </w:r>
    </w:p>
    <w:p w14:paraId="65A511B4" w14:textId="77777777" w:rsidR="009449B0" w:rsidRPr="009449B0" w:rsidRDefault="009449B0" w:rsidP="009449B0">
      <w:pPr>
        <w:tabs>
          <w:tab w:val="left" w:pos="567"/>
        </w:tabs>
        <w:snapToGrid w:val="0"/>
        <w:spacing w:after="0" w:line="240" w:lineRule="auto"/>
        <w:ind w:right="-29"/>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Sunkių alerginių  reakcijų dažnis yra labai retas (anafilaksinės reakcijos, įskaitant anafilaksinį šoką; gali pasireikšti rečiau kaip 1 iš 10 000 asmenų) ir nedažnas (angioneurozinė ir alerginė edema; gali pasireikšti rečiau kaip 1 iš 100 asmenų). </w:t>
      </w:r>
    </w:p>
    <w:p w14:paraId="08A51357"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3FE3A821"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Visas galimų šalutinių poveikių sąrašas pasireiškiantis suaugusiems, vaikams ir paaugliams </w:t>
      </w:r>
    </w:p>
    <w:p w14:paraId="1BB5C452"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27393876" w14:textId="77777777"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b/>
        </w:rPr>
        <w:t xml:space="preserve">Dažni šalutinio poveikio reiškiniai </w:t>
      </w:r>
      <w:r w:rsidRPr="009449B0">
        <w:rPr>
          <w:rFonts w:ascii="Times New Roman" w:eastAsia="Times New Roman" w:hAnsi="Times New Roman" w:cs="Times New Roman"/>
        </w:rPr>
        <w:t xml:space="preserve">(gali pasireikšti rečiau kaip 1 iš 10 asmenų): </w:t>
      </w:r>
    </w:p>
    <w:p w14:paraId="5937C2F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raudonųjų kraujo ląstelių kiekio sumažėjimas, dėl kurio oda gali būti blyški, o Jūs galite jausti silpnumą ar dusulį; </w:t>
      </w:r>
    </w:p>
    <w:p w14:paraId="4B3F24C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iš skrandžio ar žarnyno, kraujavimas iš šlapimo ir lytinių organų (įskaitant kraują šlapime ir gausų mėnesinių kraujavimą), kraujavimas iš nosies, kraujavimas iš dantenų; </w:t>
      </w:r>
    </w:p>
    <w:p w14:paraId="5072656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akies kraujavimas (įskaitant kraujavimą iš akies baltymo); </w:t>
      </w:r>
    </w:p>
    <w:p w14:paraId="4FA8A6A3"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audinius arba kūno ertmes (kraujosruvos, mėlynės); </w:t>
      </w:r>
    </w:p>
    <w:p w14:paraId="140D97FB"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atkosėjimas; </w:t>
      </w:r>
    </w:p>
    <w:p w14:paraId="688C26B6"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odą arba po oda; </w:t>
      </w:r>
    </w:p>
    <w:p w14:paraId="63B60C9A"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po operacijos; </w:t>
      </w:r>
    </w:p>
    <w:p w14:paraId="5A0E4CC8"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ar skysčio sunkimasis iš chirurginės žaizdos; </w:t>
      </w:r>
    </w:p>
    <w:p w14:paraId="71A4708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galūnių tinimas; </w:t>
      </w:r>
    </w:p>
    <w:p w14:paraId="4C7D6C51"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galūnių skausmas; </w:t>
      </w:r>
    </w:p>
    <w:p w14:paraId="02B13CB7"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sutrikusi inkstų funkcija (Jūsų gydytojas tai gali nustatyti atlikęs tyrimus);</w:t>
      </w:r>
    </w:p>
    <w:p w14:paraId="6472F16D"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karščiavimas; </w:t>
      </w:r>
    </w:p>
    <w:p w14:paraId="28A4BE3D"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pilvo skausmas, nevirškinimas, pykinimas, vėmimas, vidurių užkietėjimas, viduriavimas; </w:t>
      </w:r>
    </w:p>
    <w:p w14:paraId="5322FA42"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sumažėjęs kraujospūdis (simptomai gali būti svaigulio jausmas ar alpimas stojantis); </w:t>
      </w:r>
    </w:p>
    <w:p w14:paraId="7FE7967B"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jėgos ir energijos sumažėjimas (silpnumas, nuovargis), galvos skausmas, svaigulys; </w:t>
      </w:r>
    </w:p>
    <w:p w14:paraId="7284EB16"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bėrimas, odos niežėjimas; </w:t>
      </w:r>
    </w:p>
    <w:p w14:paraId="703B9550"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rodyti kai kurių kepenų fermentų kiekio padidėjimą. </w:t>
      </w:r>
    </w:p>
    <w:p w14:paraId="38DC14A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6E11F900" w14:textId="77777777"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b/>
        </w:rPr>
        <w:t xml:space="preserve">Nedažni šalutinio poveikio reiškiniai </w:t>
      </w:r>
      <w:r w:rsidRPr="009449B0">
        <w:rPr>
          <w:rFonts w:ascii="Times New Roman" w:eastAsia="Times New Roman" w:hAnsi="Times New Roman" w:cs="Times New Roman"/>
        </w:rPr>
        <w:t xml:space="preserve">(gali pasireikšti rečiau kaip 1 iš 100 asmenų): </w:t>
      </w:r>
    </w:p>
    <w:p w14:paraId="428A7221"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smegenis ar į kaukolės vidų (žr. aukščiau, kraujavimo požymiai); </w:t>
      </w:r>
    </w:p>
    <w:p w14:paraId="5449430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sąnarius, sukeliantis skausmą ir tinimą; </w:t>
      </w:r>
    </w:p>
    <w:p w14:paraId="199CC0EE"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trombocitopenija (trombocitų – kraujo plokštelių, kurios padeda kraujyje susidaryti krešuliui, sumažėjimas); </w:t>
      </w:r>
    </w:p>
    <w:p w14:paraId="2DA22116"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alerginės reakcijos, įskaitant alergines odos reakcijas; </w:t>
      </w:r>
    </w:p>
    <w:p w14:paraId="3FDC0C6E"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sutrikusi kepenų funkcija (gydytojas tai gali nustatyti atlikęs tyrimus); </w:t>
      </w:r>
    </w:p>
    <w:p w14:paraId="77D59DB7"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rodyti bilirubino, kai kurių kasos ar kepenų fermentų kiekio arba trombocitų skaičiaus padidėjimą; </w:t>
      </w:r>
    </w:p>
    <w:p w14:paraId="591079CD" w14:textId="2978C014" w:rsidR="009449B0" w:rsidRPr="009449B0" w:rsidRDefault="00FB4F68"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ap</w:t>
      </w:r>
      <w:r w:rsidR="009449B0" w:rsidRPr="009449B0">
        <w:rPr>
          <w:rFonts w:ascii="Times New Roman" w:eastAsia="Times New Roman" w:hAnsi="Times New Roman" w:cs="Times New Roman"/>
          <w:szCs w:val="20"/>
          <w:lang w:eastAsia="lt-LT" w:bidi="lt-LT"/>
        </w:rPr>
        <w:t xml:space="preserve">alpimas; </w:t>
      </w:r>
    </w:p>
    <w:p w14:paraId="681DA548"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bloga savijauta; </w:t>
      </w:r>
    </w:p>
    <w:p w14:paraId="545AA601"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pagreitėjęs širdies plakimas; </w:t>
      </w:r>
    </w:p>
    <w:p w14:paraId="349F4EF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burnos džiūvimas; </w:t>
      </w:r>
    </w:p>
    <w:p w14:paraId="5EA4B14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dilgėlinė. </w:t>
      </w:r>
    </w:p>
    <w:p w14:paraId="6F317A9B" w14:textId="77777777" w:rsidR="009449B0" w:rsidRPr="009449B0" w:rsidRDefault="009449B0" w:rsidP="009449B0">
      <w:pPr>
        <w:tabs>
          <w:tab w:val="left" w:pos="567"/>
        </w:tabs>
        <w:snapToGrid w:val="0"/>
        <w:spacing w:after="0" w:line="240" w:lineRule="auto"/>
        <w:ind w:right="-29"/>
        <w:rPr>
          <w:rFonts w:ascii="Times New Roman" w:eastAsia="Times New Roman" w:hAnsi="Times New Roman" w:cs="Times New Roman"/>
          <w:szCs w:val="20"/>
        </w:rPr>
      </w:pPr>
    </w:p>
    <w:p w14:paraId="583984A4" w14:textId="77777777"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b/>
        </w:rPr>
        <w:lastRenderedPageBreak/>
        <w:t xml:space="preserve">Reti šalutinio poveikio reiškiniai </w:t>
      </w:r>
      <w:r w:rsidRPr="009449B0">
        <w:rPr>
          <w:rFonts w:ascii="Times New Roman" w:eastAsia="Times New Roman" w:hAnsi="Times New Roman" w:cs="Times New Roman"/>
        </w:rPr>
        <w:t xml:space="preserve">(gali pasireikšti rečiau kaip 1 iš 1 000 asmenų): </w:t>
      </w:r>
    </w:p>
    <w:p w14:paraId="31A27CFE"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odos ir akių pageltimas (gelta); </w:t>
      </w:r>
    </w:p>
    <w:p w14:paraId="41A1E7F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cholestazė (sumažėjęs tulžies nutekėjimas), hepatitas, įskaitant kepenų ląstelių pažeidimą (kepenų uždegimas, įskaitant kepenų pažeidimą); </w:t>
      </w:r>
    </w:p>
    <w:p w14:paraId="7B4C40A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raumenis; </w:t>
      </w:r>
    </w:p>
    <w:p w14:paraId="3759054F"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lokalus tinimas; </w:t>
      </w:r>
    </w:p>
    <w:p w14:paraId="6D2D7BD7"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susikaupimas (hematoma) kirkšnyje – širdies procedūros, kai į kojos arteriją įterpiamas kateteris, komplikacija (pseudoaneurizma). </w:t>
      </w:r>
    </w:p>
    <w:p w14:paraId="2CD2B1C5" w14:textId="77777777" w:rsidR="00E55959" w:rsidRDefault="009449B0" w:rsidP="00E55959">
      <w:pPr>
        <w:widowControl w:val="0"/>
        <w:autoSpaceDE w:val="0"/>
        <w:autoSpaceDN w:val="0"/>
        <w:adjustRightInd w:val="0"/>
        <w:spacing w:after="0" w:line="240" w:lineRule="auto"/>
        <w:ind w:left="567" w:right="-29" w:hanging="567"/>
        <w:rPr>
          <w:rFonts w:ascii="Times New Roman" w:eastAsia="Times New Roman" w:hAnsi="Times New Roman" w:cs="Times New Roman"/>
          <w:b/>
        </w:rPr>
      </w:pPr>
      <w:r w:rsidRPr="009449B0">
        <w:rPr>
          <w:rFonts w:ascii="Times New Roman" w:eastAsia="Times New Roman" w:hAnsi="Times New Roman" w:cs="Times New Roman"/>
          <w:b/>
        </w:rPr>
        <w:t xml:space="preserve"> </w:t>
      </w:r>
    </w:p>
    <w:p w14:paraId="71123619" w14:textId="1B692C3C" w:rsidR="00E55959" w:rsidRPr="00812F9C" w:rsidRDefault="00E55959" w:rsidP="0051031F">
      <w:pPr>
        <w:widowControl w:val="0"/>
        <w:autoSpaceDE w:val="0"/>
        <w:autoSpaceDN w:val="0"/>
        <w:adjustRightInd w:val="0"/>
        <w:spacing w:after="0" w:line="240" w:lineRule="auto"/>
        <w:ind w:right="-29"/>
        <w:rPr>
          <w:rFonts w:ascii="Times New Roman" w:eastAsia="Times New Roman" w:hAnsi="Times New Roman" w:cs="Times New Roman"/>
          <w:b/>
          <w:bCs/>
          <w:noProof/>
          <w:snapToGrid w:val="0"/>
        </w:rPr>
      </w:pPr>
      <w:r w:rsidRPr="00812F9C">
        <w:rPr>
          <w:rFonts w:ascii="Times New Roman" w:eastAsia="Times New Roman" w:hAnsi="Times New Roman" w:cs="Times New Roman"/>
          <w:b/>
          <w:bCs/>
          <w:noProof/>
          <w:snapToGrid w:val="0"/>
        </w:rPr>
        <w:t>Labai reti šalutinio poveikio reiškiniai (gali pasireikšti rečiau kaip 1 iš 10 000 asmenų):</w:t>
      </w:r>
    </w:p>
    <w:p w14:paraId="62B25B8F" w14:textId="77777777" w:rsidR="00E55959" w:rsidRPr="00900FD1" w:rsidRDefault="00E55959" w:rsidP="00E55959">
      <w:pPr>
        <w:pStyle w:val="Sraopastraipa"/>
        <w:widowControl w:val="0"/>
        <w:numPr>
          <w:ilvl w:val="0"/>
          <w:numId w:val="19"/>
        </w:numPr>
        <w:autoSpaceDE w:val="0"/>
        <w:autoSpaceDN w:val="0"/>
        <w:adjustRightInd w:val="0"/>
        <w:ind w:right="-29"/>
        <w:contextualSpacing w:val="0"/>
        <w:rPr>
          <w:sz w:val="22"/>
          <w:szCs w:val="22"/>
          <w:lang w:eastAsia="pl-PL"/>
        </w:rPr>
      </w:pPr>
      <w:r w:rsidRPr="00900FD1">
        <w:rPr>
          <w:sz w:val="22"/>
          <w:szCs w:val="22"/>
          <w:lang w:eastAsia="pl-PL"/>
        </w:rPr>
        <w:t>eozinofilų, tam tikros rūšies baltųjų granulocitinių kraujo kūnelių sankaupos, kurios sukelia uždegimą plaučiuose (eozinofilinė pneumonija).</w:t>
      </w:r>
    </w:p>
    <w:p w14:paraId="04F4E6A3" w14:textId="6F6F6E2A"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4240B4A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Dažnis nežinomas </w:t>
      </w:r>
      <w:r w:rsidRPr="009449B0">
        <w:rPr>
          <w:rFonts w:ascii="Times New Roman" w:eastAsia="Times New Roman" w:hAnsi="Times New Roman" w:cs="Times New Roman"/>
        </w:rPr>
        <w:t xml:space="preserve">(negali būti apskaičiuotas pagal turimus duomenis): </w:t>
      </w:r>
    </w:p>
    <w:p w14:paraId="476083A0" w14:textId="77777777" w:rsid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inkstų nepakankamumas po stipraus kraujavimo; </w:t>
      </w:r>
    </w:p>
    <w:p w14:paraId="3599D303" w14:textId="77777777" w:rsidR="00F76A1A" w:rsidRPr="0065710B" w:rsidRDefault="00F76A1A" w:rsidP="00F76A1A">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1010A0">
        <w:rPr>
          <w:rFonts w:ascii="Times New Roman" w:hAnsi="Times New Roman" w:cs="Times New Roman"/>
          <w:lang w:eastAsia="pl-PL"/>
        </w:rPr>
        <w:t>kraujavimas iš inkstų, kartais su krauju šlapime, dėl kurio sutrinka normali inkstų veikla (su antikoaguliantais susijusi nefropatija);</w:t>
      </w:r>
    </w:p>
    <w:p w14:paraId="5CA67A19"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padidėjęs spaudimas kojų ar rankų raumenyse po kraujavimo, dėl ko gali skaudėti, tinti, sutrikti jutimas, pasireikšti tirpimas ar paralyžius (suspaudimo sindromas po kraujavimo). </w:t>
      </w:r>
    </w:p>
    <w:p w14:paraId="79A6FD4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64F71B9"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u w:val="single" w:color="000000"/>
        </w:rPr>
        <w:t>Šalutiniai poveikiai vaikams ir paaugliams</w:t>
      </w:r>
      <w:r w:rsidRPr="009449B0">
        <w:rPr>
          <w:rFonts w:ascii="Times New Roman" w:eastAsia="Times New Roman" w:hAnsi="Times New Roman" w:cs="Times New Roman"/>
        </w:rPr>
        <w:t xml:space="preserve"> </w:t>
      </w:r>
    </w:p>
    <w:p w14:paraId="00CA9376" w14:textId="12F7DB8B"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szCs w:val="20"/>
        </w:rPr>
        <w:t xml:space="preserve">Apskritai, šalutinio poveikio atvejai, kurie pasitaikė vaikams ir paaugliams vartojant </w:t>
      </w:r>
      <w:r w:rsidR="00575C70">
        <w:rPr>
          <w:rFonts w:ascii="Times New Roman" w:eastAsia="Times New Roman" w:hAnsi="Times New Roman" w:cs="Times New Roman"/>
          <w:szCs w:val="20"/>
        </w:rPr>
        <w:t>Xiltess</w:t>
      </w:r>
      <w:r w:rsidRPr="009449B0">
        <w:rPr>
          <w:rFonts w:ascii="Times New Roman" w:eastAsia="Times New Roman" w:hAnsi="Times New Roman" w:cs="Times New Roman"/>
          <w:szCs w:val="20"/>
        </w:rPr>
        <w:t xml:space="preserve"> buvo panašūs į tuos, kurie stebėti suaugusiesiems ir buvo lengvi arba vidutinio sunkumo</w:t>
      </w:r>
      <w:r w:rsidRPr="009449B0">
        <w:rPr>
          <w:rFonts w:ascii="Times New Roman" w:eastAsia="Times New Roman" w:hAnsi="Times New Roman" w:cs="Times New Roman"/>
        </w:rPr>
        <w:t xml:space="preserve">. </w:t>
      </w:r>
    </w:p>
    <w:p w14:paraId="7687D3C1"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3D394AA" w14:textId="77777777"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Šalutinio poveikio reiškiniai, kurie dažniau pastebėti vaikams ir paaugliams: </w:t>
      </w:r>
    </w:p>
    <w:p w14:paraId="76FB2561"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BD60276" w14:textId="5EA5943F"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Labai dažni šalutinio poveikio reiškiniai </w:t>
      </w:r>
      <w:r w:rsidRPr="009449B0">
        <w:rPr>
          <w:rFonts w:ascii="Times New Roman" w:eastAsia="Times New Roman" w:hAnsi="Times New Roman" w:cs="Times New Roman"/>
        </w:rPr>
        <w:t xml:space="preserve">(gali pasireikšti </w:t>
      </w:r>
      <w:r w:rsidR="001F6267">
        <w:rPr>
          <w:rFonts w:ascii="Times New Roman" w:eastAsia="Times New Roman" w:hAnsi="Times New Roman" w:cs="Times New Roman"/>
        </w:rPr>
        <w:t xml:space="preserve">ne </w:t>
      </w:r>
      <w:r w:rsidRPr="009449B0">
        <w:rPr>
          <w:rFonts w:ascii="Times New Roman" w:eastAsia="Times New Roman" w:hAnsi="Times New Roman" w:cs="Times New Roman"/>
        </w:rPr>
        <w:t xml:space="preserve">rečiau kaip 1 iš 10 asmenų): </w:t>
      </w:r>
    </w:p>
    <w:p w14:paraId="7C292508"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galvos skausmas;</w:t>
      </w:r>
    </w:p>
    <w:p w14:paraId="517E9EA3"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karščiavimas; </w:t>
      </w:r>
    </w:p>
    <w:p w14:paraId="0198C170"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iš nosies; </w:t>
      </w:r>
    </w:p>
    <w:p w14:paraId="5C41A09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pykinimas.</w:t>
      </w:r>
    </w:p>
    <w:p w14:paraId="5CBA4520" w14:textId="77777777" w:rsidR="009449B0" w:rsidRPr="009449B0" w:rsidRDefault="009449B0" w:rsidP="009449B0">
      <w:pPr>
        <w:tabs>
          <w:tab w:val="left" w:pos="567"/>
        </w:tabs>
        <w:spacing w:after="0" w:line="240" w:lineRule="auto"/>
        <w:ind w:left="567" w:right="-29"/>
        <w:contextualSpacing/>
        <w:rPr>
          <w:rFonts w:ascii="Times New Roman" w:eastAsia="Times New Roman" w:hAnsi="Times New Roman" w:cs="Times New Roman"/>
          <w:szCs w:val="20"/>
          <w:lang w:eastAsia="lt-LT" w:bidi="lt-LT"/>
        </w:rPr>
      </w:pPr>
    </w:p>
    <w:p w14:paraId="70FACF7D" w14:textId="279BE938"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b/>
        </w:rPr>
        <w:t xml:space="preserve">Dažni šalutinio poveikio reiškiniai </w:t>
      </w:r>
      <w:r w:rsidRPr="009449B0">
        <w:rPr>
          <w:rFonts w:ascii="Times New Roman" w:eastAsia="Times New Roman" w:hAnsi="Times New Roman" w:cs="Times New Roman"/>
        </w:rPr>
        <w:t xml:space="preserve">(gali pasireikšti </w:t>
      </w:r>
      <w:r w:rsidR="001F6267">
        <w:rPr>
          <w:rFonts w:ascii="Times New Roman" w:eastAsia="Times New Roman" w:hAnsi="Times New Roman" w:cs="Times New Roman"/>
        </w:rPr>
        <w:t xml:space="preserve">rečiau kaip </w:t>
      </w:r>
      <w:r w:rsidRPr="009449B0">
        <w:rPr>
          <w:rFonts w:ascii="Times New Roman" w:eastAsia="Times New Roman" w:hAnsi="Times New Roman" w:cs="Times New Roman"/>
        </w:rPr>
        <w:t>1 iš 10 asmenų):</w:t>
      </w:r>
    </w:p>
    <w:p w14:paraId="60F6D9B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pagreitėjęs širdies ritmas; </w:t>
      </w:r>
    </w:p>
    <w:p w14:paraId="790AD2C9"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kraujo tyrimai gali parodyti bilirubino (tulžies pigmento) padidėjimą;</w:t>
      </w:r>
    </w:p>
    <w:p w14:paraId="2F4567A6"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trombocitopenija (mažas kiekis trombocitų, kurie skatina kraujo krešėjimą);</w:t>
      </w:r>
    </w:p>
    <w:p w14:paraId="14A6243F"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gausus kraujavimas per mėnesines.</w:t>
      </w:r>
    </w:p>
    <w:p w14:paraId="44C94FAA" w14:textId="25A973E1" w:rsidR="009449B0" w:rsidRPr="009449B0" w:rsidRDefault="009449B0" w:rsidP="002D506B">
      <w:pPr>
        <w:tabs>
          <w:tab w:val="left" w:pos="567"/>
        </w:tabs>
        <w:spacing w:after="0" w:line="240" w:lineRule="auto"/>
        <w:ind w:right="-29"/>
        <w:contextualSpacing/>
        <w:rPr>
          <w:rFonts w:ascii="Times New Roman" w:eastAsia="Times New Roman" w:hAnsi="Times New Roman" w:cs="Times New Roman"/>
          <w:szCs w:val="20"/>
          <w:lang w:eastAsia="lt-LT" w:bidi="lt-LT"/>
        </w:rPr>
      </w:pPr>
    </w:p>
    <w:p w14:paraId="7A02113C" w14:textId="3FA41ABC" w:rsidR="009449B0" w:rsidRPr="009449B0" w:rsidRDefault="001F6267" w:rsidP="009449B0">
      <w:p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rPr>
        <w:t>Nedažni</w:t>
      </w:r>
      <w:r w:rsidRPr="009449B0">
        <w:rPr>
          <w:rFonts w:ascii="Times New Roman" w:eastAsia="Times New Roman" w:hAnsi="Times New Roman" w:cs="Times New Roman"/>
          <w:b/>
        </w:rPr>
        <w:t xml:space="preserve"> </w:t>
      </w:r>
      <w:r w:rsidR="009449B0" w:rsidRPr="009449B0">
        <w:rPr>
          <w:rFonts w:ascii="Times New Roman" w:eastAsia="Times New Roman" w:hAnsi="Times New Roman" w:cs="Times New Roman"/>
          <w:b/>
        </w:rPr>
        <w:t xml:space="preserve">šalutinio poveikio reiškiniai </w:t>
      </w:r>
      <w:r w:rsidR="009449B0" w:rsidRPr="009449B0">
        <w:rPr>
          <w:rFonts w:ascii="Times New Roman" w:eastAsia="Times New Roman" w:hAnsi="Times New Roman" w:cs="Times New Roman"/>
        </w:rPr>
        <w:t xml:space="preserve">(gali pasireikšti </w:t>
      </w:r>
      <w:r>
        <w:rPr>
          <w:rFonts w:ascii="Times New Roman" w:eastAsia="Times New Roman" w:hAnsi="Times New Roman" w:cs="Times New Roman"/>
        </w:rPr>
        <w:t xml:space="preserve">rečiau kaip </w:t>
      </w:r>
      <w:r w:rsidR="009449B0" w:rsidRPr="009449B0">
        <w:rPr>
          <w:rFonts w:ascii="Times New Roman" w:eastAsia="Times New Roman" w:hAnsi="Times New Roman" w:cs="Times New Roman"/>
        </w:rPr>
        <w:t xml:space="preserve">1 iš 100 asmenų): </w:t>
      </w:r>
    </w:p>
    <w:p w14:paraId="3C5C1AE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parodyti tam tikrų bilirubino (tiesioginio bilirubino, tulžies pigmento) dalių padidėjimą. </w:t>
      </w:r>
    </w:p>
    <w:p w14:paraId="34806C7A" w14:textId="77777777" w:rsidR="009449B0" w:rsidRPr="009449B0" w:rsidRDefault="009449B0" w:rsidP="009449B0">
      <w:pPr>
        <w:tabs>
          <w:tab w:val="left" w:pos="567"/>
        </w:tabs>
        <w:snapToGrid w:val="0"/>
        <w:spacing w:after="0" w:line="240" w:lineRule="auto"/>
        <w:outlineLvl w:val="0"/>
        <w:rPr>
          <w:rFonts w:ascii="Times New Roman" w:eastAsia="Times New Roman" w:hAnsi="Times New Roman" w:cs="Times New Roman"/>
          <w:b/>
        </w:rPr>
      </w:pPr>
    </w:p>
    <w:p w14:paraId="3DCE6162" w14:textId="77777777" w:rsidR="009449B0" w:rsidRPr="00B514B4" w:rsidRDefault="009449B0" w:rsidP="009449B0">
      <w:pPr>
        <w:tabs>
          <w:tab w:val="left" w:pos="567"/>
        </w:tabs>
        <w:snapToGrid w:val="0"/>
        <w:spacing w:after="0" w:line="240" w:lineRule="auto"/>
        <w:outlineLvl w:val="0"/>
        <w:rPr>
          <w:rFonts w:ascii="Times New Roman" w:eastAsia="Times New Roman" w:hAnsi="Times New Roman" w:cs="Times New Roman"/>
          <w:b/>
        </w:rPr>
      </w:pPr>
      <w:r w:rsidRPr="00B514B4">
        <w:rPr>
          <w:rFonts w:ascii="Times New Roman" w:eastAsia="Times New Roman" w:hAnsi="Times New Roman" w:cs="Times New Roman"/>
          <w:b/>
        </w:rPr>
        <w:t>Pranešimas apie šalutinį poveikį</w:t>
      </w:r>
    </w:p>
    <w:p w14:paraId="317AB702" w14:textId="219273F0" w:rsidR="009449B0" w:rsidRPr="00B514B4" w:rsidRDefault="009449B0" w:rsidP="009449B0">
      <w:pPr>
        <w:tabs>
          <w:tab w:val="left" w:pos="567"/>
        </w:tabs>
        <w:snapToGrid w:val="0"/>
        <w:spacing w:after="0" w:line="240" w:lineRule="auto"/>
        <w:rPr>
          <w:rFonts w:ascii="Times New Roman" w:eastAsia="Times New Roman" w:hAnsi="Times New Roman" w:cs="Times New Roman"/>
        </w:rPr>
      </w:pPr>
      <w:r w:rsidRPr="00B514B4">
        <w:rPr>
          <w:rFonts w:ascii="Times New Roman" w:eastAsia="Times New Roman" w:hAnsi="Times New Roman" w:cs="Times New Roman"/>
          <w:color w:val="000000"/>
        </w:rPr>
        <w:t xml:space="preserve">Jeigu pasireiškė šalutinis poveikis, įskaitant šiame lapelyje nenurodytą, pasakykite gydytojui arba vaistininkui. </w:t>
      </w:r>
      <w:r w:rsidR="00B514B4" w:rsidRPr="005A432D">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B514B4" w:rsidRPr="005A432D">
        <w:rPr>
          <w:rFonts w:ascii="Times New Roman" w:hAnsi="Times New Roman" w:cs="Times New Roman"/>
          <w:color w:val="0000EE"/>
          <w:u w:val="single"/>
          <w:lang w:eastAsia="lt-LT"/>
        </w:rPr>
        <w:t>https://vvkt.lrv.lt/lt/</w:t>
      </w:r>
      <w:r w:rsidR="00B514B4" w:rsidRPr="005A432D">
        <w:rPr>
          <w:rFonts w:ascii="Times New Roman" w:hAnsi="Times New Roman" w:cs="Times New Roman"/>
          <w:lang w:eastAsia="lt-LT"/>
        </w:rPr>
        <w:t xml:space="preserve"> nurodytais būdais arba paskambinti nemokamu telefonu </w:t>
      </w:r>
      <w:r w:rsidR="00B514B4">
        <w:rPr>
          <w:rFonts w:ascii="Times New Roman" w:hAnsi="Times New Roman" w:cs="Times New Roman"/>
          <w:lang w:eastAsia="lt-LT"/>
        </w:rPr>
        <w:t>+370</w:t>
      </w:r>
      <w:r w:rsidR="00B514B4" w:rsidRPr="005A432D">
        <w:rPr>
          <w:rFonts w:ascii="Times New Roman" w:hAnsi="Times New Roman" w:cs="Times New Roman"/>
          <w:lang w:eastAsia="lt-LT"/>
        </w:rPr>
        <w:t xml:space="preserve"> 800 73 568. Pranešdami apie šalutinį poveikį galite mums padėti gauti daugiau informacijos apie šio vaisto saugumą</w:t>
      </w:r>
      <w:r w:rsidR="00B514B4" w:rsidRPr="005A432D">
        <w:rPr>
          <w:rFonts w:ascii="Times New Roman" w:hAnsi="Times New Roman" w:cs="Times New Roman"/>
        </w:rPr>
        <w:t>.</w:t>
      </w:r>
    </w:p>
    <w:p w14:paraId="4BCB895D" w14:textId="294909A3" w:rsidR="009449B0" w:rsidRDefault="009449B0" w:rsidP="009449B0">
      <w:pPr>
        <w:tabs>
          <w:tab w:val="left" w:pos="567"/>
        </w:tabs>
        <w:snapToGrid w:val="0"/>
        <w:spacing w:after="0" w:line="240" w:lineRule="auto"/>
        <w:rPr>
          <w:rFonts w:ascii="Times New Roman" w:eastAsia="Times New Roman" w:hAnsi="Times New Roman" w:cs="Times New Roman"/>
        </w:rPr>
      </w:pPr>
    </w:p>
    <w:p w14:paraId="72038755" w14:textId="77777777" w:rsidR="009159A6" w:rsidRPr="009449B0" w:rsidRDefault="009159A6" w:rsidP="009449B0">
      <w:pPr>
        <w:tabs>
          <w:tab w:val="left" w:pos="567"/>
        </w:tabs>
        <w:snapToGrid w:val="0"/>
        <w:spacing w:after="0" w:line="240" w:lineRule="auto"/>
        <w:rPr>
          <w:rFonts w:ascii="Times New Roman" w:eastAsia="Times New Roman" w:hAnsi="Times New Roman" w:cs="Times New Roman"/>
        </w:rPr>
      </w:pPr>
    </w:p>
    <w:p w14:paraId="5A61931E" w14:textId="368EC1D0" w:rsidR="009449B0" w:rsidRPr="009449B0" w:rsidRDefault="009449B0" w:rsidP="009449B0">
      <w:pPr>
        <w:keepNext/>
        <w:numPr>
          <w:ilvl w:val="3"/>
          <w:numId w:val="20"/>
        </w:numPr>
        <w:tabs>
          <w:tab w:val="left" w:pos="567"/>
        </w:tabs>
        <w:snapToGrid w:val="0"/>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b/>
          <w:lang w:eastAsia="lt-LT" w:bidi="lt-LT"/>
        </w:rPr>
        <w:t xml:space="preserve">Kaip laikyti </w:t>
      </w:r>
      <w:r w:rsidR="00575C70">
        <w:rPr>
          <w:rFonts w:ascii="Times New Roman" w:eastAsia="Times New Roman" w:hAnsi="Times New Roman" w:cs="Times New Roman"/>
          <w:b/>
          <w:lang w:eastAsia="lt-LT" w:bidi="lt-LT"/>
        </w:rPr>
        <w:t>Xiltess</w:t>
      </w:r>
    </w:p>
    <w:p w14:paraId="6C55DA09"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49A79F1"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Šį vaistą laikykite vaikams nepastebimoje ir nepasiekiamoje vietoje.</w:t>
      </w:r>
    </w:p>
    <w:p w14:paraId="2544D0F8"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5C117955"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Ant dėžutės po „EXP“ nurodytam tinkamumo laikui pasibaigus, šio vaisto vartoti negalima. Vaistas tinkamas vartoti iki paskutinės nurodyto mėnesio dienos.</w:t>
      </w:r>
    </w:p>
    <w:p w14:paraId="25689769"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8854F57"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color w:val="000000"/>
          <w:lang w:eastAsia="lt-LT" w:bidi="lt-LT"/>
        </w:rPr>
      </w:pPr>
      <w:r w:rsidRPr="009449B0">
        <w:rPr>
          <w:rFonts w:ascii="Times New Roman" w:eastAsia="Times New Roman" w:hAnsi="Times New Roman" w:cs="Times New Roman"/>
          <w:color w:val="000000"/>
          <w:lang w:eastAsia="lt-LT" w:bidi="lt-LT"/>
        </w:rPr>
        <w:lastRenderedPageBreak/>
        <w:t>Laikyti gamintojo pakuotėje, kad vaistas būtų apsaugotas nuo drėgmės.</w:t>
      </w:r>
    </w:p>
    <w:p w14:paraId="6D419F49"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szCs w:val="20"/>
        </w:rPr>
        <w:t>Šio vaisto laikymui specialių temperatūros sąlygų nereikalaujama.</w:t>
      </w:r>
    </w:p>
    <w:p w14:paraId="098895D4" w14:textId="77777777" w:rsidR="009449B0" w:rsidRPr="009449B0" w:rsidRDefault="009449B0" w:rsidP="009449B0">
      <w:pPr>
        <w:tabs>
          <w:tab w:val="left" w:pos="720"/>
        </w:tabs>
        <w:snapToGrid w:val="0"/>
        <w:spacing w:after="0" w:line="240" w:lineRule="auto"/>
        <w:ind w:right="-2"/>
        <w:rPr>
          <w:rFonts w:ascii="Times New Roman" w:eastAsia="Times New Roman" w:hAnsi="Times New Roman" w:cs="Times New Roman"/>
          <w:u w:val="single"/>
        </w:rPr>
      </w:pPr>
    </w:p>
    <w:p w14:paraId="57E8A57B" w14:textId="77777777" w:rsidR="009449B0" w:rsidRPr="009449B0" w:rsidRDefault="009449B0" w:rsidP="009449B0">
      <w:pPr>
        <w:tabs>
          <w:tab w:val="left" w:pos="720"/>
        </w:tabs>
        <w:snapToGrid w:val="0"/>
        <w:spacing w:after="0" w:line="240" w:lineRule="auto"/>
        <w:ind w:right="-2"/>
        <w:rPr>
          <w:rFonts w:ascii="Times New Roman" w:eastAsia="Times New Roman" w:hAnsi="Times New Roman" w:cs="Times New Roman"/>
          <w:u w:val="single"/>
        </w:rPr>
      </w:pPr>
      <w:r w:rsidRPr="009449B0">
        <w:rPr>
          <w:rFonts w:ascii="Times New Roman" w:eastAsia="Times New Roman" w:hAnsi="Times New Roman" w:cs="Times New Roman"/>
          <w:u w:val="single"/>
        </w:rPr>
        <w:t>Sutraiškytos tabletės</w:t>
      </w:r>
    </w:p>
    <w:p w14:paraId="132133C2" w14:textId="77777777" w:rsidR="009449B0" w:rsidRPr="009449B0" w:rsidRDefault="009449B0" w:rsidP="009449B0">
      <w:pPr>
        <w:tabs>
          <w:tab w:val="left" w:pos="720"/>
        </w:tabs>
        <w:snapToGrid w:val="0"/>
        <w:spacing w:after="0" w:line="240" w:lineRule="auto"/>
        <w:ind w:right="-2"/>
        <w:rPr>
          <w:rFonts w:ascii="Times New Roman" w:eastAsia="Times New Roman" w:hAnsi="Times New Roman" w:cs="Times New Roman"/>
        </w:rPr>
      </w:pPr>
      <w:r w:rsidRPr="009449B0">
        <w:rPr>
          <w:rFonts w:ascii="Times New Roman" w:eastAsia="Times New Roman" w:hAnsi="Times New Roman" w:cs="Times New Roman"/>
          <w:szCs w:val="20"/>
        </w:rPr>
        <w:t>Sutraiškytos</w:t>
      </w:r>
      <w:r w:rsidRPr="009449B0">
        <w:rPr>
          <w:rFonts w:ascii="Times New Roman" w:eastAsia="Times New Roman" w:hAnsi="Times New Roman" w:cs="Times New Roman"/>
        </w:rPr>
        <w:t xml:space="preserve"> tabletės išlieka stabilios vandenyje arba obuolių tyrėje iki 4 valandų.</w:t>
      </w:r>
    </w:p>
    <w:p w14:paraId="7BCB454E" w14:textId="77777777" w:rsidR="009449B0" w:rsidRPr="009449B0" w:rsidRDefault="009449B0" w:rsidP="009449B0">
      <w:pPr>
        <w:tabs>
          <w:tab w:val="left" w:pos="720"/>
        </w:tabs>
        <w:snapToGrid w:val="0"/>
        <w:spacing w:after="0" w:line="240" w:lineRule="auto"/>
        <w:ind w:right="-2"/>
        <w:rPr>
          <w:rFonts w:ascii="Times New Roman" w:eastAsia="Times New Roman" w:hAnsi="Times New Roman" w:cs="Times New Roman"/>
        </w:rPr>
      </w:pPr>
    </w:p>
    <w:p w14:paraId="402ECB81"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i/>
          <w:iCs/>
          <w:color w:val="000000"/>
          <w:lang w:eastAsia="lt-LT" w:bidi="lt-LT"/>
        </w:rPr>
      </w:pPr>
      <w:r w:rsidRPr="009449B0">
        <w:rPr>
          <w:rFonts w:ascii="Times New Roman" w:eastAsia="Times New Roman" w:hAnsi="Times New Roman" w:cs="Times New Roman"/>
          <w:color w:val="000000"/>
          <w:lang w:eastAsia="lt-LT" w:bidi="lt-LT"/>
        </w:rPr>
        <w:t>Vaistų negalima išmesti į kanalizaciją arba su buitinėmis atliekomis. Kaip išmesti nereikalingus vaistus, klauskite vaistininko. Šios priemonės padės apsaugoti aplinką.</w:t>
      </w:r>
    </w:p>
    <w:p w14:paraId="5E41EB9A"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21F867B0"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51AE7E43" w14:textId="77777777" w:rsidR="009449B0" w:rsidRPr="009449B0" w:rsidRDefault="009449B0" w:rsidP="009449B0">
      <w:pPr>
        <w:keepNext/>
        <w:numPr>
          <w:ilvl w:val="3"/>
          <w:numId w:val="20"/>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Pakuotės turinys ir kita informacija</w:t>
      </w:r>
    </w:p>
    <w:p w14:paraId="2E2EBA71" w14:textId="77777777" w:rsidR="009449B0" w:rsidRPr="009449B0" w:rsidRDefault="009449B0" w:rsidP="009449B0">
      <w:pPr>
        <w:keepNext/>
        <w:tabs>
          <w:tab w:val="left" w:pos="720"/>
        </w:tabs>
        <w:snapToGrid w:val="0"/>
        <w:spacing w:after="0" w:line="240" w:lineRule="auto"/>
        <w:rPr>
          <w:rFonts w:ascii="Times New Roman" w:eastAsia="Times New Roman" w:hAnsi="Times New Roman" w:cs="Times New Roman"/>
        </w:rPr>
      </w:pPr>
    </w:p>
    <w:p w14:paraId="51B33C51" w14:textId="38E123D4" w:rsidR="009449B0" w:rsidRPr="009449B0" w:rsidRDefault="00575C70" w:rsidP="009449B0">
      <w:pPr>
        <w:tabs>
          <w:tab w:val="left" w:pos="720"/>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Xiltess</w:t>
      </w:r>
      <w:r w:rsidR="009449B0" w:rsidRPr="009449B0">
        <w:rPr>
          <w:rFonts w:ascii="Times New Roman" w:eastAsia="Times New Roman" w:hAnsi="Times New Roman" w:cs="Times New Roman"/>
          <w:b/>
        </w:rPr>
        <w:t xml:space="preserve"> sudėtis </w:t>
      </w:r>
    </w:p>
    <w:p w14:paraId="641DE343" w14:textId="77777777" w:rsidR="009449B0" w:rsidRPr="009449B0" w:rsidRDefault="009449B0" w:rsidP="009449B0">
      <w:pPr>
        <w:keepNext/>
        <w:numPr>
          <w:ilvl w:val="0"/>
          <w:numId w:val="5"/>
        </w:numPr>
        <w:tabs>
          <w:tab w:val="left" w:pos="720"/>
        </w:tabs>
        <w:snapToGrid w:val="0"/>
        <w:spacing w:after="0" w:line="240" w:lineRule="auto"/>
        <w:ind w:left="567" w:hanging="567"/>
        <w:rPr>
          <w:rFonts w:ascii="Times New Roman" w:eastAsia="Times New Roman" w:hAnsi="Times New Roman" w:cs="Times New Roman"/>
          <w:i/>
          <w:iCs/>
        </w:rPr>
      </w:pPr>
      <w:r w:rsidRPr="009449B0">
        <w:rPr>
          <w:rFonts w:ascii="Times New Roman" w:eastAsia="Times New Roman" w:hAnsi="Times New Roman" w:cs="Times New Roman"/>
        </w:rPr>
        <w:t>Veiklioji  medžiaga yra rivaroksabanas. Kiekvienoje plėvele dengtoje tabletėje yra 15 mg arba 20 mg rivaroksabano.</w:t>
      </w:r>
    </w:p>
    <w:p w14:paraId="69A47A7F" w14:textId="77777777" w:rsidR="009449B0" w:rsidRPr="009449B0" w:rsidRDefault="009449B0" w:rsidP="009449B0">
      <w:pPr>
        <w:keepNext/>
        <w:numPr>
          <w:ilvl w:val="0"/>
          <w:numId w:val="5"/>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Pagalbinės medžiagos yra:</w:t>
      </w:r>
    </w:p>
    <w:p w14:paraId="65FC4F53" w14:textId="77777777" w:rsidR="009449B0" w:rsidRPr="009449B0" w:rsidRDefault="009449B0" w:rsidP="009449B0">
      <w:pPr>
        <w:numPr>
          <w:ilvl w:val="0"/>
          <w:numId w:val="8"/>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tabletės šerdis: mikrokristalinė celiuliozė, kroskarmeliozės natrio druska, hidroksipropilceliuliozė, natrio laurilsulfatas, magnio stearatas, koloidinis silicio dioksidas, bevandenis.</w:t>
      </w:r>
    </w:p>
    <w:p w14:paraId="1B7C004A" w14:textId="0CB2252E" w:rsidR="009449B0" w:rsidRPr="009449B0" w:rsidRDefault="009449B0" w:rsidP="009449B0">
      <w:pPr>
        <w:numPr>
          <w:ilvl w:val="0"/>
          <w:numId w:val="8"/>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plėvelė: hipromeliozė 3 cPs (E464), makrogolis 3350 (E1521), talkas (E553b),</w:t>
      </w:r>
      <w:r w:rsidR="009159A6">
        <w:rPr>
          <w:rFonts w:ascii="Times New Roman" w:eastAsia="Times New Roman" w:hAnsi="Times New Roman" w:cs="Times New Roman"/>
          <w:lang w:eastAsia="lt-LT" w:bidi="lt-LT"/>
        </w:rPr>
        <w:t xml:space="preserve"> </w:t>
      </w:r>
      <w:r w:rsidRPr="009449B0">
        <w:rPr>
          <w:rFonts w:ascii="Times New Roman" w:eastAsia="Times New Roman" w:hAnsi="Times New Roman" w:cs="Times New Roman"/>
          <w:lang w:eastAsia="lt-LT" w:bidi="lt-LT"/>
        </w:rPr>
        <w:t>titano dioksidas (E171), raudonasis geležies oksidas (E172).</w:t>
      </w:r>
    </w:p>
    <w:p w14:paraId="7F23E840"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1F91E97F" w14:textId="1572AFBE" w:rsidR="009449B0" w:rsidRPr="009449B0" w:rsidRDefault="00575C70" w:rsidP="009449B0">
      <w:pPr>
        <w:tabs>
          <w:tab w:val="left" w:pos="720"/>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Xiltess</w:t>
      </w:r>
      <w:r w:rsidR="009449B0" w:rsidRPr="009449B0">
        <w:rPr>
          <w:rFonts w:ascii="Times New Roman" w:eastAsia="Times New Roman" w:hAnsi="Times New Roman" w:cs="Times New Roman"/>
          <w:b/>
        </w:rPr>
        <w:t xml:space="preserve"> išvaizda ir kiekis pakuotėje</w:t>
      </w:r>
    </w:p>
    <w:p w14:paraId="3BB7658F"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05BFF02D" w14:textId="15A26329" w:rsidR="009449B0" w:rsidRPr="009449B0" w:rsidRDefault="00575C70" w:rsidP="009449B0">
      <w:pPr>
        <w:tabs>
          <w:tab w:val="left" w:pos="720"/>
        </w:tabs>
        <w:snapToGrid w:val="0"/>
        <w:spacing w:after="0" w:line="240" w:lineRule="auto"/>
        <w:rPr>
          <w:rFonts w:ascii="Times New Roman" w:eastAsia="Times New Roman" w:hAnsi="Times New Roman" w:cs="Times New Roman"/>
        </w:rPr>
      </w:pPr>
      <w:r w:rsidRPr="002D506B">
        <w:rPr>
          <w:rFonts w:ascii="Times New Roman" w:eastAsia="Times New Roman" w:hAnsi="Times New Roman" w:cs="Times New Roman"/>
          <w:u w:val="single"/>
        </w:rPr>
        <w:t>Xiltess</w:t>
      </w:r>
      <w:r w:rsidR="009449B0" w:rsidRPr="002D506B">
        <w:rPr>
          <w:rFonts w:ascii="Times New Roman" w:eastAsia="Times New Roman" w:hAnsi="Times New Roman" w:cs="Times New Roman"/>
          <w:u w:val="single"/>
        </w:rPr>
        <w:t xml:space="preserve"> 15 mg plėvele dengtos tabletės</w:t>
      </w:r>
      <w:r w:rsidR="009449B0" w:rsidRPr="009449B0">
        <w:rPr>
          <w:rFonts w:ascii="Times New Roman" w:eastAsia="Times New Roman" w:hAnsi="Times New Roman" w:cs="Times New Roman"/>
        </w:rPr>
        <w:t xml:space="preserve">: apvalios, abipus išgaubtos, rausvai rudos </w:t>
      </w:r>
      <w:r>
        <w:rPr>
          <w:rFonts w:ascii="Times New Roman" w:eastAsia="Times New Roman" w:hAnsi="Times New Roman" w:cs="Times New Roman"/>
        </w:rPr>
        <w:t xml:space="preserve">spalvos </w:t>
      </w:r>
      <w:r w:rsidR="009449B0" w:rsidRPr="009449B0">
        <w:rPr>
          <w:rFonts w:ascii="Times New Roman" w:eastAsia="Times New Roman" w:hAnsi="Times New Roman" w:cs="Times New Roman"/>
        </w:rPr>
        <w:t>plėvele dengtos tabletės, maždaug 8,1</w:t>
      </w:r>
      <w:r w:rsidR="00B36596">
        <w:rPr>
          <w:rFonts w:ascii="Times New Roman" w:eastAsia="Times New Roman" w:hAnsi="Times New Roman" w:cs="Times New Roman"/>
        </w:rPr>
        <w:t> </w:t>
      </w:r>
      <w:r w:rsidR="009449B0" w:rsidRPr="009449B0">
        <w:rPr>
          <w:rFonts w:ascii="Times New Roman" w:eastAsia="Times New Roman" w:hAnsi="Times New Roman" w:cs="Times New Roman"/>
        </w:rPr>
        <w:t>mm skersmens, su užrašu E843 vienoje pusėje, kita pusė lygi.</w:t>
      </w:r>
    </w:p>
    <w:p w14:paraId="2F6D9DEE" w14:textId="11C2CC9A" w:rsidR="009449B0" w:rsidRPr="009449B0" w:rsidRDefault="00575C70" w:rsidP="009449B0">
      <w:pPr>
        <w:tabs>
          <w:tab w:val="left" w:pos="720"/>
        </w:tabs>
        <w:snapToGrid w:val="0"/>
        <w:spacing w:after="0" w:line="240" w:lineRule="auto"/>
        <w:rPr>
          <w:rFonts w:ascii="Times New Roman" w:eastAsia="Times New Roman" w:hAnsi="Times New Roman" w:cs="Times New Roman"/>
        </w:rPr>
      </w:pPr>
      <w:r w:rsidRPr="002D506B">
        <w:rPr>
          <w:rFonts w:ascii="Times New Roman" w:eastAsia="Times New Roman" w:hAnsi="Times New Roman" w:cs="Times New Roman"/>
          <w:u w:val="single"/>
        </w:rPr>
        <w:t>Xiltess</w:t>
      </w:r>
      <w:r w:rsidR="009449B0" w:rsidRPr="002D506B">
        <w:rPr>
          <w:rFonts w:ascii="Times New Roman" w:eastAsia="Times New Roman" w:hAnsi="Times New Roman" w:cs="Times New Roman"/>
          <w:u w:val="single"/>
        </w:rPr>
        <w:t xml:space="preserve"> 20 mg plėvele dengtos tabletės</w:t>
      </w:r>
      <w:r w:rsidR="009449B0" w:rsidRPr="009449B0">
        <w:rPr>
          <w:rFonts w:ascii="Times New Roman" w:eastAsia="Times New Roman" w:hAnsi="Times New Roman" w:cs="Times New Roman"/>
        </w:rPr>
        <w:t xml:space="preserve">: apvalios, abipus išgaubtos, rudos </w:t>
      </w:r>
      <w:r>
        <w:rPr>
          <w:rFonts w:ascii="Times New Roman" w:eastAsia="Times New Roman" w:hAnsi="Times New Roman" w:cs="Times New Roman"/>
        </w:rPr>
        <w:t xml:space="preserve">spalvos </w:t>
      </w:r>
      <w:r w:rsidR="009449B0" w:rsidRPr="009449B0">
        <w:rPr>
          <w:rFonts w:ascii="Times New Roman" w:eastAsia="Times New Roman" w:hAnsi="Times New Roman" w:cs="Times New Roman"/>
        </w:rPr>
        <w:t>plėvele dengtos tabletės, maždaug 9,1</w:t>
      </w:r>
      <w:r w:rsidR="00B36596">
        <w:rPr>
          <w:rFonts w:ascii="Times New Roman" w:eastAsia="Times New Roman" w:hAnsi="Times New Roman" w:cs="Times New Roman"/>
        </w:rPr>
        <w:t> </w:t>
      </w:r>
      <w:r w:rsidR="009449B0" w:rsidRPr="009449B0">
        <w:rPr>
          <w:rFonts w:ascii="Times New Roman" w:eastAsia="Times New Roman" w:hAnsi="Times New Roman" w:cs="Times New Roman"/>
        </w:rPr>
        <w:t>mm skersmens, su užrašu E844 vienoje pusėje, kita pusė lygi.</w:t>
      </w:r>
    </w:p>
    <w:p w14:paraId="1B50740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bCs/>
          <w:i/>
        </w:rPr>
      </w:pPr>
    </w:p>
    <w:p w14:paraId="7880E039" w14:textId="6A53C521" w:rsidR="009449B0" w:rsidRPr="009449B0" w:rsidRDefault="00575C70" w:rsidP="009449B0">
      <w:pPr>
        <w:tabs>
          <w:tab w:val="left" w:pos="720"/>
        </w:tabs>
        <w:snapToGri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Xiltess</w:t>
      </w:r>
      <w:r w:rsidR="009449B0" w:rsidRPr="009449B0">
        <w:rPr>
          <w:rFonts w:ascii="Times New Roman" w:eastAsia="Times New Roman" w:hAnsi="Times New Roman" w:cs="Times New Roman"/>
          <w:b/>
          <w:bCs/>
        </w:rPr>
        <w:t xml:space="preserve"> 15 mg plėvele dengtos tabletės </w:t>
      </w:r>
    </w:p>
    <w:p w14:paraId="0326F22E"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OPA/Al/PVC//Al</w:t>
      </w:r>
      <w:r w:rsidRPr="009449B0">
        <w:rPr>
          <w:rFonts w:ascii="Times New Roman" w:eastAsia="Times New Roman" w:hAnsi="Times New Roman" w:cs="Times New Roman"/>
          <w:b/>
          <w:bCs/>
        </w:rPr>
        <w:t xml:space="preserve"> </w:t>
      </w:r>
      <w:r w:rsidRPr="009449B0">
        <w:rPr>
          <w:rFonts w:ascii="Times New Roman" w:eastAsia="Times New Roman" w:hAnsi="Times New Roman" w:cs="Times New Roman"/>
        </w:rPr>
        <w:t>lizdinės plokštelės sulankstomose kartono dėžutėse po 28, 42, 98 arba 100 plėvele dengtų tablečių.</w:t>
      </w:r>
    </w:p>
    <w:p w14:paraId="082591C7" w14:textId="6A233BD1" w:rsidR="009449B0" w:rsidRPr="009449B0" w:rsidRDefault="00575C70" w:rsidP="009449B0">
      <w:pPr>
        <w:tabs>
          <w:tab w:val="left" w:pos="720"/>
        </w:tabs>
        <w:snapToGri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Xiltess</w:t>
      </w:r>
      <w:r w:rsidR="009449B0" w:rsidRPr="009449B0">
        <w:rPr>
          <w:rFonts w:ascii="Times New Roman" w:eastAsia="Times New Roman" w:hAnsi="Times New Roman" w:cs="Times New Roman"/>
          <w:b/>
          <w:bCs/>
        </w:rPr>
        <w:t xml:space="preserve"> 20 mg plėvele dengtos tabletės </w:t>
      </w:r>
    </w:p>
    <w:p w14:paraId="24562237"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OPA/Al/PVC//Al</w:t>
      </w:r>
      <w:r w:rsidRPr="009449B0">
        <w:rPr>
          <w:rFonts w:ascii="Times New Roman" w:eastAsia="Times New Roman" w:hAnsi="Times New Roman" w:cs="Times New Roman"/>
          <w:b/>
          <w:bCs/>
        </w:rPr>
        <w:t xml:space="preserve"> </w:t>
      </w:r>
      <w:r w:rsidRPr="009449B0">
        <w:rPr>
          <w:rFonts w:ascii="Times New Roman" w:eastAsia="Times New Roman" w:hAnsi="Times New Roman" w:cs="Times New Roman"/>
        </w:rPr>
        <w:t>lizdinės plokštelės sulankstomose kartono dėžutėse po 28, 98 arba 100 plėvele dengtų tablečių.</w:t>
      </w:r>
    </w:p>
    <w:p w14:paraId="176B54D1" w14:textId="77777777" w:rsidR="009449B0" w:rsidRPr="009449B0" w:rsidRDefault="009449B0" w:rsidP="009449B0">
      <w:pPr>
        <w:tabs>
          <w:tab w:val="left" w:pos="567"/>
        </w:tabs>
        <w:snapToGrid w:val="0"/>
        <w:spacing w:after="0" w:line="240" w:lineRule="auto"/>
        <w:rPr>
          <w:rFonts w:ascii="Times New Roman" w:eastAsia="Calibri" w:hAnsi="Times New Roman" w:cs="Times New Roman"/>
          <w:bCs/>
          <w:iCs/>
        </w:rPr>
      </w:pPr>
    </w:p>
    <w:p w14:paraId="0BA18D0A" w14:textId="77777777" w:rsidR="009449B0" w:rsidRPr="009449B0" w:rsidRDefault="009449B0" w:rsidP="009449B0">
      <w:pPr>
        <w:tabs>
          <w:tab w:val="left" w:pos="567"/>
        </w:tabs>
        <w:snapToGrid w:val="0"/>
        <w:spacing w:after="0" w:line="240" w:lineRule="auto"/>
        <w:rPr>
          <w:rFonts w:ascii="Times New Roman" w:eastAsia="Calibri" w:hAnsi="Times New Roman" w:cs="Times New Roman"/>
          <w:bCs/>
          <w:iCs/>
        </w:rPr>
      </w:pPr>
      <w:r w:rsidRPr="009449B0">
        <w:rPr>
          <w:rFonts w:ascii="Times New Roman" w:eastAsia="Calibri" w:hAnsi="Times New Roman" w:cs="Times New Roman"/>
          <w:bCs/>
          <w:iCs/>
        </w:rPr>
        <w:t xml:space="preserve">Vienoje lizdinėje plokštelė yra 10 arba 14 plėvele dengtų tablečių, priklausomai nuo pakuotės dydžio. </w:t>
      </w:r>
    </w:p>
    <w:p w14:paraId="4FAC6FD1" w14:textId="77777777" w:rsidR="009449B0" w:rsidRPr="009449B0" w:rsidRDefault="009449B0" w:rsidP="009449B0">
      <w:pPr>
        <w:tabs>
          <w:tab w:val="left" w:pos="567"/>
        </w:tabs>
        <w:snapToGrid w:val="0"/>
        <w:spacing w:after="0" w:line="240" w:lineRule="auto"/>
        <w:rPr>
          <w:rFonts w:ascii="Times New Roman" w:eastAsia="Calibri" w:hAnsi="Times New Roman" w:cs="Times New Roman"/>
          <w:bCs/>
          <w:i/>
        </w:rPr>
      </w:pPr>
    </w:p>
    <w:p w14:paraId="254A8972"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Gali būti tiekiamos ne visų dydžių pakuotės.</w:t>
      </w:r>
    </w:p>
    <w:p w14:paraId="37879469"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67554A3F" w14:textId="77777777" w:rsidR="009449B0" w:rsidRPr="009449B0" w:rsidRDefault="009449B0" w:rsidP="009449B0">
      <w:pPr>
        <w:keepNext/>
        <w:tabs>
          <w:tab w:val="left" w:pos="720"/>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Registruotojas ir gamintojas</w:t>
      </w:r>
    </w:p>
    <w:p w14:paraId="4E0E4560"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i/>
          <w:iCs/>
        </w:rPr>
      </w:pPr>
      <w:r w:rsidRPr="009449B0">
        <w:rPr>
          <w:rFonts w:ascii="Times New Roman" w:eastAsia="Times New Roman" w:hAnsi="Times New Roman" w:cs="Times New Roman"/>
          <w:i/>
          <w:iCs/>
        </w:rPr>
        <w:t>Registruotojas</w:t>
      </w:r>
    </w:p>
    <w:p w14:paraId="148862B2" w14:textId="49CB77D7" w:rsidR="009449B0" w:rsidRPr="009449B0" w:rsidRDefault="009449B0" w:rsidP="009449B0">
      <w:pPr>
        <w:autoSpaceDE w:val="0"/>
        <w:autoSpaceDN w:val="0"/>
        <w:adjustRightInd w:val="0"/>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Egis Pharmaceuticals PLC</w:t>
      </w:r>
    </w:p>
    <w:p w14:paraId="4F3F12F1"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1106 Budapest, Keresztúri út 30-38</w:t>
      </w:r>
    </w:p>
    <w:p w14:paraId="41C67DF1"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Vengrija</w:t>
      </w:r>
    </w:p>
    <w:p w14:paraId="76DA70F2"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52BF16C"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i/>
          <w:iCs/>
        </w:rPr>
        <w:t>Gamintoja</w:t>
      </w:r>
      <w:r w:rsidRPr="009449B0">
        <w:rPr>
          <w:rFonts w:ascii="Times New Roman" w:eastAsia="Times New Roman" w:hAnsi="Times New Roman" w:cs="Times New Roman"/>
        </w:rPr>
        <w:t>s</w:t>
      </w:r>
    </w:p>
    <w:p w14:paraId="71D9794C" w14:textId="1DC158EF" w:rsidR="009449B0" w:rsidRPr="009449B0" w:rsidRDefault="009449B0" w:rsidP="009449B0">
      <w:pPr>
        <w:autoSpaceDE w:val="0"/>
        <w:autoSpaceDN w:val="0"/>
        <w:adjustRightInd w:val="0"/>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 xml:space="preserve">Egis Pharmaceuticals PLC </w:t>
      </w:r>
    </w:p>
    <w:p w14:paraId="3F0F5A3C" w14:textId="77777777" w:rsidR="009449B0" w:rsidRPr="009449B0" w:rsidRDefault="009449B0" w:rsidP="009449B0">
      <w:pPr>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1165 Budapest, Bökényföldi út 118-120</w:t>
      </w:r>
    </w:p>
    <w:p w14:paraId="4B0592ED" w14:textId="0B14171C" w:rsidR="009449B0" w:rsidRPr="009449B0" w:rsidRDefault="00FC7F89" w:rsidP="009449B0">
      <w:pPr>
        <w:spacing w:after="0" w:line="240" w:lineRule="auto"/>
        <w:rPr>
          <w:rFonts w:ascii="Times New Roman" w:eastAsia="SimSun" w:hAnsi="Times New Roman" w:cs="Times New Roman"/>
          <w:color w:val="000000"/>
          <w:lang w:eastAsia="es-ES"/>
        </w:rPr>
      </w:pPr>
      <w:r>
        <w:rPr>
          <w:rFonts w:ascii="Times New Roman" w:eastAsia="Times New Roman" w:hAnsi="Times New Roman" w:cs="Times New Roman"/>
          <w:color w:val="000000"/>
        </w:rPr>
        <w:t>V</w:t>
      </w:r>
      <w:r w:rsidR="009449B0" w:rsidRPr="009449B0">
        <w:rPr>
          <w:rFonts w:ascii="Times New Roman" w:eastAsia="Times New Roman" w:hAnsi="Times New Roman" w:cs="Times New Roman"/>
          <w:color w:val="000000"/>
        </w:rPr>
        <w:t>engrija</w:t>
      </w:r>
    </w:p>
    <w:p w14:paraId="2FE273DA" w14:textId="77777777" w:rsidR="009449B0" w:rsidRPr="009449B0" w:rsidRDefault="009449B0" w:rsidP="009449B0">
      <w:pPr>
        <w:shd w:val="clear" w:color="auto" w:fill="FFFFFF"/>
        <w:tabs>
          <w:tab w:val="left" w:pos="567"/>
        </w:tabs>
        <w:snapToGrid w:val="0"/>
        <w:spacing w:after="0" w:line="240" w:lineRule="auto"/>
        <w:rPr>
          <w:rFonts w:ascii="Times New Roman" w:eastAsia="Times New Roman" w:hAnsi="Times New Roman" w:cs="Times New Roman"/>
          <w:color w:val="222222"/>
        </w:rPr>
      </w:pPr>
    </w:p>
    <w:p w14:paraId="1D833F4D"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Jeigu apie šį vaistą norite sužinoti daugiau, kreipkitės į vietinį registruotojo atstovą:</w:t>
      </w:r>
    </w:p>
    <w:p w14:paraId="30CA8825" w14:textId="3E94765A" w:rsidR="00694B06" w:rsidRPr="00694B06" w:rsidRDefault="00B043A5" w:rsidP="00694B06">
      <w:pPr>
        <w:tabs>
          <w:tab w:val="left" w:pos="720"/>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UAB </w:t>
      </w:r>
      <w:r w:rsidR="00694B06" w:rsidRPr="00694B06">
        <w:rPr>
          <w:rFonts w:ascii="Times New Roman" w:eastAsia="Times New Roman" w:hAnsi="Times New Roman" w:cs="Times New Roman"/>
        </w:rPr>
        <w:t xml:space="preserve">EGIS </w:t>
      </w:r>
      <w:r>
        <w:rPr>
          <w:rFonts w:ascii="Times New Roman" w:eastAsia="Times New Roman" w:hAnsi="Times New Roman" w:cs="Times New Roman"/>
        </w:rPr>
        <w:t>Lithuania</w:t>
      </w:r>
    </w:p>
    <w:p w14:paraId="02EDFC52" w14:textId="54F8470F" w:rsidR="009449B0" w:rsidRPr="009449B0" w:rsidRDefault="009449B0" w:rsidP="00694B0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Tel: (8 5) 23 14 658</w:t>
      </w:r>
    </w:p>
    <w:p w14:paraId="7EF5873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2C522AD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Šis vaistas Europos ekonominės erdvės valstybėse narėse registruotas tokiais pavadinimais:</w:t>
      </w:r>
    </w:p>
    <w:p w14:paraId="266AC6A3" w14:textId="77777777" w:rsidR="00575C70" w:rsidRPr="009449B0" w:rsidRDefault="00575C70" w:rsidP="009449B0">
      <w:pPr>
        <w:tabs>
          <w:tab w:val="left" w:pos="567"/>
        </w:tabs>
        <w:snapToGrid w:val="0"/>
        <w:spacing w:after="0" w:line="240" w:lineRule="auto"/>
        <w:ind w:hanging="567"/>
        <w:rPr>
          <w:rFonts w:ascii="Times New Roman" w:eastAsia="Times New Roman" w:hAnsi="Times New Roman" w:cs="Times New Roman"/>
        </w:rPr>
      </w:pPr>
      <w:r>
        <w:rPr>
          <w:rFonts w:ascii="Times New Roman" w:eastAsia="Times New Roman" w:hAnsi="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296"/>
      </w:tblGrid>
      <w:tr w:rsidR="00575C70" w:rsidRPr="007E69FC" w14:paraId="457DE4AC" w14:textId="77777777" w:rsidTr="002D506B">
        <w:tc>
          <w:tcPr>
            <w:tcW w:w="3256" w:type="dxa"/>
          </w:tcPr>
          <w:p w14:paraId="695334FA"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lastRenderedPageBreak/>
              <w:t>Nyderlandai</w:t>
            </w:r>
          </w:p>
        </w:tc>
        <w:tc>
          <w:tcPr>
            <w:tcW w:w="5296" w:type="dxa"/>
          </w:tcPr>
          <w:p w14:paraId="638020F9" w14:textId="7EF82C95" w:rsidR="00575C70" w:rsidRPr="007E69FC" w:rsidRDefault="00575C70" w:rsidP="002D506B">
            <w:pPr>
              <w:numPr>
                <w:ilvl w:val="12"/>
                <w:numId w:val="0"/>
              </w:numPr>
              <w:tabs>
                <w:tab w:val="left" w:pos="567"/>
              </w:tabs>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Xiltess</w:t>
            </w:r>
            <w:r w:rsidRPr="007E69FC">
              <w:rPr>
                <w:rFonts w:ascii="Times New Roman" w:eastAsia="Times New Roman" w:hAnsi="Times New Roman" w:cs="Times New Roman"/>
                <w:lang w:eastAsia="lt-LT"/>
              </w:rPr>
              <w:t xml:space="preserve"> 2,5 mg, 10 mg, 15 mg, 20 mg</w:t>
            </w:r>
            <w:r w:rsidR="002D506B">
              <w:rPr>
                <w:rFonts w:ascii="Times New Roman" w:eastAsia="Times New Roman" w:hAnsi="Times New Roman" w:cs="Times New Roman"/>
                <w:lang w:eastAsia="lt-LT"/>
              </w:rPr>
              <w:t xml:space="preserve"> </w:t>
            </w:r>
            <w:r w:rsidRPr="007E69FC">
              <w:rPr>
                <w:rFonts w:ascii="Times New Roman" w:eastAsia="Times New Roman" w:hAnsi="Times New Roman" w:cs="Times New Roman"/>
                <w:lang w:eastAsia="lt-LT"/>
              </w:rPr>
              <w:t>filmomhulde tabletten</w:t>
            </w:r>
          </w:p>
        </w:tc>
      </w:tr>
      <w:tr w:rsidR="00575C70" w:rsidRPr="007E69FC" w14:paraId="0F7DC00A" w14:textId="77777777" w:rsidTr="002D506B">
        <w:tc>
          <w:tcPr>
            <w:tcW w:w="3256" w:type="dxa"/>
          </w:tcPr>
          <w:p w14:paraId="09BA69C3"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Bulgarija</w:t>
            </w:r>
          </w:p>
        </w:tc>
        <w:tc>
          <w:tcPr>
            <w:tcW w:w="5296" w:type="dxa"/>
          </w:tcPr>
          <w:p w14:paraId="4D3FD675" w14:textId="78ADF45F"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sidR="002D506B">
              <w:rPr>
                <w:rFonts w:ascii="Times New Roman" w:eastAsia="Times New Roman" w:hAnsi="Times New Roman" w:cs="Times New Roman"/>
              </w:rPr>
              <w:t xml:space="preserve"> </w:t>
            </w:r>
            <w:r w:rsidRPr="007E69FC">
              <w:rPr>
                <w:rFonts w:ascii="Times New Roman" w:eastAsia="Times New Roman" w:hAnsi="Times New Roman" w:cs="Times New Roman"/>
              </w:rPr>
              <w:t>филмирани таблетки</w:t>
            </w:r>
          </w:p>
          <w:p w14:paraId="6BA40C6E" w14:textId="54F3929A" w:rsidR="00575C70" w:rsidRPr="007E69FC" w:rsidRDefault="00575C70" w:rsidP="002D506B">
            <w:pPr>
              <w:numPr>
                <w:ilvl w:val="12"/>
                <w:numId w:val="0"/>
              </w:numPr>
              <w:tabs>
                <w:tab w:val="left" w:pos="567"/>
              </w:tabs>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Xiltess</w:t>
            </w:r>
            <w:r w:rsidRPr="007E69FC">
              <w:rPr>
                <w:rFonts w:ascii="Times New Roman" w:eastAsia="Times New Roman" w:hAnsi="Times New Roman" w:cs="Times New Roman"/>
                <w:lang w:eastAsia="lt-LT"/>
              </w:rPr>
              <w:t xml:space="preserve"> 2,5 mg, 10 mg, 15 mg, 20 mg</w:t>
            </w:r>
            <w:r w:rsidR="002D506B">
              <w:rPr>
                <w:rFonts w:ascii="Times New Roman" w:eastAsia="Times New Roman" w:hAnsi="Times New Roman" w:cs="Times New Roman"/>
                <w:lang w:eastAsia="lt-LT"/>
              </w:rPr>
              <w:t xml:space="preserve"> </w:t>
            </w:r>
            <w:r w:rsidRPr="007E69FC">
              <w:rPr>
                <w:rFonts w:ascii="Times New Roman" w:eastAsia="Times New Roman" w:hAnsi="Times New Roman" w:cs="Times New Roman"/>
                <w:lang w:eastAsia="lt-LT"/>
              </w:rPr>
              <w:t>film-coated tablets</w:t>
            </w:r>
          </w:p>
        </w:tc>
      </w:tr>
      <w:tr w:rsidR="00575C70" w:rsidRPr="007E69FC" w14:paraId="5F6ACD05" w14:textId="77777777" w:rsidTr="002D506B">
        <w:tc>
          <w:tcPr>
            <w:tcW w:w="3256" w:type="dxa"/>
          </w:tcPr>
          <w:p w14:paraId="663CFEA5"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Čekija</w:t>
            </w:r>
          </w:p>
        </w:tc>
        <w:tc>
          <w:tcPr>
            <w:tcW w:w="5296" w:type="dxa"/>
          </w:tcPr>
          <w:p w14:paraId="4D01F6ED"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p>
        </w:tc>
      </w:tr>
      <w:tr w:rsidR="00575C70" w:rsidRPr="007E69FC" w14:paraId="55551DC4" w14:textId="77777777" w:rsidTr="002D506B">
        <w:tc>
          <w:tcPr>
            <w:tcW w:w="3256" w:type="dxa"/>
          </w:tcPr>
          <w:p w14:paraId="1F481A60"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Vengrija</w:t>
            </w:r>
          </w:p>
        </w:tc>
        <w:tc>
          <w:tcPr>
            <w:tcW w:w="5296" w:type="dxa"/>
          </w:tcPr>
          <w:p w14:paraId="2CDDD585" w14:textId="62E088C1" w:rsidR="00575C70" w:rsidRPr="007E69FC" w:rsidRDefault="00575C70" w:rsidP="002D506B">
            <w:pPr>
              <w:numPr>
                <w:ilvl w:val="12"/>
                <w:numId w:val="0"/>
              </w:numPr>
              <w:tabs>
                <w:tab w:val="left" w:pos="567"/>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Xiltess 2,5 mg, 10 mg, 15 mg, 20 mg</w:t>
            </w:r>
            <w:r w:rsidR="002D506B">
              <w:rPr>
                <w:rFonts w:ascii="Times New Roman" w:eastAsia="Times New Roman" w:hAnsi="Times New Roman" w:cs="Times New Roman"/>
              </w:rPr>
              <w:t xml:space="preserve"> </w:t>
            </w:r>
            <w:r w:rsidRPr="007E69FC">
              <w:rPr>
                <w:rFonts w:ascii="Times New Roman" w:eastAsia="Times New Roman" w:hAnsi="Times New Roman" w:cs="Times New Roman"/>
              </w:rPr>
              <w:t>filmtabletta</w:t>
            </w:r>
          </w:p>
        </w:tc>
      </w:tr>
      <w:tr w:rsidR="00575C70" w:rsidRPr="007E69FC" w14:paraId="17EA2045" w14:textId="77777777" w:rsidTr="002D506B">
        <w:tc>
          <w:tcPr>
            <w:tcW w:w="3256" w:type="dxa"/>
          </w:tcPr>
          <w:p w14:paraId="3D63C8DC"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Lietuva</w:t>
            </w:r>
          </w:p>
        </w:tc>
        <w:tc>
          <w:tcPr>
            <w:tcW w:w="5296" w:type="dxa"/>
          </w:tcPr>
          <w:p w14:paraId="5FA6AA8F" w14:textId="342DD3A2" w:rsidR="00575C70" w:rsidRPr="007E69FC" w:rsidRDefault="00575C70" w:rsidP="002D506B">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sidR="002D506B">
              <w:rPr>
                <w:rFonts w:ascii="Times New Roman" w:eastAsia="Times New Roman" w:hAnsi="Times New Roman" w:cs="Times New Roman"/>
              </w:rPr>
              <w:t xml:space="preserve"> </w:t>
            </w:r>
            <w:r w:rsidRPr="007E69FC">
              <w:rPr>
                <w:rFonts w:ascii="Times New Roman" w:eastAsia="Times New Roman" w:hAnsi="Times New Roman" w:cs="Times New Roman"/>
              </w:rPr>
              <w:t>plėvele dengtos tabletės</w:t>
            </w:r>
          </w:p>
        </w:tc>
      </w:tr>
      <w:tr w:rsidR="00575C70" w:rsidRPr="007E69FC" w14:paraId="2312F550" w14:textId="77777777" w:rsidTr="002D506B">
        <w:tc>
          <w:tcPr>
            <w:tcW w:w="3256" w:type="dxa"/>
          </w:tcPr>
          <w:p w14:paraId="0BE4B543"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Latvija</w:t>
            </w:r>
          </w:p>
        </w:tc>
        <w:tc>
          <w:tcPr>
            <w:tcW w:w="5296" w:type="dxa"/>
          </w:tcPr>
          <w:p w14:paraId="0C513961" w14:textId="11279294" w:rsidR="00575C70" w:rsidRPr="007E69FC" w:rsidRDefault="00575C70" w:rsidP="002D506B">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sidR="002D506B">
              <w:rPr>
                <w:rFonts w:ascii="Times New Roman" w:eastAsia="Times New Roman" w:hAnsi="Times New Roman" w:cs="Times New Roman"/>
              </w:rPr>
              <w:t xml:space="preserve"> </w:t>
            </w:r>
            <w:r w:rsidRPr="007E69FC">
              <w:rPr>
                <w:rFonts w:ascii="Times New Roman" w:eastAsia="Times New Roman" w:hAnsi="Times New Roman" w:cs="Times New Roman"/>
              </w:rPr>
              <w:t>apvalkotās tabletes</w:t>
            </w:r>
          </w:p>
        </w:tc>
      </w:tr>
      <w:tr w:rsidR="00575C70" w:rsidRPr="007E69FC" w14:paraId="3E86F5E8" w14:textId="77777777" w:rsidTr="002D506B">
        <w:tc>
          <w:tcPr>
            <w:tcW w:w="3256" w:type="dxa"/>
          </w:tcPr>
          <w:p w14:paraId="2959C4F2"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Lenkija</w:t>
            </w:r>
          </w:p>
        </w:tc>
        <w:tc>
          <w:tcPr>
            <w:tcW w:w="5296" w:type="dxa"/>
          </w:tcPr>
          <w:p w14:paraId="73E54B4E"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p>
        </w:tc>
      </w:tr>
      <w:tr w:rsidR="00575C70" w:rsidRPr="007E69FC" w14:paraId="5085E6BA" w14:textId="77777777" w:rsidTr="002D506B">
        <w:tc>
          <w:tcPr>
            <w:tcW w:w="3256" w:type="dxa"/>
          </w:tcPr>
          <w:p w14:paraId="5A94A7D0"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Rumunija</w:t>
            </w:r>
          </w:p>
        </w:tc>
        <w:tc>
          <w:tcPr>
            <w:tcW w:w="5296" w:type="dxa"/>
          </w:tcPr>
          <w:p w14:paraId="79085A87" w14:textId="60FE8CB2" w:rsidR="00575C70" w:rsidRPr="007E69FC" w:rsidRDefault="00575C70" w:rsidP="002D506B">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sidR="002D506B">
              <w:rPr>
                <w:rFonts w:ascii="Times New Roman" w:eastAsia="Times New Roman" w:hAnsi="Times New Roman" w:cs="Times New Roman"/>
              </w:rPr>
              <w:t xml:space="preserve"> </w:t>
            </w:r>
            <w:r w:rsidRPr="007E69FC">
              <w:rPr>
                <w:rFonts w:ascii="Times New Roman" w:eastAsia="Times New Roman" w:hAnsi="Times New Roman" w:cs="Times New Roman"/>
              </w:rPr>
              <w:t>comprimate filmate</w:t>
            </w:r>
          </w:p>
        </w:tc>
      </w:tr>
      <w:tr w:rsidR="00575C70" w:rsidRPr="007E69FC" w14:paraId="2ED62708" w14:textId="77777777" w:rsidTr="002D506B">
        <w:tc>
          <w:tcPr>
            <w:tcW w:w="3256" w:type="dxa"/>
          </w:tcPr>
          <w:p w14:paraId="3BF146CF" w14:textId="77777777" w:rsidR="00575C70" w:rsidRPr="007E69FC" w:rsidRDefault="00575C70" w:rsidP="0096285A">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Slovakija</w:t>
            </w:r>
          </w:p>
        </w:tc>
        <w:tc>
          <w:tcPr>
            <w:tcW w:w="5296" w:type="dxa"/>
          </w:tcPr>
          <w:p w14:paraId="6A21D430" w14:textId="66669A42" w:rsidR="00575C70" w:rsidRPr="007E69FC" w:rsidRDefault="00575C70" w:rsidP="002D506B">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Pr="007E69FC">
              <w:rPr>
                <w:rFonts w:ascii="Times New Roman" w:eastAsia="Times New Roman" w:hAnsi="Times New Roman" w:cs="Times New Roman"/>
              </w:rPr>
              <w:t xml:space="preserve"> 2,5 mg, 10 mg, 15 mg, 20 mg</w:t>
            </w:r>
            <w:r w:rsidR="002D506B">
              <w:rPr>
                <w:rFonts w:ascii="Times New Roman" w:eastAsia="Times New Roman" w:hAnsi="Times New Roman" w:cs="Times New Roman"/>
              </w:rPr>
              <w:t xml:space="preserve"> </w:t>
            </w:r>
            <w:r w:rsidRPr="007E69FC">
              <w:rPr>
                <w:rFonts w:ascii="Times New Roman" w:eastAsia="Times New Roman" w:hAnsi="Times New Roman" w:cs="Times New Roman"/>
              </w:rPr>
              <w:t>filmom obalené tablety</w:t>
            </w:r>
          </w:p>
        </w:tc>
      </w:tr>
    </w:tbl>
    <w:p w14:paraId="4158232C" w14:textId="0F4D600F" w:rsidR="009449B0" w:rsidRPr="009449B0" w:rsidRDefault="009449B0" w:rsidP="009449B0">
      <w:pPr>
        <w:tabs>
          <w:tab w:val="left" w:pos="567"/>
        </w:tabs>
        <w:snapToGrid w:val="0"/>
        <w:spacing w:after="0" w:line="240" w:lineRule="auto"/>
        <w:ind w:hanging="567"/>
        <w:rPr>
          <w:rFonts w:ascii="Times New Roman" w:eastAsia="Times New Roman" w:hAnsi="Times New Roman" w:cs="Times New Roman"/>
        </w:rPr>
      </w:pPr>
    </w:p>
    <w:p w14:paraId="6D4A28D2" w14:textId="2816A496" w:rsidR="009449B0" w:rsidRPr="009449B0" w:rsidRDefault="009449B0" w:rsidP="009449B0">
      <w:pPr>
        <w:tabs>
          <w:tab w:val="left" w:pos="720"/>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Šis pakuotės lapelis paskutinį kartą peržiūrėtas</w:t>
      </w:r>
      <w:r w:rsidR="0051031F">
        <w:rPr>
          <w:rFonts w:ascii="Times New Roman" w:eastAsia="Times New Roman" w:hAnsi="Times New Roman" w:cs="Times New Roman"/>
          <w:b/>
        </w:rPr>
        <w:t xml:space="preserve"> </w:t>
      </w:r>
      <w:r w:rsidR="008173BF">
        <w:rPr>
          <w:rFonts w:ascii="Times New Roman" w:eastAsia="Times New Roman" w:hAnsi="Times New Roman" w:cs="Times New Roman"/>
          <w:b/>
        </w:rPr>
        <w:t>202</w:t>
      </w:r>
      <w:r w:rsidR="00B514B4">
        <w:rPr>
          <w:rFonts w:ascii="Times New Roman" w:eastAsia="Times New Roman" w:hAnsi="Times New Roman" w:cs="Times New Roman"/>
          <w:b/>
        </w:rPr>
        <w:t>5-07-10</w:t>
      </w:r>
      <w:r w:rsidR="00CC69F0">
        <w:rPr>
          <w:rFonts w:ascii="Times New Roman" w:eastAsia="Times New Roman" w:hAnsi="Times New Roman" w:cs="Times New Roman"/>
          <w:b/>
        </w:rPr>
        <w:t>.</w:t>
      </w:r>
    </w:p>
    <w:p w14:paraId="510CF853"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i/>
          <w:color w:val="008000"/>
        </w:rPr>
      </w:pPr>
    </w:p>
    <w:p w14:paraId="799F61B0" w14:textId="407BAAFC" w:rsidR="009449B0" w:rsidRPr="009449B0" w:rsidRDefault="009449B0" w:rsidP="009449B0">
      <w:pPr>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Išsami informacija apie šį vaistą pateikiama Valstybinės vaistų kontrolės tarnybos prie Lietuvos Respublikos sveikatos apsaugos ministerijos </w:t>
      </w:r>
      <w:r w:rsidRPr="00B514B4">
        <w:rPr>
          <w:rFonts w:ascii="Times New Roman" w:eastAsia="Times New Roman" w:hAnsi="Times New Roman" w:cs="Times New Roman"/>
        </w:rPr>
        <w:t>tinklalapyje</w:t>
      </w:r>
      <w:r w:rsidRPr="00B514B4">
        <w:rPr>
          <w:rFonts w:ascii="Times New Roman" w:eastAsia="Times New Roman" w:hAnsi="Times New Roman" w:cs="Times New Roman"/>
          <w:i/>
        </w:rPr>
        <w:t xml:space="preserve"> </w:t>
      </w:r>
      <w:r w:rsidR="00B514B4" w:rsidRPr="005A432D">
        <w:rPr>
          <w:rFonts w:ascii="Times New Roman" w:hAnsi="Times New Roman" w:cs="Times New Roman"/>
          <w:color w:val="0000EE"/>
          <w:u w:val="single"/>
          <w:lang w:eastAsia="lt-LT"/>
        </w:rPr>
        <w:t>https://vvkt.lrv.lt/lt/</w:t>
      </w:r>
      <w:r w:rsidR="00B514B4" w:rsidRPr="005A432D">
        <w:rPr>
          <w:rFonts w:ascii="Times New Roman" w:hAnsi="Times New Roman" w:cs="Times New Roman"/>
          <w:lang w:eastAsia="lt-LT"/>
        </w:rPr>
        <w:t>.</w:t>
      </w:r>
    </w:p>
    <w:p w14:paraId="72739F7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46B367D5" w14:textId="77777777" w:rsidR="00867275" w:rsidRPr="00E7752F" w:rsidRDefault="00867275" w:rsidP="002841F4">
      <w:pPr>
        <w:spacing w:after="0" w:line="240" w:lineRule="auto"/>
        <w:rPr>
          <w:rFonts w:ascii="Times New Roman" w:hAnsi="Times New Roman" w:cs="Times New Roman"/>
        </w:rPr>
      </w:pPr>
    </w:p>
    <w:sectPr w:rsidR="00867275" w:rsidRPr="00E7752F" w:rsidSect="00B765F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sig w:usb0="800000AF" w:usb1="1001ECE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C06"/>
    <w:multiLevelType w:val="hybridMultilevel"/>
    <w:tmpl w:val="20EA3260"/>
    <w:lvl w:ilvl="0" w:tplc="F1AC0BE2">
      <w:start w:val="1"/>
      <w:numFmt w:val="bullet"/>
      <w:lvlText w:val="-"/>
      <w:lvlJc w:val="left"/>
      <w:pPr>
        <w:ind w:left="1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68E4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1C327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C6A5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B4BCE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E073B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324C2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7A80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38337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tentative="1">
      <w:start w:val="1"/>
      <w:numFmt w:val="bullet"/>
      <w:lvlText w:val="o"/>
      <w:lvlJc w:val="left"/>
      <w:pPr>
        <w:tabs>
          <w:tab w:val="num" w:pos="1440"/>
        </w:tabs>
        <w:ind w:left="1440" w:hanging="360"/>
      </w:pPr>
      <w:rPr>
        <w:rFonts w:ascii="Courier New" w:hAnsi="Courier New" w:cs="Courier New" w:hint="default"/>
      </w:rPr>
    </w:lvl>
    <w:lvl w:ilvl="2" w:tplc="0338D8D8" w:tentative="1">
      <w:start w:val="1"/>
      <w:numFmt w:val="bullet"/>
      <w:lvlText w:val=""/>
      <w:lvlJc w:val="left"/>
      <w:pPr>
        <w:tabs>
          <w:tab w:val="num" w:pos="2160"/>
        </w:tabs>
        <w:ind w:left="2160" w:hanging="360"/>
      </w:pPr>
      <w:rPr>
        <w:rFonts w:ascii="Wingdings" w:hAnsi="Wingdings" w:hint="default"/>
      </w:rPr>
    </w:lvl>
    <w:lvl w:ilvl="3" w:tplc="6F383646" w:tentative="1">
      <w:start w:val="1"/>
      <w:numFmt w:val="bullet"/>
      <w:lvlText w:val=""/>
      <w:lvlJc w:val="left"/>
      <w:pPr>
        <w:tabs>
          <w:tab w:val="num" w:pos="2880"/>
        </w:tabs>
        <w:ind w:left="2880" w:hanging="360"/>
      </w:pPr>
      <w:rPr>
        <w:rFonts w:ascii="Symbol" w:hAnsi="Symbol" w:hint="default"/>
      </w:rPr>
    </w:lvl>
    <w:lvl w:ilvl="4" w:tplc="64D81E46" w:tentative="1">
      <w:start w:val="1"/>
      <w:numFmt w:val="bullet"/>
      <w:lvlText w:val="o"/>
      <w:lvlJc w:val="left"/>
      <w:pPr>
        <w:tabs>
          <w:tab w:val="num" w:pos="3600"/>
        </w:tabs>
        <w:ind w:left="3600" w:hanging="360"/>
      </w:pPr>
      <w:rPr>
        <w:rFonts w:ascii="Courier New" w:hAnsi="Courier New" w:cs="Courier New" w:hint="default"/>
      </w:rPr>
    </w:lvl>
    <w:lvl w:ilvl="5" w:tplc="C90A0B76" w:tentative="1">
      <w:start w:val="1"/>
      <w:numFmt w:val="bullet"/>
      <w:lvlText w:val=""/>
      <w:lvlJc w:val="left"/>
      <w:pPr>
        <w:tabs>
          <w:tab w:val="num" w:pos="4320"/>
        </w:tabs>
        <w:ind w:left="4320" w:hanging="360"/>
      </w:pPr>
      <w:rPr>
        <w:rFonts w:ascii="Wingdings" w:hAnsi="Wingdings" w:hint="default"/>
      </w:rPr>
    </w:lvl>
    <w:lvl w:ilvl="6" w:tplc="156649AE" w:tentative="1">
      <w:start w:val="1"/>
      <w:numFmt w:val="bullet"/>
      <w:lvlText w:val=""/>
      <w:lvlJc w:val="left"/>
      <w:pPr>
        <w:tabs>
          <w:tab w:val="num" w:pos="5040"/>
        </w:tabs>
        <w:ind w:left="5040" w:hanging="360"/>
      </w:pPr>
      <w:rPr>
        <w:rFonts w:ascii="Symbol" w:hAnsi="Symbol" w:hint="default"/>
      </w:rPr>
    </w:lvl>
    <w:lvl w:ilvl="7" w:tplc="02967F72" w:tentative="1">
      <w:start w:val="1"/>
      <w:numFmt w:val="bullet"/>
      <w:lvlText w:val="o"/>
      <w:lvlJc w:val="left"/>
      <w:pPr>
        <w:tabs>
          <w:tab w:val="num" w:pos="5760"/>
        </w:tabs>
        <w:ind w:left="5760" w:hanging="360"/>
      </w:pPr>
      <w:rPr>
        <w:rFonts w:ascii="Courier New" w:hAnsi="Courier New" w:cs="Courier New" w:hint="default"/>
      </w:rPr>
    </w:lvl>
    <w:lvl w:ilvl="8" w:tplc="9F284B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A305C41"/>
    <w:multiLevelType w:val="multilevel"/>
    <w:tmpl w:val="CE7E5BD4"/>
    <w:lvl w:ilvl="0">
      <w:start w:val="1"/>
      <w:numFmt w:val="decimal"/>
      <w:lvlText w:val="%1."/>
      <w:lvlJc w:val="left"/>
      <w:pPr>
        <w:ind w:left="2547" w:hanging="420"/>
      </w:pPr>
      <w:rPr>
        <w:b w:val="0"/>
        <w:bCs/>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C897BB0"/>
    <w:multiLevelType w:val="hybridMultilevel"/>
    <w:tmpl w:val="C2C0C95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400AE9"/>
    <w:multiLevelType w:val="hybridMultilevel"/>
    <w:tmpl w:val="9B2EC56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552D37"/>
    <w:multiLevelType w:val="multilevel"/>
    <w:tmpl w:val="E04677F2"/>
    <w:lvl w:ilvl="0">
      <w:start w:val="7"/>
      <w:numFmt w:val="decimal"/>
      <w:lvlText w:val="%1."/>
      <w:lvlJc w:val="left"/>
      <w:pPr>
        <w:ind w:left="562" w:hanging="562"/>
      </w:pPr>
      <w:rPr>
        <w:rFonts w:ascii="Times New Roman" w:eastAsia="Times New Roman" w:hAnsi="Times New Roman" w:cs="Times New Roman" w:hint="default"/>
        <w:b/>
        <w:bCs/>
        <w:w w:val="99"/>
        <w:sz w:val="22"/>
        <w:szCs w:val="22"/>
      </w:rPr>
    </w:lvl>
    <w:lvl w:ilvl="1">
      <w:start w:val="1"/>
      <w:numFmt w:val="decimal"/>
      <w:lvlText w:val="%1.%2"/>
      <w:lvlJc w:val="left"/>
      <w:pPr>
        <w:ind w:left="567" w:hanging="568"/>
      </w:pPr>
      <w:rPr>
        <w:rFonts w:ascii="Times New Roman" w:eastAsia="Times New Roman" w:hAnsi="Times New Roman" w:cs="Times New Roman" w:hint="default"/>
        <w:b/>
        <w:bCs/>
        <w:w w:val="99"/>
        <w:sz w:val="22"/>
        <w:szCs w:val="22"/>
      </w:rPr>
    </w:lvl>
    <w:lvl w:ilvl="2">
      <w:numFmt w:val="bullet"/>
      <w:lvlText w:val="•"/>
      <w:lvlJc w:val="left"/>
      <w:pPr>
        <w:ind w:left="2431" w:hanging="568"/>
      </w:pPr>
      <w:rPr>
        <w:rFonts w:hint="default"/>
      </w:rPr>
    </w:lvl>
    <w:lvl w:ilvl="3">
      <w:numFmt w:val="bullet"/>
      <w:lvlText w:val="•"/>
      <w:lvlJc w:val="left"/>
      <w:pPr>
        <w:ind w:left="3365" w:hanging="568"/>
      </w:pPr>
      <w:rPr>
        <w:rFonts w:hint="default"/>
      </w:rPr>
    </w:lvl>
    <w:lvl w:ilvl="4">
      <w:numFmt w:val="bullet"/>
      <w:lvlText w:val="•"/>
      <w:lvlJc w:val="left"/>
      <w:pPr>
        <w:ind w:left="4300" w:hanging="568"/>
      </w:pPr>
      <w:rPr>
        <w:rFonts w:hint="default"/>
      </w:rPr>
    </w:lvl>
    <w:lvl w:ilvl="5">
      <w:numFmt w:val="bullet"/>
      <w:lvlText w:val="•"/>
      <w:lvlJc w:val="left"/>
      <w:pPr>
        <w:ind w:left="5235" w:hanging="568"/>
      </w:pPr>
      <w:rPr>
        <w:rFonts w:hint="default"/>
      </w:rPr>
    </w:lvl>
    <w:lvl w:ilvl="6">
      <w:numFmt w:val="bullet"/>
      <w:lvlText w:val="•"/>
      <w:lvlJc w:val="left"/>
      <w:pPr>
        <w:ind w:left="6169" w:hanging="568"/>
      </w:pPr>
      <w:rPr>
        <w:rFonts w:hint="default"/>
      </w:rPr>
    </w:lvl>
    <w:lvl w:ilvl="7">
      <w:numFmt w:val="bullet"/>
      <w:lvlText w:val="•"/>
      <w:lvlJc w:val="left"/>
      <w:pPr>
        <w:ind w:left="7104" w:hanging="568"/>
      </w:pPr>
      <w:rPr>
        <w:rFonts w:hint="default"/>
      </w:rPr>
    </w:lvl>
    <w:lvl w:ilvl="8">
      <w:numFmt w:val="bullet"/>
      <w:lvlText w:val="•"/>
      <w:lvlJc w:val="left"/>
      <w:pPr>
        <w:ind w:left="8039" w:hanging="568"/>
      </w:pPr>
      <w:rPr>
        <w:rFonts w:hint="default"/>
      </w:rPr>
    </w:lvl>
  </w:abstractNum>
  <w:abstractNum w:abstractNumId="10" w15:restartNumberingAfterBreak="0">
    <w:nsid w:val="24CE1D75"/>
    <w:multiLevelType w:val="hybridMultilevel"/>
    <w:tmpl w:val="A858C560"/>
    <w:lvl w:ilvl="0" w:tplc="6B842AFC">
      <w:start w:val="1"/>
      <w:numFmt w:val="bullet"/>
      <w:lvlText w:val="-"/>
      <w:lvlJc w:val="left"/>
      <w:pPr>
        <w:ind w:left="6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0DC3BDC">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CF0BAE8">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4F0A222">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59E88FC">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8D2C9CC">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8E55E2">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FBC7C94">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FE8F340">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C1C6024"/>
    <w:multiLevelType w:val="multilevel"/>
    <w:tmpl w:val="6D66821E"/>
    <w:lvl w:ilvl="0">
      <w:start w:val="1"/>
      <w:numFmt w:val="decimal"/>
      <w:lvlText w:val="%1."/>
      <w:lvlJc w:val="left"/>
      <w:pPr>
        <w:ind w:left="2547" w:hanging="420"/>
      </w:pPr>
      <w:rPr>
        <w:rFonts w:hint="default"/>
        <w:b w:val="0"/>
        <w:bCs/>
      </w:rPr>
    </w:lvl>
    <w:lvl w:ilvl="1">
      <w:start w:val="1"/>
      <w:numFmt w:val="lowerLetter"/>
      <w:lvlText w:val="%2."/>
      <w:lvlJc w:val="left"/>
      <w:pPr>
        <w:ind w:left="3567" w:hanging="360"/>
      </w:pPr>
      <w:rPr>
        <w:rFonts w:hint="default"/>
      </w:rPr>
    </w:lvl>
    <w:lvl w:ilvl="2">
      <w:start w:val="1"/>
      <w:numFmt w:val="lowerRoman"/>
      <w:lvlText w:val="%3."/>
      <w:lvlJc w:val="right"/>
      <w:pPr>
        <w:ind w:left="4287" w:hanging="180"/>
      </w:pPr>
      <w:rPr>
        <w:rFonts w:hint="default"/>
      </w:rPr>
    </w:lvl>
    <w:lvl w:ilvl="3">
      <w:start w:val="5"/>
      <w:numFmt w:val="decimal"/>
      <w:lvlText w:val="%4."/>
      <w:lvlJc w:val="left"/>
      <w:pPr>
        <w:ind w:left="2487" w:hanging="360"/>
      </w:pPr>
      <w:rPr>
        <w:rFonts w:hint="default"/>
        <w:b/>
      </w:rPr>
    </w:lvl>
    <w:lvl w:ilvl="4">
      <w:start w:val="1"/>
      <w:numFmt w:val="lowerLetter"/>
      <w:lvlText w:val="%5."/>
      <w:lvlJc w:val="left"/>
      <w:pPr>
        <w:ind w:left="5727" w:hanging="360"/>
      </w:pPr>
      <w:rPr>
        <w:rFonts w:hint="default"/>
      </w:rPr>
    </w:lvl>
    <w:lvl w:ilvl="5">
      <w:start w:val="1"/>
      <w:numFmt w:val="lowerRoman"/>
      <w:lvlText w:val="%6."/>
      <w:lvlJc w:val="right"/>
      <w:pPr>
        <w:ind w:left="6447" w:hanging="180"/>
      </w:pPr>
      <w:rPr>
        <w:rFonts w:hint="default"/>
      </w:rPr>
    </w:lvl>
    <w:lvl w:ilvl="6">
      <w:start w:val="1"/>
      <w:numFmt w:val="decimal"/>
      <w:lvlText w:val="%7."/>
      <w:lvlJc w:val="left"/>
      <w:pPr>
        <w:ind w:left="7167" w:hanging="360"/>
      </w:pPr>
      <w:rPr>
        <w:rFonts w:hint="default"/>
      </w:rPr>
    </w:lvl>
    <w:lvl w:ilvl="7">
      <w:start w:val="1"/>
      <w:numFmt w:val="lowerLetter"/>
      <w:lvlText w:val="%8."/>
      <w:lvlJc w:val="left"/>
      <w:pPr>
        <w:ind w:left="7887" w:hanging="360"/>
      </w:pPr>
      <w:rPr>
        <w:rFonts w:hint="default"/>
      </w:rPr>
    </w:lvl>
    <w:lvl w:ilvl="8">
      <w:start w:val="1"/>
      <w:numFmt w:val="lowerRoman"/>
      <w:lvlText w:val="%9."/>
      <w:lvlJc w:val="right"/>
      <w:pPr>
        <w:ind w:left="8607" w:hanging="180"/>
      </w:pPr>
      <w:rPr>
        <w:rFonts w:hint="default"/>
      </w:rPr>
    </w:lvl>
  </w:abstractNum>
  <w:abstractNum w:abstractNumId="13" w15:restartNumberingAfterBreak="0">
    <w:nsid w:val="2D0E3E39"/>
    <w:multiLevelType w:val="hybridMultilevel"/>
    <w:tmpl w:val="AFC2204A"/>
    <w:lvl w:ilvl="0" w:tplc="FC54A664">
      <w:numFmt w:val="bullet"/>
      <w:lvlText w:val="-"/>
      <w:lvlJc w:val="left"/>
      <w:pPr>
        <w:ind w:left="1466" w:hanging="567"/>
      </w:pPr>
      <w:rPr>
        <w:rFonts w:ascii="Arial" w:eastAsia="Arial" w:hAnsi="Arial" w:cs="Arial" w:hint="default"/>
        <w:b w:val="0"/>
        <w:bCs w:val="0"/>
        <w:i w:val="0"/>
        <w:iCs w:val="0"/>
        <w:w w:val="100"/>
        <w:sz w:val="22"/>
        <w:szCs w:val="22"/>
        <w:lang w:val="lt-LT" w:eastAsia="en-US" w:bidi="ar-SA"/>
      </w:rPr>
    </w:lvl>
    <w:lvl w:ilvl="1" w:tplc="CDCA51AC">
      <w:numFmt w:val="bullet"/>
      <w:lvlText w:val="•"/>
      <w:lvlJc w:val="left"/>
      <w:pPr>
        <w:ind w:left="2404" w:hanging="567"/>
      </w:pPr>
      <w:rPr>
        <w:rFonts w:hint="default"/>
        <w:lang w:val="lt-LT" w:eastAsia="en-US" w:bidi="ar-SA"/>
      </w:rPr>
    </w:lvl>
    <w:lvl w:ilvl="2" w:tplc="C67AB74C">
      <w:numFmt w:val="bullet"/>
      <w:lvlText w:val="•"/>
      <w:lvlJc w:val="left"/>
      <w:pPr>
        <w:ind w:left="3349" w:hanging="567"/>
      </w:pPr>
      <w:rPr>
        <w:rFonts w:hint="default"/>
        <w:lang w:val="lt-LT" w:eastAsia="en-US" w:bidi="ar-SA"/>
      </w:rPr>
    </w:lvl>
    <w:lvl w:ilvl="3" w:tplc="68A61114">
      <w:numFmt w:val="bullet"/>
      <w:lvlText w:val="•"/>
      <w:lvlJc w:val="left"/>
      <w:pPr>
        <w:ind w:left="4293" w:hanging="567"/>
      </w:pPr>
      <w:rPr>
        <w:rFonts w:hint="default"/>
        <w:lang w:val="lt-LT" w:eastAsia="en-US" w:bidi="ar-SA"/>
      </w:rPr>
    </w:lvl>
    <w:lvl w:ilvl="4" w:tplc="7F7643A2">
      <w:numFmt w:val="bullet"/>
      <w:lvlText w:val="•"/>
      <w:lvlJc w:val="left"/>
      <w:pPr>
        <w:ind w:left="5238" w:hanging="567"/>
      </w:pPr>
      <w:rPr>
        <w:rFonts w:hint="default"/>
        <w:lang w:val="lt-LT" w:eastAsia="en-US" w:bidi="ar-SA"/>
      </w:rPr>
    </w:lvl>
    <w:lvl w:ilvl="5" w:tplc="F3B650EC">
      <w:numFmt w:val="bullet"/>
      <w:lvlText w:val="•"/>
      <w:lvlJc w:val="left"/>
      <w:pPr>
        <w:ind w:left="6183" w:hanging="567"/>
      </w:pPr>
      <w:rPr>
        <w:rFonts w:hint="default"/>
        <w:lang w:val="lt-LT" w:eastAsia="en-US" w:bidi="ar-SA"/>
      </w:rPr>
    </w:lvl>
    <w:lvl w:ilvl="6" w:tplc="DDB04560">
      <w:numFmt w:val="bullet"/>
      <w:lvlText w:val="•"/>
      <w:lvlJc w:val="left"/>
      <w:pPr>
        <w:ind w:left="7127" w:hanging="567"/>
      </w:pPr>
      <w:rPr>
        <w:rFonts w:hint="default"/>
        <w:lang w:val="lt-LT" w:eastAsia="en-US" w:bidi="ar-SA"/>
      </w:rPr>
    </w:lvl>
    <w:lvl w:ilvl="7" w:tplc="C22C8BB4">
      <w:numFmt w:val="bullet"/>
      <w:lvlText w:val="•"/>
      <w:lvlJc w:val="left"/>
      <w:pPr>
        <w:ind w:left="8072" w:hanging="567"/>
      </w:pPr>
      <w:rPr>
        <w:rFonts w:hint="default"/>
        <w:lang w:val="lt-LT" w:eastAsia="en-US" w:bidi="ar-SA"/>
      </w:rPr>
    </w:lvl>
    <w:lvl w:ilvl="8" w:tplc="0958BAC4">
      <w:numFmt w:val="bullet"/>
      <w:lvlText w:val="•"/>
      <w:lvlJc w:val="left"/>
      <w:pPr>
        <w:ind w:left="9017" w:hanging="567"/>
      </w:pPr>
      <w:rPr>
        <w:rFonts w:hint="default"/>
        <w:lang w:val="lt-LT" w:eastAsia="en-US" w:bidi="ar-SA"/>
      </w:rPr>
    </w:lvl>
  </w:abstractNum>
  <w:abstractNum w:abstractNumId="14" w15:restartNumberingAfterBreak="0">
    <w:nsid w:val="2F7B4CAF"/>
    <w:multiLevelType w:val="hybridMultilevel"/>
    <w:tmpl w:val="4D0079A0"/>
    <w:lvl w:ilvl="0" w:tplc="4C467CCC">
      <w:numFmt w:val="bullet"/>
      <w:lvlText w:val="•"/>
      <w:lvlJc w:val="left"/>
      <w:pPr>
        <w:ind w:left="1260" w:hanging="360"/>
      </w:pPr>
      <w:rPr>
        <w:rFonts w:ascii="Times New Roman" w:eastAsia="Times New Roman" w:hAnsi="Times New Roman" w:cs="Times New Roman" w:hint="default"/>
        <w:b w:val="0"/>
        <w:bCs w:val="0"/>
        <w:i w:val="0"/>
        <w:iCs w:val="0"/>
        <w:w w:val="100"/>
        <w:sz w:val="22"/>
        <w:szCs w:val="22"/>
        <w:lang w:val="lt-LT" w:eastAsia="en-US" w:bidi="ar-SA"/>
      </w:rPr>
    </w:lvl>
    <w:lvl w:ilvl="1" w:tplc="3978238A">
      <w:numFmt w:val="bullet"/>
      <w:lvlText w:val="•"/>
      <w:lvlJc w:val="left"/>
      <w:pPr>
        <w:ind w:left="2224" w:hanging="360"/>
      </w:pPr>
      <w:rPr>
        <w:rFonts w:hint="default"/>
        <w:lang w:val="lt-LT" w:eastAsia="en-US" w:bidi="ar-SA"/>
      </w:rPr>
    </w:lvl>
    <w:lvl w:ilvl="2" w:tplc="CAB4E74A">
      <w:numFmt w:val="bullet"/>
      <w:lvlText w:val="•"/>
      <w:lvlJc w:val="left"/>
      <w:pPr>
        <w:ind w:left="3189" w:hanging="360"/>
      </w:pPr>
      <w:rPr>
        <w:rFonts w:hint="default"/>
        <w:lang w:val="lt-LT" w:eastAsia="en-US" w:bidi="ar-SA"/>
      </w:rPr>
    </w:lvl>
    <w:lvl w:ilvl="3" w:tplc="9A949A16">
      <w:numFmt w:val="bullet"/>
      <w:lvlText w:val="•"/>
      <w:lvlJc w:val="left"/>
      <w:pPr>
        <w:ind w:left="4153" w:hanging="360"/>
      </w:pPr>
      <w:rPr>
        <w:rFonts w:hint="default"/>
        <w:lang w:val="lt-LT" w:eastAsia="en-US" w:bidi="ar-SA"/>
      </w:rPr>
    </w:lvl>
    <w:lvl w:ilvl="4" w:tplc="E882744A">
      <w:numFmt w:val="bullet"/>
      <w:lvlText w:val="•"/>
      <w:lvlJc w:val="left"/>
      <w:pPr>
        <w:ind w:left="5118" w:hanging="360"/>
      </w:pPr>
      <w:rPr>
        <w:rFonts w:hint="default"/>
        <w:lang w:val="lt-LT" w:eastAsia="en-US" w:bidi="ar-SA"/>
      </w:rPr>
    </w:lvl>
    <w:lvl w:ilvl="5" w:tplc="DD92D1AE">
      <w:numFmt w:val="bullet"/>
      <w:lvlText w:val="•"/>
      <w:lvlJc w:val="left"/>
      <w:pPr>
        <w:ind w:left="6083" w:hanging="360"/>
      </w:pPr>
      <w:rPr>
        <w:rFonts w:hint="default"/>
        <w:lang w:val="lt-LT" w:eastAsia="en-US" w:bidi="ar-SA"/>
      </w:rPr>
    </w:lvl>
    <w:lvl w:ilvl="6" w:tplc="B8B48732">
      <w:numFmt w:val="bullet"/>
      <w:lvlText w:val="•"/>
      <w:lvlJc w:val="left"/>
      <w:pPr>
        <w:ind w:left="7047" w:hanging="360"/>
      </w:pPr>
      <w:rPr>
        <w:rFonts w:hint="default"/>
        <w:lang w:val="lt-LT" w:eastAsia="en-US" w:bidi="ar-SA"/>
      </w:rPr>
    </w:lvl>
    <w:lvl w:ilvl="7" w:tplc="02A4B1EA">
      <w:numFmt w:val="bullet"/>
      <w:lvlText w:val="•"/>
      <w:lvlJc w:val="left"/>
      <w:pPr>
        <w:ind w:left="8012" w:hanging="360"/>
      </w:pPr>
      <w:rPr>
        <w:rFonts w:hint="default"/>
        <w:lang w:val="lt-LT" w:eastAsia="en-US" w:bidi="ar-SA"/>
      </w:rPr>
    </w:lvl>
    <w:lvl w:ilvl="8" w:tplc="FAD678B6">
      <w:numFmt w:val="bullet"/>
      <w:lvlText w:val="•"/>
      <w:lvlJc w:val="left"/>
      <w:pPr>
        <w:ind w:left="8977" w:hanging="360"/>
      </w:pPr>
      <w:rPr>
        <w:rFonts w:hint="default"/>
        <w:lang w:val="lt-LT" w:eastAsia="en-US" w:bidi="ar-SA"/>
      </w:rPr>
    </w:lvl>
  </w:abstractNum>
  <w:abstractNum w:abstractNumId="15" w15:restartNumberingAfterBreak="0">
    <w:nsid w:val="3CB414AF"/>
    <w:multiLevelType w:val="multilevel"/>
    <w:tmpl w:val="D7EE440C"/>
    <w:lvl w:ilvl="0">
      <w:start w:val="1"/>
      <w:numFmt w:val="decimal"/>
      <w:lvlText w:val="%1."/>
      <w:lvlJc w:val="left"/>
      <w:pPr>
        <w:ind w:left="2547" w:hanging="420"/>
      </w:pPr>
      <w:rPr>
        <w:b w:val="0"/>
        <w:bCs/>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6" w15:restartNumberingAfterBreak="0">
    <w:nsid w:val="3DA1066A"/>
    <w:multiLevelType w:val="hybridMultilevel"/>
    <w:tmpl w:val="6618FF36"/>
    <w:lvl w:ilvl="0" w:tplc="0427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F92C76"/>
    <w:multiLevelType w:val="hybridMultilevel"/>
    <w:tmpl w:val="D3922B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1C5B0A"/>
    <w:multiLevelType w:val="hybridMultilevel"/>
    <w:tmpl w:val="C59447DE"/>
    <w:lvl w:ilvl="0" w:tplc="792891BE">
      <w:start w:val="1"/>
      <w:numFmt w:val="bullet"/>
      <w:lvlText w:val="•"/>
      <w:lvlJc w:val="left"/>
      <w:pPr>
        <w:ind w:left="496"/>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B9D6F126">
      <w:start w:val="1"/>
      <w:numFmt w:val="bullet"/>
      <w:lvlText w:val="o"/>
      <w:lvlJc w:val="left"/>
      <w:pPr>
        <w:ind w:left="144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2" w:tplc="E2CEAB78">
      <w:start w:val="1"/>
      <w:numFmt w:val="bullet"/>
      <w:lvlText w:val="▪"/>
      <w:lvlJc w:val="left"/>
      <w:pPr>
        <w:ind w:left="216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3" w:tplc="892011C8">
      <w:start w:val="1"/>
      <w:numFmt w:val="bullet"/>
      <w:lvlText w:val="•"/>
      <w:lvlJc w:val="left"/>
      <w:pPr>
        <w:ind w:left="2882"/>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86BC6764">
      <w:start w:val="1"/>
      <w:numFmt w:val="bullet"/>
      <w:lvlText w:val="o"/>
      <w:lvlJc w:val="left"/>
      <w:pPr>
        <w:ind w:left="360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5" w:tplc="F9EA2B4E">
      <w:start w:val="1"/>
      <w:numFmt w:val="bullet"/>
      <w:lvlText w:val="▪"/>
      <w:lvlJc w:val="left"/>
      <w:pPr>
        <w:ind w:left="432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6" w:tplc="C130C222">
      <w:start w:val="1"/>
      <w:numFmt w:val="bullet"/>
      <w:lvlText w:val="•"/>
      <w:lvlJc w:val="left"/>
      <w:pPr>
        <w:ind w:left="5042"/>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2D56A9AE">
      <w:start w:val="1"/>
      <w:numFmt w:val="bullet"/>
      <w:lvlText w:val="o"/>
      <w:lvlJc w:val="left"/>
      <w:pPr>
        <w:ind w:left="576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8" w:tplc="EEC82FD2">
      <w:start w:val="1"/>
      <w:numFmt w:val="bullet"/>
      <w:lvlText w:val="▪"/>
      <w:lvlJc w:val="left"/>
      <w:pPr>
        <w:ind w:left="648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abstractNum>
  <w:abstractNum w:abstractNumId="20"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6C97BAB"/>
    <w:multiLevelType w:val="hybridMultilevel"/>
    <w:tmpl w:val="1EB68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tentative="1">
      <w:start w:val="1"/>
      <w:numFmt w:val="bullet"/>
      <w:lvlText w:val="o"/>
      <w:lvlJc w:val="left"/>
      <w:pPr>
        <w:tabs>
          <w:tab w:val="num" w:pos="1440"/>
        </w:tabs>
        <w:ind w:left="1440" w:hanging="360"/>
      </w:pPr>
      <w:rPr>
        <w:rFonts w:ascii="Courier New" w:hAnsi="Courier New" w:cs="Courier New" w:hint="default"/>
      </w:rPr>
    </w:lvl>
    <w:lvl w:ilvl="2" w:tplc="8DFCA02A" w:tentative="1">
      <w:start w:val="1"/>
      <w:numFmt w:val="bullet"/>
      <w:lvlText w:val=""/>
      <w:lvlJc w:val="left"/>
      <w:pPr>
        <w:tabs>
          <w:tab w:val="num" w:pos="2160"/>
        </w:tabs>
        <w:ind w:left="2160" w:hanging="360"/>
      </w:pPr>
      <w:rPr>
        <w:rFonts w:ascii="Wingdings" w:hAnsi="Wingdings" w:hint="default"/>
      </w:rPr>
    </w:lvl>
    <w:lvl w:ilvl="3" w:tplc="E89A18E6" w:tentative="1">
      <w:start w:val="1"/>
      <w:numFmt w:val="bullet"/>
      <w:lvlText w:val=""/>
      <w:lvlJc w:val="left"/>
      <w:pPr>
        <w:tabs>
          <w:tab w:val="num" w:pos="2880"/>
        </w:tabs>
        <w:ind w:left="2880" w:hanging="360"/>
      </w:pPr>
      <w:rPr>
        <w:rFonts w:ascii="Symbol" w:hAnsi="Symbol" w:hint="default"/>
      </w:rPr>
    </w:lvl>
    <w:lvl w:ilvl="4" w:tplc="93EAE14C" w:tentative="1">
      <w:start w:val="1"/>
      <w:numFmt w:val="bullet"/>
      <w:lvlText w:val="o"/>
      <w:lvlJc w:val="left"/>
      <w:pPr>
        <w:tabs>
          <w:tab w:val="num" w:pos="3600"/>
        </w:tabs>
        <w:ind w:left="3600" w:hanging="360"/>
      </w:pPr>
      <w:rPr>
        <w:rFonts w:ascii="Courier New" w:hAnsi="Courier New" w:cs="Courier New" w:hint="default"/>
      </w:rPr>
    </w:lvl>
    <w:lvl w:ilvl="5" w:tplc="E4180950" w:tentative="1">
      <w:start w:val="1"/>
      <w:numFmt w:val="bullet"/>
      <w:lvlText w:val=""/>
      <w:lvlJc w:val="left"/>
      <w:pPr>
        <w:tabs>
          <w:tab w:val="num" w:pos="4320"/>
        </w:tabs>
        <w:ind w:left="4320" w:hanging="360"/>
      </w:pPr>
      <w:rPr>
        <w:rFonts w:ascii="Wingdings" w:hAnsi="Wingdings" w:hint="default"/>
      </w:rPr>
    </w:lvl>
    <w:lvl w:ilvl="6" w:tplc="AF6A0E64" w:tentative="1">
      <w:start w:val="1"/>
      <w:numFmt w:val="bullet"/>
      <w:lvlText w:val=""/>
      <w:lvlJc w:val="left"/>
      <w:pPr>
        <w:tabs>
          <w:tab w:val="num" w:pos="5040"/>
        </w:tabs>
        <w:ind w:left="5040" w:hanging="360"/>
      </w:pPr>
      <w:rPr>
        <w:rFonts w:ascii="Symbol" w:hAnsi="Symbol" w:hint="default"/>
      </w:rPr>
    </w:lvl>
    <w:lvl w:ilvl="7" w:tplc="8D9C1868" w:tentative="1">
      <w:start w:val="1"/>
      <w:numFmt w:val="bullet"/>
      <w:lvlText w:val="o"/>
      <w:lvlJc w:val="left"/>
      <w:pPr>
        <w:tabs>
          <w:tab w:val="num" w:pos="5760"/>
        </w:tabs>
        <w:ind w:left="5760" w:hanging="360"/>
      </w:pPr>
      <w:rPr>
        <w:rFonts w:ascii="Courier New" w:hAnsi="Courier New" w:cs="Courier New" w:hint="default"/>
      </w:rPr>
    </w:lvl>
    <w:lvl w:ilvl="8" w:tplc="C084FB12" w:tentative="1">
      <w:start w:val="1"/>
      <w:numFmt w:val="bullet"/>
      <w:lvlText w:val=""/>
      <w:lvlJc w:val="left"/>
      <w:pPr>
        <w:tabs>
          <w:tab w:val="num" w:pos="6480"/>
        </w:tabs>
        <w:ind w:left="6480" w:hanging="360"/>
      </w:pPr>
      <w:rPr>
        <w:rFonts w:ascii="Wingdings" w:hAnsi="Wingdings" w:hint="default"/>
      </w:rPr>
    </w:lvl>
  </w:abstractNum>
  <w:num w:numId="1" w16cid:durableId="376929592">
    <w:abstractNumId w:val="13"/>
  </w:num>
  <w:num w:numId="2" w16cid:durableId="443352529">
    <w:abstractNumId w:val="14"/>
  </w:num>
  <w:num w:numId="3" w16cid:durableId="177233876">
    <w:abstractNumId w:val="9"/>
  </w:num>
  <w:num w:numId="4" w16cid:durableId="1822504236">
    <w:abstractNumId w:val="0"/>
  </w:num>
  <w:num w:numId="5" w16cid:durableId="1123575248">
    <w:abstractNumId w:val="4"/>
  </w:num>
  <w:num w:numId="6" w16cid:durableId="761222092">
    <w:abstractNumId w:val="18"/>
  </w:num>
  <w:num w:numId="7" w16cid:durableId="728696456">
    <w:abstractNumId w:val="7"/>
  </w:num>
  <w:num w:numId="8" w16cid:durableId="1590775912">
    <w:abstractNumId w:val="2"/>
  </w:num>
  <w:num w:numId="9" w16cid:durableId="603419244">
    <w:abstractNumId w:val="11"/>
  </w:num>
  <w:num w:numId="10" w16cid:durableId="2089110275">
    <w:abstractNumId w:val="3"/>
  </w:num>
  <w:num w:numId="11" w16cid:durableId="303386984">
    <w:abstractNumId w:val="10"/>
  </w:num>
  <w:num w:numId="12" w16cid:durableId="1088044912">
    <w:abstractNumId w:val="19"/>
  </w:num>
  <w:num w:numId="13" w16cid:durableId="1548832694">
    <w:abstractNumId w:val="15"/>
  </w:num>
  <w:num w:numId="14" w16cid:durableId="2071687705">
    <w:abstractNumId w:val="8"/>
  </w:num>
  <w:num w:numId="15" w16cid:durableId="654795688">
    <w:abstractNumId w:val="5"/>
  </w:num>
  <w:num w:numId="16" w16cid:durableId="32506659">
    <w:abstractNumId w:val="16"/>
  </w:num>
  <w:num w:numId="17" w16cid:durableId="1348024592">
    <w:abstractNumId w:val="17"/>
  </w:num>
  <w:num w:numId="18" w16cid:durableId="2033914953">
    <w:abstractNumId w:val="21"/>
  </w:num>
  <w:num w:numId="19" w16cid:durableId="1806653913">
    <w:abstractNumId w:val="20"/>
  </w:num>
  <w:num w:numId="20" w16cid:durableId="533277198">
    <w:abstractNumId w:val="12"/>
  </w:num>
  <w:num w:numId="21" w16cid:durableId="1955625865">
    <w:abstractNumId w:val="1"/>
  </w:num>
  <w:num w:numId="22" w16cid:durableId="400055851">
    <w:abstractNumId w:val="23"/>
  </w:num>
  <w:num w:numId="23" w16cid:durableId="478116848">
    <w:abstractNumId w:val="6"/>
  </w:num>
  <w:num w:numId="24" w16cid:durableId="26142624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4C"/>
    <w:rsid w:val="000178BE"/>
    <w:rsid w:val="0002392C"/>
    <w:rsid w:val="00025DBD"/>
    <w:rsid w:val="00057A62"/>
    <w:rsid w:val="000611B6"/>
    <w:rsid w:val="00072232"/>
    <w:rsid w:val="000930AE"/>
    <w:rsid w:val="000C6024"/>
    <w:rsid w:val="000E2F8F"/>
    <w:rsid w:val="000F581A"/>
    <w:rsid w:val="0011561B"/>
    <w:rsid w:val="00116F23"/>
    <w:rsid w:val="00123517"/>
    <w:rsid w:val="00124442"/>
    <w:rsid w:val="0013158C"/>
    <w:rsid w:val="001669B6"/>
    <w:rsid w:val="0017359B"/>
    <w:rsid w:val="00175CC1"/>
    <w:rsid w:val="00183F57"/>
    <w:rsid w:val="001F6267"/>
    <w:rsid w:val="00203B6B"/>
    <w:rsid w:val="002841F4"/>
    <w:rsid w:val="00296ADD"/>
    <w:rsid w:val="002D506B"/>
    <w:rsid w:val="0031212C"/>
    <w:rsid w:val="0037110C"/>
    <w:rsid w:val="003E364C"/>
    <w:rsid w:val="003F0417"/>
    <w:rsid w:val="00437E9D"/>
    <w:rsid w:val="00452C4E"/>
    <w:rsid w:val="004B6B41"/>
    <w:rsid w:val="004D00AF"/>
    <w:rsid w:val="0051031F"/>
    <w:rsid w:val="005146D6"/>
    <w:rsid w:val="00575C70"/>
    <w:rsid w:val="00582D3E"/>
    <w:rsid w:val="00590FAD"/>
    <w:rsid w:val="00594933"/>
    <w:rsid w:val="005A432D"/>
    <w:rsid w:val="005A71DF"/>
    <w:rsid w:val="005F2B9C"/>
    <w:rsid w:val="0060327D"/>
    <w:rsid w:val="0061328A"/>
    <w:rsid w:val="00626B83"/>
    <w:rsid w:val="006448C5"/>
    <w:rsid w:val="00694B06"/>
    <w:rsid w:val="006B12A7"/>
    <w:rsid w:val="007223B9"/>
    <w:rsid w:val="00762725"/>
    <w:rsid w:val="007947CD"/>
    <w:rsid w:val="007C4CA8"/>
    <w:rsid w:val="007E7BED"/>
    <w:rsid w:val="007F0A0C"/>
    <w:rsid w:val="0081230C"/>
    <w:rsid w:val="008173BF"/>
    <w:rsid w:val="00867275"/>
    <w:rsid w:val="00885891"/>
    <w:rsid w:val="00890A97"/>
    <w:rsid w:val="009159A6"/>
    <w:rsid w:val="00942F25"/>
    <w:rsid w:val="009449B0"/>
    <w:rsid w:val="0096285A"/>
    <w:rsid w:val="00995988"/>
    <w:rsid w:val="009A023A"/>
    <w:rsid w:val="009A6CE4"/>
    <w:rsid w:val="009C661B"/>
    <w:rsid w:val="00A0706B"/>
    <w:rsid w:val="00A2791C"/>
    <w:rsid w:val="00A73E78"/>
    <w:rsid w:val="00A7733E"/>
    <w:rsid w:val="00A8032B"/>
    <w:rsid w:val="00A942BC"/>
    <w:rsid w:val="00AD441E"/>
    <w:rsid w:val="00B043A5"/>
    <w:rsid w:val="00B264CF"/>
    <w:rsid w:val="00B36596"/>
    <w:rsid w:val="00B514B4"/>
    <w:rsid w:val="00B765F2"/>
    <w:rsid w:val="00B77BA5"/>
    <w:rsid w:val="00BC10CF"/>
    <w:rsid w:val="00C15624"/>
    <w:rsid w:val="00C3128C"/>
    <w:rsid w:val="00C34A00"/>
    <w:rsid w:val="00C54698"/>
    <w:rsid w:val="00C60E15"/>
    <w:rsid w:val="00CC69F0"/>
    <w:rsid w:val="00CD63C2"/>
    <w:rsid w:val="00CF4CA4"/>
    <w:rsid w:val="00D002DA"/>
    <w:rsid w:val="00D25799"/>
    <w:rsid w:val="00D300C0"/>
    <w:rsid w:val="00D629DE"/>
    <w:rsid w:val="00DE10B9"/>
    <w:rsid w:val="00DE7B5A"/>
    <w:rsid w:val="00DF5A8E"/>
    <w:rsid w:val="00DF5B59"/>
    <w:rsid w:val="00E15257"/>
    <w:rsid w:val="00E165D9"/>
    <w:rsid w:val="00E55959"/>
    <w:rsid w:val="00E7752F"/>
    <w:rsid w:val="00EB6326"/>
    <w:rsid w:val="00EF3814"/>
    <w:rsid w:val="00F00D97"/>
    <w:rsid w:val="00F02D2F"/>
    <w:rsid w:val="00F10A80"/>
    <w:rsid w:val="00F41552"/>
    <w:rsid w:val="00F76A1A"/>
    <w:rsid w:val="00F85156"/>
    <w:rsid w:val="00FB011A"/>
    <w:rsid w:val="00FB4F68"/>
    <w:rsid w:val="00FC7F89"/>
    <w:rsid w:val="00FE2449"/>
    <w:rsid w:val="00FE36AD"/>
    <w:rsid w:val="00FF6D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8825"/>
  <w15:chartTrackingRefBased/>
  <w15:docId w15:val="{4B34BC1C-9476-43AE-B23C-A1C9DFDD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E364C"/>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3E364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3E364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3E364C"/>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3E364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E364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3E364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3E364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3E364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E364C"/>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E364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E364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E364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E364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E364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E364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E364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E364C"/>
    <w:rPr>
      <w:rFonts w:ascii="Times New Roman" w:eastAsia="SimSun" w:hAnsi="Times New Roman" w:cs="Times New Roman"/>
      <w:b/>
      <w:i/>
      <w:szCs w:val="20"/>
      <w:lang w:val="en-GB"/>
    </w:rPr>
  </w:style>
  <w:style w:type="character" w:styleId="Vietosrezervavimoenklotekstas">
    <w:name w:val="Placeholder Text"/>
    <w:basedOn w:val="Numatytasispastraiposriftas"/>
    <w:rsid w:val="003E364C"/>
    <w:rPr>
      <w:color w:val="808080"/>
    </w:rPr>
  </w:style>
  <w:style w:type="paragraph" w:styleId="Antrats">
    <w:name w:val="header"/>
    <w:basedOn w:val="prastasis"/>
    <w:link w:val="AntratsDiagrama"/>
    <w:uiPriority w:val="99"/>
    <w:rsid w:val="003E364C"/>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HeaderChar">
    <w:name w:val="Header Char"/>
    <w:basedOn w:val="Numatytasispastraiposriftas"/>
    <w:rsid w:val="003E364C"/>
  </w:style>
  <w:style w:type="character" w:customStyle="1" w:styleId="AntratsDiagrama">
    <w:name w:val="Antraštės Diagrama"/>
    <w:basedOn w:val="Numatytasispastraiposriftas"/>
    <w:link w:val="Antrats"/>
    <w:uiPriority w:val="99"/>
    <w:rsid w:val="003E364C"/>
    <w:rPr>
      <w:rFonts w:ascii="Times New Roman" w:eastAsia="Times New Roman" w:hAnsi="Times New Roman" w:cs="Times New Roman"/>
      <w:sz w:val="24"/>
      <w:szCs w:val="20"/>
    </w:rPr>
  </w:style>
  <w:style w:type="paragraph" w:styleId="Porat">
    <w:name w:val="footer"/>
    <w:basedOn w:val="prastasis"/>
    <w:link w:val="PoratDiagrama"/>
    <w:uiPriority w:val="99"/>
    <w:rsid w:val="003E364C"/>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3E364C"/>
    <w:rPr>
      <w:rFonts w:ascii="Times New Roman" w:eastAsia="Times New Roman" w:hAnsi="Times New Roman" w:cs="Times New Roman"/>
      <w:snapToGrid w:val="0"/>
      <w:szCs w:val="20"/>
      <w:lang w:val="en-GB" w:eastAsia="x-none"/>
    </w:rPr>
  </w:style>
  <w:style w:type="character" w:styleId="Puslapionumeris">
    <w:name w:val="page number"/>
    <w:uiPriority w:val="99"/>
    <w:rsid w:val="003E364C"/>
    <w:rPr>
      <w:rFonts w:cs="Times New Roman"/>
    </w:rPr>
  </w:style>
  <w:style w:type="character" w:styleId="Hipersaitas">
    <w:name w:val="Hyperlink"/>
    <w:uiPriority w:val="99"/>
    <w:rsid w:val="003E364C"/>
    <w:rPr>
      <w:color w:val="0000FF"/>
      <w:u w:val="single"/>
    </w:rPr>
  </w:style>
  <w:style w:type="paragraph" w:customStyle="1" w:styleId="BodytextAgency">
    <w:name w:val="Body text (Agency)"/>
    <w:basedOn w:val="prastasis"/>
    <w:link w:val="BodytextAgencyChar"/>
    <w:uiPriority w:val="99"/>
    <w:rsid w:val="003E364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E364C"/>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3E364C"/>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E364C"/>
    <w:rPr>
      <w:rFonts w:ascii="Courier New" w:hAnsi="Courier New"/>
      <w:color w:val="00FF00"/>
      <w:sz w:val="40"/>
    </w:rPr>
  </w:style>
  <w:style w:type="character" w:customStyle="1" w:styleId="tw4winTerm">
    <w:name w:val="tw4winTerm"/>
    <w:uiPriority w:val="99"/>
    <w:rsid w:val="003E364C"/>
    <w:rPr>
      <w:color w:val="0000FF"/>
    </w:rPr>
  </w:style>
  <w:style w:type="character" w:customStyle="1" w:styleId="tw4winPopup">
    <w:name w:val="tw4winPopup"/>
    <w:uiPriority w:val="99"/>
    <w:rsid w:val="003E364C"/>
    <w:rPr>
      <w:rFonts w:ascii="Courier New" w:hAnsi="Courier New"/>
      <w:noProof/>
      <w:color w:val="008000"/>
    </w:rPr>
  </w:style>
  <w:style w:type="character" w:customStyle="1" w:styleId="tw4winJump">
    <w:name w:val="tw4winJump"/>
    <w:uiPriority w:val="99"/>
    <w:rsid w:val="003E364C"/>
    <w:rPr>
      <w:rFonts w:ascii="Courier New" w:hAnsi="Courier New"/>
      <w:noProof/>
      <w:color w:val="008080"/>
    </w:rPr>
  </w:style>
  <w:style w:type="character" w:customStyle="1" w:styleId="tw4winExternal">
    <w:name w:val="tw4winExternal"/>
    <w:uiPriority w:val="99"/>
    <w:rsid w:val="003E364C"/>
    <w:rPr>
      <w:rFonts w:ascii="Courier New" w:hAnsi="Courier New"/>
      <w:noProof/>
      <w:color w:val="808080"/>
    </w:rPr>
  </w:style>
  <w:style w:type="character" w:customStyle="1" w:styleId="tw4winInternal">
    <w:name w:val="tw4winInternal"/>
    <w:uiPriority w:val="99"/>
    <w:rsid w:val="003E364C"/>
    <w:rPr>
      <w:rFonts w:ascii="Courier New" w:hAnsi="Courier New"/>
      <w:noProof/>
      <w:color w:val="FF0000"/>
    </w:rPr>
  </w:style>
  <w:style w:type="character" w:customStyle="1" w:styleId="DONOTTRANSLATE">
    <w:name w:val="DO_NOT_TRANSLATE"/>
    <w:uiPriority w:val="99"/>
    <w:rsid w:val="003E364C"/>
    <w:rPr>
      <w:rFonts w:ascii="Courier New" w:hAnsi="Courier New"/>
      <w:noProof/>
      <w:color w:val="800000"/>
    </w:rPr>
  </w:style>
  <w:style w:type="paragraph" w:styleId="Debesliotekstas">
    <w:name w:val="Balloon Text"/>
    <w:basedOn w:val="prastasis"/>
    <w:link w:val="DebesliotekstasDiagrama"/>
    <w:uiPriority w:val="99"/>
    <w:rsid w:val="003E364C"/>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3E364C"/>
    <w:rPr>
      <w:rFonts w:ascii="Tahoma" w:eastAsia="Times New Roman" w:hAnsi="Tahoma" w:cs="Times New Roman"/>
      <w:snapToGrid w:val="0"/>
      <w:sz w:val="16"/>
      <w:szCs w:val="16"/>
      <w:lang w:val="en-GB" w:eastAsia="x-none"/>
    </w:rPr>
  </w:style>
  <w:style w:type="character" w:styleId="Komentaronuoroda">
    <w:name w:val="annotation reference"/>
    <w:aliases w:val="-H18,Annotationmark,CommentReference"/>
    <w:uiPriority w:val="99"/>
    <w:qFormat/>
    <w:rsid w:val="003E364C"/>
    <w:rPr>
      <w:sz w:val="16"/>
      <w:szCs w:val="16"/>
    </w:rPr>
  </w:style>
  <w:style w:type="paragraph" w:styleId="Komentarotekstas">
    <w:name w:val="annotation text"/>
    <w:basedOn w:val="prastasis"/>
    <w:link w:val="KomentarotekstasDiagrama"/>
    <w:uiPriority w:val="99"/>
    <w:rsid w:val="003E364C"/>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3E364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E364C"/>
    <w:rPr>
      <w:b/>
      <w:bCs/>
    </w:rPr>
  </w:style>
  <w:style w:type="character" w:customStyle="1" w:styleId="KomentarotemaDiagrama">
    <w:name w:val="Komentaro tema Diagrama"/>
    <w:basedOn w:val="KomentarotekstasDiagrama"/>
    <w:link w:val="Komentarotema"/>
    <w:uiPriority w:val="99"/>
    <w:rsid w:val="003E364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E364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3E364C"/>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E364C"/>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3E364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E364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E364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E364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E364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E364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E364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E364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E364C"/>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E364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E364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E364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E364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E364C"/>
    <w:pPr>
      <w:tabs>
        <w:tab w:val="clear" w:pos="720"/>
        <w:tab w:val="num" w:pos="360"/>
      </w:tabs>
      <w:ind w:left="709" w:hanging="425"/>
    </w:pPr>
    <w:rPr>
      <w:sz w:val="22"/>
    </w:rPr>
  </w:style>
  <w:style w:type="paragraph" w:customStyle="1" w:styleId="AHeader3">
    <w:name w:val="AHeader 3"/>
    <w:basedOn w:val="AHeader2"/>
    <w:uiPriority w:val="99"/>
    <w:rsid w:val="003E364C"/>
    <w:pPr>
      <w:ind w:left="1276" w:hanging="567"/>
    </w:pPr>
  </w:style>
  <w:style w:type="paragraph" w:customStyle="1" w:styleId="AHeader2abc">
    <w:name w:val="AHeader 2 abc"/>
    <w:basedOn w:val="AHeader3"/>
    <w:uiPriority w:val="99"/>
    <w:rsid w:val="003E364C"/>
    <w:pPr>
      <w:jc w:val="both"/>
    </w:pPr>
    <w:rPr>
      <w:b w:val="0"/>
      <w:bCs w:val="0"/>
    </w:rPr>
  </w:style>
  <w:style w:type="paragraph" w:customStyle="1" w:styleId="AHeader3abc">
    <w:name w:val="AHeader 3 abc"/>
    <w:basedOn w:val="AHeader2abc"/>
    <w:uiPriority w:val="99"/>
    <w:rsid w:val="003E364C"/>
    <w:pPr>
      <w:ind w:left="1701" w:hanging="425"/>
    </w:pPr>
  </w:style>
  <w:style w:type="paragraph" w:styleId="Pagrindiniotekstotrauka3">
    <w:name w:val="Body Text Indent 3"/>
    <w:basedOn w:val="prastasis"/>
    <w:link w:val="Pagrindiniotekstotrauka3Diagrama"/>
    <w:uiPriority w:val="99"/>
    <w:rsid w:val="003E364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E364C"/>
    <w:rPr>
      <w:rFonts w:ascii="Times New Roman" w:eastAsia="SimSun" w:hAnsi="Times New Roman" w:cs="Times New Roman"/>
      <w:szCs w:val="21"/>
      <w:lang w:val="en-GB"/>
    </w:rPr>
  </w:style>
  <w:style w:type="character" w:styleId="Perirtashipersaitas">
    <w:name w:val="FollowedHyperlink"/>
    <w:uiPriority w:val="99"/>
    <w:rsid w:val="003E364C"/>
    <w:rPr>
      <w:rFonts w:cs="Times New Roman"/>
      <w:color w:val="800080"/>
      <w:u w:val="single"/>
    </w:rPr>
  </w:style>
  <w:style w:type="character" w:styleId="Grietas">
    <w:name w:val="Strong"/>
    <w:uiPriority w:val="99"/>
    <w:qFormat/>
    <w:rsid w:val="003E364C"/>
    <w:rPr>
      <w:rFonts w:cs="Times New Roman"/>
      <w:b/>
      <w:bCs/>
    </w:rPr>
  </w:style>
  <w:style w:type="character" w:customStyle="1" w:styleId="BodytextAgencyChar">
    <w:name w:val="Body text (Agency) Char"/>
    <w:link w:val="BodytextAgency"/>
    <w:uiPriority w:val="99"/>
    <w:locked/>
    <w:rsid w:val="003E364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E364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E364C"/>
    <w:pPr>
      <w:keepNext/>
    </w:pPr>
    <w:rPr>
      <w:rFonts w:eastAsia="SimSun" w:cs="Verdana"/>
      <w:b/>
      <w:snapToGrid/>
      <w:szCs w:val="18"/>
      <w:lang w:eastAsia="en-GB"/>
    </w:rPr>
  </w:style>
  <w:style w:type="character" w:customStyle="1" w:styleId="NormalAgencyChar">
    <w:name w:val="Normal (Agency) Char"/>
    <w:link w:val="NormalAgency"/>
    <w:uiPriority w:val="99"/>
    <w:locked/>
    <w:rsid w:val="003E364C"/>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E364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E364C"/>
    <w:rPr>
      <w:rFonts w:ascii="Courier New" w:eastAsia="SimSun" w:hAnsi="Courier New" w:cs="Times New Roman"/>
      <w:sz w:val="20"/>
      <w:szCs w:val="20"/>
      <w:lang w:val="en-US"/>
    </w:rPr>
  </w:style>
  <w:style w:type="paragraph" w:customStyle="1" w:styleId="Default">
    <w:name w:val="Default"/>
    <w:rsid w:val="003E364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E364C"/>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E364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E364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3E364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E364C"/>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3E364C"/>
    <w:rPr>
      <w:rFonts w:ascii="Times New Roman" w:eastAsia="SimSun" w:hAnsi="Times New Roman" w:cs="Times New Roman"/>
      <w:noProof/>
      <w:sz w:val="20"/>
      <w:szCs w:val="20"/>
      <w:lang w:val="x-none" w:eastAsia="x-none"/>
    </w:rPr>
  </w:style>
  <w:style w:type="character" w:customStyle="1" w:styleId="CharChar12">
    <w:name w:val="Char Char12"/>
    <w:locked/>
    <w:rsid w:val="003E364C"/>
    <w:rPr>
      <w:snapToGrid w:val="0"/>
      <w:lang w:val="en-GB" w:eastAsia="en-US" w:bidi="ar-SA"/>
    </w:rPr>
  </w:style>
  <w:style w:type="paragraph" w:styleId="Sraopastraipa">
    <w:name w:val="List Paragraph"/>
    <w:basedOn w:val="prastasis"/>
    <w:uiPriority w:val="1"/>
    <w:qFormat/>
    <w:rsid w:val="003E364C"/>
    <w:pPr>
      <w:spacing w:after="0" w:line="240" w:lineRule="auto"/>
      <w:ind w:left="720"/>
      <w:contextualSpacing/>
    </w:pPr>
    <w:rPr>
      <w:rFonts w:ascii="Times New Roman" w:eastAsia="Times New Roman" w:hAnsi="Times New Roman" w:cs="Times New Roman"/>
      <w:sz w:val="24"/>
      <w:szCs w:val="20"/>
    </w:rPr>
  </w:style>
  <w:style w:type="paragraph" w:customStyle="1" w:styleId="TableParagraph">
    <w:name w:val="Table Paragraph"/>
    <w:basedOn w:val="prastasis"/>
    <w:uiPriority w:val="1"/>
    <w:qFormat/>
    <w:rsid w:val="003E364C"/>
    <w:pPr>
      <w:spacing w:after="0" w:line="240" w:lineRule="auto"/>
      <w:ind w:left="107" w:right="96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8447">
      <w:bodyDiv w:val="1"/>
      <w:marLeft w:val="0"/>
      <w:marRight w:val="0"/>
      <w:marTop w:val="0"/>
      <w:marBottom w:val="0"/>
      <w:divBdr>
        <w:top w:val="none" w:sz="0" w:space="0" w:color="auto"/>
        <w:left w:val="none" w:sz="0" w:space="0" w:color="auto"/>
        <w:bottom w:val="none" w:sz="0" w:space="0" w:color="auto"/>
        <w:right w:val="none" w:sz="0" w:space="0" w:color="auto"/>
      </w:divBdr>
    </w:div>
    <w:div w:id="82340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A39BE-075F-435E-A00B-D21CE6C05CB5}">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2.xml><?xml version="1.0" encoding="utf-8"?>
<ds:datastoreItem xmlns:ds="http://schemas.openxmlformats.org/officeDocument/2006/customXml" ds:itemID="{75C7D026-6C3D-4585-9358-148E0439BFD8}">
  <ds:schemaRefs>
    <ds:schemaRef ds:uri="http://schemas.microsoft.com/sharepoint/v3/contenttype/forms"/>
  </ds:schemaRefs>
</ds:datastoreItem>
</file>

<file path=customXml/itemProps3.xml><?xml version="1.0" encoding="utf-8"?>
<ds:datastoreItem xmlns:ds="http://schemas.openxmlformats.org/officeDocument/2006/customXml" ds:itemID="{E4435B8D-8BEA-455E-BB76-273530610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89475</Words>
  <Characters>51001</Characters>
  <Application>Microsoft Office Word</Application>
  <DocSecurity>4</DocSecurity>
  <Lines>425</Lines>
  <Paragraphs>280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dc:creator>
  <cp:keywords/>
  <dc:description/>
  <cp:lastModifiedBy>Albina Burkauskaitė</cp:lastModifiedBy>
  <cp:revision>2</cp:revision>
  <dcterms:created xsi:type="dcterms:W3CDTF">2025-11-06T06:29:00Z</dcterms:created>
  <dcterms:modified xsi:type="dcterms:W3CDTF">2025-11-06T06:29:00Z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