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B3559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17E759C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216AD0B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19D5347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234AF0C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0D04E96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107BC53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774A189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709F110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215C48C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6C60C60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579A865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5E20724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1DCCC9E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5469D6D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7B64CE7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6551F14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13A19A8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39B27BF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0F4BB3A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6637516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733B9AE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18"/>
        </w:rPr>
      </w:pPr>
    </w:p>
    <w:p w14:paraId="502A3414" w14:textId="77777777" w:rsidR="002D13DF" w:rsidRPr="00DF20DE" w:rsidRDefault="002D13DF" w:rsidP="00F151B8">
      <w:pPr>
        <w:widowControl w:val="0"/>
        <w:autoSpaceDE w:val="0"/>
        <w:autoSpaceDN w:val="0"/>
        <w:spacing w:after="0" w:line="240" w:lineRule="auto"/>
        <w:jc w:val="center"/>
        <w:rPr>
          <w:rFonts w:ascii="Times New Roman" w:eastAsia="Times New Roman" w:hAnsi="Times New Roman" w:cs="Times New Roman"/>
          <w:b/>
        </w:rPr>
      </w:pPr>
    </w:p>
    <w:p w14:paraId="50B3C8F2" w14:textId="62F79C0B"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I PRIEDAS</w:t>
      </w:r>
    </w:p>
    <w:p w14:paraId="1C30CB2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p>
    <w:p w14:paraId="16EE457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bookmarkStart w:id="0" w:name="PREPARATO_CHARAKTERISTIKŲ_SANTRAUKA"/>
      <w:bookmarkEnd w:id="0"/>
      <w:r w:rsidRPr="00DF20DE">
        <w:rPr>
          <w:rFonts w:ascii="Times New Roman" w:eastAsia="Times New Roman" w:hAnsi="Times New Roman" w:cs="Times New Roman"/>
          <w:b/>
        </w:rPr>
        <w:t>PREPARATO CHARAKTERISTIKŲ SANTRAUKA</w:t>
      </w:r>
    </w:p>
    <w:p w14:paraId="325C27F2"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p>
    <w:p w14:paraId="4DEC1689" w14:textId="031AB346" w:rsidR="00520DBB" w:rsidRPr="00DF20DE" w:rsidRDefault="00520DBB" w:rsidP="00F151B8">
      <w:pPr>
        <w:widowControl w:val="0"/>
        <w:autoSpaceDE w:val="0"/>
        <w:autoSpaceDN w:val="0"/>
        <w:spacing w:after="0" w:line="240" w:lineRule="auto"/>
        <w:jc w:val="center"/>
        <w:rPr>
          <w:rFonts w:ascii="Times New Roman" w:eastAsia="Times New Roman" w:hAnsi="Times New Roman" w:cs="Times New Roman"/>
        </w:rPr>
        <w:sectPr w:rsidR="00520DBB" w:rsidRPr="00DF20DE" w:rsidSect="00F151B8">
          <w:headerReference w:type="default" r:id="rId12"/>
          <w:footerReference w:type="default" r:id="rId13"/>
          <w:pgSz w:w="11910" w:h="16840"/>
          <w:pgMar w:top="1134" w:right="1418" w:bottom="1134" w:left="1418" w:header="0" w:footer="629" w:gutter="0"/>
          <w:pgNumType w:start="1"/>
          <w:cols w:space="720"/>
          <w:docGrid w:linePitch="299"/>
        </w:sectPr>
      </w:pPr>
    </w:p>
    <w:p w14:paraId="75296EF7" w14:textId="77777777" w:rsidR="00F151B8" w:rsidRPr="00DF20DE" w:rsidRDefault="00F151B8" w:rsidP="00B61CB8">
      <w:pPr>
        <w:widowControl w:val="0"/>
        <w:numPr>
          <w:ilvl w:val="0"/>
          <w:numId w:val="10"/>
        </w:numPr>
        <w:autoSpaceDE w:val="0"/>
        <w:autoSpaceDN w:val="0"/>
        <w:spacing w:before="20"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lastRenderedPageBreak/>
        <w:t>VAISTINIO PREPARATO PAVADINIMAS</w:t>
      </w:r>
    </w:p>
    <w:p w14:paraId="5192FAD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0EAD9606" w14:textId="3AFF4CED" w:rsidR="00F151B8" w:rsidRPr="00DF20DE" w:rsidRDefault="008B0463" w:rsidP="00F151B8">
      <w:pPr>
        <w:widowControl w:val="0"/>
        <w:autoSpaceDE w:val="0"/>
        <w:autoSpaceDN w:val="0"/>
        <w:spacing w:after="0" w:line="240" w:lineRule="auto"/>
        <w:rPr>
          <w:rFonts w:ascii="Times New Roman" w:eastAsia="Times New Roman" w:hAnsi="Times New Roman" w:cs="Times New Roman"/>
        </w:rPr>
      </w:pPr>
      <w:bookmarkStart w:id="1" w:name="_GoBack"/>
      <w:r w:rsidRPr="00DF20DE">
        <w:rPr>
          <w:rFonts w:ascii="Times New Roman" w:eastAsia="Times New Roman" w:hAnsi="Times New Roman" w:cs="Times New Roman"/>
        </w:rPr>
        <w:t>Plategra</w:t>
      </w:r>
      <w:r w:rsidR="00F151B8" w:rsidRPr="00DF20DE">
        <w:rPr>
          <w:rFonts w:ascii="Times New Roman" w:eastAsia="Times New Roman" w:hAnsi="Times New Roman" w:cs="Times New Roman"/>
        </w:rPr>
        <w:t xml:space="preserve"> </w:t>
      </w:r>
      <w:bookmarkEnd w:id="1"/>
      <w:r w:rsidR="00F151B8" w:rsidRPr="00DF20DE">
        <w:rPr>
          <w:rFonts w:ascii="Times New Roman" w:eastAsia="Times New Roman" w:hAnsi="Times New Roman" w:cs="Times New Roman"/>
        </w:rPr>
        <w:t>60 mg plėvele dengtos tabletės</w:t>
      </w:r>
    </w:p>
    <w:p w14:paraId="3461131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4"/>
        </w:rPr>
      </w:pPr>
    </w:p>
    <w:p w14:paraId="0B26019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4C17EC73" w14:textId="77777777" w:rsidR="00F151B8" w:rsidRPr="00DF20DE" w:rsidRDefault="00F151B8" w:rsidP="00B61CB8">
      <w:pPr>
        <w:widowControl w:val="0"/>
        <w:numPr>
          <w:ilvl w:val="0"/>
          <w:numId w:val="10"/>
        </w:numPr>
        <w:autoSpaceDE w:val="0"/>
        <w:autoSpaceDN w:val="0"/>
        <w:spacing w:before="20"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KOKYBINĖ IR KIEKYBINĖ SUDĖTIS</w:t>
      </w:r>
    </w:p>
    <w:p w14:paraId="4CD6D58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68C9E55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Kiekvienoje plėvele dengtoje tabletėje yra 60 mg tikagreloro.</w:t>
      </w:r>
    </w:p>
    <w:p w14:paraId="24704A3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2DD0E3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Visos pagalbinės medžiagos išvardytos 6.1 skyriuje.</w:t>
      </w:r>
    </w:p>
    <w:p w14:paraId="7577C1E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E55A36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66AFFCA" w14:textId="77777777" w:rsidR="00F151B8" w:rsidRPr="00DF20DE" w:rsidRDefault="00F151B8" w:rsidP="00B61CB8">
      <w:pPr>
        <w:widowControl w:val="0"/>
        <w:numPr>
          <w:ilvl w:val="0"/>
          <w:numId w:val="10"/>
        </w:numPr>
        <w:autoSpaceDE w:val="0"/>
        <w:autoSpaceDN w:val="0"/>
        <w:spacing w:before="20"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FARMACINĖ FORMA</w:t>
      </w:r>
    </w:p>
    <w:p w14:paraId="51E3998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2385FC9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bookmarkStart w:id="2" w:name="_Hlk90974136"/>
      <w:r w:rsidRPr="00DF20DE">
        <w:rPr>
          <w:rFonts w:ascii="Times New Roman" w:eastAsia="Times New Roman" w:hAnsi="Times New Roman" w:cs="Times New Roman"/>
        </w:rPr>
        <w:t>Plėvele dengta tabletė (tabletė)</w:t>
      </w:r>
    </w:p>
    <w:p w14:paraId="663885FF" w14:textId="7D9E3821"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Apvalios, abipus išgaubtos, rožinės, 8</w:t>
      </w:r>
      <w:r w:rsidR="00E65A9D" w:rsidRPr="00DF20DE">
        <w:rPr>
          <w:rFonts w:ascii="Times New Roman" w:eastAsia="Times New Roman" w:hAnsi="Times New Roman" w:cs="Times New Roman"/>
        </w:rPr>
        <w:t> </w:t>
      </w:r>
      <w:r w:rsidRPr="00DF20DE">
        <w:rPr>
          <w:rFonts w:ascii="Times New Roman" w:eastAsia="Times New Roman" w:hAnsi="Times New Roman" w:cs="Times New Roman"/>
        </w:rPr>
        <w:t xml:space="preserve">mm skersmens tabletės, kurių vienoje pusėje yra įspaudas „60“. </w:t>
      </w:r>
      <w:bookmarkEnd w:id="2"/>
    </w:p>
    <w:p w14:paraId="2179709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4"/>
        </w:rPr>
      </w:pPr>
    </w:p>
    <w:p w14:paraId="4AE1FCD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5AAEB593" w14:textId="77777777" w:rsidR="00F151B8" w:rsidRPr="00DF20DE" w:rsidRDefault="00F151B8" w:rsidP="00B61CB8">
      <w:pPr>
        <w:widowControl w:val="0"/>
        <w:numPr>
          <w:ilvl w:val="0"/>
          <w:numId w:val="10"/>
        </w:numPr>
        <w:autoSpaceDE w:val="0"/>
        <w:autoSpaceDN w:val="0"/>
        <w:spacing w:before="20"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KLINIKINĖ INFORMACIJA</w:t>
      </w:r>
    </w:p>
    <w:p w14:paraId="7B78BBF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61CEE9D6" w14:textId="77777777" w:rsidR="00F151B8" w:rsidRPr="00DF20DE" w:rsidRDefault="00F151B8" w:rsidP="00F151B8">
      <w:pPr>
        <w:widowControl w:val="0"/>
        <w:tabs>
          <w:tab w:val="left" w:pos="540"/>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4.1</w:t>
      </w:r>
      <w:r w:rsidRPr="00DF20DE">
        <w:rPr>
          <w:rFonts w:ascii="Times New Roman" w:eastAsia="Times New Roman" w:hAnsi="Times New Roman" w:cs="Times New Roman"/>
          <w:b/>
          <w:bCs/>
        </w:rPr>
        <w:tab/>
        <w:t>Terapinės indikacijos</w:t>
      </w:r>
    </w:p>
    <w:p w14:paraId="59ED962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0AA52C3C" w14:textId="2989F019" w:rsidR="00F151B8" w:rsidRPr="00DF20DE" w:rsidRDefault="008B0463"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F151B8" w:rsidRPr="00DF20DE">
        <w:rPr>
          <w:rFonts w:ascii="Times New Roman" w:eastAsia="Times New Roman" w:hAnsi="Times New Roman" w:cs="Times New Roman"/>
        </w:rPr>
        <w:t xml:space="preserve"> derinyje su acetilsalicilo rūgštimi (ASR) skirtas aterotrombozinių reiškinių profilaktikai suaugusiems pacientams:</w:t>
      </w:r>
    </w:p>
    <w:p w14:paraId="7D9EAEC5" w14:textId="77777777" w:rsidR="00F151B8" w:rsidRPr="00DF20DE" w:rsidRDefault="00F151B8" w:rsidP="00B61CB8">
      <w:pPr>
        <w:widowControl w:val="0"/>
        <w:numPr>
          <w:ilvl w:val="2"/>
          <w:numId w:val="9"/>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sergantiems ūminiais koronariniais sindromais (ŪKS) arba</w:t>
      </w:r>
    </w:p>
    <w:p w14:paraId="4BA3A584" w14:textId="77777777" w:rsidR="00F151B8" w:rsidRPr="00DF20DE" w:rsidRDefault="00F151B8" w:rsidP="00B61CB8">
      <w:pPr>
        <w:widowControl w:val="0"/>
        <w:numPr>
          <w:ilvl w:val="2"/>
          <w:numId w:val="9"/>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anksčiau patyrusiems miokardo infarktą (MI) ir jeigu yra didelė aterotrombozinio reiškinio išsivystymo rizika (žr. 4.2 ir 5.1 skyrius).</w:t>
      </w:r>
    </w:p>
    <w:p w14:paraId="60118CC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5B00812" w14:textId="3809F725" w:rsidR="00CD45D0" w:rsidRPr="00DF20DE" w:rsidRDefault="00F151B8" w:rsidP="00481212">
      <w:pPr>
        <w:tabs>
          <w:tab w:val="left" w:pos="567"/>
        </w:tabs>
        <w:rPr>
          <w:rFonts w:ascii="Times New Roman" w:eastAsia="Times New Roman" w:hAnsi="Times New Roman" w:cs="Times New Roman"/>
        </w:rPr>
      </w:pPr>
      <w:r w:rsidRPr="00DF20DE">
        <w:rPr>
          <w:rFonts w:ascii="Times New Roman" w:eastAsia="Times New Roman" w:hAnsi="Times New Roman" w:cs="Times New Roman"/>
          <w:b/>
          <w:bCs/>
        </w:rPr>
        <w:t>4.2</w:t>
      </w:r>
      <w:r w:rsidRPr="00DF20DE">
        <w:rPr>
          <w:rFonts w:ascii="Times New Roman" w:eastAsia="Times New Roman" w:hAnsi="Times New Roman" w:cs="Times New Roman"/>
          <w:b/>
          <w:bCs/>
        </w:rPr>
        <w:tab/>
        <w:t>Dozavimas ir vartojimo metodas</w:t>
      </w:r>
    </w:p>
    <w:p w14:paraId="6AABA15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Dozavimas</w:t>
      </w:r>
    </w:p>
    <w:p w14:paraId="555985E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13"/>
        </w:rPr>
      </w:pPr>
    </w:p>
    <w:p w14:paraId="6673066C" w14:textId="654E5091"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Pacientams kartu su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reikia kasdien vartoti mažą palaikomąją ASR dozę (75-150 mg), išskyrus atvejį, kai yra konkrečių kontraindikacijų.</w:t>
      </w:r>
    </w:p>
    <w:p w14:paraId="65CA41B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7E0FBF2" w14:textId="119F1B97" w:rsidR="002566A6" w:rsidRPr="00DF20DE" w:rsidRDefault="00F151B8" w:rsidP="00F151B8">
      <w:pPr>
        <w:widowControl w:val="0"/>
        <w:autoSpaceDE w:val="0"/>
        <w:autoSpaceDN w:val="0"/>
        <w:spacing w:after="0" w:line="240" w:lineRule="auto"/>
        <w:rPr>
          <w:rFonts w:ascii="Times New Roman" w:eastAsia="Times New Roman" w:hAnsi="Times New Roman" w:cs="Times New Roman"/>
          <w:i/>
          <w:u w:val="single"/>
        </w:rPr>
      </w:pPr>
      <w:r w:rsidRPr="00DF20DE">
        <w:rPr>
          <w:rFonts w:ascii="Times New Roman" w:eastAsia="Times New Roman" w:hAnsi="Times New Roman" w:cs="Times New Roman"/>
          <w:i/>
          <w:u w:val="single"/>
        </w:rPr>
        <w:t>Ūminiai koronariniai sindromai</w:t>
      </w:r>
    </w:p>
    <w:p w14:paraId="1FF219E4" w14:textId="77777777" w:rsidR="007D2D6A" w:rsidRPr="00DF20DE" w:rsidRDefault="007D2D6A" w:rsidP="00F151B8">
      <w:pPr>
        <w:widowControl w:val="0"/>
        <w:autoSpaceDE w:val="0"/>
        <w:autoSpaceDN w:val="0"/>
        <w:spacing w:after="0" w:line="240" w:lineRule="auto"/>
        <w:rPr>
          <w:rFonts w:ascii="Times New Roman" w:eastAsia="Times New Roman" w:hAnsi="Times New Roman" w:cs="Times New Roman"/>
          <w:i/>
          <w:u w:val="single"/>
        </w:rPr>
      </w:pPr>
    </w:p>
    <w:p w14:paraId="457684C3" w14:textId="572AF098" w:rsidR="007D2D6A" w:rsidRPr="006A7DC7" w:rsidRDefault="00633137" w:rsidP="007D2D6A">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w:t>
      </w:r>
      <w:r w:rsidR="007D2D6A" w:rsidRPr="006A7DC7">
        <w:rPr>
          <w:rFonts w:ascii="Times New Roman" w:eastAsia="Times New Roman" w:hAnsi="Times New Roman" w:cs="Times New Roman"/>
        </w:rPr>
        <w:t xml:space="preserve">Pastaba. </w:t>
      </w:r>
      <w:r w:rsidR="007D2D6A" w:rsidRPr="006A7DC7">
        <w:rPr>
          <w:rFonts w:ascii="Times New Roman" w:eastAsia="Times New Roman" w:hAnsi="Times New Roman" w:cs="Times New Roman"/>
          <w:bCs/>
        </w:rPr>
        <w:t xml:space="preserve">Toliau nurodytos 90 mg dozės šio (60 mg) stiprumo vaistiniu preparatu vartoti neįmanoma, todėl tokiu atveju reikia rinktis vaistinį preparatą Plategra 90 mg </w:t>
      </w:r>
      <w:r w:rsidR="007D2D6A" w:rsidRPr="006A7DC7">
        <w:rPr>
          <w:rFonts w:ascii="Times New Roman" w:eastAsia="Times New Roman" w:hAnsi="Times New Roman" w:cs="Times New Roman"/>
        </w:rPr>
        <w:t>plėvele dengtos tabletės.</w:t>
      </w:r>
    </w:p>
    <w:p w14:paraId="253B635D" w14:textId="77777777" w:rsidR="002566A6" w:rsidRPr="00DF20DE" w:rsidRDefault="002566A6" w:rsidP="00F151B8">
      <w:pPr>
        <w:widowControl w:val="0"/>
        <w:autoSpaceDE w:val="0"/>
        <w:autoSpaceDN w:val="0"/>
        <w:spacing w:after="0" w:line="240" w:lineRule="auto"/>
        <w:rPr>
          <w:rFonts w:ascii="Times New Roman" w:eastAsia="Times New Roman" w:hAnsi="Times New Roman" w:cs="Times New Roman"/>
          <w:i/>
        </w:rPr>
      </w:pPr>
    </w:p>
    <w:p w14:paraId="77AB609B" w14:textId="722C947A"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Gydymas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turi būti pradedamas nuo vienkartinės 180 mg įsotinimo dozės (2 tabletės po 90 mg</w:t>
      </w:r>
      <w:r w:rsidR="00D53B49" w:rsidRPr="00DF20DE">
        <w:rPr>
          <w:rFonts w:ascii="Times New Roman" w:eastAsia="Times New Roman" w:hAnsi="Times New Roman" w:cs="Times New Roman"/>
        </w:rPr>
        <w:t>*</w:t>
      </w:r>
      <w:r w:rsidRPr="00DF20DE">
        <w:rPr>
          <w:rFonts w:ascii="Times New Roman" w:eastAsia="Times New Roman" w:hAnsi="Times New Roman" w:cs="Times New Roman"/>
        </w:rPr>
        <w:t>), vėliau vartojama po 90 mg</w:t>
      </w:r>
      <w:r w:rsidR="00D53B49" w:rsidRPr="00DF20DE">
        <w:rPr>
          <w:rFonts w:ascii="Times New Roman" w:hAnsi="Times New Roman"/>
        </w:rPr>
        <w:t>*</w:t>
      </w:r>
      <w:r w:rsidRPr="00DF20DE">
        <w:rPr>
          <w:rFonts w:ascii="Times New Roman" w:eastAsia="Times New Roman" w:hAnsi="Times New Roman" w:cs="Times New Roman"/>
        </w:rPr>
        <w:t xml:space="preserve"> 2 kartus per parą. ŪKS sergantiems pacientams rekomenduojama vartoti 90 mg</w:t>
      </w:r>
      <w:r w:rsidR="00D53B49" w:rsidRPr="00DF20DE">
        <w:rPr>
          <w:rFonts w:ascii="Times New Roman" w:eastAsia="Times New Roman" w:hAnsi="Times New Roman" w:cs="Times New Roman"/>
        </w:rPr>
        <w:t>*</w:t>
      </w:r>
      <w:r w:rsidRPr="00DF20DE">
        <w:rPr>
          <w:rFonts w:ascii="Times New Roman" w:eastAsia="Times New Roman" w:hAnsi="Times New Roman" w:cs="Times New Roman"/>
        </w:rPr>
        <w:t xml:space="preserv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2 kartus per parą 12 mėn., išskyrus atvejį, kai gydymą juo reikia nutraukti dėl klinikinės situacijos (žr. 5.1 skyrių).</w:t>
      </w:r>
    </w:p>
    <w:p w14:paraId="04A60263" w14:textId="77777777" w:rsidR="00F151B8" w:rsidRDefault="00F151B8" w:rsidP="00F151B8">
      <w:pPr>
        <w:widowControl w:val="0"/>
        <w:autoSpaceDE w:val="0"/>
        <w:autoSpaceDN w:val="0"/>
        <w:spacing w:after="0" w:line="240" w:lineRule="auto"/>
        <w:rPr>
          <w:rFonts w:ascii="Times New Roman" w:eastAsia="Times New Roman" w:hAnsi="Times New Roman" w:cs="Times New Roman"/>
          <w:sz w:val="21"/>
        </w:rPr>
      </w:pPr>
    </w:p>
    <w:p w14:paraId="05F90092" w14:textId="77777777" w:rsidR="00D23384" w:rsidRPr="005137EA" w:rsidRDefault="00D23384" w:rsidP="00D23384">
      <w:pPr>
        <w:widowControl w:val="0"/>
        <w:autoSpaceDE w:val="0"/>
        <w:autoSpaceDN w:val="0"/>
        <w:spacing w:after="0" w:line="240" w:lineRule="auto"/>
        <w:rPr>
          <w:rFonts w:ascii="Times New Roman" w:eastAsia="Times New Roman" w:hAnsi="Times New Roman" w:cs="Times New Roman"/>
          <w:i/>
          <w:iCs/>
        </w:rPr>
      </w:pPr>
      <w:r w:rsidRPr="005137EA">
        <w:rPr>
          <w:rFonts w:ascii="Times New Roman" w:eastAsia="Times New Roman" w:hAnsi="Times New Roman" w:cs="Times New Roman"/>
        </w:rPr>
        <w:t xml:space="preserve">Jei ŪKS ištiktam pacientui, kuriam atlikta perkutaninė koronarinė intervencija (angl. </w:t>
      </w:r>
      <w:r w:rsidRPr="005137EA">
        <w:rPr>
          <w:rFonts w:ascii="Times New Roman" w:eastAsia="Times New Roman" w:hAnsi="Times New Roman" w:cs="Times New Roman"/>
          <w:i/>
          <w:iCs/>
        </w:rPr>
        <w:t>percutaneous</w:t>
      </w:r>
    </w:p>
    <w:p w14:paraId="3C978D3F" w14:textId="75FF5D62" w:rsidR="00D23384" w:rsidRPr="005137EA" w:rsidRDefault="00D23384" w:rsidP="00D23384">
      <w:pPr>
        <w:widowControl w:val="0"/>
        <w:autoSpaceDE w:val="0"/>
        <w:autoSpaceDN w:val="0"/>
        <w:spacing w:after="0" w:line="240" w:lineRule="auto"/>
        <w:rPr>
          <w:rFonts w:ascii="Times New Roman" w:eastAsia="Times New Roman" w:hAnsi="Times New Roman" w:cs="Times New Roman"/>
        </w:rPr>
      </w:pPr>
      <w:r w:rsidRPr="005137EA">
        <w:rPr>
          <w:rFonts w:ascii="Times New Roman" w:eastAsia="Times New Roman" w:hAnsi="Times New Roman" w:cs="Times New Roman"/>
          <w:i/>
          <w:iCs/>
        </w:rPr>
        <w:t>coronary intervention, PCI</w:t>
      </w:r>
      <w:r w:rsidRPr="005137EA">
        <w:rPr>
          <w:rFonts w:ascii="Times New Roman" w:eastAsia="Times New Roman" w:hAnsi="Times New Roman" w:cs="Times New Roman"/>
        </w:rPr>
        <w:t>), padidėjusi kraujavimo rizika, tai praėjus 3 mėn. galima svarstyti</w:t>
      </w:r>
    </w:p>
    <w:p w14:paraId="1D128A2C" w14:textId="326CFBE0" w:rsidR="00D23384" w:rsidRPr="005137EA" w:rsidRDefault="00D23384" w:rsidP="00D23384">
      <w:pPr>
        <w:widowControl w:val="0"/>
        <w:autoSpaceDE w:val="0"/>
        <w:autoSpaceDN w:val="0"/>
        <w:spacing w:after="0" w:line="240" w:lineRule="auto"/>
        <w:rPr>
          <w:rFonts w:ascii="Times New Roman" w:eastAsia="Times New Roman" w:hAnsi="Times New Roman" w:cs="Times New Roman"/>
        </w:rPr>
      </w:pPr>
      <w:r w:rsidRPr="005137EA">
        <w:rPr>
          <w:rFonts w:ascii="Times New Roman" w:eastAsia="Times New Roman" w:hAnsi="Times New Roman" w:cs="Times New Roman"/>
        </w:rPr>
        <w:t>galimybę nutraukti ASR vartojimą. Tokiu atveju 9 mėn. gydymą reikia tęsti vieninteliu antiagregantu</w:t>
      </w:r>
    </w:p>
    <w:p w14:paraId="1C7F775E" w14:textId="1C0A2F0D" w:rsidR="00D23384" w:rsidRPr="005137EA" w:rsidRDefault="00D23384" w:rsidP="00D23384">
      <w:pPr>
        <w:widowControl w:val="0"/>
        <w:autoSpaceDE w:val="0"/>
        <w:autoSpaceDN w:val="0"/>
        <w:spacing w:after="0" w:line="240" w:lineRule="auto"/>
        <w:rPr>
          <w:rFonts w:ascii="Times New Roman" w:eastAsia="Times New Roman" w:hAnsi="Times New Roman" w:cs="Times New Roman"/>
        </w:rPr>
      </w:pPr>
      <w:r w:rsidRPr="005137EA">
        <w:rPr>
          <w:rFonts w:ascii="Times New Roman" w:eastAsia="Times New Roman" w:hAnsi="Times New Roman" w:cs="Times New Roman"/>
        </w:rPr>
        <w:t>– tikagreloru (žr. 4.4 skyrių).</w:t>
      </w:r>
    </w:p>
    <w:p w14:paraId="67DD8C89" w14:textId="77777777" w:rsidR="00D23384" w:rsidRPr="00DF20DE" w:rsidRDefault="00D23384" w:rsidP="00D23384">
      <w:pPr>
        <w:widowControl w:val="0"/>
        <w:autoSpaceDE w:val="0"/>
        <w:autoSpaceDN w:val="0"/>
        <w:spacing w:after="0" w:line="240" w:lineRule="auto"/>
        <w:rPr>
          <w:rFonts w:ascii="Times New Roman" w:eastAsia="Times New Roman" w:hAnsi="Times New Roman" w:cs="Times New Roman"/>
          <w:sz w:val="21"/>
        </w:rPr>
      </w:pPr>
    </w:p>
    <w:p w14:paraId="6FB64EF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Anksčiau buvęs miokardo infarktas</w:t>
      </w:r>
    </w:p>
    <w:p w14:paraId="4000C3CF" w14:textId="476811E9"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Prieš 1 metus ar seniau MI patyrusiems pacientams, kuriems yra didelė aterotrombozės rizika ir reikia ilgalaikio gydymo, rekomenduojama skirti 60 mg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2 kartus per parą (žr. 5.1 skyrių). Tokį ŪKS sergančių pacientų, turinčių didelę aterotrombozės riziką, gydymą galima pradėti be pertraukos, kaip vienerių metų pradinio gydymo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90 mg doze arba kitu adenozino difosfato (ADF) receptorių inhibitoriumi pratęsimą. Be to, tokį gydymą galima pradėti per 2 metus po MI arba per 1 metus po ankstesnio gydymo ADF receptorių inhibitoriumi. Ilgesnės kaip 3 metų trukmės gydymo tikagreloru saugumo ir veiksmingumo duomenų yra nedaug.</w:t>
      </w:r>
    </w:p>
    <w:p w14:paraId="7864A0C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7781408" w14:textId="1FF9BB3B"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Jeigu reikia pakeisti vaistinį preparatą, pirmą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dozę reikia vartoti praėjus 24 val. po paskutinės kito trombocitų funkciją slopinančio vaistinio preparato dozės.</w:t>
      </w:r>
    </w:p>
    <w:p w14:paraId="64A563E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u w:val="single"/>
        </w:rPr>
      </w:pPr>
    </w:p>
    <w:p w14:paraId="37F75FF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Praleista dozė</w:t>
      </w:r>
    </w:p>
    <w:p w14:paraId="2828D9DA" w14:textId="24E96293"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Gydymo pertrūkių taip pat reikia vengti. Pacientas, užmiršęs išgerti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dozę, turi vartoti tik vieną tabletę (kitą dozę) įprastu laiku.</w:t>
      </w:r>
    </w:p>
    <w:p w14:paraId="423A3B3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EFF721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Ypatingos populiacijos</w:t>
      </w:r>
    </w:p>
    <w:p w14:paraId="38C8E1E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sz w:val="13"/>
        </w:rPr>
      </w:pPr>
    </w:p>
    <w:p w14:paraId="0D8E427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Senyviems pacientams</w:t>
      </w:r>
    </w:p>
    <w:p w14:paraId="2597AA6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Senyviems pacientams dozės koreguoti nereikia (žr. 5.2 skyrių).</w:t>
      </w:r>
    </w:p>
    <w:p w14:paraId="467080C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6509A3A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Pacientams, kurių inkstų funkcija sutrikusi</w:t>
      </w:r>
    </w:p>
    <w:p w14:paraId="3DD7B7C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Pacientams, kurių inkstų funkcija sutrikusi, dozės koreguoti nereikia (žr. 5.2 skyrių).</w:t>
      </w:r>
    </w:p>
    <w:p w14:paraId="17B10D2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7E535BA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Pacientams, kurių kepenų funkcija sutrikusi</w:t>
      </w:r>
    </w:p>
    <w:p w14:paraId="5EF0DE01" w14:textId="5BABD6E6"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Tikagreloro poveikis pacientams, kuriems yra sunkus kepenų funkcijos sutrikimas, netirtas, todėl jo vartoti šiems pacientams </w:t>
      </w:r>
      <w:r w:rsidR="00295062" w:rsidRPr="00DF20DE">
        <w:rPr>
          <w:rFonts w:ascii="Times New Roman" w:eastAsia="Times New Roman" w:hAnsi="Times New Roman" w:cs="Times New Roman"/>
        </w:rPr>
        <w:t xml:space="preserve">draudžiama </w:t>
      </w:r>
      <w:r w:rsidRPr="00DF20DE">
        <w:rPr>
          <w:rFonts w:ascii="Times New Roman" w:eastAsia="Times New Roman" w:hAnsi="Times New Roman" w:cs="Times New Roman"/>
        </w:rPr>
        <w:t>(žr. 4.3 skyrių). Vartojimo pacientams, kuriems yra vidutinio sunkumo kepenų funkcijos sutrikimas, duomenų yra nedaug. Jiems dozės koreguoti nerekomenduojama, tačiau tikagrelor</w:t>
      </w:r>
      <w:r w:rsidR="00295062" w:rsidRPr="00DF20DE">
        <w:rPr>
          <w:rFonts w:ascii="Times New Roman" w:eastAsia="Times New Roman" w:hAnsi="Times New Roman" w:cs="Times New Roman"/>
        </w:rPr>
        <w:t>o</w:t>
      </w:r>
      <w:r w:rsidRPr="00DF20DE">
        <w:rPr>
          <w:rFonts w:ascii="Times New Roman" w:eastAsia="Times New Roman" w:hAnsi="Times New Roman" w:cs="Times New Roman"/>
        </w:rPr>
        <w:t xml:space="preserve"> reikia vartoti atsargiai (žr. 4.4 ir 5.2 skyrius). Pacientams, kuri</w:t>
      </w:r>
      <w:r w:rsidR="006E7715" w:rsidRPr="00DF20DE">
        <w:rPr>
          <w:rFonts w:ascii="Times New Roman" w:eastAsia="Times New Roman" w:hAnsi="Times New Roman" w:cs="Times New Roman"/>
        </w:rPr>
        <w:t>ems</w:t>
      </w:r>
      <w:r w:rsidRPr="00DF20DE">
        <w:rPr>
          <w:rFonts w:ascii="Times New Roman" w:eastAsia="Times New Roman" w:hAnsi="Times New Roman" w:cs="Times New Roman"/>
        </w:rPr>
        <w:t xml:space="preserve"> yra lengvas kepenų funkcijos sutrikimas, dozės koreguoti nereikia (žr. 5.2 skyrių).</w:t>
      </w:r>
    </w:p>
    <w:p w14:paraId="5981A46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5D8CEDA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Vaikų populiacija</w:t>
      </w:r>
    </w:p>
    <w:p w14:paraId="66E73634" w14:textId="77777777" w:rsidR="00985E05" w:rsidRPr="00DF20DE" w:rsidRDefault="00F151B8" w:rsidP="00985E05">
      <w:pPr>
        <w:autoSpaceDE w:val="0"/>
        <w:autoSpaceDN w:val="0"/>
        <w:adjustRightInd w:val="0"/>
        <w:spacing w:after="0" w:line="240" w:lineRule="auto"/>
        <w:rPr>
          <w:rFonts w:ascii="Times New Roman" w:hAnsi="Times New Roman" w:cs="Times New Roman"/>
        </w:rPr>
      </w:pPr>
      <w:r w:rsidRPr="00DF20DE">
        <w:rPr>
          <w:rFonts w:ascii="Times New Roman" w:eastAsia="Times New Roman" w:hAnsi="Times New Roman" w:cs="Times New Roman"/>
        </w:rPr>
        <w:t>Tikagreloro saugumas ir veiksmingumas vaikams iki 18 metų ne</w:t>
      </w:r>
      <w:r w:rsidR="00985E05" w:rsidRPr="00DF20DE">
        <w:rPr>
          <w:rFonts w:ascii="Times New Roman" w:eastAsia="Times New Roman" w:hAnsi="Times New Roman" w:cs="Times New Roman"/>
        </w:rPr>
        <w:t>ištirti.</w:t>
      </w:r>
      <w:r w:rsidRPr="00DF20DE">
        <w:rPr>
          <w:rFonts w:ascii="Times New Roman" w:eastAsia="Times New Roman" w:hAnsi="Times New Roman" w:cs="Times New Roman"/>
        </w:rPr>
        <w:t xml:space="preserve"> </w:t>
      </w:r>
      <w:r w:rsidR="00985E05" w:rsidRPr="00DF20DE">
        <w:rPr>
          <w:rFonts w:ascii="Times New Roman" w:hAnsi="Times New Roman" w:cs="Times New Roman"/>
        </w:rPr>
        <w:t>Tikagreloras nėra skirtas</w:t>
      </w:r>
    </w:p>
    <w:p w14:paraId="02868255" w14:textId="4F175862" w:rsidR="00F151B8" w:rsidRPr="00DF20DE" w:rsidRDefault="00985E05" w:rsidP="00985E05">
      <w:pPr>
        <w:widowControl w:val="0"/>
        <w:autoSpaceDE w:val="0"/>
        <w:autoSpaceDN w:val="0"/>
        <w:spacing w:after="0" w:line="240" w:lineRule="auto"/>
        <w:rPr>
          <w:rFonts w:ascii="Times New Roman" w:eastAsia="Times New Roman" w:hAnsi="Times New Roman" w:cs="Times New Roman"/>
        </w:rPr>
      </w:pPr>
      <w:r w:rsidRPr="00DF20DE">
        <w:rPr>
          <w:rFonts w:ascii="Times New Roman" w:hAnsi="Times New Roman" w:cs="Times New Roman"/>
        </w:rPr>
        <w:t>vaikams, sergantiems pjautuvo pavidalo ląstelių liga (žr. 5.1 ir 5.2 skyrius).</w:t>
      </w:r>
    </w:p>
    <w:p w14:paraId="7D4295B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7E77BA4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Vartojimo metodas</w:t>
      </w:r>
      <w:r w:rsidRPr="00DF20DE">
        <w:rPr>
          <w:rFonts w:ascii="Times New Roman" w:eastAsia="Times New Roman" w:hAnsi="Times New Roman" w:cs="Times New Roman"/>
        </w:rPr>
        <w:t xml:space="preserve"> </w:t>
      </w:r>
    </w:p>
    <w:p w14:paraId="5232D46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Vartoti per burną.</w:t>
      </w:r>
    </w:p>
    <w:p w14:paraId="030AF7FE" w14:textId="09445C45" w:rsidR="00F151B8" w:rsidRPr="00DF20DE" w:rsidRDefault="008B0463"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F151B8" w:rsidRPr="00DF20DE">
        <w:rPr>
          <w:rFonts w:ascii="Times New Roman" w:eastAsia="Times New Roman" w:hAnsi="Times New Roman" w:cs="Times New Roman"/>
        </w:rPr>
        <w:t xml:space="preserve"> galima vartoti valgio metu arba nevalgius.</w:t>
      </w:r>
    </w:p>
    <w:p w14:paraId="56D881D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Pacientams, kurie negali nuryti visos tabletės (tablečių), jas galima susmulkinti į miltelius, sumaišyti pusėje stiklinės vandens ir nedelsiant išgerti. Paskui stiklinę reikia praskalauti dar puse stiklinės vandens ir vėl išgerti. Be to, gautą mišinį galima vartoti per nazogastrinį zondą (CH8 ar didesnį). Po vartojimo nazogastrinį zondą svarbu praskalauti vandeniu.</w:t>
      </w:r>
    </w:p>
    <w:p w14:paraId="4AF9381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5EADE25" w14:textId="77777777" w:rsidR="00F151B8" w:rsidRPr="00DF20DE" w:rsidRDefault="00F151B8" w:rsidP="00B61CB8">
      <w:pPr>
        <w:widowControl w:val="0"/>
        <w:numPr>
          <w:ilvl w:val="1"/>
          <w:numId w:val="10"/>
        </w:numPr>
        <w:tabs>
          <w:tab w:val="left" w:pos="540"/>
        </w:tabs>
        <w:autoSpaceDE w:val="0"/>
        <w:autoSpaceDN w:val="0"/>
        <w:spacing w:after="0" w:line="240" w:lineRule="auto"/>
        <w:ind w:hanging="645"/>
        <w:outlineLvl w:val="1"/>
        <w:rPr>
          <w:rFonts w:ascii="Times New Roman" w:eastAsia="Times New Roman" w:hAnsi="Times New Roman" w:cs="Times New Roman"/>
          <w:b/>
          <w:bCs/>
        </w:rPr>
      </w:pPr>
      <w:r w:rsidRPr="00DF20DE">
        <w:rPr>
          <w:rFonts w:ascii="Times New Roman" w:eastAsia="Times New Roman" w:hAnsi="Times New Roman" w:cs="Times New Roman"/>
          <w:b/>
          <w:bCs/>
        </w:rPr>
        <w:t>Kontraindikacijos</w:t>
      </w:r>
    </w:p>
    <w:p w14:paraId="2E5905F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p>
    <w:p w14:paraId="28468403"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Padidėjęs jautrumas veikliajai arba bet kuriai 6.1 skyriuje nurodytai pagalbinei medžiagai (žr. 4.8 skyrių).</w:t>
      </w:r>
    </w:p>
    <w:p w14:paraId="3443322B"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Aktyvus patologinis kraujavimas.</w:t>
      </w:r>
    </w:p>
    <w:p w14:paraId="10E8759D"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Intrakranijinis kraujavimas anamnezėje (žr. 4.8 skyrių).</w:t>
      </w:r>
    </w:p>
    <w:p w14:paraId="40F4C148"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Sunkus kepenų funkcijos sutrikimas (žr. 4.2, 4.4 ir 5.2 skyrius).</w:t>
      </w:r>
    </w:p>
    <w:p w14:paraId="08A7B84F"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Tikagreloro vartojimas derinyje su stipriai veikiančiais CYP3A4 inhibitoriais (pvz., ketokonazolu, klaritromicinu, nefazodonu, ritonaviru, atazanaviru), kadangi gali gerokai padidėti tikagreloro ekspozicija (žr. 4.5 skyrių).</w:t>
      </w:r>
    </w:p>
    <w:p w14:paraId="2556575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C605CC5"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4.4</w:t>
      </w:r>
      <w:r w:rsidRPr="00DF20DE">
        <w:rPr>
          <w:rFonts w:ascii="Times New Roman" w:eastAsia="Times New Roman" w:hAnsi="Times New Roman" w:cs="Times New Roman"/>
          <w:b/>
          <w:bCs/>
        </w:rPr>
        <w:tab/>
        <w:t>Specialūs įspėjimai ir atsargumo priemonės</w:t>
      </w:r>
    </w:p>
    <w:p w14:paraId="17D3E11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366DE11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Kraujavimo rizika</w:t>
      </w:r>
    </w:p>
    <w:p w14:paraId="306093E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Tikagreloro skiriant pacientams, kuriems nustatyta padidėjusi kraujavimo rizika, reikia įvertinti kraujavimo rizikos ir aterotrombozinių reiškinių profilaktikos naudos santykį (žr. 4.8 ir 5.1 skyrius). Esant klinikinei būtinybei, tikagreloro atsargiai skiriama šių grupių pacientams:</w:t>
      </w:r>
    </w:p>
    <w:p w14:paraId="0417FF3C" w14:textId="6A601B9B"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turintiems polinkį kraujuoti (pvz., neseniai patyrusiems traumą, neseniai operuotiems, turintiems koaguliacijos sutrikimų, esant ar neseniai buvus kraujavimui iš virškinimo trakto)</w:t>
      </w:r>
      <w:r w:rsidR="00985E05" w:rsidRPr="00DF20DE">
        <w:rPr>
          <w:rFonts w:ascii="Times New Roman" w:eastAsia="Times New Roman" w:hAnsi="Times New Roman" w:cs="Times New Roman"/>
        </w:rPr>
        <w:t xml:space="preserve"> </w:t>
      </w:r>
      <w:r w:rsidR="00985E05" w:rsidRPr="00DF20DE">
        <w:rPr>
          <w:rFonts w:ascii="Times New Roman" w:hAnsi="Times New Roman" w:cs="Times New Roman"/>
        </w:rPr>
        <w:t>arba didesnę traumos riziką</w:t>
      </w:r>
      <w:r w:rsidRPr="00DF20DE">
        <w:rPr>
          <w:rFonts w:ascii="Times New Roman" w:eastAsia="Times New Roman" w:hAnsi="Times New Roman" w:cs="Times New Roman"/>
        </w:rPr>
        <w:t xml:space="preserve">. Esant aktyviam patologiniam kraujavimui, buvus intrakranijiniam kraujavimui arba pacientams, kuriems yra sunkus kepenų funkcijos sutrikimas, tikagreloro vartoti </w:t>
      </w:r>
      <w:r w:rsidR="00295062" w:rsidRPr="00DF20DE">
        <w:rPr>
          <w:rFonts w:ascii="Times New Roman" w:eastAsia="Times New Roman" w:hAnsi="Times New Roman" w:cs="Times New Roman"/>
        </w:rPr>
        <w:t xml:space="preserve">draudžiama </w:t>
      </w:r>
      <w:r w:rsidRPr="00DF20DE">
        <w:rPr>
          <w:rFonts w:ascii="Times New Roman" w:eastAsia="Times New Roman" w:hAnsi="Times New Roman" w:cs="Times New Roman"/>
        </w:rPr>
        <w:t>(žr. 4.3 skyrių);</w:t>
      </w:r>
    </w:p>
    <w:p w14:paraId="27A7583F" w14:textId="77777777" w:rsidR="00F151B8" w:rsidRPr="00DF20DE" w:rsidRDefault="00F151B8" w:rsidP="00B61CB8">
      <w:pPr>
        <w:widowControl w:val="0"/>
        <w:numPr>
          <w:ilvl w:val="0"/>
          <w:numId w:val="8"/>
        </w:numPr>
        <w:tabs>
          <w:tab w:val="left" w:pos="783"/>
        </w:tabs>
        <w:autoSpaceDE w:val="0"/>
        <w:autoSpaceDN w:val="0"/>
        <w:spacing w:after="0" w:line="240" w:lineRule="auto"/>
        <w:ind w:left="540" w:hanging="540"/>
        <w:jc w:val="both"/>
        <w:rPr>
          <w:rFonts w:ascii="Times New Roman" w:eastAsia="Times New Roman" w:hAnsi="Times New Roman" w:cs="Times New Roman"/>
        </w:rPr>
      </w:pPr>
      <w:r w:rsidRPr="00DF20DE">
        <w:rPr>
          <w:rFonts w:ascii="Times New Roman" w:eastAsia="Times New Roman" w:hAnsi="Times New Roman" w:cs="Times New Roman"/>
        </w:rPr>
        <w:lastRenderedPageBreak/>
        <w:t>kartu vartojantiems vaistinių preparatų, kurie gali didinti kraujavimo riziką, pvz., nesteroidinių vaistinių preparatų nuo uždegimo (NVPNU), geriamųjų antikoaguliantų ir (arba) fibrinolizinių vaistinių preparatų, jei pertrauka tarp jų ir tikagreloro vartojimo yra mažesnė kaip 24 val.</w:t>
      </w:r>
    </w:p>
    <w:p w14:paraId="59F12C3F" w14:textId="77777777" w:rsidR="00F151B8" w:rsidRDefault="00F151B8" w:rsidP="00F151B8">
      <w:pPr>
        <w:widowControl w:val="0"/>
        <w:autoSpaceDE w:val="0"/>
        <w:autoSpaceDN w:val="0"/>
        <w:spacing w:after="0" w:line="240" w:lineRule="auto"/>
        <w:ind w:left="540" w:hanging="540"/>
        <w:rPr>
          <w:rFonts w:ascii="Times New Roman" w:eastAsia="Times New Roman" w:hAnsi="Times New Roman" w:cs="Times New Roman"/>
        </w:rPr>
      </w:pPr>
    </w:p>
    <w:p w14:paraId="4987A2B9" w14:textId="1FD9B343" w:rsidR="00D23384" w:rsidRDefault="00D23384" w:rsidP="005137EA">
      <w:pPr>
        <w:widowControl w:val="0"/>
        <w:autoSpaceDE w:val="0"/>
        <w:autoSpaceDN w:val="0"/>
        <w:spacing w:after="0" w:line="240" w:lineRule="auto"/>
        <w:rPr>
          <w:rFonts w:ascii="Times New Roman" w:eastAsia="Times New Roman" w:hAnsi="Times New Roman" w:cs="Times New Roman"/>
        </w:rPr>
      </w:pPr>
      <w:r w:rsidRPr="00D23384">
        <w:rPr>
          <w:rFonts w:ascii="Times New Roman" w:eastAsia="Times New Roman" w:hAnsi="Times New Roman" w:cs="Times New Roman"/>
        </w:rPr>
        <w:t>Dviejuose atsitiktinių imčių kontroliuojamuose tyrimuose (TICO ir TWILIGHT) dalyvavo ŪKS ištikti</w:t>
      </w:r>
      <w:r>
        <w:rPr>
          <w:rFonts w:ascii="Times New Roman" w:eastAsia="Times New Roman" w:hAnsi="Times New Roman" w:cs="Times New Roman"/>
        </w:rPr>
        <w:t xml:space="preserve"> </w:t>
      </w:r>
      <w:r w:rsidRPr="00D23384">
        <w:rPr>
          <w:rFonts w:ascii="Times New Roman" w:eastAsia="Times New Roman" w:hAnsi="Times New Roman" w:cs="Times New Roman"/>
        </w:rPr>
        <w:t xml:space="preserve">pacientai, kuriems buvo atlikta </w:t>
      </w:r>
      <w:r w:rsidRPr="004103A0">
        <w:rPr>
          <w:rFonts w:ascii="Times New Roman" w:eastAsia="Times New Roman" w:hAnsi="Times New Roman" w:cs="Times New Roman"/>
          <w:i/>
          <w:iCs/>
        </w:rPr>
        <w:t>PCI</w:t>
      </w:r>
      <w:r w:rsidRPr="00D23384">
        <w:rPr>
          <w:rFonts w:ascii="Times New Roman" w:eastAsia="Times New Roman" w:hAnsi="Times New Roman" w:cs="Times New Roman"/>
          <w:i/>
          <w:iCs/>
        </w:rPr>
        <w:t xml:space="preserve"> </w:t>
      </w:r>
      <w:r w:rsidR="00912DA9">
        <w:rPr>
          <w:rFonts w:ascii="Times New Roman" w:eastAsia="Times New Roman" w:hAnsi="Times New Roman" w:cs="Times New Roman"/>
        </w:rPr>
        <w:t>įvedant</w:t>
      </w:r>
      <w:r w:rsidRPr="00D23384">
        <w:rPr>
          <w:rFonts w:ascii="Times New Roman" w:eastAsia="Times New Roman" w:hAnsi="Times New Roman" w:cs="Times New Roman"/>
        </w:rPr>
        <w:t xml:space="preserve"> vaist</w:t>
      </w:r>
      <w:r w:rsidR="00912DA9">
        <w:rPr>
          <w:rFonts w:ascii="Times New Roman" w:eastAsia="Times New Roman" w:hAnsi="Times New Roman" w:cs="Times New Roman"/>
        </w:rPr>
        <w:t>i</w:t>
      </w:r>
      <w:r w:rsidR="00940761">
        <w:rPr>
          <w:rFonts w:ascii="Times New Roman" w:eastAsia="Times New Roman" w:hAnsi="Times New Roman" w:cs="Times New Roman"/>
        </w:rPr>
        <w:t>ni</w:t>
      </w:r>
      <w:r w:rsidR="00032F34">
        <w:rPr>
          <w:rFonts w:ascii="Times New Roman" w:eastAsia="Times New Roman" w:hAnsi="Times New Roman" w:cs="Times New Roman"/>
        </w:rPr>
        <w:t>u</w:t>
      </w:r>
      <w:r w:rsidR="00912DA9">
        <w:rPr>
          <w:rFonts w:ascii="Times New Roman" w:eastAsia="Times New Roman" w:hAnsi="Times New Roman" w:cs="Times New Roman"/>
        </w:rPr>
        <w:t xml:space="preserve"> preparat</w:t>
      </w:r>
      <w:r w:rsidR="00032F34">
        <w:rPr>
          <w:rFonts w:ascii="Times New Roman" w:eastAsia="Times New Roman" w:hAnsi="Times New Roman" w:cs="Times New Roman"/>
        </w:rPr>
        <w:t>u</w:t>
      </w:r>
      <w:r w:rsidR="00912DA9">
        <w:rPr>
          <w:rFonts w:ascii="Times New Roman" w:eastAsia="Times New Roman" w:hAnsi="Times New Roman" w:cs="Times New Roman"/>
        </w:rPr>
        <w:t xml:space="preserve"> </w:t>
      </w:r>
      <w:r w:rsidRPr="00D23384">
        <w:rPr>
          <w:rFonts w:ascii="Times New Roman" w:eastAsia="Times New Roman" w:hAnsi="Times New Roman" w:cs="Times New Roman"/>
        </w:rPr>
        <w:t xml:space="preserve"> </w:t>
      </w:r>
      <w:r w:rsidR="00912DA9">
        <w:rPr>
          <w:rFonts w:ascii="Times New Roman" w:eastAsia="Times New Roman" w:hAnsi="Times New Roman" w:cs="Times New Roman"/>
        </w:rPr>
        <w:t>padengt</w:t>
      </w:r>
      <w:r w:rsidR="00032F34">
        <w:rPr>
          <w:rFonts w:ascii="Times New Roman" w:eastAsia="Times New Roman" w:hAnsi="Times New Roman" w:cs="Times New Roman"/>
        </w:rPr>
        <w:t>ą</w:t>
      </w:r>
      <w:r w:rsidRPr="00D23384">
        <w:rPr>
          <w:rFonts w:ascii="Times New Roman" w:eastAsia="Times New Roman" w:hAnsi="Times New Roman" w:cs="Times New Roman"/>
        </w:rPr>
        <w:t xml:space="preserve"> stentą. Šių tyrimų metu</w:t>
      </w:r>
      <w:r w:rsidR="004C0D6E">
        <w:rPr>
          <w:rFonts w:ascii="Times New Roman" w:eastAsia="Times New Roman" w:hAnsi="Times New Roman" w:cs="Times New Roman"/>
        </w:rPr>
        <w:t>,</w:t>
      </w:r>
      <w:r w:rsidRPr="00D23384">
        <w:rPr>
          <w:rFonts w:ascii="Times New Roman" w:eastAsia="Times New Roman" w:hAnsi="Times New Roman" w:cs="Times New Roman"/>
        </w:rPr>
        <w:t xml:space="preserve"> nutraukus ASR</w:t>
      </w:r>
      <w:r w:rsidR="004C0D6E">
        <w:rPr>
          <w:rFonts w:ascii="Times New Roman" w:eastAsia="Times New Roman" w:hAnsi="Times New Roman" w:cs="Times New Roman"/>
        </w:rPr>
        <w:t xml:space="preserve"> </w:t>
      </w:r>
      <w:r w:rsidRPr="00D23384">
        <w:rPr>
          <w:rFonts w:ascii="Times New Roman" w:eastAsia="Times New Roman" w:hAnsi="Times New Roman" w:cs="Times New Roman"/>
        </w:rPr>
        <w:t>vartojimą po 3</w:t>
      </w:r>
      <w:r w:rsidR="004C0D6E">
        <w:rPr>
          <w:rFonts w:ascii="Times New Roman" w:eastAsia="Times New Roman" w:hAnsi="Times New Roman" w:cs="Times New Roman"/>
        </w:rPr>
        <w:t> </w:t>
      </w:r>
      <w:r w:rsidRPr="00D23384">
        <w:rPr>
          <w:rFonts w:ascii="Times New Roman" w:eastAsia="Times New Roman" w:hAnsi="Times New Roman" w:cs="Times New Roman"/>
        </w:rPr>
        <w:t>mėn. gydymo dviem antiagregantais (tikagreloru ir ASR) ir toliau atitinkamai 9 ir 12</w:t>
      </w:r>
      <w:r w:rsidR="004C0D6E">
        <w:rPr>
          <w:rFonts w:ascii="Times New Roman" w:eastAsia="Times New Roman" w:hAnsi="Times New Roman" w:cs="Times New Roman"/>
        </w:rPr>
        <w:t> </w:t>
      </w:r>
      <w:r w:rsidRPr="00D23384">
        <w:rPr>
          <w:rFonts w:ascii="Times New Roman" w:eastAsia="Times New Roman" w:hAnsi="Times New Roman" w:cs="Times New Roman"/>
        </w:rPr>
        <w:t>mėn. gydžius vienu antiagregantu tikagreloru</w:t>
      </w:r>
      <w:r w:rsidR="004C0D6E">
        <w:rPr>
          <w:rFonts w:ascii="Times New Roman" w:eastAsia="Times New Roman" w:hAnsi="Times New Roman" w:cs="Times New Roman"/>
        </w:rPr>
        <w:t>,</w:t>
      </w:r>
      <w:r w:rsidRPr="00D23384">
        <w:rPr>
          <w:rFonts w:ascii="Times New Roman" w:eastAsia="Times New Roman" w:hAnsi="Times New Roman" w:cs="Times New Roman"/>
        </w:rPr>
        <w:t xml:space="preserve"> kraujavimo rizika sumažėjo, o didžiųjų kardiovaskulinių</w:t>
      </w:r>
      <w:r w:rsidR="004C0D6E">
        <w:rPr>
          <w:rFonts w:ascii="Times New Roman" w:eastAsia="Times New Roman" w:hAnsi="Times New Roman" w:cs="Times New Roman"/>
        </w:rPr>
        <w:t xml:space="preserve"> </w:t>
      </w:r>
      <w:r w:rsidRPr="00D23384">
        <w:rPr>
          <w:rFonts w:ascii="Times New Roman" w:eastAsia="Times New Roman" w:hAnsi="Times New Roman" w:cs="Times New Roman"/>
        </w:rPr>
        <w:t xml:space="preserve">komplikacijų (angl. </w:t>
      </w:r>
      <w:r w:rsidRPr="00D23384">
        <w:rPr>
          <w:rFonts w:ascii="Times New Roman" w:eastAsia="Times New Roman" w:hAnsi="Times New Roman" w:cs="Times New Roman"/>
          <w:i/>
          <w:iCs/>
        </w:rPr>
        <w:t>major adverse cardiovascular events, MACE</w:t>
      </w:r>
      <w:r w:rsidRPr="00D23384">
        <w:rPr>
          <w:rFonts w:ascii="Times New Roman" w:eastAsia="Times New Roman" w:hAnsi="Times New Roman" w:cs="Times New Roman"/>
        </w:rPr>
        <w:t>) rizika nebuvo didesnė negu tęsiant</w:t>
      </w:r>
      <w:r w:rsidR="004C0D6E">
        <w:rPr>
          <w:rFonts w:ascii="Times New Roman" w:eastAsia="Times New Roman" w:hAnsi="Times New Roman" w:cs="Times New Roman"/>
        </w:rPr>
        <w:t xml:space="preserve"> </w:t>
      </w:r>
      <w:r w:rsidRPr="00D23384">
        <w:rPr>
          <w:rFonts w:ascii="Times New Roman" w:eastAsia="Times New Roman" w:hAnsi="Times New Roman" w:cs="Times New Roman"/>
        </w:rPr>
        <w:t>gydymą dviem antiagregantais. Esant padidėjusiai kraujavimo rizikai, sprendimas nutraukti gydymą</w:t>
      </w:r>
      <w:r w:rsidR="004C0D6E">
        <w:rPr>
          <w:rFonts w:ascii="Times New Roman" w:eastAsia="Times New Roman" w:hAnsi="Times New Roman" w:cs="Times New Roman"/>
        </w:rPr>
        <w:t xml:space="preserve"> </w:t>
      </w:r>
      <w:r w:rsidRPr="00D23384">
        <w:rPr>
          <w:rFonts w:ascii="Times New Roman" w:eastAsia="Times New Roman" w:hAnsi="Times New Roman" w:cs="Times New Roman"/>
        </w:rPr>
        <w:t>ASR po 3</w:t>
      </w:r>
      <w:r w:rsidR="004C0D6E">
        <w:rPr>
          <w:rFonts w:ascii="Times New Roman" w:eastAsia="Times New Roman" w:hAnsi="Times New Roman" w:cs="Times New Roman"/>
        </w:rPr>
        <w:t> </w:t>
      </w:r>
      <w:r w:rsidRPr="00D23384">
        <w:rPr>
          <w:rFonts w:ascii="Times New Roman" w:eastAsia="Times New Roman" w:hAnsi="Times New Roman" w:cs="Times New Roman"/>
        </w:rPr>
        <w:t>mėn. ir toliau 9</w:t>
      </w:r>
      <w:r w:rsidR="004C0D6E">
        <w:rPr>
          <w:rFonts w:ascii="Times New Roman" w:eastAsia="Times New Roman" w:hAnsi="Times New Roman" w:cs="Times New Roman"/>
        </w:rPr>
        <w:t> </w:t>
      </w:r>
      <w:r w:rsidRPr="00D23384">
        <w:rPr>
          <w:rFonts w:ascii="Times New Roman" w:eastAsia="Times New Roman" w:hAnsi="Times New Roman" w:cs="Times New Roman"/>
        </w:rPr>
        <w:t>mėn. vartoti vienintelį antiagregantą – tikagrelorą turi būti pagrįstas</w:t>
      </w:r>
      <w:r w:rsidR="004C0D6E">
        <w:rPr>
          <w:rFonts w:ascii="Times New Roman" w:eastAsia="Times New Roman" w:hAnsi="Times New Roman" w:cs="Times New Roman"/>
        </w:rPr>
        <w:t xml:space="preserve"> </w:t>
      </w:r>
      <w:r w:rsidRPr="00D23384">
        <w:rPr>
          <w:rFonts w:ascii="Times New Roman" w:eastAsia="Times New Roman" w:hAnsi="Times New Roman" w:cs="Times New Roman"/>
        </w:rPr>
        <w:t xml:space="preserve">klinikiniu </w:t>
      </w:r>
      <w:r w:rsidR="00F951FE">
        <w:rPr>
          <w:rFonts w:ascii="Times New Roman" w:eastAsia="Times New Roman" w:hAnsi="Times New Roman" w:cs="Times New Roman"/>
        </w:rPr>
        <w:t>į</w:t>
      </w:r>
      <w:r w:rsidRPr="00D23384">
        <w:rPr>
          <w:rFonts w:ascii="Times New Roman" w:eastAsia="Times New Roman" w:hAnsi="Times New Roman" w:cs="Times New Roman"/>
        </w:rPr>
        <w:t>vertinimu, atsižvelgiant į kraujavimo ir trombozinių reiškinių riziką (žr.</w:t>
      </w:r>
      <w:r w:rsidR="004C0D6E">
        <w:rPr>
          <w:rFonts w:ascii="Times New Roman" w:eastAsia="Times New Roman" w:hAnsi="Times New Roman" w:cs="Times New Roman"/>
        </w:rPr>
        <w:t> </w:t>
      </w:r>
      <w:r w:rsidRPr="00D23384">
        <w:rPr>
          <w:rFonts w:ascii="Times New Roman" w:eastAsia="Times New Roman" w:hAnsi="Times New Roman" w:cs="Times New Roman"/>
        </w:rPr>
        <w:t>4.2</w:t>
      </w:r>
      <w:r w:rsidR="004C0D6E">
        <w:rPr>
          <w:rFonts w:ascii="Times New Roman" w:eastAsia="Times New Roman" w:hAnsi="Times New Roman" w:cs="Times New Roman"/>
        </w:rPr>
        <w:t> </w:t>
      </w:r>
      <w:r w:rsidRPr="00D23384">
        <w:rPr>
          <w:rFonts w:ascii="Times New Roman" w:eastAsia="Times New Roman" w:hAnsi="Times New Roman" w:cs="Times New Roman"/>
        </w:rPr>
        <w:t xml:space="preserve"> skyrių).</w:t>
      </w:r>
    </w:p>
    <w:p w14:paraId="449B2C8F" w14:textId="77777777" w:rsidR="00D23384" w:rsidRPr="00DF20DE" w:rsidRDefault="00D23384" w:rsidP="00D23384">
      <w:pPr>
        <w:widowControl w:val="0"/>
        <w:autoSpaceDE w:val="0"/>
        <w:autoSpaceDN w:val="0"/>
        <w:spacing w:after="0" w:line="240" w:lineRule="auto"/>
        <w:ind w:left="540" w:hanging="540"/>
        <w:rPr>
          <w:rFonts w:ascii="Times New Roman" w:eastAsia="Times New Roman" w:hAnsi="Times New Roman" w:cs="Times New Roman"/>
        </w:rPr>
      </w:pPr>
    </w:p>
    <w:p w14:paraId="143B520B" w14:textId="63AF3C1F"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Trombocitų transfuzija nepašalino antitrombocitinio tikagreloro poveikio sveikiems savanoriams ir </w:t>
      </w:r>
      <w:r w:rsidR="00295062" w:rsidRPr="00DF20DE">
        <w:rPr>
          <w:rFonts w:ascii="Times New Roman" w:eastAsia="Times New Roman" w:hAnsi="Times New Roman" w:cs="Times New Roman"/>
        </w:rPr>
        <w:t xml:space="preserve">mažai tikėtina, kad </w:t>
      </w:r>
      <w:r w:rsidRPr="00DF20DE">
        <w:rPr>
          <w:rFonts w:ascii="Times New Roman" w:eastAsia="Times New Roman" w:hAnsi="Times New Roman" w:cs="Times New Roman"/>
        </w:rPr>
        <w:t>būt</w:t>
      </w:r>
      <w:r w:rsidR="00295062" w:rsidRPr="00DF20DE">
        <w:rPr>
          <w:rFonts w:ascii="Times New Roman" w:eastAsia="Times New Roman" w:hAnsi="Times New Roman" w:cs="Times New Roman"/>
        </w:rPr>
        <w:t>ų</w:t>
      </w:r>
      <w:r w:rsidRPr="00DF20DE">
        <w:rPr>
          <w:rFonts w:ascii="Times New Roman" w:eastAsia="Times New Roman" w:hAnsi="Times New Roman" w:cs="Times New Roman"/>
        </w:rPr>
        <w:t xml:space="preserve"> kliniškai nauding</w:t>
      </w:r>
      <w:r w:rsidR="00295062" w:rsidRPr="00DF20DE">
        <w:rPr>
          <w:rFonts w:ascii="Times New Roman" w:eastAsia="Times New Roman" w:hAnsi="Times New Roman" w:cs="Times New Roman"/>
        </w:rPr>
        <w:t>a</w:t>
      </w:r>
      <w:r w:rsidRPr="00DF20DE">
        <w:rPr>
          <w:rFonts w:ascii="Times New Roman" w:eastAsia="Times New Roman" w:hAnsi="Times New Roman" w:cs="Times New Roman"/>
        </w:rPr>
        <w:t xml:space="preserve"> pacientams kraujavimo metu. Kartu su tikagreloru vartojamas desmopresinas nesutrumpino kraujavimo </w:t>
      </w:r>
      <w:r w:rsidR="00295062" w:rsidRPr="00DF20DE">
        <w:rPr>
          <w:rFonts w:ascii="Times New Roman" w:eastAsia="Times New Roman" w:hAnsi="Times New Roman" w:cs="Times New Roman"/>
        </w:rPr>
        <w:t>laiko</w:t>
      </w:r>
      <w:r w:rsidRPr="00DF20DE">
        <w:rPr>
          <w:rFonts w:ascii="Times New Roman" w:eastAsia="Times New Roman" w:hAnsi="Times New Roman" w:cs="Times New Roman"/>
        </w:rPr>
        <w:t>, todėl desmopresinas klinikiniams kraujavimo reiškiniams gydyti netur</w:t>
      </w:r>
      <w:r w:rsidR="00295062" w:rsidRPr="00DF20DE">
        <w:rPr>
          <w:rFonts w:ascii="Times New Roman" w:eastAsia="Times New Roman" w:hAnsi="Times New Roman" w:cs="Times New Roman"/>
        </w:rPr>
        <w:t>ėtų</w:t>
      </w:r>
      <w:r w:rsidRPr="00DF20DE">
        <w:rPr>
          <w:rFonts w:ascii="Times New Roman" w:eastAsia="Times New Roman" w:hAnsi="Times New Roman" w:cs="Times New Roman"/>
        </w:rPr>
        <w:t xml:space="preserve"> būti veiksmingas (žr. 4.5 skyrių).</w:t>
      </w:r>
    </w:p>
    <w:p w14:paraId="42C72BB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6DE4DC67" w14:textId="54A2501F"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Hemostazę gali skatinti antifibrinoliziniai vaistiniai preparatai (aminokaprono rūgštis ar traneksamo rūgštis) ir (arba) rekombinantinis VIIa faktorius. Tikagrelor</w:t>
      </w:r>
      <w:r w:rsidR="00295062" w:rsidRPr="00DF20DE">
        <w:rPr>
          <w:rFonts w:ascii="Times New Roman" w:eastAsia="Times New Roman" w:hAnsi="Times New Roman" w:cs="Times New Roman"/>
        </w:rPr>
        <w:t>o</w:t>
      </w:r>
      <w:r w:rsidRPr="00DF20DE">
        <w:rPr>
          <w:rFonts w:ascii="Times New Roman" w:eastAsia="Times New Roman" w:hAnsi="Times New Roman" w:cs="Times New Roman"/>
        </w:rPr>
        <w:t xml:space="preserve"> galima vėl pradėti vartoti nustačius kraujavimo priežastį ir jį sustabdžius.</w:t>
      </w:r>
    </w:p>
    <w:p w14:paraId="7FE83BD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B4CEB5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Operacijos</w:t>
      </w:r>
    </w:p>
    <w:p w14:paraId="20ED5E0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Pacientams reikia pasakyti, kad informuotų gydytoją ar odontologą apie tikagreloro vartojimą prieš atliekant bet kokią operaciją ir prieš pradedant kokio nors kito vaistinio preparato vartojimą.</w:t>
      </w:r>
    </w:p>
    <w:p w14:paraId="4D3CB17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C721A2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PLATO tyrimo metu nutraukus tikagreloro vartojimą paskutinę parą prieš šuntuojant koronarines arterijas, didysis kraujavimas prasidėdavo dažniau negu nutraukus klopidogrelį, o nutraukus jį likus 2 paroms ar daugiau – tokiu pačiu dažnumu, kaip nutraukus klopidogrelio vartojimą (žr. 4.8 skyrių). Jeigu pacientas rengiamas planinei operacijai ir antitrombocitinis poveikis yra nepageidaujamas, tikagreloro vartojimą reikia nutraukti likus 5 paroms iki jos (žr. 5.1 skyrių).</w:t>
      </w:r>
    </w:p>
    <w:p w14:paraId="3061E27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3639038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Pacientams, anksčiau patyrusiems išeminį insultą</w:t>
      </w:r>
    </w:p>
    <w:p w14:paraId="444A5E1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PLATO tyrimo duomenimis, ŪKS sergantys pacientai, anksčiau patyrę išeminį insultą, tikagreloru gali būti gydomi iki 12 mėn.</w:t>
      </w:r>
    </w:p>
    <w:p w14:paraId="74095E3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670627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Į PEGASUS tyrimą nebuvo įtraukta pacientų, anksčiau patyrusių ne tik MI, bet ir išeminį insultą, todėl nesant duomenų, tokiems pacientams taikyti gydymą ilgiau kaip 1 metus nerekomenduojama.</w:t>
      </w:r>
    </w:p>
    <w:p w14:paraId="407E13B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FC7654B" w14:textId="77777777" w:rsidR="00F151B8" w:rsidRPr="00DF20DE" w:rsidRDefault="00F151B8" w:rsidP="00F151B8">
      <w:pPr>
        <w:widowControl w:val="0"/>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u w:val="single"/>
        </w:rPr>
        <w:t>Sutrikusi kepenų funkcija</w:t>
      </w:r>
    </w:p>
    <w:p w14:paraId="5F85B3DA" w14:textId="71E88D73" w:rsidR="00F151B8" w:rsidRPr="00DF20DE" w:rsidRDefault="00F151B8" w:rsidP="00F151B8">
      <w:pPr>
        <w:widowControl w:val="0"/>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 xml:space="preserve">Pacientams, kuriems yra sunkus kepenų funkcijos sutrikimas, tikagreloro vartoti </w:t>
      </w:r>
      <w:r w:rsidR="00FA1B5D" w:rsidRPr="00DF20DE">
        <w:rPr>
          <w:rFonts w:ascii="Times New Roman" w:eastAsia="Times New Roman" w:hAnsi="Times New Roman" w:cs="Times New Roman"/>
        </w:rPr>
        <w:t xml:space="preserve">draudžiama </w:t>
      </w:r>
      <w:r w:rsidRPr="00DF20DE">
        <w:rPr>
          <w:rFonts w:ascii="Times New Roman" w:eastAsia="Times New Roman" w:hAnsi="Times New Roman" w:cs="Times New Roman"/>
        </w:rPr>
        <w:t>(žr. 4.2 ir 4.3</w:t>
      </w:r>
      <w:r w:rsidR="00985E05" w:rsidRPr="00DF20DE">
        <w:rPr>
          <w:rFonts w:ascii="Times New Roman" w:eastAsia="Times New Roman" w:hAnsi="Times New Roman" w:cs="Times New Roman"/>
        </w:rPr>
        <w:t> </w:t>
      </w:r>
      <w:r w:rsidRPr="00DF20DE">
        <w:rPr>
          <w:rFonts w:ascii="Times New Roman" w:eastAsia="Times New Roman" w:hAnsi="Times New Roman" w:cs="Times New Roman"/>
        </w:rPr>
        <w:t>skyrius). Tikagreloro vartojimo pacientams, kuriems yra vidutinio sunkumo kepenų funkcijos sutrikimas, duomenų yra nedaug, todėl jiems patartinos atsargumo priemonės (žr. 4.2 ir 5.2 skyrius).</w:t>
      </w:r>
    </w:p>
    <w:p w14:paraId="2751A89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02BD35A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Pacientai, kuriems yra bradikardijos reiškinių rizika</w:t>
      </w:r>
    </w:p>
    <w:p w14:paraId="2FC0BD49" w14:textId="216372A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Vartojant tikagrelor</w:t>
      </w:r>
      <w:r w:rsidR="00FA1B5D" w:rsidRPr="00DF20DE">
        <w:rPr>
          <w:rFonts w:ascii="Times New Roman" w:eastAsia="Times New Roman" w:hAnsi="Times New Roman" w:cs="Times New Roman"/>
        </w:rPr>
        <w:t>o</w:t>
      </w:r>
      <w:r w:rsidRPr="00DF20DE">
        <w:rPr>
          <w:rFonts w:ascii="Times New Roman" w:eastAsia="Times New Roman" w:hAnsi="Times New Roman" w:cs="Times New Roman"/>
        </w:rPr>
        <w:t>, Holter</w:t>
      </w:r>
      <w:r w:rsidR="00FA1B5D"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prietaisu skilvelių veiklos pauzių EKG (dauguma atvejų be simptomų) užregistruota dažniau negu vartojant klopidogrel</w:t>
      </w:r>
      <w:r w:rsidR="00FA1B5D" w:rsidRPr="00DF20DE">
        <w:rPr>
          <w:rFonts w:ascii="Times New Roman" w:eastAsia="Times New Roman" w:hAnsi="Times New Roman" w:cs="Times New Roman"/>
        </w:rPr>
        <w:t>io</w:t>
      </w:r>
      <w:r w:rsidRPr="00DF20DE">
        <w:rPr>
          <w:rFonts w:ascii="Times New Roman" w:eastAsia="Times New Roman" w:hAnsi="Times New Roman" w:cs="Times New Roman"/>
        </w:rPr>
        <w:t>. Į pagrindinius tikagreloro saugumo ir veiksmingumo tyrimus nebuvo įtraukta pacientų, kuriems bradikardinių reiškinių rizika buvo didesnė (pvz., pacientai be širdies stimuliatoriaus, kuriems yra sinusinio mazgo silpnumo sindromas, antro ar trečio laipsnio atrioventrikulinė blokada arba būna su bradikardija susijusi</w:t>
      </w:r>
      <w:r w:rsidR="00FA1B5D" w:rsidRPr="00DF20DE">
        <w:rPr>
          <w:rFonts w:ascii="Times New Roman" w:eastAsia="Times New Roman" w:hAnsi="Times New Roman" w:cs="Times New Roman"/>
        </w:rPr>
        <w:t>ų</w:t>
      </w:r>
      <w:r w:rsidRPr="00DF20DE">
        <w:rPr>
          <w:rFonts w:ascii="Times New Roman" w:eastAsia="Times New Roman" w:hAnsi="Times New Roman" w:cs="Times New Roman"/>
        </w:rPr>
        <w:t xml:space="preserve"> sinkop</w:t>
      </w:r>
      <w:r w:rsidR="00FA1B5D" w:rsidRPr="00DF20DE">
        <w:rPr>
          <w:rFonts w:ascii="Times New Roman" w:eastAsia="Times New Roman" w:hAnsi="Times New Roman" w:cs="Times New Roman"/>
        </w:rPr>
        <w:t>ių</w:t>
      </w:r>
      <w:r w:rsidRPr="00DF20DE">
        <w:rPr>
          <w:rFonts w:ascii="Times New Roman" w:eastAsia="Times New Roman" w:hAnsi="Times New Roman" w:cs="Times New Roman"/>
        </w:rPr>
        <w:t>). Atsižvelgiant į tai, dėl ribotos klinikinės patirties tokiems pacientams tikagreloro turi būti skiriama atsargiai (žr. 5.1 skyrių).</w:t>
      </w:r>
    </w:p>
    <w:p w14:paraId="102A5D0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43FDFA3" w14:textId="28C409CA"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Be to, tikagreloro atsargiai skiriama kartu su bradikardiją sukeliančiais vaistiniais preparatais. Vis dėlto PLATO tyrimo metu kartu vartojus vieną ar kelis bradikardiją sukeliančius vaistinius preparatus (pvz., 96 % pacientų vartojo beta adrenoblokatorių, 33 % – kalcio kanalų blokatorių diltiazemo ar </w:t>
      </w:r>
      <w:r w:rsidRPr="00DF20DE">
        <w:rPr>
          <w:rFonts w:ascii="Times New Roman" w:eastAsia="Times New Roman" w:hAnsi="Times New Roman" w:cs="Times New Roman"/>
        </w:rPr>
        <w:lastRenderedPageBreak/>
        <w:t>verapamilio ir 4 % – digoksino) klini</w:t>
      </w:r>
      <w:r w:rsidR="00FA1B5D" w:rsidRPr="00DF20DE">
        <w:rPr>
          <w:rFonts w:ascii="Times New Roman" w:eastAsia="Times New Roman" w:hAnsi="Times New Roman" w:cs="Times New Roman"/>
        </w:rPr>
        <w:t>š</w:t>
      </w:r>
      <w:r w:rsidRPr="00DF20DE">
        <w:rPr>
          <w:rFonts w:ascii="Times New Roman" w:eastAsia="Times New Roman" w:hAnsi="Times New Roman" w:cs="Times New Roman"/>
        </w:rPr>
        <w:t>kai reikšmingų nepageidaujamų reakcijų požymių nenustatyta (žr.</w:t>
      </w:r>
      <w:r w:rsidR="00985E05" w:rsidRPr="00DF20DE">
        <w:rPr>
          <w:rFonts w:ascii="Times New Roman" w:eastAsia="Times New Roman" w:hAnsi="Times New Roman" w:cs="Times New Roman"/>
        </w:rPr>
        <w:t> </w:t>
      </w:r>
      <w:r w:rsidRPr="00DF20DE">
        <w:rPr>
          <w:rFonts w:ascii="Times New Roman" w:eastAsia="Times New Roman" w:hAnsi="Times New Roman" w:cs="Times New Roman"/>
        </w:rPr>
        <w:t>4.5 skyrių).</w:t>
      </w:r>
    </w:p>
    <w:p w14:paraId="617340F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1D90FC69" w14:textId="3272E320"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PLATO tyrimo metu Holter</w:t>
      </w:r>
      <w:r w:rsidR="00FA1B5D"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prietaisu ūminės koronarinių sindromų fazės metu 3 sek. ar ilgesnės trukmės skilvelių veiklos pauzių nustatyta daugiau tikagrelor</w:t>
      </w:r>
      <w:r w:rsidR="00FA1B5D" w:rsidRPr="00DF20DE">
        <w:rPr>
          <w:rFonts w:ascii="Times New Roman" w:eastAsia="Times New Roman" w:hAnsi="Times New Roman" w:cs="Times New Roman"/>
        </w:rPr>
        <w:t>o</w:t>
      </w:r>
      <w:r w:rsidRPr="00DF20DE">
        <w:rPr>
          <w:rFonts w:ascii="Times New Roman" w:eastAsia="Times New Roman" w:hAnsi="Times New Roman" w:cs="Times New Roman"/>
        </w:rPr>
        <w:t>, negu klopidogrel</w:t>
      </w:r>
      <w:r w:rsidR="00FA1B5D" w:rsidRPr="00DF20DE">
        <w:rPr>
          <w:rFonts w:ascii="Times New Roman" w:eastAsia="Times New Roman" w:hAnsi="Times New Roman" w:cs="Times New Roman"/>
        </w:rPr>
        <w:t>io</w:t>
      </w:r>
      <w:r w:rsidRPr="00DF20DE">
        <w:rPr>
          <w:rFonts w:ascii="Times New Roman" w:eastAsia="Times New Roman" w:hAnsi="Times New Roman" w:cs="Times New Roman"/>
        </w:rPr>
        <w:t>, vartojusių pacientų. Holter pagalba tokių skilvelių veiklos pauzių ūminės koronarinių sindromų fazės metu vartojant tikagrelor</w:t>
      </w:r>
      <w:r w:rsidR="00FA1B5D" w:rsidRPr="00DF20DE">
        <w:rPr>
          <w:rFonts w:ascii="Times New Roman" w:eastAsia="Times New Roman" w:hAnsi="Times New Roman" w:cs="Times New Roman"/>
        </w:rPr>
        <w:t>o</w:t>
      </w:r>
      <w:r w:rsidRPr="00DF20DE">
        <w:rPr>
          <w:rFonts w:ascii="Times New Roman" w:eastAsia="Times New Roman" w:hAnsi="Times New Roman" w:cs="Times New Roman"/>
        </w:rPr>
        <w:t xml:space="preserve"> dažniau nustatyta lėtiniu širdies nepakankamumu sirgusiems pacientams negu visai tirtai populiacijai, tačiau praėjus mėnesiui jų padažnėjimo nenustatyta nei tikagrelor</w:t>
      </w:r>
      <w:r w:rsidR="00FA1B5D"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vartojusiems pacientams, nei lyginant tikagreloro ir klopidogrelio grupes. Neigiamų klinikinių pasekmių (sinkopės ar būtinybės dėti stimuliatorių), susijusių su šiuo skirtumu, šioje pacientų populiacijoje nebuvo (žr. 5.1 skyrių).</w:t>
      </w:r>
    </w:p>
    <w:p w14:paraId="5E2FFB18" w14:textId="03E3FC40"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C50D633" w14:textId="7DDDD864" w:rsidR="00051F08" w:rsidRPr="00DF20DE" w:rsidRDefault="00051F08" w:rsidP="00051F0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Po vaistinio preparato pateikimo į rinką gauta pranešimų apie tikagrelorą vartojantiems pacientams pasireiškusius bradiaritmijos atvejus ir atrioventrikulinę (AV) blokadą (žr. 4.8 skyrių), visų pirma ŪKS sergantiems pacientams, kuriems gali atsirasti sutrikimų dėl širdies išemijos ir kartu vartojamų vaistinių preparatų, retinančių širdies susitraukimų dažnį arba veikiančių širdies laidumą. Prieš koreguojant gydymą, reikia atsižvelgti į tai, kad sutrikimų priežastimi galėjo būti paciento klinikinė</w:t>
      </w:r>
      <w:r w:rsidR="00A24658">
        <w:rPr>
          <w:rFonts w:ascii="Times New Roman" w:eastAsia="Times New Roman" w:hAnsi="Times New Roman" w:cs="Times New Roman"/>
        </w:rPr>
        <w:t xml:space="preserve"> </w:t>
      </w:r>
      <w:r w:rsidRPr="00DF20DE">
        <w:rPr>
          <w:rFonts w:ascii="Times New Roman" w:eastAsia="Times New Roman" w:hAnsi="Times New Roman" w:cs="Times New Roman"/>
        </w:rPr>
        <w:t>būklė ir kartu vartojami vaistiniai preparatai.</w:t>
      </w:r>
    </w:p>
    <w:p w14:paraId="5F0A72FE" w14:textId="77777777" w:rsidR="00051F08" w:rsidRPr="00DF20DE" w:rsidRDefault="00051F08" w:rsidP="00F151B8">
      <w:pPr>
        <w:widowControl w:val="0"/>
        <w:autoSpaceDE w:val="0"/>
        <w:autoSpaceDN w:val="0"/>
        <w:spacing w:after="0" w:line="240" w:lineRule="auto"/>
        <w:rPr>
          <w:rFonts w:ascii="Times New Roman" w:eastAsia="Times New Roman" w:hAnsi="Times New Roman" w:cs="Times New Roman"/>
        </w:rPr>
      </w:pPr>
    </w:p>
    <w:p w14:paraId="71C0B55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Dusulys</w:t>
      </w:r>
    </w:p>
    <w:p w14:paraId="08F99A7C" w14:textId="58C85ECD"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Pranešta apie tikagrelor</w:t>
      </w:r>
      <w:r w:rsidR="00FA1B5D"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vartojantiems pacientams pasireiškusį dusulį. Dusulys paprastai būna lengvo arba vidutinio intensyvumo ir dažnai praeina, nesukeldamas būtinybės nutraukti šio vaistinio preparato vartojimą. Astma ar lėtine obstrukcine plaučių liga (LOPL) sergantiems pacientams dusulio pasireiškimo absoliuti rizika vartojant tikagrelor</w:t>
      </w:r>
      <w:r w:rsidR="00D824B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gali būti didesnė, todėl jiems tikagreloro turi būti skiriama atsargiai. Dusulio mechanizmas neištirtas. Jeigu tikagreloro vartojančiam pacientui dusulys pasireiškia naujai, trunka ilgai arba sunkėja, tai reikia jį pilnai ištirti, o jeigu dusulio pacientas netoleruoja – nutraukti gydymą tikagreloru. Išsamesnė informacija pateikiama 4.8 skyriuje.</w:t>
      </w:r>
    </w:p>
    <w:p w14:paraId="47E96B93" w14:textId="77777777" w:rsidR="0000166D" w:rsidRPr="00DF20DE" w:rsidRDefault="0000166D" w:rsidP="0000166D">
      <w:pPr>
        <w:autoSpaceDE w:val="0"/>
        <w:autoSpaceDN w:val="0"/>
        <w:adjustRightInd w:val="0"/>
        <w:spacing w:after="0" w:line="240" w:lineRule="auto"/>
        <w:rPr>
          <w:rFonts w:ascii="TimesNewRoman" w:hAnsi="TimesNewRoman" w:cs="TimesNewRoman"/>
        </w:rPr>
      </w:pPr>
    </w:p>
    <w:p w14:paraId="0C1B0843" w14:textId="373358FB" w:rsidR="0000166D" w:rsidRPr="00DF20DE" w:rsidRDefault="0000166D" w:rsidP="0000166D">
      <w:pPr>
        <w:autoSpaceDE w:val="0"/>
        <w:autoSpaceDN w:val="0"/>
        <w:adjustRightInd w:val="0"/>
        <w:spacing w:after="0" w:line="240" w:lineRule="auto"/>
        <w:rPr>
          <w:rFonts w:ascii="Times New Roman" w:hAnsi="Times New Roman" w:cs="Times New Roman"/>
          <w:u w:val="single"/>
        </w:rPr>
      </w:pPr>
      <w:bookmarkStart w:id="3" w:name="_Hlk90910986"/>
      <w:r w:rsidRPr="00DF20DE">
        <w:rPr>
          <w:rFonts w:ascii="Times New Roman" w:hAnsi="Times New Roman" w:cs="Times New Roman"/>
          <w:u w:val="single"/>
        </w:rPr>
        <w:t>Centrinė miego apnėja</w:t>
      </w:r>
    </w:p>
    <w:p w14:paraId="0418981C" w14:textId="3598AF03" w:rsidR="0000166D" w:rsidRPr="00DF20DE" w:rsidRDefault="00D824B3" w:rsidP="0000166D">
      <w:pPr>
        <w:autoSpaceDE w:val="0"/>
        <w:autoSpaceDN w:val="0"/>
        <w:adjustRightInd w:val="0"/>
        <w:spacing w:after="0" w:line="240" w:lineRule="auto"/>
        <w:rPr>
          <w:rFonts w:ascii="Times New Roman" w:hAnsi="Times New Roman" w:cs="Times New Roman"/>
          <w:i/>
          <w:iCs/>
        </w:rPr>
      </w:pPr>
      <w:r w:rsidRPr="00DF20DE">
        <w:rPr>
          <w:rFonts w:ascii="Times New Roman" w:hAnsi="Times New Roman" w:cs="Times New Roman"/>
        </w:rPr>
        <w:t>Poregistraciniu laikotarpiu</w:t>
      </w:r>
      <w:r w:rsidR="0000166D" w:rsidRPr="00DF20DE">
        <w:rPr>
          <w:rFonts w:ascii="Times New Roman" w:hAnsi="Times New Roman" w:cs="Times New Roman"/>
        </w:rPr>
        <w:t xml:space="preserve"> užfiksuota centrinės miego apnėjos, įskaitant </w:t>
      </w:r>
      <w:r w:rsidR="0000166D" w:rsidRPr="00DF20DE">
        <w:rPr>
          <w:rFonts w:ascii="Times New Roman" w:hAnsi="Times New Roman" w:cs="Times New Roman"/>
          <w:i/>
          <w:iCs/>
        </w:rPr>
        <w:t>Cheyne-Stokes</w:t>
      </w:r>
    </w:p>
    <w:p w14:paraId="6AA82C6F" w14:textId="60D0D0CD" w:rsidR="00F151B8" w:rsidRPr="00DF20DE" w:rsidRDefault="0000166D" w:rsidP="0000166D">
      <w:pPr>
        <w:widowControl w:val="0"/>
        <w:autoSpaceDE w:val="0"/>
        <w:autoSpaceDN w:val="0"/>
        <w:spacing w:after="0" w:line="240" w:lineRule="auto"/>
        <w:rPr>
          <w:rFonts w:ascii="Times New Roman" w:hAnsi="Times New Roman" w:cs="Times New Roman"/>
        </w:rPr>
      </w:pPr>
      <w:r w:rsidRPr="00DF20DE">
        <w:rPr>
          <w:rFonts w:ascii="Times New Roman" w:hAnsi="Times New Roman" w:cs="Times New Roman"/>
        </w:rPr>
        <w:t>kvėpavimą, atvejų. Įtarus centrinę miego apnėją, reikia įvertinti tolesnio klinikinio ištyrimo poreikį.</w:t>
      </w:r>
    </w:p>
    <w:bookmarkEnd w:id="3"/>
    <w:p w14:paraId="45E71F9D" w14:textId="77777777" w:rsidR="0000166D" w:rsidRPr="00DF20DE" w:rsidRDefault="0000166D" w:rsidP="0000166D">
      <w:pPr>
        <w:widowControl w:val="0"/>
        <w:autoSpaceDE w:val="0"/>
        <w:autoSpaceDN w:val="0"/>
        <w:spacing w:after="0" w:line="240" w:lineRule="auto"/>
        <w:rPr>
          <w:rFonts w:ascii="Times New Roman" w:eastAsia="Times New Roman" w:hAnsi="Times New Roman" w:cs="Times New Roman"/>
          <w:sz w:val="21"/>
        </w:rPr>
      </w:pPr>
    </w:p>
    <w:p w14:paraId="50BD90AA" w14:textId="4698482F" w:rsidR="00F151B8" w:rsidRPr="00DF20DE" w:rsidRDefault="00D824B3"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K</w:t>
      </w:r>
      <w:r w:rsidR="00F151B8" w:rsidRPr="00DF20DE">
        <w:rPr>
          <w:rFonts w:ascii="Times New Roman" w:eastAsia="Times New Roman" w:hAnsi="Times New Roman" w:cs="Times New Roman"/>
          <w:u w:val="single"/>
        </w:rPr>
        <w:t>reatinino koncentracij</w:t>
      </w:r>
      <w:r w:rsidRPr="00DF20DE">
        <w:rPr>
          <w:rFonts w:ascii="Times New Roman" w:eastAsia="Times New Roman" w:hAnsi="Times New Roman" w:cs="Times New Roman"/>
          <w:u w:val="single"/>
        </w:rPr>
        <w:t>os padidėjimas</w:t>
      </w:r>
    </w:p>
    <w:p w14:paraId="1363AAA5" w14:textId="5B162065"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Vartojant tikagrelor</w:t>
      </w:r>
      <w:r w:rsidR="00D824B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gali padidėti kreatinino koncentracija. Šio padidėjimo mechanizmas neištirtas. Reikia patikrinti inkstų funkciją kaip numato įprasta medicininė praktika. ŪKS sergančių pacientų inkstų funkciją taip pat rekomenduojama ištirti praėjus vienam mėnesiui po tikagreloro vartojimo pradžios, ypatingą dėmesį skiriant pacientams, kurie yra 75 metų ar vyresni, kuriems yra vidutinio sunkumo ar sunkus inkstų funkcijos sutrikimas arba kurie kartu vartoja angiotenzino receptorių blokatorių (ARB).</w:t>
      </w:r>
    </w:p>
    <w:p w14:paraId="71962A1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28D9D6BA" w14:textId="4E11C0F7" w:rsidR="00F151B8" w:rsidRPr="00DF20DE" w:rsidRDefault="00D824B3"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Š</w:t>
      </w:r>
      <w:r w:rsidR="00F151B8" w:rsidRPr="00DF20DE">
        <w:rPr>
          <w:rFonts w:ascii="Times New Roman" w:eastAsia="Times New Roman" w:hAnsi="Times New Roman" w:cs="Times New Roman"/>
          <w:u w:val="single"/>
        </w:rPr>
        <w:t>lapimo rūgšties koncentracij</w:t>
      </w:r>
      <w:r w:rsidRPr="00DF20DE">
        <w:rPr>
          <w:rFonts w:ascii="Times New Roman" w:eastAsia="Times New Roman" w:hAnsi="Times New Roman" w:cs="Times New Roman"/>
          <w:u w:val="single"/>
        </w:rPr>
        <w:t>os padidėjimas</w:t>
      </w:r>
    </w:p>
    <w:p w14:paraId="480F68B9" w14:textId="1A249B8D"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Vartojant tikagrelor</w:t>
      </w:r>
      <w:r w:rsidR="00D824B3" w:rsidRPr="00DF20DE">
        <w:rPr>
          <w:rFonts w:ascii="Times New Roman" w:eastAsia="Times New Roman" w:hAnsi="Times New Roman" w:cs="Times New Roman"/>
        </w:rPr>
        <w:t>o</w:t>
      </w:r>
      <w:r w:rsidRPr="00DF20DE">
        <w:rPr>
          <w:rFonts w:ascii="Times New Roman" w:eastAsia="Times New Roman" w:hAnsi="Times New Roman" w:cs="Times New Roman"/>
        </w:rPr>
        <w:t>, gali pasireikšti hiperurikemija (žr. 4.8 skyrių). Pacientams, kuriems anksčiau buvo pasireiškusi hiperurikemija arba podagrinis artritas, rekomenduojamos atsargumo priemonės. Kaip atsargumo priemonė, pacientams, kuriems yra šlapimo rūgšties sukelta nefropatija, tikagreloro vartojimas turi būti ribojamas.</w:t>
      </w:r>
    </w:p>
    <w:p w14:paraId="1231622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0B8FC0C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Trombinė trombocitopeninė purpura (TTP)</w:t>
      </w:r>
    </w:p>
    <w:p w14:paraId="24E230E9" w14:textId="09701F35"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Vartojant tikagrelor</w:t>
      </w:r>
      <w:r w:rsidR="00D824B3" w:rsidRPr="00DF20DE">
        <w:rPr>
          <w:rFonts w:ascii="Times New Roman" w:eastAsia="Times New Roman" w:hAnsi="Times New Roman" w:cs="Times New Roman"/>
        </w:rPr>
        <w:t>o</w:t>
      </w:r>
      <w:r w:rsidRPr="00DF20DE">
        <w:rPr>
          <w:rFonts w:ascii="Times New Roman" w:eastAsia="Times New Roman" w:hAnsi="Times New Roman" w:cs="Times New Roman"/>
        </w:rPr>
        <w:t>, labai retai gauta pranešimų apie trombinės trombocitopeninės purpuros (TTP) atvejus. Jai būdinga trombocitopenija ir mikroangiopatinė hemolizinė anemija, su jomis susiję neurologiniai pokyčiai, sutrikusi inkstų funkcija arba karščiavimas. TTP yra potencialiai mirtina liga, kurią reikia skubiai gydyti, įskaitant plazmaferezės atlikimą.</w:t>
      </w:r>
    </w:p>
    <w:p w14:paraId="147B261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5371638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Įtaka trombocitų funkcijos mėginiams, skirtiems diagnozuoti heparino sukeltą trombocitopeniją (angl.</w:t>
      </w:r>
    </w:p>
    <w:p w14:paraId="4004E33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i/>
          <w:u w:val="single"/>
        </w:rPr>
        <w:t>heparin-induced thrombocytopenia, HIT</w:t>
      </w:r>
      <w:r w:rsidRPr="00DF20DE">
        <w:rPr>
          <w:rFonts w:ascii="Times New Roman" w:eastAsia="Times New Roman" w:hAnsi="Times New Roman" w:cs="Times New Roman"/>
          <w:u w:val="single"/>
        </w:rPr>
        <w:t>)</w:t>
      </w:r>
    </w:p>
    <w:p w14:paraId="168DFB1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Atliekant heparino sukeliamo trombocitų aktyvinimo (angl. </w:t>
      </w:r>
      <w:r w:rsidRPr="00DF20DE">
        <w:rPr>
          <w:rFonts w:ascii="Times New Roman" w:eastAsia="Times New Roman" w:hAnsi="Times New Roman" w:cs="Times New Roman"/>
          <w:i/>
        </w:rPr>
        <w:t>heparin induced platelet activation, HIPA</w:t>
      </w:r>
      <w:r w:rsidRPr="00DF20DE">
        <w:rPr>
          <w:rFonts w:ascii="Times New Roman" w:eastAsia="Times New Roman" w:hAnsi="Times New Roman" w:cs="Times New Roman"/>
        </w:rPr>
        <w:t xml:space="preserve">) mėginį, naudojamą diagnozuoti </w:t>
      </w:r>
      <w:r w:rsidRPr="00DF20DE">
        <w:rPr>
          <w:rFonts w:ascii="Times New Roman" w:eastAsia="Times New Roman" w:hAnsi="Times New Roman" w:cs="Times New Roman"/>
          <w:i/>
        </w:rPr>
        <w:t>HIT</w:t>
      </w:r>
      <w:r w:rsidRPr="00DF20DE">
        <w:rPr>
          <w:rFonts w:ascii="Times New Roman" w:eastAsia="Times New Roman" w:hAnsi="Times New Roman" w:cs="Times New Roman"/>
        </w:rPr>
        <w:t>, paciento serume esantys antikūnai prieš trombocitų IV faktoriaus  ir heparino kompleksą aktyvina sveikų donorų trombocitus, kai aplinkoje yra heparino.</w:t>
      </w:r>
    </w:p>
    <w:p w14:paraId="5FE68515" w14:textId="2BE7F9EF"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lastRenderedPageBreak/>
        <w:t>Gauta pranešimų apie tikagrelor</w:t>
      </w:r>
      <w:r w:rsidR="00D824B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vartojantiems pacientams nustatytus klaidingai neigiamus trombocitų funkcijos aktyvinimo mėginių, skirtų diagnozuoti </w:t>
      </w:r>
      <w:r w:rsidRPr="00DF20DE">
        <w:rPr>
          <w:rFonts w:ascii="Times New Roman" w:eastAsia="Times New Roman" w:hAnsi="Times New Roman" w:cs="Times New Roman"/>
          <w:i/>
        </w:rPr>
        <w:t xml:space="preserve">HIT </w:t>
      </w:r>
      <w:r w:rsidRPr="00DF20DE">
        <w:rPr>
          <w:rFonts w:ascii="Times New Roman" w:eastAsia="Times New Roman" w:hAnsi="Times New Roman" w:cs="Times New Roman"/>
        </w:rPr>
        <w:t>(</w:t>
      </w:r>
      <w:r w:rsidRPr="00DF20DE">
        <w:rPr>
          <w:rFonts w:ascii="Times New Roman" w:eastAsia="Times New Roman" w:hAnsi="Times New Roman" w:cs="Times New Roman"/>
          <w:i/>
        </w:rPr>
        <w:t xml:space="preserve">HIPA </w:t>
      </w:r>
      <w:r w:rsidRPr="00DF20DE">
        <w:rPr>
          <w:rFonts w:ascii="Times New Roman" w:eastAsia="Times New Roman" w:hAnsi="Times New Roman" w:cs="Times New Roman"/>
        </w:rPr>
        <w:t xml:space="preserve">ir galimai kitų), rezultatus. </w:t>
      </w:r>
      <w:r w:rsidRPr="00DF20DE">
        <w:rPr>
          <w:rFonts w:ascii="Times New Roman" w:eastAsia="Times New Roman" w:hAnsi="Times New Roman" w:cs="Times New Roman"/>
          <w:position w:val="2"/>
        </w:rPr>
        <w:t>Tai susiję su tikagreloro sukeliamu sveikų donorų trombocitų P2Y</w:t>
      </w:r>
      <w:r w:rsidRPr="00DF20DE">
        <w:rPr>
          <w:rFonts w:ascii="Times New Roman" w:eastAsia="Times New Roman" w:hAnsi="Times New Roman" w:cs="Times New Roman"/>
          <w:sz w:val="14"/>
        </w:rPr>
        <w:t xml:space="preserve">12 </w:t>
      </w:r>
      <w:r w:rsidRPr="00DF20DE">
        <w:rPr>
          <w:rFonts w:ascii="Times New Roman" w:eastAsia="Times New Roman" w:hAnsi="Times New Roman" w:cs="Times New Roman"/>
          <w:position w:val="2"/>
        </w:rPr>
        <w:t xml:space="preserve">receptorių slopinimu pacientų </w:t>
      </w:r>
      <w:r w:rsidRPr="00DF20DE">
        <w:rPr>
          <w:rFonts w:ascii="Times New Roman" w:eastAsia="Times New Roman" w:hAnsi="Times New Roman" w:cs="Times New Roman"/>
        </w:rPr>
        <w:t xml:space="preserve">serume ar plazmoje atliekant šį mėginį. Norint tinkamai įvertinti </w:t>
      </w:r>
      <w:r w:rsidRPr="00DF20DE">
        <w:rPr>
          <w:rFonts w:ascii="Times New Roman" w:eastAsia="Times New Roman" w:hAnsi="Times New Roman" w:cs="Times New Roman"/>
          <w:i/>
        </w:rPr>
        <w:t xml:space="preserve">HIT </w:t>
      </w:r>
      <w:r w:rsidRPr="00DF20DE">
        <w:rPr>
          <w:rFonts w:ascii="Times New Roman" w:eastAsia="Times New Roman" w:hAnsi="Times New Roman" w:cs="Times New Roman"/>
        </w:rPr>
        <w:t>trombocitų funkcijos mėginių duomenis, būtina žinoti, kad kartu vartojama tikagrelor</w:t>
      </w:r>
      <w:r w:rsidR="00D824B3" w:rsidRPr="00DF20DE">
        <w:rPr>
          <w:rFonts w:ascii="Times New Roman" w:eastAsia="Times New Roman" w:hAnsi="Times New Roman" w:cs="Times New Roman"/>
        </w:rPr>
        <w:t>o</w:t>
      </w:r>
      <w:r w:rsidRPr="00DF20DE">
        <w:rPr>
          <w:rFonts w:ascii="Times New Roman" w:eastAsia="Times New Roman" w:hAnsi="Times New Roman" w:cs="Times New Roman"/>
        </w:rPr>
        <w:t>.</w:t>
      </w:r>
    </w:p>
    <w:p w14:paraId="298C6DC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Pasireiškus </w:t>
      </w:r>
      <w:r w:rsidRPr="00DF20DE">
        <w:rPr>
          <w:rFonts w:ascii="Times New Roman" w:eastAsia="Times New Roman" w:hAnsi="Times New Roman" w:cs="Times New Roman"/>
          <w:i/>
        </w:rPr>
        <w:t>HIT</w:t>
      </w:r>
      <w:r w:rsidRPr="00DF20DE">
        <w:rPr>
          <w:rFonts w:ascii="Times New Roman" w:eastAsia="Times New Roman" w:hAnsi="Times New Roman" w:cs="Times New Roman"/>
        </w:rPr>
        <w:t xml:space="preserve">, reikia įvertinti tolesnio tikagreloro vartojimo naudos ir rizikos santykį atsižvelgiant į </w:t>
      </w:r>
      <w:r w:rsidRPr="00DF20DE">
        <w:rPr>
          <w:rFonts w:ascii="Times New Roman" w:eastAsia="Times New Roman" w:hAnsi="Times New Roman" w:cs="Times New Roman"/>
          <w:i/>
        </w:rPr>
        <w:t xml:space="preserve">HIT </w:t>
      </w:r>
      <w:r w:rsidRPr="00DF20DE">
        <w:rPr>
          <w:rFonts w:ascii="Times New Roman" w:eastAsia="Times New Roman" w:hAnsi="Times New Roman" w:cs="Times New Roman"/>
        </w:rPr>
        <w:t>sukeliamą trombozę skatinančią būklę ir padidėjusią kraujavimo riziką kartu vartojant antikoaguliantų ir tikagrelorą.</w:t>
      </w:r>
    </w:p>
    <w:p w14:paraId="0B5BCAB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5B7C0E5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Kiti</w:t>
      </w:r>
    </w:p>
    <w:p w14:paraId="413F0D3A" w14:textId="046CA9A0"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Atsižvelgiant į PLATO tyrimo metu nustatytą ryšį tarp ASR palaikomosios dozės ir tikagreloro santykinio veiksmingumo, lyginant su klopidogreliu, didelių (&gt;</w:t>
      </w:r>
      <w:r w:rsidR="0000166D" w:rsidRPr="00DF20DE">
        <w:rPr>
          <w:rFonts w:ascii="Times New Roman" w:eastAsia="Times New Roman" w:hAnsi="Times New Roman" w:cs="Times New Roman"/>
        </w:rPr>
        <w:t> </w:t>
      </w:r>
      <w:r w:rsidRPr="00DF20DE">
        <w:rPr>
          <w:rFonts w:ascii="Times New Roman" w:eastAsia="Times New Roman" w:hAnsi="Times New Roman" w:cs="Times New Roman"/>
        </w:rPr>
        <w:t>300 mg) ASR palaikomųjų dozių kartu su tikagreloru vartoti nerekomenduojama (žr. 5.1 skyrių).</w:t>
      </w:r>
    </w:p>
    <w:p w14:paraId="2AEB39F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D1AC48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Priešlaikinis gydymo nutraukimas</w:t>
      </w:r>
    </w:p>
    <w:p w14:paraId="26F1E05C" w14:textId="5C261562"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Per anksti nutraukus bet kurio trombocitų agregacijos inhibitoriaus, įskaitant </w:t>
      </w:r>
      <w:r w:rsidR="0000166D" w:rsidRPr="00DF20DE">
        <w:rPr>
          <w:rFonts w:ascii="Times New Roman" w:eastAsia="Times New Roman" w:hAnsi="Times New Roman" w:cs="Times New Roman"/>
        </w:rPr>
        <w:t>tikagreloro</w:t>
      </w:r>
      <w:r w:rsidRPr="00DF20DE">
        <w:rPr>
          <w:rFonts w:ascii="Times New Roman" w:eastAsia="Times New Roman" w:hAnsi="Times New Roman" w:cs="Times New Roman"/>
        </w:rPr>
        <w:t>, vartojimą, gali padidėti kardiovaskulinės (KV) mirties, MI ar insulto dėl pagrindinės ligos rizika. Dėl to per anksti nutraukti gydymą šiuo vaistiniu preparatu turi būti vengiama.</w:t>
      </w:r>
    </w:p>
    <w:p w14:paraId="2838EC2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AC99AD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Natris</w:t>
      </w:r>
    </w:p>
    <w:p w14:paraId="13462D28" w14:textId="57B41FDD"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Šio vaistinio preparato vienoje tabletėje yra mažiau kaip 1 mmol (23 mg) natrio, t.</w:t>
      </w:r>
      <w:r w:rsidR="0000166D" w:rsidRPr="00DF20DE">
        <w:rPr>
          <w:rFonts w:ascii="Times New Roman" w:eastAsia="Times New Roman" w:hAnsi="Times New Roman" w:cs="Times New Roman"/>
        </w:rPr>
        <w:t xml:space="preserve"> </w:t>
      </w:r>
      <w:r w:rsidRPr="00DF20DE">
        <w:rPr>
          <w:rFonts w:ascii="Times New Roman" w:eastAsia="Times New Roman" w:hAnsi="Times New Roman" w:cs="Times New Roman"/>
        </w:rPr>
        <w:t>y. jis beveik neturi reikšmės.</w:t>
      </w:r>
    </w:p>
    <w:p w14:paraId="063F257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F8CCFBF"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4.5</w:t>
      </w:r>
      <w:r w:rsidRPr="00DF20DE">
        <w:rPr>
          <w:rFonts w:ascii="Times New Roman" w:eastAsia="Times New Roman" w:hAnsi="Times New Roman" w:cs="Times New Roman"/>
          <w:b/>
          <w:bCs/>
        </w:rPr>
        <w:tab/>
        <w:t>Sąveika su kitais vaistiniais preparatais ir kitokia sąveika</w:t>
      </w:r>
    </w:p>
    <w:p w14:paraId="180AAED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6CE29A37" w14:textId="3316C756"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Tikagreloras visų pirma yra CYP3A4 substratas ir taip pat silpnai slopina CYP3A4. Be to, tikagreloras yra P-glikoproteino (P-g</w:t>
      </w:r>
      <w:r w:rsidR="00D824B3" w:rsidRPr="00DF20DE">
        <w:rPr>
          <w:rFonts w:ascii="Times New Roman" w:eastAsia="Times New Roman" w:hAnsi="Times New Roman" w:cs="Times New Roman"/>
        </w:rPr>
        <w:t>p</w:t>
      </w:r>
      <w:r w:rsidRPr="00DF20DE">
        <w:rPr>
          <w:rFonts w:ascii="Times New Roman" w:eastAsia="Times New Roman" w:hAnsi="Times New Roman" w:cs="Times New Roman"/>
        </w:rPr>
        <w:t>) substratas ir silpnas jo inhibitorius, todėl gali didinti P-g</w:t>
      </w:r>
      <w:r w:rsidR="00D824B3" w:rsidRPr="00DF20DE">
        <w:rPr>
          <w:rFonts w:ascii="Times New Roman" w:eastAsia="Times New Roman" w:hAnsi="Times New Roman" w:cs="Times New Roman"/>
        </w:rPr>
        <w:t>p</w:t>
      </w:r>
      <w:r w:rsidRPr="00DF20DE">
        <w:rPr>
          <w:rFonts w:ascii="Times New Roman" w:eastAsia="Times New Roman" w:hAnsi="Times New Roman" w:cs="Times New Roman"/>
        </w:rPr>
        <w:t xml:space="preserve"> substratų ekspoziciją.</w:t>
      </w:r>
    </w:p>
    <w:p w14:paraId="4C43129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42CDFD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Kitų vaistinių preparatų ir kitokių medžiagų įtaka tikagreloro poveikiui</w:t>
      </w:r>
    </w:p>
    <w:p w14:paraId="0893B1F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13"/>
        </w:rPr>
      </w:pPr>
    </w:p>
    <w:p w14:paraId="251F246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CYP3A4 inhibitoriai</w:t>
      </w:r>
    </w:p>
    <w:p w14:paraId="36C53F51" w14:textId="38B237E9"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i/>
          <w:position w:val="2"/>
        </w:rPr>
        <w:t>Stipr</w:t>
      </w:r>
      <w:r w:rsidR="00D824B3" w:rsidRPr="00DF20DE">
        <w:rPr>
          <w:rFonts w:ascii="Times New Roman" w:eastAsia="Times New Roman" w:hAnsi="Times New Roman" w:cs="Times New Roman"/>
          <w:i/>
          <w:position w:val="2"/>
        </w:rPr>
        <w:t>ūs</w:t>
      </w:r>
      <w:r w:rsidRPr="00DF20DE">
        <w:rPr>
          <w:rFonts w:ascii="Times New Roman" w:eastAsia="Times New Roman" w:hAnsi="Times New Roman" w:cs="Times New Roman"/>
          <w:i/>
          <w:position w:val="2"/>
        </w:rPr>
        <w:t xml:space="preserve"> CYP3A4 inhibitoriai</w:t>
      </w:r>
      <w:r w:rsidRPr="00DF20DE">
        <w:rPr>
          <w:rFonts w:ascii="Times New Roman" w:eastAsia="Times New Roman" w:hAnsi="Times New Roman" w:cs="Times New Roman"/>
          <w:position w:val="2"/>
        </w:rPr>
        <w:t>. Kartu vartojant ketokonazol</w:t>
      </w:r>
      <w:r w:rsidR="00D824B3" w:rsidRPr="00DF20DE">
        <w:rPr>
          <w:rFonts w:ascii="Times New Roman" w:eastAsia="Times New Roman" w:hAnsi="Times New Roman" w:cs="Times New Roman"/>
          <w:position w:val="2"/>
        </w:rPr>
        <w:t>o</w:t>
      </w:r>
      <w:r w:rsidRPr="00DF20DE">
        <w:rPr>
          <w:rFonts w:ascii="Times New Roman" w:eastAsia="Times New Roman" w:hAnsi="Times New Roman" w:cs="Times New Roman"/>
          <w:position w:val="2"/>
        </w:rPr>
        <w:t>,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padidėjo 2,4 karto ir AUC – 7,3 karto, o jo aktyvaus metabolito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sumažėjo 89 %, AUC – 56 %.</w:t>
      </w:r>
    </w:p>
    <w:p w14:paraId="481AD879" w14:textId="08DCA35A" w:rsidR="00F151B8" w:rsidRPr="00DF20DE" w:rsidRDefault="00F151B8" w:rsidP="00F151B8">
      <w:pPr>
        <w:widowControl w:val="0"/>
        <w:autoSpaceDE w:val="0"/>
        <w:autoSpaceDN w:val="0"/>
        <w:spacing w:after="0" w:line="240" w:lineRule="auto"/>
        <w:ind w:left="540"/>
        <w:rPr>
          <w:rFonts w:ascii="Times New Roman" w:eastAsia="Times New Roman" w:hAnsi="Times New Roman" w:cs="Times New Roman"/>
        </w:rPr>
      </w:pPr>
      <w:r w:rsidRPr="00DF20DE">
        <w:rPr>
          <w:rFonts w:ascii="Times New Roman" w:eastAsia="Times New Roman" w:hAnsi="Times New Roman" w:cs="Times New Roman"/>
        </w:rPr>
        <w:t>Tikėtina, kad panašiai turi veikti ir kiti stipr</w:t>
      </w:r>
      <w:r w:rsidR="00D824B3" w:rsidRPr="00DF20DE">
        <w:rPr>
          <w:rFonts w:ascii="Times New Roman" w:eastAsia="Times New Roman" w:hAnsi="Times New Roman" w:cs="Times New Roman"/>
        </w:rPr>
        <w:t xml:space="preserve">ūs </w:t>
      </w:r>
      <w:r w:rsidRPr="00DF20DE">
        <w:rPr>
          <w:rFonts w:ascii="Times New Roman" w:eastAsia="Times New Roman" w:hAnsi="Times New Roman" w:cs="Times New Roman"/>
        </w:rPr>
        <w:t>CYP3A4 inhibitoriai (klaritromicinas, nefazodonas, ritonaviras ir atazanaviras), todėl stipri</w:t>
      </w:r>
      <w:r w:rsidR="00D824B3" w:rsidRPr="00DF20DE">
        <w:rPr>
          <w:rFonts w:ascii="Times New Roman" w:eastAsia="Times New Roman" w:hAnsi="Times New Roman" w:cs="Times New Roman"/>
        </w:rPr>
        <w:t xml:space="preserve">ų </w:t>
      </w:r>
      <w:r w:rsidRPr="00DF20DE">
        <w:rPr>
          <w:rFonts w:ascii="Times New Roman" w:eastAsia="Times New Roman" w:hAnsi="Times New Roman" w:cs="Times New Roman"/>
        </w:rPr>
        <w:t xml:space="preserve">CYP3A4 inhibitorių kartu su tikagreloru vartoti </w:t>
      </w:r>
      <w:r w:rsidR="00D824B3" w:rsidRPr="00DF20DE">
        <w:rPr>
          <w:rFonts w:ascii="Times New Roman" w:eastAsia="Times New Roman" w:hAnsi="Times New Roman" w:cs="Times New Roman"/>
        </w:rPr>
        <w:t xml:space="preserve">draudžiama </w:t>
      </w:r>
      <w:r w:rsidRPr="00DF20DE">
        <w:rPr>
          <w:rFonts w:ascii="Times New Roman" w:eastAsia="Times New Roman" w:hAnsi="Times New Roman" w:cs="Times New Roman"/>
        </w:rPr>
        <w:t>(žr. 4.3 skyrių).</w:t>
      </w:r>
    </w:p>
    <w:p w14:paraId="48EF6FD3"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i/>
          <w:position w:val="2"/>
        </w:rPr>
        <w:t xml:space="preserve">Vidutinio stiprumo CYP3A4 inhibitoriai. </w:t>
      </w:r>
      <w:r w:rsidRPr="00DF20DE">
        <w:rPr>
          <w:rFonts w:ascii="Times New Roman" w:eastAsia="Times New Roman" w:hAnsi="Times New Roman" w:cs="Times New Roman"/>
          <w:position w:val="2"/>
        </w:rPr>
        <w:t>Kartu vartojant diltiazemą,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padidėjo 69 % ir AUC – 2,7 karto, o jo aktyvaus metabolito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sumažėjo 38 %, o AUC </w:t>
      </w:r>
      <w:r w:rsidRPr="00DF20DE">
        <w:rPr>
          <w:rFonts w:ascii="Times New Roman" w:eastAsia="Times New Roman" w:hAnsi="Times New Roman" w:cs="Times New Roman"/>
        </w:rPr>
        <w:t>nepakito. Tikagreloras diltiazemo koncentracijos plazmoje neveikė. Kitų vidutinio stiprumo CYP3A4 inhibitorių (pvz., amprenaviro, aprepitanto, eritromicino, flukonazolo) poveikis turi būti panašus, juos galima vartoti kartu su tikagreloru.</w:t>
      </w:r>
    </w:p>
    <w:p w14:paraId="24A1D1A3"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Kasdien geriant daug (3 kartus po 200 ml) greipfrutų sulčių, nustatyta 2 kartus padidėjusi tikagreloro ekspozicija. Vis dėlto daugumai pacientų toks padidėjimas neturėtų būti kliniškai reikšmingas.</w:t>
      </w:r>
    </w:p>
    <w:p w14:paraId="6EF427D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27A943D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CYP3A4 induktoriai</w:t>
      </w:r>
    </w:p>
    <w:p w14:paraId="239C55C4" w14:textId="13737676"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Kartu vartojant rifampicin</w:t>
      </w:r>
      <w:r w:rsidR="003E518D" w:rsidRPr="00DF20DE">
        <w:rPr>
          <w:rFonts w:ascii="Times New Roman" w:eastAsia="Times New Roman" w:hAnsi="Times New Roman" w:cs="Times New Roman"/>
          <w:position w:val="2"/>
        </w:rPr>
        <w:t>o</w:t>
      </w:r>
      <w:r w:rsidRPr="00DF20DE">
        <w:rPr>
          <w:rFonts w:ascii="Times New Roman" w:eastAsia="Times New Roman" w:hAnsi="Times New Roman" w:cs="Times New Roman"/>
          <w:position w:val="2"/>
        </w:rPr>
        <w:t>,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sumažėjo 73 % ir AUC – 86 %, jo aktyvaus metabolito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nepakito, o AUC sumažėjo 46 %. Manoma, kad kiti CYP3A induktoriai (pvz., fenitoinas, </w:t>
      </w:r>
      <w:r w:rsidRPr="00DF20DE">
        <w:rPr>
          <w:rFonts w:ascii="Times New Roman" w:eastAsia="Times New Roman" w:hAnsi="Times New Roman" w:cs="Times New Roman"/>
        </w:rPr>
        <w:t>karbamazepinas ir fenobarbitalis) taip pat turi mažinti tikagreloro ekspoziciją. Kartu vartojant vaistinių preparatų, kurie stipriai indukuoja CYP3A, gali sumažėti tikagreloro ekspozicija ir veiksmingumas, todėl kartu su tikagreloru jų vartoti nepatartina.</w:t>
      </w:r>
    </w:p>
    <w:p w14:paraId="3F92FEB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541B8E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Ciklosporinas (P-gp ir CYP3A inhibitorius)</w:t>
      </w:r>
    </w:p>
    <w:p w14:paraId="455E246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Kartu vartojant 600 mg ciklosporino,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padidėjo 2,3, o AUC – 2,8 karto. Organizme esant ciklosporino, tikagreloro aktyvaus metabolito AUC padidėjo 32 %, 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sumažėjo 15 %.</w:t>
      </w:r>
    </w:p>
    <w:p w14:paraId="47A7FBC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273ECFF" w14:textId="1A4F8404"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lastRenderedPageBreak/>
        <w:t>Nėra duomenų apie tikagreloro vartojimą kartu su kitomis veikliosiomis medžiagomis, kurios gali padidinti tikagreloro ekspoziciją, stipriai slopindamos P-gp ir vidutiniškai – CYP3A4 (pvz., verapamil</w:t>
      </w:r>
      <w:r w:rsidR="00955FC5" w:rsidRPr="00DF20DE">
        <w:rPr>
          <w:rFonts w:ascii="Times New Roman" w:eastAsia="Times New Roman" w:hAnsi="Times New Roman" w:cs="Times New Roman"/>
        </w:rPr>
        <w:t>i</w:t>
      </w:r>
      <w:r w:rsidRPr="00DF20DE">
        <w:rPr>
          <w:rFonts w:ascii="Times New Roman" w:eastAsia="Times New Roman" w:hAnsi="Times New Roman" w:cs="Times New Roman"/>
        </w:rPr>
        <w:t>u, chinidinu). Jeigu jų vartojimas kartu neišvengiamas, rekomenduojama imtis atsargumo priemonių.</w:t>
      </w:r>
    </w:p>
    <w:p w14:paraId="0457C05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357A8AF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Kiti</w:t>
      </w:r>
    </w:p>
    <w:p w14:paraId="3931286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Klinikiniai farmakologiniai sąveikos tyrimai parodė, kad kartu su tikagreloru vartojami heparinas, enoksaparinas, ASR ir desmopresinas neturi įtakos tikagreloro ir jo aktyvaus metabolito farmakokinetikai bei ADF sukeltai trombocitų agregacijai, palyginus su atskirai vartojamu tikagreloru. Esant terapinei indikacijai, hemostazę veikiančių vaistinių preparatų kartu su tikagreloru skiriama atsargiai.</w:t>
      </w:r>
    </w:p>
    <w:p w14:paraId="2DE6C92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09BF0A87" w14:textId="4F943A46"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ŪKS sergančius pacientus gydant morfinu, geriamųjų P2Y</w:t>
      </w:r>
      <w:r w:rsidRPr="00DF20DE">
        <w:rPr>
          <w:rFonts w:ascii="Times New Roman" w:eastAsia="Times New Roman" w:hAnsi="Times New Roman" w:cs="Times New Roman"/>
          <w:sz w:val="14"/>
        </w:rPr>
        <w:t xml:space="preserve">12 </w:t>
      </w:r>
      <w:r w:rsidRPr="00DF20DE">
        <w:rPr>
          <w:rFonts w:ascii="Times New Roman" w:eastAsia="Times New Roman" w:hAnsi="Times New Roman" w:cs="Times New Roman"/>
          <w:position w:val="2"/>
        </w:rPr>
        <w:t xml:space="preserve">inhibitorių, įskaitant tikagrelorą ir jo aktyvų </w:t>
      </w:r>
      <w:r w:rsidRPr="00DF20DE">
        <w:rPr>
          <w:rFonts w:ascii="Times New Roman" w:eastAsia="Times New Roman" w:hAnsi="Times New Roman" w:cs="Times New Roman"/>
        </w:rPr>
        <w:t>metabolitą, ekspozicija susidarė vėliau ir buvo mažesnė (tikagreloro ekspozicija – 35 % mažesnė). Ši sąveika gali būti susijusi su sulėtėjusia virškinimo trakto peristaltika ir taip pat pasireikšti vartojant kitų opioidų. Klinikinė reikšmė neaiški, bet turimi duomenys rodo mažesnio tikagreloro veiksmingumo galimybę j</w:t>
      </w:r>
      <w:r w:rsidR="003E518D"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vartojant kartu su morfinu. Jei ŪKS sergančiam pacientui morfino vartojimo </w:t>
      </w:r>
      <w:r w:rsidRPr="00DF20DE">
        <w:rPr>
          <w:rFonts w:ascii="Times New Roman" w:eastAsia="Times New Roman" w:hAnsi="Times New Roman" w:cs="Times New Roman"/>
          <w:position w:val="2"/>
        </w:rPr>
        <w:t>atidėti negalima, o skubiai slopinti P2Y</w:t>
      </w:r>
      <w:r w:rsidRPr="00DF20DE">
        <w:rPr>
          <w:rFonts w:ascii="Times New Roman" w:eastAsia="Times New Roman" w:hAnsi="Times New Roman" w:cs="Times New Roman"/>
          <w:sz w:val="14"/>
        </w:rPr>
        <w:t xml:space="preserve">12 </w:t>
      </w:r>
      <w:r w:rsidRPr="00DF20DE">
        <w:rPr>
          <w:rFonts w:ascii="Times New Roman" w:eastAsia="Times New Roman" w:hAnsi="Times New Roman" w:cs="Times New Roman"/>
          <w:position w:val="2"/>
        </w:rPr>
        <w:t>yra gyvybiškai svarbu, galima svarstyti galimybę skirti P2Y</w:t>
      </w:r>
      <w:r w:rsidRPr="00DF20DE">
        <w:rPr>
          <w:rFonts w:ascii="Times New Roman" w:eastAsia="Times New Roman" w:hAnsi="Times New Roman" w:cs="Times New Roman"/>
          <w:sz w:val="14"/>
        </w:rPr>
        <w:t xml:space="preserve">12 </w:t>
      </w:r>
      <w:r w:rsidRPr="00DF20DE">
        <w:rPr>
          <w:rFonts w:ascii="Times New Roman" w:eastAsia="Times New Roman" w:hAnsi="Times New Roman" w:cs="Times New Roman"/>
          <w:position w:val="2"/>
        </w:rPr>
        <w:t>inhibitorių parenteriniu būdu.</w:t>
      </w:r>
    </w:p>
    <w:p w14:paraId="0103831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7EC9872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Tikagreloro įtaka kitų vaistinių preparatų poveikiui</w:t>
      </w:r>
    </w:p>
    <w:p w14:paraId="14522BE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14"/>
        </w:rPr>
      </w:pPr>
    </w:p>
    <w:p w14:paraId="2F69ED7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Vaistiniai preparatai, kuriuos metabolizuoja CYP3A4</w:t>
      </w:r>
    </w:p>
    <w:p w14:paraId="0DC6E351" w14:textId="1A1C88D4"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i/>
          <w:position w:val="2"/>
        </w:rPr>
        <w:t xml:space="preserve">Simvastatinas. </w:t>
      </w:r>
      <w:r w:rsidRPr="00DF20DE">
        <w:rPr>
          <w:rFonts w:ascii="Times New Roman" w:eastAsia="Times New Roman" w:hAnsi="Times New Roman" w:cs="Times New Roman"/>
          <w:position w:val="2"/>
        </w:rPr>
        <w:t>Kartu vartojant tikagrelor</w:t>
      </w:r>
      <w:r w:rsidR="003E518D" w:rsidRPr="00DF20DE">
        <w:rPr>
          <w:rFonts w:ascii="Times New Roman" w:eastAsia="Times New Roman" w:hAnsi="Times New Roman" w:cs="Times New Roman"/>
          <w:position w:val="2"/>
        </w:rPr>
        <w:t>o</w:t>
      </w:r>
      <w:r w:rsidRPr="00DF20DE">
        <w:rPr>
          <w:rFonts w:ascii="Times New Roman" w:eastAsia="Times New Roman" w:hAnsi="Times New Roman" w:cs="Times New Roman"/>
          <w:position w:val="2"/>
        </w:rPr>
        <w:t>, simvastatino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padidėjo 81 % ir AUC – 56 %, simvastatino rūgšties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padidėjo 64 % ir AUC – 52 %, tačiau atskiriems individams </w:t>
      </w:r>
      <w:r w:rsidRPr="00DF20DE">
        <w:rPr>
          <w:rFonts w:ascii="Times New Roman" w:eastAsia="Times New Roman" w:hAnsi="Times New Roman" w:cs="Times New Roman"/>
        </w:rPr>
        <w:t>užfiksuota padidėjimo 2–3 kartus atvejų. Kartu su didesnėmis kaip 40 mg simvastatino paros dozėmis vartojant tikagrelor</w:t>
      </w:r>
      <w:r w:rsidR="003E518D" w:rsidRPr="00DF20DE">
        <w:rPr>
          <w:rFonts w:ascii="Times New Roman" w:eastAsia="Times New Roman" w:hAnsi="Times New Roman" w:cs="Times New Roman"/>
        </w:rPr>
        <w:t>o</w:t>
      </w:r>
      <w:r w:rsidRPr="00DF20DE">
        <w:rPr>
          <w:rFonts w:ascii="Times New Roman" w:eastAsia="Times New Roman" w:hAnsi="Times New Roman" w:cs="Times New Roman"/>
        </w:rPr>
        <w:t>, gali pasireikšti simvastatino nepageidaujamų reakcijų, kurių riziką reikia palyginti su galima šio derinio nauda. Simvastatinas tikagreloro koncentracijos plazmoje neveikė. Tikagreloras gali turėti panašios įtakos ir lovastatino koncentracijai. Kartu su tikagreloru nerekomenduojama vartoti didesnių kaip 40 mg simvastatino ir lovastatino dozių.</w:t>
      </w:r>
    </w:p>
    <w:p w14:paraId="220B570C" w14:textId="53B9DCE5"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i/>
          <w:position w:val="2"/>
        </w:rPr>
        <w:t xml:space="preserve">Atorvastatinas. </w:t>
      </w:r>
      <w:r w:rsidRPr="00DF20DE">
        <w:rPr>
          <w:rFonts w:ascii="Times New Roman" w:eastAsia="Times New Roman" w:hAnsi="Times New Roman" w:cs="Times New Roman"/>
          <w:position w:val="2"/>
        </w:rPr>
        <w:t>Kartu vartojant tikagrelor</w:t>
      </w:r>
      <w:r w:rsidR="003E518D" w:rsidRPr="00DF20DE">
        <w:rPr>
          <w:rFonts w:ascii="Times New Roman" w:eastAsia="Times New Roman" w:hAnsi="Times New Roman" w:cs="Times New Roman"/>
          <w:position w:val="2"/>
        </w:rPr>
        <w:t>o</w:t>
      </w:r>
      <w:r w:rsidRPr="00DF20DE">
        <w:rPr>
          <w:rFonts w:ascii="Times New Roman" w:eastAsia="Times New Roman" w:hAnsi="Times New Roman" w:cs="Times New Roman"/>
          <w:position w:val="2"/>
        </w:rPr>
        <w:t>, atorvastatino rūgšties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padidėjo 23 % ir AUC – 36 %. Taip pat nustatytas panašus visų atorvastatino rūgšties metabolitų AUC ir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rPr>
        <w:t>padidėjimas. Šie padidėjimai klini</w:t>
      </w:r>
      <w:r w:rsidR="003E518D" w:rsidRPr="00DF20DE">
        <w:rPr>
          <w:rFonts w:ascii="Times New Roman" w:eastAsia="Times New Roman" w:hAnsi="Times New Roman" w:cs="Times New Roman"/>
        </w:rPr>
        <w:t>š</w:t>
      </w:r>
      <w:r w:rsidRPr="00DF20DE">
        <w:rPr>
          <w:rFonts w:ascii="Times New Roman" w:eastAsia="Times New Roman" w:hAnsi="Times New Roman" w:cs="Times New Roman"/>
        </w:rPr>
        <w:t>kai reikšmingais nelaikomi.</w:t>
      </w:r>
    </w:p>
    <w:p w14:paraId="281718D0"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Negalima atmesti panašaus poveikio kitiems statinams, kuriuos metabolizuoja CYP3A4, galimybės. PLATO tyrimo metu pacientams kartu su tikagreloru vartojus įvairių kitų statinų (statinų vartojusių pacientų kohorta sudarė 93 %), abejonių dėl statinų saugumo nekilo.</w:t>
      </w:r>
    </w:p>
    <w:p w14:paraId="191FB8E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10571D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Tikagreloras silpnai slopina CYP3A4. Tikagreloro nerekomenduojama vartoti kartu su CYP3A4 substratais, kurių terapinis indeksas siauras (pvz., cisapridu ir skalsių alkaloidais), kadangi dėl tikagreloro poveikio gali padidėti šių vaistinių preparatų ekspozicija.</w:t>
      </w:r>
    </w:p>
    <w:p w14:paraId="78ED7C4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9C69A8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P-gp substratai, įskaitant digoksiną ir ciklosporiną</w:t>
      </w:r>
    </w:p>
    <w:p w14:paraId="6322C697" w14:textId="1450FB0E"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Kartu vartojant tikagrelor</w:t>
      </w:r>
      <w:r w:rsidR="003E518D" w:rsidRPr="00DF20DE">
        <w:rPr>
          <w:rFonts w:ascii="Times New Roman" w:eastAsia="Times New Roman" w:hAnsi="Times New Roman" w:cs="Times New Roman"/>
          <w:position w:val="2"/>
        </w:rPr>
        <w:t>o</w:t>
      </w:r>
      <w:r w:rsidRPr="00DF20DE">
        <w:rPr>
          <w:rFonts w:ascii="Times New Roman" w:eastAsia="Times New Roman" w:hAnsi="Times New Roman" w:cs="Times New Roman"/>
          <w:position w:val="2"/>
        </w:rPr>
        <w:t>, digoksino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padidėjo 75 %, o AUC – 28 %. Vidutinė minimali </w:t>
      </w:r>
      <w:r w:rsidRPr="00DF20DE">
        <w:rPr>
          <w:rFonts w:ascii="Times New Roman" w:eastAsia="Times New Roman" w:hAnsi="Times New Roman" w:cs="Times New Roman"/>
        </w:rPr>
        <w:t>digoksino koncentracija kartu vartojant tikagrelor</w:t>
      </w:r>
      <w:r w:rsidR="003E518D" w:rsidRPr="00DF20DE">
        <w:rPr>
          <w:rFonts w:ascii="Times New Roman" w:eastAsia="Times New Roman" w:hAnsi="Times New Roman" w:cs="Times New Roman"/>
        </w:rPr>
        <w:t>o</w:t>
      </w:r>
      <w:r w:rsidRPr="00DF20DE">
        <w:rPr>
          <w:rFonts w:ascii="Times New Roman" w:eastAsia="Times New Roman" w:hAnsi="Times New Roman" w:cs="Times New Roman"/>
        </w:rPr>
        <w:t xml:space="preserve"> padidėjo maždaug 30 %, o kai kuriems asmenims didžiausias jos padidėjimas buvo dvigubas. Digoksinas įtakos tikagreloro ir jo aktyvaus metabolito </w:t>
      </w:r>
      <w:r w:rsidRPr="00DF20DE">
        <w:rPr>
          <w:rFonts w:ascii="Times New Roman" w:eastAsia="Times New Roman" w:hAnsi="Times New Roman" w:cs="Times New Roman"/>
          <w:position w:val="2"/>
        </w:rPr>
        <w:t>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bei AUC neturėjo. Dėl to kartu su tikagreloru vartojant siauro terapinio indekso vaistinių </w:t>
      </w:r>
      <w:r w:rsidRPr="00DF20DE">
        <w:rPr>
          <w:rFonts w:ascii="Times New Roman" w:eastAsia="Times New Roman" w:hAnsi="Times New Roman" w:cs="Times New Roman"/>
        </w:rPr>
        <w:t>preparatų, kurių koncentracija priklauso nuo P-gp (pvz., digoksino), rekomenduojamas atitinkamas klinikinis ir (arba) laboratorinis stebėjimas.</w:t>
      </w:r>
    </w:p>
    <w:p w14:paraId="48298CB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Įtakos ciklosporino koncentracijai kraujyje tikagreloras nedaro. Tikagreloro poveikis kitų P-gp substratų koncentracijai netirtas.</w:t>
      </w:r>
    </w:p>
    <w:p w14:paraId="7D08E82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59BE200A" w14:textId="77777777" w:rsidR="00F151B8" w:rsidRPr="00DF20DE" w:rsidRDefault="00F151B8" w:rsidP="00F151B8">
      <w:pPr>
        <w:widowControl w:val="0"/>
        <w:autoSpaceDE w:val="0"/>
        <w:autoSpaceDN w:val="0"/>
        <w:spacing w:after="0" w:line="240" w:lineRule="auto"/>
        <w:jc w:val="both"/>
        <w:rPr>
          <w:rFonts w:ascii="Times New Roman" w:eastAsia="Times New Roman" w:hAnsi="Times New Roman" w:cs="Times New Roman"/>
          <w:i/>
        </w:rPr>
      </w:pPr>
      <w:r w:rsidRPr="00DF20DE">
        <w:rPr>
          <w:rFonts w:ascii="Times New Roman" w:eastAsia="Times New Roman" w:hAnsi="Times New Roman" w:cs="Times New Roman"/>
          <w:i/>
          <w:u w:val="single"/>
        </w:rPr>
        <w:t>Vaistiniai preparatai, kuriuos metabolizuoja CYP2C9</w:t>
      </w:r>
    </w:p>
    <w:p w14:paraId="6DE008C1" w14:textId="24FEE5DB"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Kartu vartojant tikagrelor</w:t>
      </w:r>
      <w:r w:rsidR="003E518D"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tolbutamid</w:t>
      </w:r>
      <w:r w:rsidR="003E518D" w:rsidRPr="00DF20DE">
        <w:rPr>
          <w:rFonts w:ascii="Times New Roman" w:eastAsia="Times New Roman" w:hAnsi="Times New Roman" w:cs="Times New Roman"/>
        </w:rPr>
        <w:t>o</w:t>
      </w:r>
      <w:r w:rsidRPr="00DF20DE">
        <w:rPr>
          <w:rFonts w:ascii="Times New Roman" w:eastAsia="Times New Roman" w:hAnsi="Times New Roman" w:cs="Times New Roman"/>
        </w:rPr>
        <w:t>, nė vieno iš jų koncentracija plazmoje nepakito. Dėl to reikia manyti, kad tikagreloras neslopina CYP2C9 ir neturi veikti nuo CYP2C9 priklausomo vaistinių preparatų (pvz., varfarino ir tolbutamido) metabolizmo.</w:t>
      </w:r>
    </w:p>
    <w:p w14:paraId="46BCCE3F" w14:textId="46515C10"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386DE58C" w14:textId="77777777" w:rsidR="0023448E" w:rsidRPr="00DF20DE" w:rsidRDefault="0023448E" w:rsidP="0023448E">
      <w:pPr>
        <w:autoSpaceDE w:val="0"/>
        <w:autoSpaceDN w:val="0"/>
        <w:adjustRightInd w:val="0"/>
        <w:spacing w:after="0" w:line="240" w:lineRule="auto"/>
        <w:rPr>
          <w:rFonts w:ascii="TimesNewRoman,Italic" w:hAnsi="TimesNewRoman,Italic" w:cs="TimesNewRoman,Italic"/>
          <w:i/>
          <w:iCs/>
          <w:u w:val="single"/>
        </w:rPr>
      </w:pPr>
      <w:r w:rsidRPr="00DF20DE">
        <w:rPr>
          <w:rFonts w:ascii="TimesNewRoman,Italic" w:hAnsi="TimesNewRoman,Italic" w:cs="TimesNewRoman,Italic"/>
          <w:i/>
          <w:iCs/>
          <w:u w:val="single"/>
        </w:rPr>
        <w:t>Rozuvastatinas</w:t>
      </w:r>
    </w:p>
    <w:p w14:paraId="6B0BFA02" w14:textId="77777777" w:rsidR="0023448E" w:rsidRPr="00DF20DE" w:rsidRDefault="0023448E" w:rsidP="0023448E">
      <w:pPr>
        <w:autoSpaceDE w:val="0"/>
        <w:autoSpaceDN w:val="0"/>
        <w:adjustRightInd w:val="0"/>
        <w:spacing w:after="0" w:line="240" w:lineRule="auto"/>
        <w:rPr>
          <w:rFonts w:ascii="Times New Roman" w:hAnsi="Times New Roman" w:cs="Times New Roman"/>
        </w:rPr>
      </w:pPr>
      <w:r w:rsidRPr="00DF20DE">
        <w:rPr>
          <w:rFonts w:ascii="Times New Roman" w:hAnsi="Times New Roman" w:cs="Times New Roman"/>
        </w:rPr>
        <w:lastRenderedPageBreak/>
        <w:t>Tikagreloras gali turėti įtakos rozuvastatino išsiskyrimui per inkstus ir padidinti rozuvastatino</w:t>
      </w:r>
    </w:p>
    <w:p w14:paraId="458309E0" w14:textId="77777777" w:rsidR="0023448E" w:rsidRPr="00DF20DE" w:rsidRDefault="0023448E" w:rsidP="0023448E">
      <w:pPr>
        <w:autoSpaceDE w:val="0"/>
        <w:autoSpaceDN w:val="0"/>
        <w:adjustRightInd w:val="0"/>
        <w:spacing w:after="0" w:line="240" w:lineRule="auto"/>
        <w:rPr>
          <w:rFonts w:ascii="Times New Roman" w:hAnsi="Times New Roman" w:cs="Times New Roman"/>
        </w:rPr>
      </w:pPr>
      <w:r w:rsidRPr="00DF20DE">
        <w:rPr>
          <w:rFonts w:ascii="Times New Roman" w:hAnsi="Times New Roman" w:cs="Times New Roman"/>
        </w:rPr>
        <w:t>akumuliacijos riziką. Tikslus mechanizmas nežinomas, tačiau kartu vartojant tikagreloro ir</w:t>
      </w:r>
    </w:p>
    <w:p w14:paraId="3A45AAE7" w14:textId="54F26423" w:rsidR="0023448E" w:rsidRPr="00DF20DE" w:rsidRDefault="0023448E" w:rsidP="00E3613C">
      <w:pPr>
        <w:autoSpaceDE w:val="0"/>
        <w:autoSpaceDN w:val="0"/>
        <w:adjustRightInd w:val="0"/>
        <w:spacing w:after="0" w:line="240" w:lineRule="auto"/>
        <w:rPr>
          <w:rFonts w:ascii="TimesNewRoman" w:hAnsi="TimesNewRoman" w:cs="TimesNewRoman"/>
        </w:rPr>
      </w:pPr>
      <w:r w:rsidRPr="00DF20DE">
        <w:rPr>
          <w:rFonts w:ascii="Times New Roman" w:hAnsi="Times New Roman" w:cs="Times New Roman"/>
        </w:rPr>
        <w:t xml:space="preserve">rozuvastatino užfiksuota atvejų, kai susilpnėjo inkstų funkcija, padidėjo </w:t>
      </w:r>
      <w:r w:rsidR="003E518D" w:rsidRPr="00DF20DE">
        <w:rPr>
          <w:rFonts w:ascii="Times New Roman" w:hAnsi="Times New Roman" w:cs="Times New Roman"/>
        </w:rPr>
        <w:t>kreatinfosfokinazės</w:t>
      </w:r>
      <w:r w:rsidRPr="00DF20DE">
        <w:rPr>
          <w:rFonts w:ascii="Times New Roman" w:hAnsi="Times New Roman" w:cs="Times New Roman"/>
        </w:rPr>
        <w:t xml:space="preserve"> koncentracija ir</w:t>
      </w:r>
      <w:r w:rsidR="003E518D" w:rsidRPr="00DF20DE">
        <w:rPr>
          <w:rFonts w:ascii="Times New Roman" w:hAnsi="Times New Roman" w:cs="Times New Roman"/>
        </w:rPr>
        <w:t xml:space="preserve"> </w:t>
      </w:r>
      <w:r w:rsidRPr="00DF20DE">
        <w:rPr>
          <w:rFonts w:ascii="Times New Roman" w:hAnsi="Times New Roman" w:cs="Times New Roman"/>
        </w:rPr>
        <w:t>pasireiškė rabdomiolizė</w:t>
      </w:r>
      <w:r w:rsidRPr="00DF20DE">
        <w:rPr>
          <w:rFonts w:ascii="TimesNewRoman" w:hAnsi="TimesNewRoman" w:cs="TimesNewRoman"/>
        </w:rPr>
        <w:t>.</w:t>
      </w:r>
    </w:p>
    <w:p w14:paraId="069E8AB9" w14:textId="77777777" w:rsidR="0023448E" w:rsidRPr="00DF20DE" w:rsidRDefault="0023448E" w:rsidP="0023448E">
      <w:pPr>
        <w:widowControl w:val="0"/>
        <w:autoSpaceDE w:val="0"/>
        <w:autoSpaceDN w:val="0"/>
        <w:spacing w:after="0" w:line="240" w:lineRule="auto"/>
        <w:rPr>
          <w:rFonts w:ascii="Times New Roman" w:eastAsia="Times New Roman" w:hAnsi="Times New Roman" w:cs="Times New Roman"/>
          <w:sz w:val="21"/>
        </w:rPr>
      </w:pPr>
    </w:p>
    <w:p w14:paraId="544123B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Geriamieji kontraceptikai</w:t>
      </w:r>
    </w:p>
    <w:p w14:paraId="62044C11" w14:textId="1A0F4E3F"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Kartu vartojant tikagrelor</w:t>
      </w:r>
      <w:r w:rsidR="003E518D" w:rsidRPr="00DF20DE">
        <w:rPr>
          <w:rFonts w:ascii="Times New Roman" w:eastAsia="Times New Roman" w:hAnsi="Times New Roman" w:cs="Times New Roman"/>
        </w:rPr>
        <w:t>o</w:t>
      </w:r>
      <w:r w:rsidRPr="00DF20DE">
        <w:rPr>
          <w:rFonts w:ascii="Times New Roman" w:eastAsia="Times New Roman" w:hAnsi="Times New Roman" w:cs="Times New Roman"/>
        </w:rPr>
        <w:t>, levonorgestrel</w:t>
      </w:r>
      <w:r w:rsidR="003E518D"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ir etinilestradiol</w:t>
      </w:r>
      <w:r w:rsidR="003E518D" w:rsidRPr="00DF20DE">
        <w:rPr>
          <w:rFonts w:ascii="Times New Roman" w:eastAsia="Times New Roman" w:hAnsi="Times New Roman" w:cs="Times New Roman"/>
        </w:rPr>
        <w:t>io</w:t>
      </w:r>
      <w:r w:rsidRPr="00DF20DE">
        <w:rPr>
          <w:rFonts w:ascii="Times New Roman" w:eastAsia="Times New Roman" w:hAnsi="Times New Roman" w:cs="Times New Roman"/>
        </w:rPr>
        <w:t>, maždaug 20 % padidėjo etinilestradiolio ekspozicija, bet levonorgestrelio farmakokinetika nepakito. Kartu su levonorgestreliu ir etinilestradioliu vartojant tikagrelor</w:t>
      </w:r>
      <w:r w:rsidR="003E518D" w:rsidRPr="00DF20DE">
        <w:rPr>
          <w:rFonts w:ascii="Times New Roman" w:eastAsia="Times New Roman" w:hAnsi="Times New Roman" w:cs="Times New Roman"/>
        </w:rPr>
        <w:t>o</w:t>
      </w:r>
      <w:r w:rsidRPr="00DF20DE">
        <w:rPr>
          <w:rFonts w:ascii="Times New Roman" w:eastAsia="Times New Roman" w:hAnsi="Times New Roman" w:cs="Times New Roman"/>
        </w:rPr>
        <w:t>, kliniškai reikšmingo poveikio geriamojo kontraceptiko veiksmingumui nereikia tikėtis.</w:t>
      </w:r>
    </w:p>
    <w:p w14:paraId="59E71C8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23EB75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Bradikardiją sukeliantys vaistiniai preparatai</w:t>
      </w:r>
    </w:p>
    <w:p w14:paraId="0B0C835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Užfiksuota skilvelių veiklos pauzių ir bradikardijos atvejų (dauguma atvejų simptomų nepasireiškė), todėl kartu su bradikardiją sukeliančiais vaistiniais preparatais tikagreloro skiriama atsargiai</w:t>
      </w:r>
    </w:p>
    <w:p w14:paraId="7A164D74" w14:textId="7C28DA73"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(žr. 4.4 skyrių). Vis dėlto PLATO tyrimo metu kartu vartojus vieną ar kelis bradikardiją sukeliančius vaistinius preparatus (pvz., 96 % pacientų vartojo beta adrenoblokatorių, 33 % – kalcio kanalų blokatorių diltiazemo ar verapamil</w:t>
      </w:r>
      <w:r w:rsidR="0023448E" w:rsidRPr="00DF20DE">
        <w:rPr>
          <w:rFonts w:ascii="Times New Roman" w:eastAsia="Times New Roman" w:hAnsi="Times New Roman" w:cs="Times New Roman"/>
        </w:rPr>
        <w:t>i</w:t>
      </w:r>
      <w:r w:rsidRPr="00DF20DE">
        <w:rPr>
          <w:rFonts w:ascii="Times New Roman" w:eastAsia="Times New Roman" w:hAnsi="Times New Roman" w:cs="Times New Roman"/>
        </w:rPr>
        <w:t>o ir 4 % – digoksino) klinikai reikšmingų nepageidaujamų reakcijų požymių nenustatyta.</w:t>
      </w:r>
    </w:p>
    <w:p w14:paraId="44A6609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3DD447A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Kiti kartu vartojami vaistiniai preparatai</w:t>
      </w:r>
    </w:p>
    <w:p w14:paraId="13CE113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Klinikinių tyrimų metu tikagreloras pagal poreikį (atsižvelgiant į pacientų ligas) dažnai būdavo ilgai vartojamas kartu su ASR, protonų siurblio inhibitoriais, statinais, beta blokatoriais, angiotenziną konvertuojančio fermento inhibitoriais (AKF) ir angiotenzino receptorių blokatoriais bei trumpai – kartu su heparinu, mažo molekulinio svorio heparinu ir intraveniniais GpIIb/IIIa inhibitoriais (žr. 5.1 skyrių). Duomenų apie kliniškai reikšmingą nepageidaujamą sąveiką su šiais vaistiniais preparatais negauta.</w:t>
      </w:r>
    </w:p>
    <w:p w14:paraId="63761C6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452C7D9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Kartu su heparinu, enoksaparinu ar desmopresinu vartotas tikagreloras neturėjo įtakos dalinio aktyvinto tromboplastino laiko (DATL), aktyvintos koaguliacijos laiko (AKL) ir Xa faktoriaus tyrimų duomenims. Vis dėlto, dėl galimos farmakodinaminės sąveikos kartu su hemostazę veikiančiais vaistiniais preparatais tikagreloro skiriama atsargiai.</w:t>
      </w:r>
    </w:p>
    <w:p w14:paraId="56DA484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0F144190" w14:textId="2ED1721A" w:rsidR="00F151B8" w:rsidRPr="00DF20DE" w:rsidRDefault="00F151B8" w:rsidP="00F151B8">
      <w:pPr>
        <w:widowControl w:val="0"/>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 xml:space="preserve">Gauta pranešimų apie kraujavimą odoje kartu vartojant </w:t>
      </w:r>
      <w:r w:rsidR="008D140F" w:rsidRPr="00DF20DE">
        <w:rPr>
          <w:rFonts w:ascii="Times New Roman" w:eastAsia="Times New Roman" w:hAnsi="Times New Roman" w:cs="Times New Roman"/>
        </w:rPr>
        <w:t>selektyvių serotonino reabsorbcijos inhibitorių (</w:t>
      </w:r>
      <w:r w:rsidRPr="00DF20DE">
        <w:rPr>
          <w:rFonts w:ascii="Times New Roman" w:eastAsia="Times New Roman" w:hAnsi="Times New Roman" w:cs="Times New Roman"/>
        </w:rPr>
        <w:t>SSRI</w:t>
      </w:r>
      <w:r w:rsidR="008D140F" w:rsidRPr="00DF20DE">
        <w:rPr>
          <w:rFonts w:ascii="Times New Roman" w:eastAsia="Times New Roman" w:hAnsi="Times New Roman" w:cs="Times New Roman"/>
        </w:rPr>
        <w:t>)</w:t>
      </w:r>
      <w:r w:rsidRPr="00DF20DE">
        <w:rPr>
          <w:rFonts w:ascii="Times New Roman" w:eastAsia="Times New Roman" w:hAnsi="Times New Roman" w:cs="Times New Roman"/>
        </w:rPr>
        <w:t xml:space="preserve"> (pvz., paroksetino, sertralino ir citalopramo), todėl SSRI kartu su tikagreloru skiriama atsargiai (gali padidėti kraujavimo pavojus).</w:t>
      </w:r>
    </w:p>
    <w:p w14:paraId="1723DC6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5CAF98A"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4.6</w:t>
      </w:r>
      <w:r w:rsidRPr="00DF20DE">
        <w:rPr>
          <w:rFonts w:ascii="Times New Roman" w:eastAsia="Times New Roman" w:hAnsi="Times New Roman" w:cs="Times New Roman"/>
          <w:b/>
          <w:bCs/>
        </w:rPr>
        <w:tab/>
        <w:t>Vaisingumas, nėštumo ir žindymo laikotarpis</w:t>
      </w:r>
    </w:p>
    <w:p w14:paraId="66D3FDB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6DB96CD5" w14:textId="77777777" w:rsidR="00F151B8" w:rsidRPr="00DF20DE" w:rsidRDefault="00F151B8" w:rsidP="00F151B8">
      <w:pPr>
        <w:widowControl w:val="0"/>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u w:val="single"/>
        </w:rPr>
        <w:t>Vaisingos moterys</w:t>
      </w:r>
    </w:p>
    <w:p w14:paraId="7D91244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Tikagrelorą vartojančios vaisingos moterys turi naudoti veiksmingą kontracepcijos metodą, kad nepastotų.</w:t>
      </w:r>
    </w:p>
    <w:p w14:paraId="4429D69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14194E9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Nėštumas</w:t>
      </w:r>
    </w:p>
    <w:p w14:paraId="29E9EA5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Duomenų apie tikagreloro vartojimą nėščioms moterims nėra arba yra nedaug.</w:t>
      </w:r>
    </w:p>
    <w:p w14:paraId="0DD0483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Su gyvūnais atlikti tyrimai parodė toksinį poveikį reprodukcijai (žr. 5.3 skyrių). Nėštumo laikotarpiu tikagreloro vartoti nerekomenduojama.</w:t>
      </w:r>
    </w:p>
    <w:p w14:paraId="0A6EADA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308094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Žindymas</w:t>
      </w:r>
    </w:p>
    <w:p w14:paraId="7658B21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Turimi su gyvūnais atliktų farmakodinamikos ir toksikologijos tyrimų duomenys rodo, kad tikagreloro ir jo aktyvių metabolitų išskiriama į pieną (žr. 5.3 skyrių). Rizikos žindomiems naujagimiui ar kūdikiui galimybės paneigti negalima. Atsižvelgiant į žindymo naudą kūdikiui ir tikagreloro vartojimo naudą moteriai reikia nuspręsti, ar atsisakyti žindymo (nutraukti žindymą), ar nevartoti tikagreloro.</w:t>
      </w:r>
    </w:p>
    <w:p w14:paraId="43B44F1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74B8E4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Vaisingumas</w:t>
      </w:r>
    </w:p>
    <w:p w14:paraId="289F3BD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Tikagreloras gyvūnų patinų ir patelių vaisingumo neveikia (žr. 5.3 skyrių).</w:t>
      </w:r>
    </w:p>
    <w:p w14:paraId="7FC6E04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B97AADD"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4.7</w:t>
      </w:r>
      <w:r w:rsidRPr="00DF20DE">
        <w:rPr>
          <w:rFonts w:ascii="Times New Roman" w:eastAsia="Times New Roman" w:hAnsi="Times New Roman" w:cs="Times New Roman"/>
          <w:b/>
          <w:bCs/>
        </w:rPr>
        <w:tab/>
        <w:t>Poveikis gebėjimui vairuoti ir valdyti mechanizmus</w:t>
      </w:r>
    </w:p>
    <w:p w14:paraId="54829F7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322BDD5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Tikagreloras gebėjimo vairuoti ir valdyti mechanizmus neveikia arba veikia nereikšmingai. Vis dėlto užfiksuota galvos svaigimo ir sumišimo atvejų vartojant tikagrelorą. Jeigu pasireikštų tokių simptomų, vairuoti ir valdyti mechanizmus reikia atsargiai.</w:t>
      </w:r>
    </w:p>
    <w:p w14:paraId="57D70EE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064560A"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4.8</w:t>
      </w:r>
      <w:r w:rsidRPr="00DF20DE">
        <w:rPr>
          <w:rFonts w:ascii="Times New Roman" w:eastAsia="Times New Roman" w:hAnsi="Times New Roman" w:cs="Times New Roman"/>
          <w:b/>
          <w:bCs/>
        </w:rPr>
        <w:tab/>
        <w:t>Nepageidaujamas poveikis</w:t>
      </w:r>
    </w:p>
    <w:p w14:paraId="5445A37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0E9CBA0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Saugumo duomenų santrauka</w:t>
      </w:r>
    </w:p>
    <w:p w14:paraId="2D98DE4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Tikagreloro saugumas vertintas atliekant 2 didelius 3 fazės vertinamųjų baigčių (PLATO ir PEGASUS) tyrimus, kuriuose dalyvavo daugiau kaip 39 000 pacientų (žr. 5.1 skyrių).</w:t>
      </w:r>
    </w:p>
    <w:p w14:paraId="5C93434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188992BA" w14:textId="58399064"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PLATO tyrimo metu tikagreloro vartojimą dėl nepageidaujamų reiškinių nutraukė daugiau pacientų, negu klopidogrelio (7,4 %, palyginti su 5,4 %). PEGASUS tyrimo metu tikagreloro vartojimą dėl nepageidaujamų reiškinių nutraukė daugiau pacientų negu </w:t>
      </w:r>
      <w:r w:rsidR="008D140F" w:rsidRPr="00DF20DE">
        <w:rPr>
          <w:rFonts w:ascii="Times New Roman" w:eastAsia="Times New Roman" w:hAnsi="Times New Roman" w:cs="Times New Roman"/>
        </w:rPr>
        <w:t xml:space="preserve">vartojusių </w:t>
      </w:r>
      <w:r w:rsidRPr="00DF20DE">
        <w:rPr>
          <w:rFonts w:ascii="Times New Roman" w:eastAsia="Times New Roman" w:hAnsi="Times New Roman" w:cs="Times New Roman"/>
        </w:rPr>
        <w:t>vien ASR (16,1 % vartojusių 60 mg tikagreloro kartu su ASR, palyginti su 8,5 % vartojusių vien ASR). Tikagrelor</w:t>
      </w:r>
      <w:r w:rsidR="008D140F"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vartojusiems pacientams dažniausiai pranešamos nepageidaujamos reakcijos buvo kraujavimas ir dusulys (žr. 4.4 skyrių).</w:t>
      </w:r>
    </w:p>
    <w:p w14:paraId="70CEB46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4EC7EA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Nepageidaujamų reakcijų santrauka lentelėje</w:t>
      </w:r>
    </w:p>
    <w:p w14:paraId="3FC4C55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Toliau (1 lentelėje) išvardytos nepageidaujamos reakcijos, nustatytos tikagreloro tyrimų metu arba iš pranešimų, gautų tikagrelorą pateikus į rinką.</w:t>
      </w:r>
    </w:p>
    <w:p w14:paraId="7AD32BD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1245A868" w14:textId="429B56F8"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Nepageidaujamos reakcijos yra išvardytos pagal MedDRA organų sistemų klases. Kiekvienos organų sistemų klasės nepageidaujamų reakcijų atvejai suklasifikuoti į dažnio kategorijas. </w:t>
      </w:r>
      <w:r w:rsidR="0023448E" w:rsidRPr="00DF20DE">
        <w:rPr>
          <w:rFonts w:ascii="Times New Roman" w:eastAsia="Times New Roman" w:hAnsi="Times New Roman" w:cs="Times New Roman"/>
          <w:snapToGrid w:val="0"/>
        </w:rPr>
        <w:t xml:space="preserve">Nepageidaujamo poveikio </w:t>
      </w:r>
      <w:r w:rsidR="0023448E" w:rsidRPr="00DF20DE">
        <w:rPr>
          <w:rFonts w:ascii="Times New Roman" w:eastAsia="Times New Roman" w:hAnsi="Times New Roman" w:cs="Times New Roman"/>
          <w:snapToGrid w:val="0"/>
          <w:szCs w:val="20"/>
        </w:rPr>
        <w:t>dažnis apibūdinamas taip</w:t>
      </w:r>
      <w:r w:rsidRPr="00DF20DE">
        <w:rPr>
          <w:rFonts w:ascii="Times New Roman" w:eastAsia="Times New Roman" w:hAnsi="Times New Roman" w:cs="Times New Roman"/>
        </w:rPr>
        <w:t>: labai dažnas (≥ 1/10), dažnas nuo (≥ 1/100 iki &lt; 1/10), nedažnas (nuo ≥ 1/1</w:t>
      </w:r>
      <w:r w:rsidR="0023448E" w:rsidRPr="00DF20DE">
        <w:rPr>
          <w:rFonts w:ascii="Times New Roman" w:eastAsia="Times New Roman" w:hAnsi="Times New Roman" w:cs="Times New Roman"/>
        </w:rPr>
        <w:t> </w:t>
      </w:r>
      <w:r w:rsidRPr="00DF20DE">
        <w:rPr>
          <w:rFonts w:ascii="Times New Roman" w:eastAsia="Times New Roman" w:hAnsi="Times New Roman" w:cs="Times New Roman"/>
        </w:rPr>
        <w:t>000 iki &lt; 1/100), retas (nuo ≥ 1/10</w:t>
      </w:r>
      <w:r w:rsidR="0023448E" w:rsidRPr="00DF20DE">
        <w:rPr>
          <w:rFonts w:ascii="Times New Roman" w:eastAsia="Times New Roman" w:hAnsi="Times New Roman" w:cs="Times New Roman"/>
        </w:rPr>
        <w:t> </w:t>
      </w:r>
      <w:r w:rsidRPr="00DF20DE">
        <w:rPr>
          <w:rFonts w:ascii="Times New Roman" w:eastAsia="Times New Roman" w:hAnsi="Times New Roman" w:cs="Times New Roman"/>
        </w:rPr>
        <w:t>000 iki &lt; 1/1</w:t>
      </w:r>
      <w:r w:rsidR="00A3525D" w:rsidRPr="00DF20DE">
        <w:rPr>
          <w:rFonts w:ascii="Times New Roman" w:eastAsia="Times New Roman" w:hAnsi="Times New Roman" w:cs="Times New Roman"/>
        </w:rPr>
        <w:t> </w:t>
      </w:r>
      <w:r w:rsidRPr="00DF20DE">
        <w:rPr>
          <w:rFonts w:ascii="Times New Roman" w:eastAsia="Times New Roman" w:hAnsi="Times New Roman" w:cs="Times New Roman"/>
        </w:rPr>
        <w:t>000), labai retas (&lt;</w:t>
      </w:r>
      <w:r w:rsidR="0023448E" w:rsidRPr="00DF20DE">
        <w:rPr>
          <w:rFonts w:ascii="Times New Roman" w:eastAsia="Times New Roman" w:hAnsi="Times New Roman" w:cs="Times New Roman"/>
        </w:rPr>
        <w:t> </w:t>
      </w:r>
      <w:r w:rsidRPr="00DF20DE">
        <w:rPr>
          <w:rFonts w:ascii="Times New Roman" w:eastAsia="Times New Roman" w:hAnsi="Times New Roman" w:cs="Times New Roman"/>
        </w:rPr>
        <w:t>1/10</w:t>
      </w:r>
      <w:r w:rsidR="0023448E" w:rsidRPr="00DF20DE">
        <w:rPr>
          <w:rFonts w:ascii="Times New Roman" w:eastAsia="Times New Roman" w:hAnsi="Times New Roman" w:cs="Times New Roman"/>
        </w:rPr>
        <w:t> </w:t>
      </w:r>
      <w:r w:rsidRPr="00DF20DE">
        <w:rPr>
          <w:rFonts w:ascii="Times New Roman" w:eastAsia="Times New Roman" w:hAnsi="Times New Roman" w:cs="Times New Roman"/>
        </w:rPr>
        <w:t>000), nežinomas (negali būti apskaičiuotas pagal turimus duomenis).</w:t>
      </w:r>
    </w:p>
    <w:p w14:paraId="155A546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564DD37" w14:textId="6E0FA303" w:rsidR="00F151B8" w:rsidRPr="00DF20DE" w:rsidRDefault="00F151B8" w:rsidP="00F151B8">
      <w:pPr>
        <w:widowControl w:val="0"/>
        <w:tabs>
          <w:tab w:val="left" w:pos="382"/>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1 lentelė. Nepageidaujamos reakcijos pagal dažnį ir organų sistemų klases</w:t>
      </w:r>
      <w:r w:rsidR="0023448E" w:rsidRPr="00DF20DE">
        <w:rPr>
          <w:rFonts w:ascii="Times New Roman" w:eastAsia="Times New Roman" w:hAnsi="Times New Roman" w:cs="Times New Roman"/>
          <w:b/>
          <w:bCs/>
        </w:rPr>
        <w:t xml:space="preserve"> (OSK)</w:t>
      </w:r>
    </w:p>
    <w:p w14:paraId="4987731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p>
    <w:tbl>
      <w:tblPr>
        <w:tblW w:w="90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2"/>
        <w:gridCol w:w="1680"/>
        <w:gridCol w:w="1732"/>
        <w:gridCol w:w="1641"/>
        <w:gridCol w:w="1914"/>
      </w:tblGrid>
      <w:tr w:rsidR="00F151B8" w:rsidRPr="00DF20DE" w14:paraId="3F29FC89" w14:textId="77777777" w:rsidTr="005D637C">
        <w:trPr>
          <w:trHeight w:val="508"/>
          <w:tblHeader/>
        </w:trPr>
        <w:tc>
          <w:tcPr>
            <w:tcW w:w="2042" w:type="dxa"/>
          </w:tcPr>
          <w:p w14:paraId="6C578A67" w14:textId="6A70A363" w:rsidR="00F151B8" w:rsidRPr="00DF20DE" w:rsidRDefault="00955FC5" w:rsidP="00F151B8">
            <w:pPr>
              <w:widowControl w:val="0"/>
              <w:autoSpaceDE w:val="0"/>
              <w:autoSpaceDN w:val="0"/>
              <w:spacing w:after="0" w:line="240" w:lineRule="auto"/>
              <w:ind w:left="75" w:right="51"/>
              <w:rPr>
                <w:rFonts w:ascii="Times New Roman" w:eastAsia="Times New Roman" w:hAnsi="Times New Roman" w:cs="Times New Roman"/>
                <w:b/>
              </w:rPr>
            </w:pPr>
            <w:r w:rsidRPr="00DF20DE">
              <w:rPr>
                <w:rFonts w:ascii="Times New Roman" w:eastAsia="Times New Roman" w:hAnsi="Times New Roman" w:cs="Times New Roman"/>
                <w:b/>
              </w:rPr>
              <w:t>OSK</w:t>
            </w:r>
          </w:p>
        </w:tc>
        <w:tc>
          <w:tcPr>
            <w:tcW w:w="1680" w:type="dxa"/>
          </w:tcPr>
          <w:p w14:paraId="75658913" w14:textId="77777777" w:rsidR="00F151B8" w:rsidRPr="00DF20DE" w:rsidRDefault="00F151B8" w:rsidP="00F151B8">
            <w:pPr>
              <w:widowControl w:val="0"/>
              <w:autoSpaceDE w:val="0"/>
              <w:autoSpaceDN w:val="0"/>
              <w:spacing w:after="0" w:line="240" w:lineRule="auto"/>
              <w:ind w:left="129"/>
              <w:jc w:val="center"/>
              <w:rPr>
                <w:rFonts w:ascii="Times New Roman" w:eastAsia="Times New Roman" w:hAnsi="Times New Roman" w:cs="Times New Roman"/>
                <w:b/>
              </w:rPr>
            </w:pPr>
            <w:r w:rsidRPr="00DF20DE">
              <w:rPr>
                <w:rFonts w:ascii="Times New Roman" w:eastAsia="Times New Roman" w:hAnsi="Times New Roman" w:cs="Times New Roman"/>
                <w:b/>
              </w:rPr>
              <w:t>Labai dažnas</w:t>
            </w:r>
          </w:p>
        </w:tc>
        <w:tc>
          <w:tcPr>
            <w:tcW w:w="1732" w:type="dxa"/>
          </w:tcPr>
          <w:p w14:paraId="5348A140" w14:textId="77777777" w:rsidR="00F151B8" w:rsidRPr="00DF20DE" w:rsidRDefault="00F151B8" w:rsidP="00F151B8">
            <w:pPr>
              <w:widowControl w:val="0"/>
              <w:autoSpaceDE w:val="0"/>
              <w:autoSpaceDN w:val="0"/>
              <w:spacing w:after="0" w:line="240" w:lineRule="auto"/>
              <w:ind w:left="90" w:right="90"/>
              <w:jc w:val="center"/>
              <w:rPr>
                <w:rFonts w:ascii="Times New Roman" w:eastAsia="Times New Roman" w:hAnsi="Times New Roman" w:cs="Times New Roman"/>
                <w:b/>
              </w:rPr>
            </w:pPr>
            <w:r w:rsidRPr="00DF20DE">
              <w:rPr>
                <w:rFonts w:ascii="Times New Roman" w:eastAsia="Times New Roman" w:hAnsi="Times New Roman" w:cs="Times New Roman"/>
                <w:b/>
              </w:rPr>
              <w:t>Dažnas</w:t>
            </w:r>
          </w:p>
        </w:tc>
        <w:tc>
          <w:tcPr>
            <w:tcW w:w="1641" w:type="dxa"/>
          </w:tcPr>
          <w:p w14:paraId="245EFE20" w14:textId="77777777" w:rsidR="00F151B8" w:rsidRPr="00DF20DE" w:rsidRDefault="00F151B8" w:rsidP="00F151B8">
            <w:pPr>
              <w:widowControl w:val="0"/>
              <w:autoSpaceDE w:val="0"/>
              <w:autoSpaceDN w:val="0"/>
              <w:spacing w:after="0" w:line="240" w:lineRule="auto"/>
              <w:ind w:left="90" w:right="90"/>
              <w:jc w:val="center"/>
              <w:rPr>
                <w:rFonts w:ascii="Times New Roman" w:eastAsia="Times New Roman" w:hAnsi="Times New Roman" w:cs="Times New Roman"/>
                <w:b/>
              </w:rPr>
            </w:pPr>
            <w:r w:rsidRPr="00DF20DE">
              <w:rPr>
                <w:rFonts w:ascii="Times New Roman" w:eastAsia="Times New Roman" w:hAnsi="Times New Roman" w:cs="Times New Roman"/>
                <w:b/>
              </w:rPr>
              <w:t>Nedažnas</w:t>
            </w:r>
          </w:p>
        </w:tc>
        <w:tc>
          <w:tcPr>
            <w:tcW w:w="1914" w:type="dxa"/>
          </w:tcPr>
          <w:p w14:paraId="6B47DE59" w14:textId="77777777" w:rsidR="00F151B8" w:rsidRPr="00DF20DE" w:rsidRDefault="00F151B8" w:rsidP="00F151B8">
            <w:pPr>
              <w:widowControl w:val="0"/>
              <w:autoSpaceDE w:val="0"/>
              <w:autoSpaceDN w:val="0"/>
              <w:spacing w:after="0" w:line="240" w:lineRule="auto"/>
              <w:ind w:left="90" w:right="90"/>
              <w:jc w:val="center"/>
              <w:rPr>
                <w:rFonts w:ascii="Times New Roman" w:eastAsia="Times New Roman" w:hAnsi="Times New Roman" w:cs="Times New Roman"/>
                <w:b/>
              </w:rPr>
            </w:pPr>
            <w:r w:rsidRPr="00DF20DE">
              <w:rPr>
                <w:rFonts w:ascii="Times New Roman" w:eastAsia="Times New Roman" w:hAnsi="Times New Roman" w:cs="Times New Roman"/>
                <w:b/>
              </w:rPr>
              <w:t>Dažnis nežinomas</w:t>
            </w:r>
          </w:p>
        </w:tc>
      </w:tr>
      <w:tr w:rsidR="00F151B8" w:rsidRPr="00DF20DE" w14:paraId="1BAF4489" w14:textId="77777777" w:rsidTr="005D637C">
        <w:trPr>
          <w:trHeight w:val="1282"/>
        </w:trPr>
        <w:tc>
          <w:tcPr>
            <w:tcW w:w="2042" w:type="dxa"/>
          </w:tcPr>
          <w:p w14:paraId="48C9E584"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Gerybiniai, piktybiniai ir nepatikslinti navikai (tarp jų cistos ir polipai)</w:t>
            </w:r>
          </w:p>
        </w:tc>
        <w:tc>
          <w:tcPr>
            <w:tcW w:w="1680" w:type="dxa"/>
          </w:tcPr>
          <w:p w14:paraId="0476D951"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rPr>
            </w:pPr>
          </w:p>
        </w:tc>
        <w:tc>
          <w:tcPr>
            <w:tcW w:w="1732" w:type="dxa"/>
          </w:tcPr>
          <w:p w14:paraId="5E7B9C2A"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p>
        </w:tc>
        <w:tc>
          <w:tcPr>
            <w:tcW w:w="1641" w:type="dxa"/>
          </w:tcPr>
          <w:p w14:paraId="4722E9C0" w14:textId="7E390D2A"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Kraujavimai iš naviko</w:t>
            </w:r>
            <w:r w:rsidRPr="00DF20DE">
              <w:rPr>
                <w:rFonts w:ascii="Times New Roman" w:eastAsia="Times New Roman" w:hAnsi="Times New Roman" w:cs="Times New Roman"/>
                <w:vertAlign w:val="superscript"/>
              </w:rPr>
              <w:t>a</w:t>
            </w:r>
          </w:p>
        </w:tc>
        <w:tc>
          <w:tcPr>
            <w:tcW w:w="1914" w:type="dxa"/>
          </w:tcPr>
          <w:p w14:paraId="216E3335"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p>
        </w:tc>
      </w:tr>
      <w:tr w:rsidR="00F151B8" w:rsidRPr="00DF20DE" w14:paraId="1371B0A3" w14:textId="77777777" w:rsidTr="005D637C">
        <w:trPr>
          <w:trHeight w:val="757"/>
        </w:trPr>
        <w:tc>
          <w:tcPr>
            <w:tcW w:w="2042" w:type="dxa"/>
          </w:tcPr>
          <w:p w14:paraId="2DE4EBCD"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Kraujo ir limfinės sistemos sutrikimai</w:t>
            </w:r>
          </w:p>
        </w:tc>
        <w:tc>
          <w:tcPr>
            <w:tcW w:w="1680" w:type="dxa"/>
          </w:tcPr>
          <w:p w14:paraId="4236DB82" w14:textId="6DBAFC4A"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rPr>
            </w:pPr>
            <w:r w:rsidRPr="00DF20DE">
              <w:rPr>
                <w:rFonts w:ascii="Times New Roman" w:eastAsia="Times New Roman" w:hAnsi="Times New Roman" w:cs="Times New Roman"/>
              </w:rPr>
              <w:t>Kraujo sutrikimai, kraujavimas</w:t>
            </w:r>
            <w:r w:rsidRPr="00DF20DE">
              <w:rPr>
                <w:rFonts w:ascii="Times New Roman" w:eastAsia="Times New Roman" w:hAnsi="Times New Roman" w:cs="Times New Roman"/>
                <w:vertAlign w:val="superscript"/>
              </w:rPr>
              <w:t>b</w:t>
            </w:r>
          </w:p>
        </w:tc>
        <w:tc>
          <w:tcPr>
            <w:tcW w:w="1732" w:type="dxa"/>
          </w:tcPr>
          <w:p w14:paraId="4D8FE15E"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641" w:type="dxa"/>
          </w:tcPr>
          <w:p w14:paraId="23C5B681"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914" w:type="dxa"/>
          </w:tcPr>
          <w:p w14:paraId="72F74728" w14:textId="396DA2C9"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Trombinė trombocitopeninė purpura</w:t>
            </w:r>
            <w:r w:rsidRPr="00DF20DE">
              <w:rPr>
                <w:rFonts w:ascii="Times New Roman" w:eastAsia="Times New Roman" w:hAnsi="Times New Roman" w:cs="Times New Roman"/>
                <w:vertAlign w:val="superscript"/>
              </w:rPr>
              <w:t>c</w:t>
            </w:r>
          </w:p>
        </w:tc>
      </w:tr>
      <w:tr w:rsidR="00F151B8" w:rsidRPr="00DF20DE" w14:paraId="02A371C2" w14:textId="77777777" w:rsidTr="005D637C">
        <w:trPr>
          <w:trHeight w:val="757"/>
        </w:trPr>
        <w:tc>
          <w:tcPr>
            <w:tcW w:w="2042" w:type="dxa"/>
          </w:tcPr>
          <w:p w14:paraId="0B920E4C"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Imuninės sistemos sutrikimai</w:t>
            </w:r>
          </w:p>
        </w:tc>
        <w:tc>
          <w:tcPr>
            <w:tcW w:w="1680" w:type="dxa"/>
          </w:tcPr>
          <w:p w14:paraId="7D3B2C1C"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32" w:type="dxa"/>
          </w:tcPr>
          <w:p w14:paraId="62181858"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641" w:type="dxa"/>
          </w:tcPr>
          <w:p w14:paraId="516AD0A5" w14:textId="3E0AD542"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Padidėjęs jautrumas, įskaitant angioneurozinę edemą</w:t>
            </w:r>
            <w:r w:rsidRPr="00DF20DE">
              <w:rPr>
                <w:rFonts w:ascii="Times New Roman" w:eastAsia="Times New Roman" w:hAnsi="Times New Roman" w:cs="Times New Roman"/>
                <w:vertAlign w:val="superscript"/>
              </w:rPr>
              <w:t>c</w:t>
            </w:r>
          </w:p>
        </w:tc>
        <w:tc>
          <w:tcPr>
            <w:tcW w:w="1914" w:type="dxa"/>
          </w:tcPr>
          <w:p w14:paraId="09D31A45"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740FF991" w14:textId="77777777" w:rsidTr="005D637C">
        <w:trPr>
          <w:trHeight w:val="681"/>
        </w:trPr>
        <w:tc>
          <w:tcPr>
            <w:tcW w:w="2042" w:type="dxa"/>
          </w:tcPr>
          <w:p w14:paraId="534FC4CA"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Metabolizmo ir mitybos sutrikimai</w:t>
            </w:r>
          </w:p>
        </w:tc>
        <w:tc>
          <w:tcPr>
            <w:tcW w:w="1680" w:type="dxa"/>
          </w:tcPr>
          <w:p w14:paraId="363D64C2" w14:textId="40A40F75"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rPr>
            </w:pPr>
            <w:r w:rsidRPr="00DF20DE">
              <w:rPr>
                <w:rFonts w:ascii="Times New Roman" w:eastAsia="Times New Roman" w:hAnsi="Times New Roman" w:cs="Times New Roman"/>
              </w:rPr>
              <w:t>Hiperurikemija</w:t>
            </w:r>
            <w:r w:rsidRPr="00DF20DE">
              <w:rPr>
                <w:rFonts w:ascii="Times New Roman" w:eastAsia="Times New Roman" w:hAnsi="Times New Roman" w:cs="Times New Roman"/>
                <w:vertAlign w:val="superscript"/>
              </w:rPr>
              <w:t>d</w:t>
            </w:r>
          </w:p>
        </w:tc>
        <w:tc>
          <w:tcPr>
            <w:tcW w:w="1732" w:type="dxa"/>
          </w:tcPr>
          <w:p w14:paraId="6C4F3C1E"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Podagra ar podagrinis artritas</w:t>
            </w:r>
          </w:p>
        </w:tc>
        <w:tc>
          <w:tcPr>
            <w:tcW w:w="1641" w:type="dxa"/>
          </w:tcPr>
          <w:p w14:paraId="36C23C57"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914" w:type="dxa"/>
          </w:tcPr>
          <w:p w14:paraId="5491AFBE"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6CE74AD1" w14:textId="77777777" w:rsidTr="005D637C">
        <w:trPr>
          <w:trHeight w:val="681"/>
        </w:trPr>
        <w:tc>
          <w:tcPr>
            <w:tcW w:w="2042" w:type="dxa"/>
          </w:tcPr>
          <w:p w14:paraId="23E61EF2"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Psichikos sutrikimai</w:t>
            </w:r>
          </w:p>
        </w:tc>
        <w:tc>
          <w:tcPr>
            <w:tcW w:w="1680" w:type="dxa"/>
          </w:tcPr>
          <w:p w14:paraId="4E3DF9B6"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32" w:type="dxa"/>
          </w:tcPr>
          <w:p w14:paraId="3AA1A61E"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641" w:type="dxa"/>
          </w:tcPr>
          <w:p w14:paraId="666E8F0F"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Sumišimas</w:t>
            </w:r>
          </w:p>
        </w:tc>
        <w:tc>
          <w:tcPr>
            <w:tcW w:w="1914" w:type="dxa"/>
          </w:tcPr>
          <w:p w14:paraId="3A731B33"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1E7DEA46" w14:textId="77777777" w:rsidTr="005D637C">
        <w:trPr>
          <w:trHeight w:val="758"/>
        </w:trPr>
        <w:tc>
          <w:tcPr>
            <w:tcW w:w="2042" w:type="dxa"/>
          </w:tcPr>
          <w:p w14:paraId="002E2539"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Nervų sistemos sutrikimai</w:t>
            </w:r>
          </w:p>
        </w:tc>
        <w:tc>
          <w:tcPr>
            <w:tcW w:w="1680" w:type="dxa"/>
          </w:tcPr>
          <w:p w14:paraId="0556A166"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32" w:type="dxa"/>
          </w:tcPr>
          <w:p w14:paraId="677A878B"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Svaigulys, sinkopė, galvos skausmas</w:t>
            </w:r>
          </w:p>
        </w:tc>
        <w:tc>
          <w:tcPr>
            <w:tcW w:w="1641" w:type="dxa"/>
          </w:tcPr>
          <w:p w14:paraId="62AEBE44" w14:textId="70F1C41B"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Intrakranijinis kraujavimas</w:t>
            </w:r>
            <w:r w:rsidR="00955FC5" w:rsidRPr="00DF20DE">
              <w:rPr>
                <w:rFonts w:ascii="Times New Roman" w:eastAsia="Times New Roman" w:hAnsi="Times New Roman" w:cs="Times New Roman"/>
                <w:vertAlign w:val="superscript"/>
              </w:rPr>
              <w:t>m</w:t>
            </w:r>
          </w:p>
        </w:tc>
        <w:tc>
          <w:tcPr>
            <w:tcW w:w="1914" w:type="dxa"/>
          </w:tcPr>
          <w:p w14:paraId="64C6176F"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3F6C92BC" w14:textId="77777777" w:rsidTr="005D637C">
        <w:trPr>
          <w:trHeight w:val="681"/>
        </w:trPr>
        <w:tc>
          <w:tcPr>
            <w:tcW w:w="2042" w:type="dxa"/>
          </w:tcPr>
          <w:p w14:paraId="5F9136F3"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Akių sutrikimai</w:t>
            </w:r>
          </w:p>
        </w:tc>
        <w:tc>
          <w:tcPr>
            <w:tcW w:w="1680" w:type="dxa"/>
          </w:tcPr>
          <w:p w14:paraId="60F5F8F8"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32" w:type="dxa"/>
          </w:tcPr>
          <w:p w14:paraId="575D2320"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641" w:type="dxa"/>
          </w:tcPr>
          <w:p w14:paraId="2B196515" w14:textId="7DB6EB9E"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Kraujosruva akyje</w:t>
            </w:r>
            <w:r w:rsidRPr="00DF20DE">
              <w:rPr>
                <w:rFonts w:ascii="Times New Roman" w:eastAsia="Times New Roman" w:hAnsi="Times New Roman" w:cs="Times New Roman"/>
                <w:vertAlign w:val="superscript"/>
              </w:rPr>
              <w:t>e</w:t>
            </w:r>
          </w:p>
        </w:tc>
        <w:tc>
          <w:tcPr>
            <w:tcW w:w="1914" w:type="dxa"/>
          </w:tcPr>
          <w:p w14:paraId="0847A409"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5D65D7C6" w14:textId="77777777" w:rsidTr="005D637C">
        <w:trPr>
          <w:trHeight w:val="676"/>
        </w:trPr>
        <w:tc>
          <w:tcPr>
            <w:tcW w:w="2042" w:type="dxa"/>
          </w:tcPr>
          <w:p w14:paraId="4346093E"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lastRenderedPageBreak/>
              <w:t>Ausų ir labirintų sutrikimai</w:t>
            </w:r>
          </w:p>
        </w:tc>
        <w:tc>
          <w:tcPr>
            <w:tcW w:w="1680" w:type="dxa"/>
          </w:tcPr>
          <w:p w14:paraId="70DD6C48"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32" w:type="dxa"/>
          </w:tcPr>
          <w:p w14:paraId="79900169"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Svaigimas (</w:t>
            </w:r>
            <w:r w:rsidRPr="00DF20DE">
              <w:rPr>
                <w:rFonts w:ascii="Times New Roman" w:eastAsia="Times New Roman" w:hAnsi="Times New Roman" w:cs="Times New Roman"/>
                <w:i/>
                <w:iCs/>
              </w:rPr>
              <w:t>vertigo</w:t>
            </w:r>
            <w:r w:rsidRPr="00DF20DE">
              <w:rPr>
                <w:rFonts w:ascii="Times New Roman" w:eastAsia="Times New Roman" w:hAnsi="Times New Roman" w:cs="Times New Roman"/>
              </w:rPr>
              <w:t>)</w:t>
            </w:r>
          </w:p>
        </w:tc>
        <w:tc>
          <w:tcPr>
            <w:tcW w:w="1641" w:type="dxa"/>
          </w:tcPr>
          <w:p w14:paraId="249311B5"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Kraujavimas iš ausies</w:t>
            </w:r>
          </w:p>
        </w:tc>
        <w:tc>
          <w:tcPr>
            <w:tcW w:w="1914" w:type="dxa"/>
          </w:tcPr>
          <w:p w14:paraId="391B0A45"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A3525D" w:rsidRPr="00DF20DE" w14:paraId="064FA873" w14:textId="77777777" w:rsidTr="005D637C">
        <w:trPr>
          <w:trHeight w:val="681"/>
        </w:trPr>
        <w:tc>
          <w:tcPr>
            <w:tcW w:w="2042" w:type="dxa"/>
          </w:tcPr>
          <w:p w14:paraId="53A35260" w14:textId="08ED6079" w:rsidR="00A3525D" w:rsidRPr="00DF20DE" w:rsidRDefault="00A3525D"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Širdies susitraukimai</w:t>
            </w:r>
          </w:p>
        </w:tc>
        <w:tc>
          <w:tcPr>
            <w:tcW w:w="1680" w:type="dxa"/>
          </w:tcPr>
          <w:p w14:paraId="3B9C0704" w14:textId="77777777" w:rsidR="00A3525D" w:rsidRPr="00DF20DE" w:rsidRDefault="00A3525D"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32" w:type="dxa"/>
          </w:tcPr>
          <w:p w14:paraId="6BC5EBA2" w14:textId="77777777" w:rsidR="00A3525D" w:rsidRPr="00DF20DE" w:rsidRDefault="00A3525D" w:rsidP="00F151B8">
            <w:pPr>
              <w:widowControl w:val="0"/>
              <w:autoSpaceDE w:val="0"/>
              <w:autoSpaceDN w:val="0"/>
              <w:spacing w:after="0" w:line="240" w:lineRule="auto"/>
              <w:ind w:left="90" w:right="90"/>
              <w:rPr>
                <w:rFonts w:ascii="Times New Roman" w:eastAsia="Times New Roman" w:hAnsi="Times New Roman" w:cs="Times New Roman"/>
              </w:rPr>
            </w:pPr>
          </w:p>
        </w:tc>
        <w:tc>
          <w:tcPr>
            <w:tcW w:w="1641" w:type="dxa"/>
          </w:tcPr>
          <w:p w14:paraId="22ED951F" w14:textId="77777777" w:rsidR="00A3525D" w:rsidRPr="00DF20DE" w:rsidRDefault="00A3525D"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914" w:type="dxa"/>
          </w:tcPr>
          <w:p w14:paraId="0F7E9610" w14:textId="3369DCF4" w:rsidR="00A3525D" w:rsidRPr="00DF20DE" w:rsidRDefault="00A3525D" w:rsidP="00F151B8">
            <w:pPr>
              <w:widowControl w:val="0"/>
              <w:autoSpaceDE w:val="0"/>
              <w:autoSpaceDN w:val="0"/>
              <w:spacing w:after="0" w:line="240" w:lineRule="auto"/>
              <w:ind w:left="90" w:right="90"/>
              <w:rPr>
                <w:rFonts w:ascii="Times New Roman" w:eastAsia="Times New Roman" w:hAnsi="Times New Roman" w:cs="Times New Roman"/>
                <w:sz w:val="20"/>
              </w:rPr>
            </w:pPr>
            <w:r w:rsidRPr="00DF20DE">
              <w:rPr>
                <w:rFonts w:ascii="Times New Roman" w:eastAsia="Times New Roman" w:hAnsi="Times New Roman" w:cs="Times New Roman"/>
                <w:sz w:val="20"/>
              </w:rPr>
              <w:t>Bradiaritmija, AV blokada</w:t>
            </w:r>
            <w:r w:rsidRPr="00DF20DE">
              <w:rPr>
                <w:rFonts w:ascii="Times New Roman" w:eastAsia="Times New Roman" w:hAnsi="Times New Roman" w:cs="Times New Roman"/>
                <w:vertAlign w:val="superscript"/>
              </w:rPr>
              <w:t>c</w:t>
            </w:r>
          </w:p>
        </w:tc>
      </w:tr>
      <w:tr w:rsidR="00F151B8" w:rsidRPr="00DF20DE" w14:paraId="38EDEAF1" w14:textId="77777777" w:rsidTr="005D637C">
        <w:trPr>
          <w:trHeight w:val="681"/>
        </w:trPr>
        <w:tc>
          <w:tcPr>
            <w:tcW w:w="2042" w:type="dxa"/>
          </w:tcPr>
          <w:p w14:paraId="2713B78C"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Kraujagyslių sutrikimai</w:t>
            </w:r>
          </w:p>
        </w:tc>
        <w:tc>
          <w:tcPr>
            <w:tcW w:w="1680" w:type="dxa"/>
          </w:tcPr>
          <w:p w14:paraId="3A754FED"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32" w:type="dxa"/>
          </w:tcPr>
          <w:p w14:paraId="4187F750"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Hipotenzija</w:t>
            </w:r>
          </w:p>
        </w:tc>
        <w:tc>
          <w:tcPr>
            <w:tcW w:w="1641" w:type="dxa"/>
          </w:tcPr>
          <w:p w14:paraId="18278517"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914" w:type="dxa"/>
          </w:tcPr>
          <w:p w14:paraId="3F2992B4"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256D252D" w14:textId="77777777" w:rsidTr="005D637C">
        <w:trPr>
          <w:trHeight w:val="1266"/>
        </w:trPr>
        <w:tc>
          <w:tcPr>
            <w:tcW w:w="2042" w:type="dxa"/>
          </w:tcPr>
          <w:p w14:paraId="1A5AFA71"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Kvėpavimo sistemos, krūtinės ląstos ir tarpuplaučio</w:t>
            </w:r>
          </w:p>
          <w:p w14:paraId="2F468131"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sutrikimai</w:t>
            </w:r>
          </w:p>
        </w:tc>
        <w:tc>
          <w:tcPr>
            <w:tcW w:w="1680" w:type="dxa"/>
          </w:tcPr>
          <w:p w14:paraId="3ED6FADC"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rPr>
            </w:pPr>
            <w:r w:rsidRPr="00DF20DE">
              <w:rPr>
                <w:rFonts w:ascii="Times New Roman" w:eastAsia="Times New Roman" w:hAnsi="Times New Roman" w:cs="Times New Roman"/>
              </w:rPr>
              <w:t>Dusulys</w:t>
            </w:r>
          </w:p>
        </w:tc>
        <w:tc>
          <w:tcPr>
            <w:tcW w:w="1732" w:type="dxa"/>
          </w:tcPr>
          <w:p w14:paraId="58629D64" w14:textId="6D7A03AF"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Kraujavimai kvėpavimo sistemoje</w:t>
            </w:r>
            <w:r w:rsidRPr="00DF20DE">
              <w:rPr>
                <w:rFonts w:ascii="Times New Roman" w:eastAsia="Times New Roman" w:hAnsi="Times New Roman" w:cs="Times New Roman"/>
                <w:vertAlign w:val="superscript"/>
              </w:rPr>
              <w:t>f</w:t>
            </w:r>
          </w:p>
        </w:tc>
        <w:tc>
          <w:tcPr>
            <w:tcW w:w="1641" w:type="dxa"/>
          </w:tcPr>
          <w:p w14:paraId="5A3CEC81"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914" w:type="dxa"/>
          </w:tcPr>
          <w:p w14:paraId="6E49EF45"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565AC173" w14:textId="77777777" w:rsidTr="005D637C">
        <w:trPr>
          <w:trHeight w:val="1770"/>
        </w:trPr>
        <w:tc>
          <w:tcPr>
            <w:tcW w:w="2042" w:type="dxa"/>
          </w:tcPr>
          <w:p w14:paraId="6737F39B"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Virškinimo trakto sutrikimai</w:t>
            </w:r>
          </w:p>
        </w:tc>
        <w:tc>
          <w:tcPr>
            <w:tcW w:w="1680" w:type="dxa"/>
          </w:tcPr>
          <w:p w14:paraId="68896D5A"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32" w:type="dxa"/>
          </w:tcPr>
          <w:p w14:paraId="7B35130C" w14:textId="7CEC3101"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Kraujavimas iš virškinimo trakto</w:t>
            </w:r>
            <w:r w:rsidRPr="00DF20DE">
              <w:rPr>
                <w:rFonts w:ascii="Times New Roman" w:eastAsia="Times New Roman" w:hAnsi="Times New Roman" w:cs="Times New Roman"/>
                <w:vertAlign w:val="superscript"/>
              </w:rPr>
              <w:t>g</w:t>
            </w:r>
            <w:r w:rsidRPr="00DF20DE">
              <w:rPr>
                <w:rFonts w:ascii="Times New Roman" w:eastAsia="Times New Roman" w:hAnsi="Times New Roman" w:cs="Times New Roman"/>
              </w:rPr>
              <w:t>, viduriavimas, pykinimas, nevirškinimas, vidurių</w:t>
            </w:r>
          </w:p>
          <w:p w14:paraId="3E28AF24"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užkietėjimas</w:t>
            </w:r>
          </w:p>
        </w:tc>
        <w:tc>
          <w:tcPr>
            <w:tcW w:w="1641" w:type="dxa"/>
          </w:tcPr>
          <w:p w14:paraId="39D3D49E"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Retroperitoninis kraujavimas</w:t>
            </w:r>
          </w:p>
        </w:tc>
        <w:tc>
          <w:tcPr>
            <w:tcW w:w="1914" w:type="dxa"/>
          </w:tcPr>
          <w:p w14:paraId="0E907164"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659EC8AF" w14:textId="77777777" w:rsidTr="005D637C">
        <w:trPr>
          <w:trHeight w:val="1012"/>
        </w:trPr>
        <w:tc>
          <w:tcPr>
            <w:tcW w:w="2042" w:type="dxa"/>
          </w:tcPr>
          <w:p w14:paraId="72BC347D"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Odos ir poodinio audinio sutrikimai</w:t>
            </w:r>
          </w:p>
        </w:tc>
        <w:tc>
          <w:tcPr>
            <w:tcW w:w="1680" w:type="dxa"/>
          </w:tcPr>
          <w:p w14:paraId="393685D6"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32" w:type="dxa"/>
          </w:tcPr>
          <w:p w14:paraId="7BB94844" w14:textId="0C20EAE1"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Poodinis arba dermos kraujavimas</w:t>
            </w:r>
            <w:r w:rsidRPr="00DF20DE">
              <w:rPr>
                <w:rFonts w:ascii="Times New Roman" w:eastAsia="Times New Roman" w:hAnsi="Times New Roman" w:cs="Times New Roman"/>
                <w:vertAlign w:val="superscript"/>
              </w:rPr>
              <w:t>h</w:t>
            </w:r>
            <w:r w:rsidRPr="00DF20DE">
              <w:rPr>
                <w:rFonts w:ascii="Times New Roman" w:eastAsia="Times New Roman" w:hAnsi="Times New Roman" w:cs="Times New Roman"/>
              </w:rPr>
              <w:t>,</w:t>
            </w:r>
          </w:p>
          <w:p w14:paraId="0E165DA1"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išbėrimas, niežėjimas</w:t>
            </w:r>
          </w:p>
        </w:tc>
        <w:tc>
          <w:tcPr>
            <w:tcW w:w="1641" w:type="dxa"/>
          </w:tcPr>
          <w:p w14:paraId="0B12A5F5"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914" w:type="dxa"/>
          </w:tcPr>
          <w:p w14:paraId="657571E2"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694C7A54" w14:textId="77777777" w:rsidTr="005D637C">
        <w:trPr>
          <w:trHeight w:val="757"/>
        </w:trPr>
        <w:tc>
          <w:tcPr>
            <w:tcW w:w="2042" w:type="dxa"/>
          </w:tcPr>
          <w:p w14:paraId="0572C9A2" w14:textId="7DBED4FF" w:rsidR="00F151B8" w:rsidRPr="00DF20DE" w:rsidRDefault="00F151B8" w:rsidP="00AE0A64">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Skeleto, raumenų ir jungiamojo audinio</w:t>
            </w:r>
            <w:r w:rsidR="00AE0A64">
              <w:rPr>
                <w:rFonts w:ascii="Times New Roman" w:eastAsia="Times New Roman" w:hAnsi="Times New Roman" w:cs="Times New Roman"/>
                <w:i/>
              </w:rPr>
              <w:t xml:space="preserve"> </w:t>
            </w:r>
            <w:r w:rsidRPr="00DF20DE">
              <w:rPr>
                <w:rFonts w:ascii="Times New Roman" w:eastAsia="Times New Roman" w:hAnsi="Times New Roman" w:cs="Times New Roman"/>
                <w:i/>
              </w:rPr>
              <w:t>sutrikimai</w:t>
            </w:r>
          </w:p>
        </w:tc>
        <w:tc>
          <w:tcPr>
            <w:tcW w:w="1680" w:type="dxa"/>
          </w:tcPr>
          <w:p w14:paraId="1FAE0673"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32" w:type="dxa"/>
          </w:tcPr>
          <w:p w14:paraId="723A1EE6"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641" w:type="dxa"/>
          </w:tcPr>
          <w:p w14:paraId="3AC05571" w14:textId="65DF626C"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Kraujavimai į raumenis</w:t>
            </w:r>
            <w:r w:rsidRPr="00DF20DE">
              <w:rPr>
                <w:rFonts w:ascii="Times New Roman" w:eastAsia="Times New Roman" w:hAnsi="Times New Roman" w:cs="Times New Roman"/>
                <w:vertAlign w:val="superscript"/>
              </w:rPr>
              <w:t>i</w:t>
            </w:r>
          </w:p>
        </w:tc>
        <w:tc>
          <w:tcPr>
            <w:tcW w:w="1914" w:type="dxa"/>
          </w:tcPr>
          <w:p w14:paraId="7F9A9B80"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47184DB0" w14:textId="77777777" w:rsidTr="005D637C">
        <w:trPr>
          <w:trHeight w:val="681"/>
        </w:trPr>
        <w:tc>
          <w:tcPr>
            <w:tcW w:w="2042" w:type="dxa"/>
          </w:tcPr>
          <w:p w14:paraId="35FDDA08"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Inkstų ir šlapimo takų sutrikimai</w:t>
            </w:r>
          </w:p>
        </w:tc>
        <w:tc>
          <w:tcPr>
            <w:tcW w:w="1680" w:type="dxa"/>
          </w:tcPr>
          <w:p w14:paraId="66A245DD"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32" w:type="dxa"/>
          </w:tcPr>
          <w:p w14:paraId="7A5F0AC5" w14:textId="45CFBB46"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Kraujavimas iš šlapimo takų</w:t>
            </w:r>
            <w:r w:rsidRPr="00DF20DE">
              <w:rPr>
                <w:rFonts w:ascii="Times New Roman" w:eastAsia="Times New Roman" w:hAnsi="Times New Roman" w:cs="Times New Roman"/>
                <w:vertAlign w:val="superscript"/>
              </w:rPr>
              <w:t>j</w:t>
            </w:r>
          </w:p>
        </w:tc>
        <w:tc>
          <w:tcPr>
            <w:tcW w:w="1641" w:type="dxa"/>
          </w:tcPr>
          <w:p w14:paraId="2B2D1F74"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914" w:type="dxa"/>
          </w:tcPr>
          <w:p w14:paraId="7D1C7097"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4C474B77" w14:textId="77777777" w:rsidTr="005D637C">
        <w:trPr>
          <w:trHeight w:val="676"/>
        </w:trPr>
        <w:tc>
          <w:tcPr>
            <w:tcW w:w="2042" w:type="dxa"/>
          </w:tcPr>
          <w:p w14:paraId="0A692418"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Lytinės sistemos ir krūties sutrikimai</w:t>
            </w:r>
          </w:p>
        </w:tc>
        <w:tc>
          <w:tcPr>
            <w:tcW w:w="1680" w:type="dxa"/>
          </w:tcPr>
          <w:p w14:paraId="7E9A674F"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32" w:type="dxa"/>
          </w:tcPr>
          <w:p w14:paraId="047A438E"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641" w:type="dxa"/>
          </w:tcPr>
          <w:p w14:paraId="617E49D1" w14:textId="4D5057CD"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Kraujavimai iš lytinių organų</w:t>
            </w:r>
            <w:r w:rsidRPr="00DF20DE">
              <w:rPr>
                <w:rFonts w:ascii="Times New Roman" w:eastAsia="Times New Roman" w:hAnsi="Times New Roman" w:cs="Times New Roman"/>
                <w:vertAlign w:val="superscript"/>
              </w:rPr>
              <w:t>k</w:t>
            </w:r>
          </w:p>
        </w:tc>
        <w:tc>
          <w:tcPr>
            <w:tcW w:w="1914" w:type="dxa"/>
          </w:tcPr>
          <w:p w14:paraId="44E2CFB6"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03C40A32" w14:textId="77777777" w:rsidTr="005D637C">
        <w:trPr>
          <w:trHeight w:val="1012"/>
        </w:trPr>
        <w:tc>
          <w:tcPr>
            <w:tcW w:w="2042" w:type="dxa"/>
          </w:tcPr>
          <w:p w14:paraId="6626DF9B"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Tyrimai</w:t>
            </w:r>
          </w:p>
        </w:tc>
        <w:tc>
          <w:tcPr>
            <w:tcW w:w="1680" w:type="dxa"/>
          </w:tcPr>
          <w:p w14:paraId="7C5D332B"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32" w:type="dxa"/>
          </w:tcPr>
          <w:p w14:paraId="533B7AD1" w14:textId="1CFE3BAA" w:rsidR="00F151B8" w:rsidRPr="00DF20DE" w:rsidRDefault="00F151B8" w:rsidP="00AE0A64">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Padidėjusi kreatinino koncentracija</w:t>
            </w:r>
            <w:r w:rsidR="00AE0A64">
              <w:rPr>
                <w:rFonts w:ascii="Times New Roman" w:eastAsia="Times New Roman" w:hAnsi="Times New Roman" w:cs="Times New Roman"/>
              </w:rPr>
              <w:t xml:space="preserve"> </w:t>
            </w:r>
            <w:r w:rsidRPr="00DF20DE">
              <w:rPr>
                <w:rFonts w:ascii="Times New Roman" w:eastAsia="Times New Roman" w:hAnsi="Times New Roman" w:cs="Times New Roman"/>
              </w:rPr>
              <w:t>kraujyje</w:t>
            </w:r>
            <w:r w:rsidRPr="00DF20DE">
              <w:rPr>
                <w:rFonts w:ascii="Times New Roman" w:eastAsia="Times New Roman" w:hAnsi="Times New Roman" w:cs="Times New Roman"/>
                <w:vertAlign w:val="superscript"/>
              </w:rPr>
              <w:t>d</w:t>
            </w:r>
          </w:p>
        </w:tc>
        <w:tc>
          <w:tcPr>
            <w:tcW w:w="1641" w:type="dxa"/>
          </w:tcPr>
          <w:p w14:paraId="2BE38B2E"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914" w:type="dxa"/>
          </w:tcPr>
          <w:p w14:paraId="535F22BA"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7E9A2866" w14:textId="77777777" w:rsidTr="005D637C">
        <w:trPr>
          <w:trHeight w:val="1012"/>
        </w:trPr>
        <w:tc>
          <w:tcPr>
            <w:tcW w:w="2042" w:type="dxa"/>
          </w:tcPr>
          <w:p w14:paraId="199E6EC4" w14:textId="6043BA81" w:rsidR="00F151B8" w:rsidRPr="00DF20DE" w:rsidRDefault="00F151B8" w:rsidP="00AE0A64">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Sužalojimai, apsinuodijimai ir procedūrų</w:t>
            </w:r>
            <w:r w:rsidR="00AE0A64">
              <w:rPr>
                <w:rFonts w:ascii="Times New Roman" w:eastAsia="Times New Roman" w:hAnsi="Times New Roman" w:cs="Times New Roman"/>
                <w:i/>
              </w:rPr>
              <w:t xml:space="preserve"> </w:t>
            </w:r>
            <w:r w:rsidRPr="00DF20DE">
              <w:rPr>
                <w:rFonts w:ascii="Times New Roman" w:eastAsia="Times New Roman" w:hAnsi="Times New Roman" w:cs="Times New Roman"/>
                <w:i/>
              </w:rPr>
              <w:t>komplikacijos</w:t>
            </w:r>
          </w:p>
        </w:tc>
        <w:tc>
          <w:tcPr>
            <w:tcW w:w="1680" w:type="dxa"/>
          </w:tcPr>
          <w:p w14:paraId="6E0C1BB5"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32" w:type="dxa"/>
          </w:tcPr>
          <w:p w14:paraId="695EE3B8" w14:textId="2156C739" w:rsidR="00F151B8" w:rsidRPr="00DF20DE" w:rsidRDefault="00F151B8" w:rsidP="00AE0A64">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Kraujosruva po procedūros, kraujavimas po</w:t>
            </w:r>
            <w:r w:rsidR="00AE0A64">
              <w:rPr>
                <w:rFonts w:ascii="Times New Roman" w:eastAsia="Times New Roman" w:hAnsi="Times New Roman" w:cs="Times New Roman"/>
              </w:rPr>
              <w:t xml:space="preserve"> </w:t>
            </w:r>
            <w:r w:rsidRPr="00DF20DE">
              <w:rPr>
                <w:rFonts w:ascii="Times New Roman" w:eastAsia="Times New Roman" w:hAnsi="Times New Roman" w:cs="Times New Roman"/>
              </w:rPr>
              <w:t>traumos</w:t>
            </w:r>
            <w:r w:rsidRPr="00DF20DE">
              <w:rPr>
                <w:rFonts w:ascii="Times New Roman" w:eastAsia="Times New Roman" w:hAnsi="Times New Roman" w:cs="Times New Roman"/>
                <w:vertAlign w:val="superscript"/>
              </w:rPr>
              <w:t>l</w:t>
            </w:r>
          </w:p>
        </w:tc>
        <w:tc>
          <w:tcPr>
            <w:tcW w:w="1641" w:type="dxa"/>
          </w:tcPr>
          <w:p w14:paraId="7852EA80"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914" w:type="dxa"/>
          </w:tcPr>
          <w:p w14:paraId="1FFB167B"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bl>
    <w:p w14:paraId="7B0CC85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a</w:t>
      </w:r>
      <w:r w:rsidRPr="00DF20DE">
        <w:rPr>
          <w:rFonts w:ascii="Times New Roman" w:eastAsia="Times New Roman" w:hAnsi="Times New Roman" w:cs="Times New Roman"/>
          <w:sz w:val="20"/>
          <w:szCs w:val="20"/>
        </w:rPr>
        <w:t xml:space="preserve"> Pvz., kraujavimas iš šlapimo pūslės vėžio, skrandžio vėžio, storosios žarnos vėžio.</w:t>
      </w:r>
    </w:p>
    <w:p w14:paraId="346E920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b</w:t>
      </w:r>
      <w:r w:rsidRPr="00DF20DE">
        <w:rPr>
          <w:rFonts w:ascii="Times New Roman" w:eastAsia="Times New Roman" w:hAnsi="Times New Roman" w:cs="Times New Roman"/>
          <w:sz w:val="20"/>
          <w:szCs w:val="20"/>
        </w:rPr>
        <w:t xml:space="preserve"> Pvz., padidėjęs polinkis kraujosruvoms, savaiminės hematomos, hemoraginė diatezė.</w:t>
      </w:r>
    </w:p>
    <w:p w14:paraId="10E55AC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c</w:t>
      </w:r>
      <w:r w:rsidRPr="00DF20DE">
        <w:rPr>
          <w:rFonts w:ascii="Times New Roman" w:eastAsia="Times New Roman" w:hAnsi="Times New Roman" w:cs="Times New Roman"/>
          <w:sz w:val="20"/>
          <w:szCs w:val="20"/>
        </w:rPr>
        <w:t xml:space="preserve"> Nustatyta pateikus vaistinį preparatą į rinką.</w:t>
      </w:r>
    </w:p>
    <w:p w14:paraId="49D879A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d</w:t>
      </w:r>
      <w:r w:rsidRPr="00DF20DE">
        <w:rPr>
          <w:rFonts w:ascii="Times New Roman" w:eastAsia="Times New Roman" w:hAnsi="Times New Roman" w:cs="Times New Roman"/>
          <w:sz w:val="20"/>
          <w:szCs w:val="20"/>
        </w:rPr>
        <w:t xml:space="preserve"> Dažnis nustatytas remiantis laboratorinių tyrimų duomenimis (šlapimo rūgšties koncentracijos padidėjimas iki viršijančios viršutinę normos ribą, kai pradinė jos koncentracija buvo normos ribose arba mažesnė; kreatinino koncentracijos padidėjimas &gt; 50 % palyginus su pradine) ir nėra apytikris pranešto nepageidaujamo reiškinio dažnis.</w:t>
      </w:r>
    </w:p>
    <w:p w14:paraId="10BF009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e</w:t>
      </w:r>
      <w:r w:rsidRPr="00DF20DE">
        <w:rPr>
          <w:rFonts w:ascii="Times New Roman" w:eastAsia="Times New Roman" w:hAnsi="Times New Roman" w:cs="Times New Roman"/>
          <w:sz w:val="20"/>
          <w:szCs w:val="20"/>
        </w:rPr>
        <w:t xml:space="preserve"> Pvz., junginės, tinklainės arba vidinis akies kraujavimas.</w:t>
      </w:r>
    </w:p>
    <w:p w14:paraId="0A855D7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f</w:t>
      </w:r>
      <w:r w:rsidRPr="00DF20DE">
        <w:rPr>
          <w:rFonts w:ascii="Times New Roman" w:eastAsia="Times New Roman" w:hAnsi="Times New Roman" w:cs="Times New Roman"/>
          <w:sz w:val="20"/>
          <w:szCs w:val="20"/>
        </w:rPr>
        <w:t xml:space="preserve"> Pvz., kraujavimas iš nosies, hemoptozė (atsikosėjimas krauju).</w:t>
      </w:r>
    </w:p>
    <w:p w14:paraId="395E9CA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g</w:t>
      </w:r>
      <w:r w:rsidRPr="00DF20DE">
        <w:rPr>
          <w:rFonts w:ascii="Times New Roman" w:eastAsia="Times New Roman" w:hAnsi="Times New Roman" w:cs="Times New Roman"/>
          <w:sz w:val="20"/>
          <w:szCs w:val="20"/>
        </w:rPr>
        <w:t xml:space="preserve"> Pvz., kraujavimas iš dantenų, kraujavimas iš tiesiosios žarnos, kraujavimas iš skrandžio opos.</w:t>
      </w:r>
    </w:p>
    <w:p w14:paraId="7DAD96E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h</w:t>
      </w:r>
      <w:r w:rsidRPr="00DF20DE">
        <w:rPr>
          <w:rFonts w:ascii="Times New Roman" w:eastAsia="Times New Roman" w:hAnsi="Times New Roman" w:cs="Times New Roman"/>
          <w:sz w:val="20"/>
          <w:szCs w:val="20"/>
        </w:rPr>
        <w:t xml:space="preserve"> Pvz., ekchimozės, kraujavimas iš odos, petechijos.</w:t>
      </w:r>
    </w:p>
    <w:p w14:paraId="0781FD2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i</w:t>
      </w:r>
      <w:r w:rsidRPr="00DF20DE">
        <w:rPr>
          <w:rFonts w:ascii="Times New Roman" w:eastAsia="Times New Roman" w:hAnsi="Times New Roman" w:cs="Times New Roman"/>
          <w:sz w:val="20"/>
          <w:szCs w:val="20"/>
        </w:rPr>
        <w:t xml:space="preserve"> Pvz., hemartrozės, kraujavimas į raumenis.</w:t>
      </w:r>
    </w:p>
    <w:p w14:paraId="20D9525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j</w:t>
      </w:r>
      <w:r w:rsidRPr="00DF20DE">
        <w:rPr>
          <w:rFonts w:ascii="Times New Roman" w:eastAsia="Times New Roman" w:hAnsi="Times New Roman" w:cs="Times New Roman"/>
          <w:sz w:val="20"/>
          <w:szCs w:val="20"/>
        </w:rPr>
        <w:t xml:space="preserve"> Pvz., hematurija, hemoraginis cistitas.</w:t>
      </w:r>
    </w:p>
    <w:p w14:paraId="4C382AD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lastRenderedPageBreak/>
        <w:t>k</w:t>
      </w:r>
      <w:r w:rsidRPr="00DF20DE">
        <w:rPr>
          <w:rFonts w:ascii="Times New Roman" w:eastAsia="Times New Roman" w:hAnsi="Times New Roman" w:cs="Times New Roman"/>
          <w:sz w:val="20"/>
          <w:szCs w:val="20"/>
        </w:rPr>
        <w:t xml:space="preserve"> Pvz., kraujavimas iš makšties, hematospermija, kraujavimas po menopauzės.</w:t>
      </w:r>
    </w:p>
    <w:p w14:paraId="21D08181" w14:textId="5C602324"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l</w:t>
      </w:r>
      <w:r w:rsidRPr="00DF20DE">
        <w:rPr>
          <w:rFonts w:ascii="Times New Roman" w:eastAsia="Times New Roman" w:hAnsi="Times New Roman" w:cs="Times New Roman"/>
          <w:sz w:val="20"/>
          <w:szCs w:val="20"/>
        </w:rPr>
        <w:t xml:space="preserve"> Pvz., sumušimas, trauminė hematoma, trauminis kraujavimas.</w:t>
      </w:r>
    </w:p>
    <w:p w14:paraId="6F311430" w14:textId="2920E4F5" w:rsidR="00C93A42" w:rsidRPr="00DF20DE" w:rsidRDefault="00C93A42"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NewRoman" w:hAnsi="Times New Roman" w:cs="Times New Roman"/>
          <w:sz w:val="20"/>
          <w:szCs w:val="20"/>
          <w:vertAlign w:val="superscript"/>
        </w:rPr>
        <w:t>m</w:t>
      </w:r>
      <w:r w:rsidRPr="00DF20DE">
        <w:rPr>
          <w:rFonts w:ascii="Times New Roman" w:eastAsia="TimesNewRoman" w:hAnsi="Times New Roman" w:cs="Times New Roman"/>
          <w:sz w:val="20"/>
          <w:szCs w:val="20"/>
        </w:rPr>
        <w:t xml:space="preserve"> Pvz., spontaninis, susijęs su procedūra arba intrakranijinis kraujavimas po traumos.</w:t>
      </w:r>
    </w:p>
    <w:p w14:paraId="5704EDF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3299D6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Atrinktų nepageidaujamų reakcijų apibūdinimas</w:t>
      </w:r>
    </w:p>
    <w:p w14:paraId="1E886A9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u w:val="single"/>
        </w:rPr>
      </w:pPr>
    </w:p>
    <w:p w14:paraId="726EB59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Kraujavimas</w:t>
      </w:r>
    </w:p>
    <w:p w14:paraId="1C3A4B2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Kraujavimas PLATO tyrimo metu</w:t>
      </w:r>
    </w:p>
    <w:p w14:paraId="036238F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Bendri kraujavimo dažnių duomenys, gauti PLATO tyrimo metu, pateikiami 2 lentelėje.</w:t>
      </w:r>
    </w:p>
    <w:p w14:paraId="6A2F2F3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F34587B" w14:textId="77777777" w:rsidR="00F151B8" w:rsidRPr="00DF20DE" w:rsidRDefault="00F151B8" w:rsidP="00F151B8">
      <w:pPr>
        <w:widowControl w:val="0"/>
        <w:tabs>
          <w:tab w:val="left" w:pos="384"/>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2 lentelė. Bendra kraujavimo reiškinių analizė </w:t>
      </w:r>
      <w:r w:rsidRPr="00DF20DE">
        <w:rPr>
          <w:rFonts w:ascii="Times New Roman" w:eastAsia="Times New Roman" w:hAnsi="Times New Roman" w:cs="Times New Roman"/>
          <w:b/>
          <w:bCs/>
          <w:i/>
        </w:rPr>
        <w:t>Kaplan-Meier</w:t>
      </w:r>
      <w:r w:rsidRPr="00DF20DE">
        <w:rPr>
          <w:rFonts w:ascii="Times New Roman" w:eastAsia="Times New Roman" w:hAnsi="Times New Roman" w:cs="Times New Roman"/>
          <w:b/>
          <w:bCs/>
        </w:rPr>
        <w:t xml:space="preserve"> metodu po 12 mėn. (PLATO tyrimas)</w:t>
      </w:r>
    </w:p>
    <w:p w14:paraId="0633434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57"/>
        <w:gridCol w:w="1426"/>
        <w:gridCol w:w="1488"/>
        <w:gridCol w:w="1128"/>
      </w:tblGrid>
      <w:tr w:rsidR="00F151B8" w:rsidRPr="00DF20DE" w14:paraId="3272F686" w14:textId="77777777" w:rsidTr="00C536DB">
        <w:trPr>
          <w:trHeight w:val="1262"/>
        </w:trPr>
        <w:tc>
          <w:tcPr>
            <w:tcW w:w="4757" w:type="dxa"/>
          </w:tcPr>
          <w:p w14:paraId="77A9819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tc>
        <w:tc>
          <w:tcPr>
            <w:tcW w:w="1426" w:type="dxa"/>
          </w:tcPr>
          <w:p w14:paraId="3CDC720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Tikagreloras 90 mg</w:t>
            </w:r>
          </w:p>
          <w:p w14:paraId="700FC5DE"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2 kartus per parą</w:t>
            </w:r>
          </w:p>
          <w:p w14:paraId="2826C67E" w14:textId="736871B4"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N</w:t>
            </w:r>
            <w:r w:rsidR="008D140F" w:rsidRPr="00DF20DE">
              <w:rPr>
                <w:rFonts w:ascii="Times New Roman" w:eastAsia="Times New Roman" w:hAnsi="Times New Roman" w:cs="Times New Roman"/>
                <w:b/>
              </w:rPr>
              <w:t> </w:t>
            </w:r>
            <w:r w:rsidRPr="00DF20DE">
              <w:rPr>
                <w:rFonts w:ascii="Times New Roman" w:eastAsia="Times New Roman" w:hAnsi="Times New Roman" w:cs="Times New Roman"/>
                <w:b/>
              </w:rPr>
              <w:t>=</w:t>
            </w:r>
            <w:r w:rsidR="008D140F" w:rsidRPr="00DF20DE">
              <w:rPr>
                <w:rFonts w:ascii="Times New Roman" w:eastAsia="Times New Roman" w:hAnsi="Times New Roman" w:cs="Times New Roman"/>
                <w:b/>
              </w:rPr>
              <w:t> </w:t>
            </w:r>
            <w:r w:rsidRPr="00DF20DE">
              <w:rPr>
                <w:rFonts w:ascii="Times New Roman" w:eastAsia="Times New Roman" w:hAnsi="Times New Roman" w:cs="Times New Roman"/>
                <w:b/>
              </w:rPr>
              <w:t>9235</w:t>
            </w:r>
          </w:p>
        </w:tc>
        <w:tc>
          <w:tcPr>
            <w:tcW w:w="1488" w:type="dxa"/>
          </w:tcPr>
          <w:p w14:paraId="72999887" w14:textId="4268E9D2"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Klopidogrelis N</w:t>
            </w:r>
            <w:r w:rsidR="008D140F" w:rsidRPr="00DF20DE">
              <w:rPr>
                <w:rFonts w:ascii="Times New Roman" w:eastAsia="Times New Roman" w:hAnsi="Times New Roman" w:cs="Times New Roman"/>
                <w:b/>
              </w:rPr>
              <w:t> </w:t>
            </w:r>
            <w:r w:rsidRPr="00DF20DE">
              <w:rPr>
                <w:rFonts w:ascii="Times New Roman" w:eastAsia="Times New Roman" w:hAnsi="Times New Roman" w:cs="Times New Roman"/>
                <w:b/>
              </w:rPr>
              <w:t>=</w:t>
            </w:r>
            <w:r w:rsidR="008D140F" w:rsidRPr="00DF20DE">
              <w:rPr>
                <w:rFonts w:ascii="Times New Roman" w:eastAsia="Times New Roman" w:hAnsi="Times New Roman" w:cs="Times New Roman"/>
                <w:b/>
              </w:rPr>
              <w:t> </w:t>
            </w:r>
            <w:r w:rsidRPr="00DF20DE">
              <w:rPr>
                <w:rFonts w:ascii="Times New Roman" w:eastAsia="Times New Roman" w:hAnsi="Times New Roman" w:cs="Times New Roman"/>
                <w:b/>
              </w:rPr>
              <w:t>9186</w:t>
            </w:r>
          </w:p>
        </w:tc>
        <w:tc>
          <w:tcPr>
            <w:tcW w:w="1128" w:type="dxa"/>
          </w:tcPr>
          <w:p w14:paraId="097D5B3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29205339"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i/>
              </w:rPr>
            </w:pPr>
            <w:r w:rsidRPr="00DF20DE">
              <w:rPr>
                <w:rFonts w:ascii="Times New Roman" w:eastAsia="Times New Roman" w:hAnsi="Times New Roman" w:cs="Times New Roman"/>
                <w:b/>
                <w:i/>
              </w:rPr>
              <w:t>p</w:t>
            </w:r>
          </w:p>
          <w:p w14:paraId="5825852D"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reikšmė*</w:t>
            </w:r>
          </w:p>
        </w:tc>
      </w:tr>
      <w:tr w:rsidR="00F151B8" w:rsidRPr="00DF20DE" w14:paraId="68FE05AD" w14:textId="77777777" w:rsidTr="00C536DB">
        <w:trPr>
          <w:trHeight w:val="253"/>
        </w:trPr>
        <w:tc>
          <w:tcPr>
            <w:tcW w:w="4757" w:type="dxa"/>
          </w:tcPr>
          <w:p w14:paraId="7F685116" w14:textId="77777777" w:rsidR="00F151B8" w:rsidRPr="00DF20DE" w:rsidRDefault="00F151B8" w:rsidP="00F151B8">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PLATO didesnieji, iš viso</w:t>
            </w:r>
          </w:p>
        </w:tc>
        <w:tc>
          <w:tcPr>
            <w:tcW w:w="1426" w:type="dxa"/>
          </w:tcPr>
          <w:p w14:paraId="5FFBB419"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11,6</w:t>
            </w:r>
          </w:p>
        </w:tc>
        <w:tc>
          <w:tcPr>
            <w:tcW w:w="1488" w:type="dxa"/>
          </w:tcPr>
          <w:p w14:paraId="56390DB4"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11,2</w:t>
            </w:r>
          </w:p>
        </w:tc>
        <w:tc>
          <w:tcPr>
            <w:tcW w:w="1128" w:type="dxa"/>
          </w:tcPr>
          <w:p w14:paraId="65CF9E6F"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0,4336</w:t>
            </w:r>
          </w:p>
        </w:tc>
      </w:tr>
      <w:tr w:rsidR="00F151B8" w:rsidRPr="00DF20DE" w14:paraId="60AA594D" w14:textId="77777777" w:rsidTr="00C536DB">
        <w:trPr>
          <w:trHeight w:val="340"/>
        </w:trPr>
        <w:tc>
          <w:tcPr>
            <w:tcW w:w="4757" w:type="dxa"/>
          </w:tcPr>
          <w:p w14:paraId="742CB9A0" w14:textId="77777777" w:rsidR="00F151B8" w:rsidRPr="00DF20DE" w:rsidRDefault="00F151B8" w:rsidP="00F151B8">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PLATO didesnieji, mirtini arba pavojingi gyvybei</w:t>
            </w:r>
          </w:p>
        </w:tc>
        <w:tc>
          <w:tcPr>
            <w:tcW w:w="1426" w:type="dxa"/>
          </w:tcPr>
          <w:p w14:paraId="72DA3206"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5,8</w:t>
            </w:r>
          </w:p>
        </w:tc>
        <w:tc>
          <w:tcPr>
            <w:tcW w:w="1488" w:type="dxa"/>
          </w:tcPr>
          <w:p w14:paraId="37BDF69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5,8</w:t>
            </w:r>
          </w:p>
        </w:tc>
        <w:tc>
          <w:tcPr>
            <w:tcW w:w="1128" w:type="dxa"/>
          </w:tcPr>
          <w:p w14:paraId="0DAA7DD7"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0,6988</w:t>
            </w:r>
          </w:p>
        </w:tc>
      </w:tr>
      <w:tr w:rsidR="00F151B8" w:rsidRPr="00DF20DE" w14:paraId="3723A0F6" w14:textId="77777777" w:rsidTr="00C536DB">
        <w:trPr>
          <w:trHeight w:val="508"/>
        </w:trPr>
        <w:tc>
          <w:tcPr>
            <w:tcW w:w="4757" w:type="dxa"/>
          </w:tcPr>
          <w:p w14:paraId="0230C1A8" w14:textId="77777777" w:rsidR="00F151B8" w:rsidRPr="00DF20DE" w:rsidRDefault="00F151B8" w:rsidP="00F151B8">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PLATO didesnieji, nesusiję su koronarinių arterijų</w:t>
            </w:r>
          </w:p>
          <w:p w14:paraId="238205FA" w14:textId="77777777" w:rsidR="00F151B8" w:rsidRPr="00DF20DE" w:rsidRDefault="00F151B8" w:rsidP="00F151B8">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šuntavimu</w:t>
            </w:r>
          </w:p>
        </w:tc>
        <w:tc>
          <w:tcPr>
            <w:tcW w:w="1426" w:type="dxa"/>
          </w:tcPr>
          <w:p w14:paraId="4E2C0749"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4,5</w:t>
            </w:r>
          </w:p>
        </w:tc>
        <w:tc>
          <w:tcPr>
            <w:tcW w:w="1488" w:type="dxa"/>
          </w:tcPr>
          <w:p w14:paraId="0A206698"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3,8</w:t>
            </w:r>
          </w:p>
        </w:tc>
        <w:tc>
          <w:tcPr>
            <w:tcW w:w="1128" w:type="dxa"/>
          </w:tcPr>
          <w:p w14:paraId="180C9E5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0,0264</w:t>
            </w:r>
          </w:p>
        </w:tc>
      </w:tr>
      <w:tr w:rsidR="00F151B8" w:rsidRPr="00DF20DE" w14:paraId="714A5828" w14:textId="77777777" w:rsidTr="00C536DB">
        <w:trPr>
          <w:trHeight w:val="249"/>
        </w:trPr>
        <w:tc>
          <w:tcPr>
            <w:tcW w:w="4757" w:type="dxa"/>
          </w:tcPr>
          <w:p w14:paraId="6CE2D508" w14:textId="77777777" w:rsidR="00F151B8" w:rsidRPr="00DF20DE" w:rsidRDefault="00F151B8" w:rsidP="00F151B8">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PLATO didesnieji, nesusiję su procedūra</w:t>
            </w:r>
          </w:p>
        </w:tc>
        <w:tc>
          <w:tcPr>
            <w:tcW w:w="1426" w:type="dxa"/>
          </w:tcPr>
          <w:p w14:paraId="551381AD"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3,1</w:t>
            </w:r>
          </w:p>
        </w:tc>
        <w:tc>
          <w:tcPr>
            <w:tcW w:w="1488" w:type="dxa"/>
          </w:tcPr>
          <w:p w14:paraId="6862A7BB"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2,3</w:t>
            </w:r>
          </w:p>
        </w:tc>
        <w:tc>
          <w:tcPr>
            <w:tcW w:w="1128" w:type="dxa"/>
          </w:tcPr>
          <w:p w14:paraId="2BC9A1A1"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0,0058</w:t>
            </w:r>
          </w:p>
        </w:tc>
      </w:tr>
      <w:tr w:rsidR="00F151B8" w:rsidRPr="00DF20DE" w14:paraId="3E720519" w14:textId="77777777" w:rsidTr="00C536DB">
        <w:trPr>
          <w:trHeight w:val="306"/>
        </w:trPr>
        <w:tc>
          <w:tcPr>
            <w:tcW w:w="4757" w:type="dxa"/>
          </w:tcPr>
          <w:p w14:paraId="4C24D8FD" w14:textId="77777777" w:rsidR="00F151B8" w:rsidRPr="00DF20DE" w:rsidRDefault="00F151B8" w:rsidP="00F151B8">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PLATO didesnieji ir nedideli, iš viso</w:t>
            </w:r>
          </w:p>
        </w:tc>
        <w:tc>
          <w:tcPr>
            <w:tcW w:w="1426" w:type="dxa"/>
          </w:tcPr>
          <w:p w14:paraId="3CA52F76"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16,1</w:t>
            </w:r>
          </w:p>
        </w:tc>
        <w:tc>
          <w:tcPr>
            <w:tcW w:w="1488" w:type="dxa"/>
          </w:tcPr>
          <w:p w14:paraId="281A9BA2"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14,6</w:t>
            </w:r>
          </w:p>
        </w:tc>
        <w:tc>
          <w:tcPr>
            <w:tcW w:w="1128" w:type="dxa"/>
          </w:tcPr>
          <w:p w14:paraId="1FD1608F"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0,0084</w:t>
            </w:r>
          </w:p>
        </w:tc>
      </w:tr>
      <w:tr w:rsidR="00F151B8" w:rsidRPr="00DF20DE" w14:paraId="669C2154" w14:textId="77777777" w:rsidTr="00C536DB">
        <w:trPr>
          <w:trHeight w:val="503"/>
        </w:trPr>
        <w:tc>
          <w:tcPr>
            <w:tcW w:w="4757" w:type="dxa"/>
          </w:tcPr>
          <w:p w14:paraId="373A5DEF" w14:textId="77777777" w:rsidR="00F151B8" w:rsidRPr="00DF20DE" w:rsidRDefault="00F151B8" w:rsidP="00F151B8">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PLATO didesnieji ir nedideli, nesusiję su procedūra</w:t>
            </w:r>
          </w:p>
        </w:tc>
        <w:tc>
          <w:tcPr>
            <w:tcW w:w="1426" w:type="dxa"/>
          </w:tcPr>
          <w:p w14:paraId="55326919"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5,9</w:t>
            </w:r>
          </w:p>
        </w:tc>
        <w:tc>
          <w:tcPr>
            <w:tcW w:w="1488" w:type="dxa"/>
          </w:tcPr>
          <w:p w14:paraId="09F6C4AB"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4,3</w:t>
            </w:r>
          </w:p>
        </w:tc>
        <w:tc>
          <w:tcPr>
            <w:tcW w:w="1128" w:type="dxa"/>
          </w:tcPr>
          <w:p w14:paraId="5AE38CC4"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 0,0001</w:t>
            </w:r>
          </w:p>
        </w:tc>
      </w:tr>
      <w:tr w:rsidR="00F151B8" w:rsidRPr="00DF20DE" w14:paraId="754C60D7" w14:textId="77777777" w:rsidTr="00C536DB">
        <w:trPr>
          <w:trHeight w:val="350"/>
        </w:trPr>
        <w:tc>
          <w:tcPr>
            <w:tcW w:w="4757" w:type="dxa"/>
          </w:tcPr>
          <w:p w14:paraId="0EB78376" w14:textId="77777777" w:rsidR="00F151B8" w:rsidRPr="00DF20DE" w:rsidRDefault="00F151B8" w:rsidP="00F151B8">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Didesnieji pagal TIMI kriterijus</w:t>
            </w:r>
          </w:p>
        </w:tc>
        <w:tc>
          <w:tcPr>
            <w:tcW w:w="1426" w:type="dxa"/>
          </w:tcPr>
          <w:p w14:paraId="313B0795"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7,9</w:t>
            </w:r>
          </w:p>
        </w:tc>
        <w:tc>
          <w:tcPr>
            <w:tcW w:w="1488" w:type="dxa"/>
          </w:tcPr>
          <w:p w14:paraId="409E9E12"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7,7</w:t>
            </w:r>
          </w:p>
        </w:tc>
        <w:tc>
          <w:tcPr>
            <w:tcW w:w="1128" w:type="dxa"/>
          </w:tcPr>
          <w:p w14:paraId="2022E232"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0,5669</w:t>
            </w:r>
          </w:p>
        </w:tc>
      </w:tr>
      <w:tr w:rsidR="00F151B8" w:rsidRPr="00DF20DE" w14:paraId="165AB290" w14:textId="77777777" w:rsidTr="00C536DB">
        <w:trPr>
          <w:trHeight w:val="335"/>
        </w:trPr>
        <w:tc>
          <w:tcPr>
            <w:tcW w:w="4757" w:type="dxa"/>
          </w:tcPr>
          <w:p w14:paraId="0E2C1FA7" w14:textId="77777777" w:rsidR="00F151B8" w:rsidRPr="00DF20DE" w:rsidRDefault="00F151B8" w:rsidP="00F151B8">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Didesnieji ir nedideli pagal TIMI kriterijus</w:t>
            </w:r>
          </w:p>
        </w:tc>
        <w:tc>
          <w:tcPr>
            <w:tcW w:w="1426" w:type="dxa"/>
          </w:tcPr>
          <w:p w14:paraId="4DC713C6"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11,4</w:t>
            </w:r>
          </w:p>
        </w:tc>
        <w:tc>
          <w:tcPr>
            <w:tcW w:w="1488" w:type="dxa"/>
          </w:tcPr>
          <w:p w14:paraId="694E5F0E"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10,9</w:t>
            </w:r>
          </w:p>
        </w:tc>
        <w:tc>
          <w:tcPr>
            <w:tcW w:w="1128" w:type="dxa"/>
          </w:tcPr>
          <w:p w14:paraId="7EA18AE7"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0,3272</w:t>
            </w:r>
          </w:p>
        </w:tc>
      </w:tr>
    </w:tbl>
    <w:p w14:paraId="3080EE7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szCs w:val="20"/>
        </w:rPr>
      </w:pPr>
      <w:r w:rsidRPr="00DF20DE">
        <w:rPr>
          <w:rFonts w:ascii="Times New Roman" w:eastAsia="Times New Roman" w:hAnsi="Times New Roman" w:cs="Times New Roman"/>
          <w:b/>
          <w:sz w:val="20"/>
          <w:szCs w:val="20"/>
        </w:rPr>
        <w:t>Kraujavimo kategorijų sąvokos:</w:t>
      </w:r>
    </w:p>
    <w:p w14:paraId="5D4A29B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b/>
          <w:i/>
          <w:iCs/>
          <w:sz w:val="20"/>
          <w:szCs w:val="20"/>
        </w:rPr>
        <w:t>Didesnysis mirtinas ar pavojingas gyvybei kraujavimas</w:t>
      </w:r>
      <w:r w:rsidRPr="00DF20DE">
        <w:rPr>
          <w:rFonts w:ascii="Times New Roman" w:eastAsia="Times New Roman" w:hAnsi="Times New Roman" w:cs="Times New Roman"/>
          <w:bCs/>
          <w:i/>
          <w:iCs/>
          <w:sz w:val="20"/>
          <w:szCs w:val="20"/>
        </w:rPr>
        <w:t>:</w:t>
      </w:r>
      <w:r w:rsidRPr="00DF20DE">
        <w:rPr>
          <w:rFonts w:ascii="Times New Roman" w:eastAsia="Times New Roman" w:hAnsi="Times New Roman" w:cs="Times New Roman"/>
          <w:b/>
          <w:sz w:val="20"/>
          <w:szCs w:val="20"/>
        </w:rPr>
        <w:t xml:space="preserve"> </w:t>
      </w:r>
      <w:r w:rsidRPr="00DF20DE">
        <w:rPr>
          <w:rFonts w:ascii="Times New Roman" w:eastAsia="Times New Roman" w:hAnsi="Times New Roman" w:cs="Times New Roman"/>
          <w:sz w:val="20"/>
          <w:szCs w:val="20"/>
        </w:rPr>
        <w:t xml:space="preserve">kliniškai pastebimas kraujavimas, dėl kurio hemoglobino koncentracija sumažėjo &gt; 50 g/l ar buvo perpilti ≥ 4 eritrocitų masės vienetai; </w:t>
      </w:r>
      <w:r w:rsidRPr="00DF20DE">
        <w:rPr>
          <w:rFonts w:ascii="Times New Roman" w:eastAsia="Times New Roman" w:hAnsi="Times New Roman" w:cs="Times New Roman"/>
          <w:sz w:val="20"/>
          <w:szCs w:val="20"/>
          <w:u w:val="single"/>
        </w:rPr>
        <w:t>arba</w:t>
      </w:r>
      <w:r w:rsidRPr="00DF20DE">
        <w:rPr>
          <w:rFonts w:ascii="Times New Roman" w:eastAsia="Times New Roman" w:hAnsi="Times New Roman" w:cs="Times New Roman"/>
          <w:i/>
          <w:sz w:val="20"/>
          <w:szCs w:val="20"/>
        </w:rPr>
        <w:t xml:space="preserve"> </w:t>
      </w:r>
      <w:r w:rsidRPr="00DF20DE">
        <w:rPr>
          <w:rFonts w:ascii="Times New Roman" w:eastAsia="Times New Roman" w:hAnsi="Times New Roman" w:cs="Times New Roman"/>
          <w:sz w:val="20"/>
          <w:szCs w:val="20"/>
        </w:rPr>
        <w:t xml:space="preserve">mirtinas; </w:t>
      </w:r>
      <w:r w:rsidRPr="00DF20DE">
        <w:rPr>
          <w:rFonts w:ascii="Times New Roman" w:eastAsia="Times New Roman" w:hAnsi="Times New Roman" w:cs="Times New Roman"/>
          <w:sz w:val="20"/>
          <w:szCs w:val="20"/>
          <w:u w:val="single"/>
        </w:rPr>
        <w:t>arba</w:t>
      </w:r>
      <w:r w:rsidRPr="00DF20DE">
        <w:rPr>
          <w:rFonts w:ascii="Times New Roman" w:eastAsia="Times New Roman" w:hAnsi="Times New Roman" w:cs="Times New Roman"/>
          <w:i/>
          <w:sz w:val="20"/>
          <w:szCs w:val="20"/>
        </w:rPr>
        <w:t xml:space="preserve"> </w:t>
      </w:r>
      <w:r w:rsidRPr="00DF20DE">
        <w:rPr>
          <w:rFonts w:ascii="Times New Roman" w:eastAsia="Times New Roman" w:hAnsi="Times New Roman" w:cs="Times New Roman"/>
          <w:sz w:val="20"/>
          <w:szCs w:val="20"/>
        </w:rPr>
        <w:t xml:space="preserve">intrakranijinis; </w:t>
      </w:r>
      <w:r w:rsidRPr="00DF20DE">
        <w:rPr>
          <w:rFonts w:ascii="Times New Roman" w:eastAsia="Times New Roman" w:hAnsi="Times New Roman" w:cs="Times New Roman"/>
          <w:sz w:val="20"/>
          <w:szCs w:val="20"/>
          <w:u w:val="single"/>
        </w:rPr>
        <w:t>arba</w:t>
      </w:r>
      <w:r w:rsidRPr="00DF20DE">
        <w:rPr>
          <w:rFonts w:ascii="Times New Roman" w:eastAsia="Times New Roman" w:hAnsi="Times New Roman" w:cs="Times New Roman"/>
          <w:i/>
          <w:sz w:val="20"/>
          <w:szCs w:val="20"/>
        </w:rPr>
        <w:t xml:space="preserve"> </w:t>
      </w:r>
      <w:r w:rsidRPr="00DF20DE">
        <w:rPr>
          <w:rFonts w:ascii="Times New Roman" w:eastAsia="Times New Roman" w:hAnsi="Times New Roman" w:cs="Times New Roman"/>
          <w:sz w:val="20"/>
          <w:szCs w:val="20"/>
        </w:rPr>
        <w:t xml:space="preserve">vidinis perikardo su širdies tamponada; </w:t>
      </w:r>
      <w:r w:rsidRPr="00DF20DE">
        <w:rPr>
          <w:rFonts w:ascii="Times New Roman" w:eastAsia="Times New Roman" w:hAnsi="Times New Roman" w:cs="Times New Roman"/>
          <w:sz w:val="20"/>
          <w:szCs w:val="20"/>
          <w:u w:val="single"/>
        </w:rPr>
        <w:t>arba</w:t>
      </w:r>
      <w:r w:rsidRPr="00DF20DE">
        <w:rPr>
          <w:rFonts w:ascii="Times New Roman" w:eastAsia="Times New Roman" w:hAnsi="Times New Roman" w:cs="Times New Roman"/>
          <w:i/>
          <w:sz w:val="20"/>
          <w:szCs w:val="20"/>
        </w:rPr>
        <w:t xml:space="preserve"> </w:t>
      </w:r>
      <w:r w:rsidRPr="00DF20DE">
        <w:rPr>
          <w:rFonts w:ascii="Times New Roman" w:eastAsia="Times New Roman" w:hAnsi="Times New Roman" w:cs="Times New Roman"/>
          <w:sz w:val="20"/>
          <w:szCs w:val="20"/>
        </w:rPr>
        <w:t>su hipovoleminiu šoku ar sunkia hipotenzija, kuriems gydyti reikėjo kraujagysles siaurinančių vaistinių preparatų arba operacijos.</w:t>
      </w:r>
    </w:p>
    <w:p w14:paraId="0130534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b/>
          <w:sz w:val="20"/>
          <w:szCs w:val="20"/>
        </w:rPr>
        <w:t xml:space="preserve">Didesnysis kitas: </w:t>
      </w:r>
      <w:r w:rsidRPr="00DF20DE">
        <w:rPr>
          <w:rFonts w:ascii="Times New Roman" w:eastAsia="Times New Roman" w:hAnsi="Times New Roman" w:cs="Times New Roman"/>
          <w:sz w:val="20"/>
          <w:szCs w:val="20"/>
        </w:rPr>
        <w:t xml:space="preserve">kliniškai pastebimas kraujavimas, dėl kurio hemoglobino koncentracija sumažėjo 30–50 g/l ar buvo perpilti 2–3 eritrocitų masės vienetai; </w:t>
      </w:r>
      <w:r w:rsidRPr="00DF20DE">
        <w:rPr>
          <w:rFonts w:ascii="Times New Roman" w:eastAsia="Times New Roman" w:hAnsi="Times New Roman" w:cs="Times New Roman"/>
          <w:i/>
          <w:sz w:val="20"/>
          <w:szCs w:val="20"/>
        </w:rPr>
        <w:t xml:space="preserve">arba </w:t>
      </w:r>
      <w:r w:rsidRPr="00DF20DE">
        <w:rPr>
          <w:rFonts w:ascii="Times New Roman" w:eastAsia="Times New Roman" w:hAnsi="Times New Roman" w:cs="Times New Roman"/>
          <w:sz w:val="20"/>
          <w:szCs w:val="20"/>
        </w:rPr>
        <w:t>sukėlęs reikšmingą negalią.</w:t>
      </w:r>
    </w:p>
    <w:p w14:paraId="35F7FBA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b/>
          <w:sz w:val="20"/>
          <w:szCs w:val="20"/>
        </w:rPr>
        <w:t>Nedidelis kraujavimas</w:t>
      </w:r>
      <w:r w:rsidRPr="00DF20DE">
        <w:rPr>
          <w:rFonts w:ascii="Times New Roman" w:eastAsia="Times New Roman" w:hAnsi="Times New Roman" w:cs="Times New Roman"/>
          <w:bCs/>
          <w:i/>
          <w:iCs/>
          <w:sz w:val="20"/>
          <w:szCs w:val="20"/>
        </w:rPr>
        <w:t>:</w:t>
      </w:r>
      <w:r w:rsidRPr="00DF20DE">
        <w:rPr>
          <w:rFonts w:ascii="Times New Roman" w:eastAsia="Times New Roman" w:hAnsi="Times New Roman" w:cs="Times New Roman"/>
          <w:b/>
          <w:sz w:val="20"/>
          <w:szCs w:val="20"/>
        </w:rPr>
        <w:t xml:space="preserve"> </w:t>
      </w:r>
      <w:r w:rsidRPr="00DF20DE">
        <w:rPr>
          <w:rFonts w:ascii="Times New Roman" w:eastAsia="Times New Roman" w:hAnsi="Times New Roman" w:cs="Times New Roman"/>
          <w:sz w:val="20"/>
          <w:szCs w:val="20"/>
        </w:rPr>
        <w:t>kraujavimas, kuriam stabdyti ar gydyti reikėjo medicininės intervencijos.</w:t>
      </w:r>
    </w:p>
    <w:p w14:paraId="057CF662" w14:textId="3A8223E3"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b/>
          <w:sz w:val="20"/>
          <w:szCs w:val="20"/>
        </w:rPr>
        <w:t>TIMI didesnysis kraujavimas</w:t>
      </w:r>
      <w:r w:rsidRPr="00DF20DE">
        <w:rPr>
          <w:rFonts w:ascii="Times New Roman" w:eastAsia="Times New Roman" w:hAnsi="Times New Roman" w:cs="Times New Roman"/>
          <w:bCs/>
          <w:i/>
          <w:iCs/>
          <w:sz w:val="20"/>
          <w:szCs w:val="20"/>
        </w:rPr>
        <w:t>:</w:t>
      </w:r>
      <w:r w:rsidRPr="00DF20DE">
        <w:rPr>
          <w:rFonts w:ascii="Times New Roman" w:eastAsia="Times New Roman" w:hAnsi="Times New Roman" w:cs="Times New Roman"/>
          <w:b/>
          <w:sz w:val="20"/>
          <w:szCs w:val="20"/>
        </w:rPr>
        <w:t xml:space="preserve"> </w:t>
      </w:r>
      <w:r w:rsidRPr="00DF20DE">
        <w:rPr>
          <w:rFonts w:ascii="Times New Roman" w:eastAsia="Times New Roman" w:hAnsi="Times New Roman" w:cs="Times New Roman"/>
          <w:sz w:val="20"/>
          <w:szCs w:val="20"/>
        </w:rPr>
        <w:t>kliniškai pastebimas kraujavimas, dėl kurio hemoglobino koncentracija sumažėjo &gt; 50 g/l,</w:t>
      </w:r>
      <w:r w:rsidR="00C93A42"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sz w:val="20"/>
          <w:szCs w:val="20"/>
        </w:rPr>
        <w:t xml:space="preserve">arba </w:t>
      </w:r>
      <w:r w:rsidRPr="00DF20DE">
        <w:rPr>
          <w:rFonts w:ascii="Times New Roman" w:eastAsia="Times New Roman" w:hAnsi="Times New Roman" w:cs="Times New Roman"/>
          <w:iCs/>
          <w:sz w:val="20"/>
          <w:szCs w:val="20"/>
        </w:rPr>
        <w:t>intrakranijinis kraujavimas</w:t>
      </w:r>
    </w:p>
    <w:p w14:paraId="2604B09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b/>
          <w:sz w:val="20"/>
          <w:szCs w:val="20"/>
        </w:rPr>
        <w:t xml:space="preserve">TIMI nedidelis kraujavimas: </w:t>
      </w:r>
      <w:r w:rsidRPr="00DF20DE">
        <w:rPr>
          <w:rFonts w:ascii="Times New Roman" w:eastAsia="Times New Roman" w:hAnsi="Times New Roman" w:cs="Times New Roman"/>
          <w:sz w:val="20"/>
          <w:szCs w:val="20"/>
        </w:rPr>
        <w:t>kliniškai pastebimas kraujavimas, dėl kurio hemoglobino koncentracija sumažėjo 30–50 g/l.</w:t>
      </w:r>
    </w:p>
    <w:p w14:paraId="1CF78A6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sz w:val="20"/>
          <w:szCs w:val="20"/>
        </w:rPr>
        <w:t>*</w:t>
      </w:r>
      <w:r w:rsidRPr="00DF20DE">
        <w:rPr>
          <w:rFonts w:ascii="Times New Roman" w:eastAsia="Times New Roman" w:hAnsi="Times New Roman" w:cs="Times New Roman"/>
          <w:i/>
          <w:sz w:val="20"/>
          <w:szCs w:val="20"/>
        </w:rPr>
        <w:t xml:space="preserve">p </w:t>
      </w:r>
      <w:r w:rsidRPr="00DF20DE">
        <w:rPr>
          <w:rFonts w:ascii="Times New Roman" w:eastAsia="Times New Roman" w:hAnsi="Times New Roman" w:cs="Times New Roman"/>
          <w:sz w:val="20"/>
          <w:szCs w:val="20"/>
        </w:rPr>
        <w:t>reikšmė apskaičiuota naudojant Cox proporcinės rizikos modelį (vienintelis aiškinamasis kintamasis buvo gydymo grupė).</w:t>
      </w:r>
    </w:p>
    <w:p w14:paraId="5F84E9A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903B463" w14:textId="1653F61C"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Didesniųjų mirtinų ar pavojingų gyvybei kraujavimų pagal PLATO kriterijus dažnis, bendras didesniųjų kraujavimų pagal PLATO kriterijus dažnis, didesniųjų kraujavimų pagal TIMI kriterijus dažnis ir nedidelių kraujavimų pagal TIMI kriterijus dažnis vartojant tikagrelor</w:t>
      </w:r>
      <w:r w:rsidR="00416FC7"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klopidogrel</w:t>
      </w:r>
      <w:r w:rsidR="00416FC7"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nesiskyrė (2 lentelė). Vis dėlto, bendras didesniųjų ir nedidelių kraujavimų pagal PLATO kriterijus skaičius tikagrelorą vartojusiems pacientams buvo didesnis, negu vartojusiems klopidogrelį. PLATO tyrimo metu nuo kraujavimo mirė nedaug pacientų: 20 (0,2 %) vartojusių tikagrelor</w:t>
      </w:r>
      <w:r w:rsidR="00416FC7"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23 (0,3 %) vartoję klopidogrel</w:t>
      </w:r>
      <w:r w:rsidR="00416FC7"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(žr. 4.4 skyrių).</w:t>
      </w:r>
    </w:p>
    <w:p w14:paraId="6E2BE6D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543E51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Pagal amžių, lytį, svorį, rasę, geografinį regioną, gretutines ligas, kartu vartojamus vaistinius preparatus ir anamnezę (įskaitant anksčiau buvusius insultus ir trumpalaikius išemijos priepuolius) bendros ar su procedūromis nesusijusio didesnio kraujavimo pagal PLATO kriterijus rizikos numatyti negalima. Ypatingos rizikos grupių nei vienai kraujavimo rūšiai nenustatyta.</w:t>
      </w:r>
    </w:p>
    <w:p w14:paraId="38B9015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2C7654B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iCs/>
        </w:rPr>
      </w:pPr>
      <w:r w:rsidRPr="00DF20DE">
        <w:rPr>
          <w:rFonts w:ascii="Times New Roman" w:eastAsia="Times New Roman" w:hAnsi="Times New Roman" w:cs="Times New Roman"/>
          <w:i/>
          <w:iCs/>
        </w:rPr>
        <w:t>Su koronarinių arterijų šuntavimu susijęs kraujavimas</w:t>
      </w:r>
    </w:p>
    <w:p w14:paraId="529C6A4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lastRenderedPageBreak/>
        <w:t>PLATO tyrimo metu 42 % iš 1584 pacientų (12 % kohortos), kuriems buvo atlikta koronarinių arterijų šuntavimo operacija, pasireiškė didesnysis mirtinas ar pavojingas gyvybei kraujavimas pagal PLATO kriterijus (skirtumo tarp gydymo grupių nebuvo). Nuo su koronarinių arterijų šuntavimu susijusio kraujavimo mirė po 6 abiejų gydymo grupių pacientus (žr. 4.4 skyrių).</w:t>
      </w:r>
    </w:p>
    <w:p w14:paraId="55A5634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44DDA96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iCs/>
        </w:rPr>
      </w:pPr>
      <w:r w:rsidRPr="00DF20DE">
        <w:rPr>
          <w:rFonts w:ascii="Times New Roman" w:eastAsia="Times New Roman" w:hAnsi="Times New Roman" w:cs="Times New Roman"/>
          <w:i/>
          <w:iCs/>
        </w:rPr>
        <w:t>Su koronarinių arterijų šuntavimu nesusijęs kraujavimas ir su procedūromis nesusijęs kraujavimas</w:t>
      </w:r>
    </w:p>
    <w:p w14:paraId="06B99B42" w14:textId="0930EB52"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Su koronarinių arterijų šuntavimu nesusijusių mirtinų ar pavojingų gyvybei kraujavimų pagal PLATO kriterijus dažnis tikagreloro ir klopidogrelio grupių pacientams nesiskyrė, tačiau bendras didesniųjų kraujavimų pagal PLATO kriterijus dažnis, didesniųjų kraujavimų pagal TIMI kriterijus dažnis bei suminis didesniųjų ir nedidelių kraujavimų pagal TIMI kriterijus skaičius vartojant tikagrelor</w:t>
      </w:r>
      <w:r w:rsidR="00416FC7" w:rsidRPr="00DF20DE">
        <w:rPr>
          <w:rFonts w:ascii="Times New Roman" w:eastAsia="Times New Roman" w:hAnsi="Times New Roman" w:cs="Times New Roman"/>
        </w:rPr>
        <w:t>o</w:t>
      </w:r>
      <w:r w:rsidRPr="00DF20DE">
        <w:rPr>
          <w:rFonts w:ascii="Times New Roman" w:eastAsia="Times New Roman" w:hAnsi="Times New Roman" w:cs="Times New Roman"/>
        </w:rPr>
        <w:t xml:space="preserve"> buvo didesni. Atmetus visus su procedūromis susijusius kraujavimus, gauti panašūs duomenys: vartojant tikagrelor</w:t>
      </w:r>
      <w:r w:rsidR="00416FC7" w:rsidRPr="00DF20DE">
        <w:rPr>
          <w:rFonts w:ascii="Times New Roman" w:eastAsia="Times New Roman" w:hAnsi="Times New Roman" w:cs="Times New Roman"/>
        </w:rPr>
        <w:t>o</w:t>
      </w:r>
      <w:r w:rsidRPr="00DF20DE">
        <w:rPr>
          <w:rFonts w:ascii="Times New Roman" w:eastAsia="Times New Roman" w:hAnsi="Times New Roman" w:cs="Times New Roman"/>
        </w:rPr>
        <w:t xml:space="preserve"> kraujavimas prasidėjo dažniau, negu vartojant klopidogrel</w:t>
      </w:r>
      <w:r w:rsidR="00416FC7"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(2 lentelė). Dėl su procedūra nesusijusių kraujavimų tikagreloro vartojimą tekdavo nutraukti dažniau (2,9 %), negu klopidogrelio (1,2 %) (p &lt; 0,001).</w:t>
      </w:r>
    </w:p>
    <w:p w14:paraId="1985F29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42B86CD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iCs/>
        </w:rPr>
      </w:pPr>
      <w:r w:rsidRPr="00DF20DE">
        <w:rPr>
          <w:rFonts w:ascii="Times New Roman" w:eastAsia="Times New Roman" w:hAnsi="Times New Roman" w:cs="Times New Roman"/>
          <w:i/>
          <w:iCs/>
        </w:rPr>
        <w:t>Intrakranijinis kraujavimas</w:t>
      </w:r>
    </w:p>
    <w:p w14:paraId="3835243D" w14:textId="54A2F73A"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Intrakranijinių kraujavimų, nesusijusių su procedūromis, tikagrelor</w:t>
      </w:r>
      <w:r w:rsidR="00416FC7"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vartojusiems pacientams užfiksuota daugiau (27 kraujavimai 26 pacientams, 0,3 %), negu vartojusiems klopidogrel</w:t>
      </w:r>
      <w:r w:rsidR="00416FC7" w:rsidRPr="00DF20DE">
        <w:rPr>
          <w:rFonts w:ascii="Times New Roman" w:eastAsia="Times New Roman" w:hAnsi="Times New Roman" w:cs="Times New Roman"/>
        </w:rPr>
        <w:t>io</w:t>
      </w:r>
    </w:p>
    <w:p w14:paraId="69BC1CB6" w14:textId="306C3D3A"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(14 kraujavimų, 0,2 %). Mirė 11 tokį kraujavimą patyrusių tikagrelor</w:t>
      </w:r>
      <w:r w:rsidR="0020330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vartojusių ir 1 klopidogrel</w:t>
      </w:r>
      <w:r w:rsidR="00203303"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vartojęs pacientas. Bendras mirtino kraujavimo pasireiškimo dažnis nesiskyrė.</w:t>
      </w:r>
    </w:p>
    <w:p w14:paraId="70A6692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B1DD53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Kraujavimas PEGASUS tyrimo metu</w:t>
      </w:r>
    </w:p>
    <w:p w14:paraId="028A629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Bendri kraujavimo duomenys, gauti PEGASUS tyrimo metu, pateikiami 3 lentelėje.</w:t>
      </w:r>
    </w:p>
    <w:p w14:paraId="11F54E7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ACFFEA2" w14:textId="77777777" w:rsidR="00F151B8" w:rsidRPr="00DF20DE" w:rsidRDefault="00F151B8" w:rsidP="00F151B8">
      <w:pPr>
        <w:widowControl w:val="0"/>
        <w:tabs>
          <w:tab w:val="left" w:pos="381"/>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3 lentelė. Bendra kraujavimo reiškinių analizė </w:t>
      </w:r>
      <w:r w:rsidRPr="00DF20DE">
        <w:rPr>
          <w:rFonts w:ascii="Times New Roman" w:eastAsia="Times New Roman" w:hAnsi="Times New Roman" w:cs="Times New Roman"/>
          <w:b/>
          <w:bCs/>
          <w:i/>
        </w:rPr>
        <w:t>Kaplan-Meier</w:t>
      </w:r>
      <w:r w:rsidRPr="00DF20DE">
        <w:rPr>
          <w:rFonts w:ascii="Times New Roman" w:eastAsia="Times New Roman" w:hAnsi="Times New Roman" w:cs="Times New Roman"/>
          <w:b/>
          <w:bCs/>
        </w:rPr>
        <w:t xml:space="preserve"> metodu po 36 mėn. (PEGASUS tyrimas)</w:t>
      </w:r>
    </w:p>
    <w:p w14:paraId="6868375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2"/>
        <w:gridCol w:w="1300"/>
        <w:gridCol w:w="1958"/>
        <w:gridCol w:w="1276"/>
        <w:gridCol w:w="1098"/>
      </w:tblGrid>
      <w:tr w:rsidR="00F151B8" w:rsidRPr="00DF20DE" w14:paraId="2444C730" w14:textId="77777777" w:rsidTr="00C536DB">
        <w:trPr>
          <w:trHeight w:val="757"/>
        </w:trPr>
        <w:tc>
          <w:tcPr>
            <w:tcW w:w="3542" w:type="dxa"/>
          </w:tcPr>
          <w:p w14:paraId="011FB7B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tc>
        <w:tc>
          <w:tcPr>
            <w:tcW w:w="3258" w:type="dxa"/>
            <w:gridSpan w:val="2"/>
          </w:tcPr>
          <w:p w14:paraId="38D76FF3"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Tikagreloras po 60 mg 2 kartus per parą kartu su ASR</w:t>
            </w:r>
          </w:p>
          <w:p w14:paraId="3BEE84E9" w14:textId="0AD65970"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N</w:t>
            </w:r>
            <w:r w:rsidR="00203303" w:rsidRPr="00DF20DE">
              <w:rPr>
                <w:rFonts w:ascii="Times New Roman" w:eastAsia="Times New Roman" w:hAnsi="Times New Roman" w:cs="Times New Roman"/>
                <w:b/>
              </w:rPr>
              <w:t> </w:t>
            </w:r>
            <w:r w:rsidRPr="00DF20DE">
              <w:rPr>
                <w:rFonts w:ascii="Times New Roman" w:eastAsia="Times New Roman" w:hAnsi="Times New Roman" w:cs="Times New Roman"/>
                <w:b/>
              </w:rPr>
              <w:t>=</w:t>
            </w:r>
            <w:r w:rsidR="00203303" w:rsidRPr="00DF20DE">
              <w:rPr>
                <w:rFonts w:ascii="Times New Roman" w:eastAsia="Times New Roman" w:hAnsi="Times New Roman" w:cs="Times New Roman"/>
                <w:b/>
              </w:rPr>
              <w:t> </w:t>
            </w:r>
            <w:r w:rsidRPr="00DF20DE">
              <w:rPr>
                <w:rFonts w:ascii="Times New Roman" w:eastAsia="Times New Roman" w:hAnsi="Times New Roman" w:cs="Times New Roman"/>
                <w:b/>
              </w:rPr>
              <w:t>6958</w:t>
            </w:r>
          </w:p>
        </w:tc>
        <w:tc>
          <w:tcPr>
            <w:tcW w:w="1276" w:type="dxa"/>
          </w:tcPr>
          <w:p w14:paraId="486DB676" w14:textId="5DEE0CF8"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Vien ASR N</w:t>
            </w:r>
            <w:r w:rsidR="00203303" w:rsidRPr="00DF20DE">
              <w:rPr>
                <w:rFonts w:ascii="Times New Roman" w:eastAsia="Times New Roman" w:hAnsi="Times New Roman" w:cs="Times New Roman"/>
                <w:b/>
              </w:rPr>
              <w:t> </w:t>
            </w:r>
            <w:r w:rsidRPr="00DF20DE">
              <w:rPr>
                <w:rFonts w:ascii="Times New Roman" w:eastAsia="Times New Roman" w:hAnsi="Times New Roman" w:cs="Times New Roman"/>
                <w:b/>
              </w:rPr>
              <w:t>=</w:t>
            </w:r>
            <w:r w:rsidR="00203303" w:rsidRPr="00DF20DE">
              <w:rPr>
                <w:rFonts w:ascii="Times New Roman" w:eastAsia="Times New Roman" w:hAnsi="Times New Roman" w:cs="Times New Roman"/>
                <w:b/>
              </w:rPr>
              <w:t> </w:t>
            </w:r>
            <w:r w:rsidRPr="00DF20DE">
              <w:rPr>
                <w:rFonts w:ascii="Times New Roman" w:eastAsia="Times New Roman" w:hAnsi="Times New Roman" w:cs="Times New Roman"/>
                <w:b/>
              </w:rPr>
              <w:t>6996</w:t>
            </w:r>
          </w:p>
        </w:tc>
        <w:tc>
          <w:tcPr>
            <w:tcW w:w="1098" w:type="dxa"/>
          </w:tcPr>
          <w:p w14:paraId="33FDA23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p>
        </w:tc>
      </w:tr>
      <w:tr w:rsidR="00F151B8" w:rsidRPr="00DF20DE" w14:paraId="4F607863" w14:textId="77777777" w:rsidTr="00C536DB">
        <w:trPr>
          <w:trHeight w:val="508"/>
        </w:trPr>
        <w:tc>
          <w:tcPr>
            <w:tcW w:w="3542" w:type="dxa"/>
          </w:tcPr>
          <w:p w14:paraId="7D9A408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r w:rsidRPr="00DF20DE">
              <w:rPr>
                <w:rFonts w:ascii="Times New Roman" w:eastAsia="Times New Roman" w:hAnsi="Times New Roman" w:cs="Times New Roman"/>
                <w:b/>
              </w:rPr>
              <w:t>Saugumo vertinamosios baigtys</w:t>
            </w:r>
          </w:p>
        </w:tc>
        <w:tc>
          <w:tcPr>
            <w:tcW w:w="1300" w:type="dxa"/>
          </w:tcPr>
          <w:p w14:paraId="21AB18F9"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i/>
                <w:iCs/>
              </w:rPr>
              <w:t>KM</w:t>
            </w:r>
            <w:r w:rsidRPr="00DF20DE">
              <w:rPr>
                <w:rFonts w:ascii="Times New Roman" w:eastAsia="Times New Roman" w:hAnsi="Times New Roman" w:cs="Times New Roman"/>
                <w:b/>
              </w:rPr>
              <w:t> %</w:t>
            </w:r>
          </w:p>
        </w:tc>
        <w:tc>
          <w:tcPr>
            <w:tcW w:w="1958" w:type="dxa"/>
          </w:tcPr>
          <w:p w14:paraId="3BE9C154"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Rizikos santykis (95 % PI)</w:t>
            </w:r>
          </w:p>
        </w:tc>
        <w:tc>
          <w:tcPr>
            <w:tcW w:w="1276" w:type="dxa"/>
          </w:tcPr>
          <w:p w14:paraId="11AA8830"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i/>
                <w:iCs/>
              </w:rPr>
              <w:t>KM</w:t>
            </w:r>
            <w:r w:rsidRPr="00DF20DE">
              <w:rPr>
                <w:rFonts w:ascii="Times New Roman" w:eastAsia="Times New Roman" w:hAnsi="Times New Roman" w:cs="Times New Roman"/>
                <w:b/>
              </w:rPr>
              <w:t> %</w:t>
            </w:r>
          </w:p>
        </w:tc>
        <w:tc>
          <w:tcPr>
            <w:tcW w:w="1098" w:type="dxa"/>
          </w:tcPr>
          <w:p w14:paraId="563756A7"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i/>
              </w:rPr>
            </w:pPr>
            <w:r w:rsidRPr="00DF20DE">
              <w:rPr>
                <w:rFonts w:ascii="Times New Roman" w:eastAsia="Times New Roman" w:hAnsi="Times New Roman" w:cs="Times New Roman"/>
                <w:b/>
                <w:i/>
              </w:rPr>
              <w:t>p</w:t>
            </w:r>
          </w:p>
          <w:p w14:paraId="24042DDF"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reikšmė</w:t>
            </w:r>
          </w:p>
        </w:tc>
      </w:tr>
      <w:tr w:rsidR="00F151B8" w:rsidRPr="00DF20DE" w14:paraId="23599DB5" w14:textId="77777777" w:rsidTr="00C536DB">
        <w:trPr>
          <w:trHeight w:val="253"/>
        </w:trPr>
        <w:tc>
          <w:tcPr>
            <w:tcW w:w="9174" w:type="dxa"/>
            <w:gridSpan w:val="5"/>
          </w:tcPr>
          <w:p w14:paraId="42F74688"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Kraujavimo kategorijos pagal TIMI kriterijus</w:t>
            </w:r>
          </w:p>
        </w:tc>
      </w:tr>
      <w:tr w:rsidR="00F151B8" w:rsidRPr="00DF20DE" w14:paraId="01301AD3" w14:textId="77777777" w:rsidTr="00C536DB">
        <w:trPr>
          <w:trHeight w:val="503"/>
        </w:trPr>
        <w:tc>
          <w:tcPr>
            <w:tcW w:w="3542" w:type="dxa"/>
          </w:tcPr>
          <w:p w14:paraId="4003FB7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TIMI didesnieji</w:t>
            </w:r>
          </w:p>
        </w:tc>
        <w:tc>
          <w:tcPr>
            <w:tcW w:w="1300" w:type="dxa"/>
          </w:tcPr>
          <w:p w14:paraId="73D33F2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2,3</w:t>
            </w:r>
          </w:p>
        </w:tc>
        <w:tc>
          <w:tcPr>
            <w:tcW w:w="1958" w:type="dxa"/>
          </w:tcPr>
          <w:p w14:paraId="0A2B829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2,32</w:t>
            </w:r>
          </w:p>
          <w:p w14:paraId="423E4575"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1,68 iki 3,21)</w:t>
            </w:r>
          </w:p>
        </w:tc>
        <w:tc>
          <w:tcPr>
            <w:tcW w:w="1276" w:type="dxa"/>
          </w:tcPr>
          <w:p w14:paraId="69FB687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w:t>
            </w:r>
          </w:p>
        </w:tc>
        <w:tc>
          <w:tcPr>
            <w:tcW w:w="1098" w:type="dxa"/>
          </w:tcPr>
          <w:p w14:paraId="6CE3FB64"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r w:rsidR="00F151B8" w:rsidRPr="00DF20DE" w14:paraId="34C260F4" w14:textId="77777777" w:rsidTr="00C536DB">
        <w:trPr>
          <w:trHeight w:val="508"/>
        </w:trPr>
        <w:tc>
          <w:tcPr>
            <w:tcW w:w="3542" w:type="dxa"/>
          </w:tcPr>
          <w:p w14:paraId="2D81CEEB" w14:textId="77777777" w:rsidR="00F151B8" w:rsidRPr="00DF20DE" w:rsidRDefault="00F151B8" w:rsidP="00F151B8">
            <w:pPr>
              <w:widowControl w:val="0"/>
              <w:autoSpaceDE w:val="0"/>
              <w:autoSpaceDN w:val="0"/>
              <w:spacing w:after="0" w:line="240" w:lineRule="auto"/>
              <w:ind w:left="594"/>
              <w:rPr>
                <w:rFonts w:ascii="Times New Roman" w:eastAsia="Times New Roman" w:hAnsi="Times New Roman" w:cs="Times New Roman"/>
              </w:rPr>
            </w:pPr>
            <w:r w:rsidRPr="00DF20DE">
              <w:rPr>
                <w:rFonts w:ascii="Times New Roman" w:eastAsia="Times New Roman" w:hAnsi="Times New Roman" w:cs="Times New Roman"/>
              </w:rPr>
              <w:t>Mirtini</w:t>
            </w:r>
          </w:p>
        </w:tc>
        <w:tc>
          <w:tcPr>
            <w:tcW w:w="1300" w:type="dxa"/>
          </w:tcPr>
          <w:p w14:paraId="67EBE509"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0,3</w:t>
            </w:r>
          </w:p>
        </w:tc>
        <w:tc>
          <w:tcPr>
            <w:tcW w:w="1958" w:type="dxa"/>
          </w:tcPr>
          <w:p w14:paraId="5FBE838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1,00</w:t>
            </w:r>
          </w:p>
          <w:p w14:paraId="2AC931A1"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0,44 iki 2,27)</w:t>
            </w:r>
          </w:p>
        </w:tc>
        <w:tc>
          <w:tcPr>
            <w:tcW w:w="1276" w:type="dxa"/>
          </w:tcPr>
          <w:p w14:paraId="0381C7EE"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0,3</w:t>
            </w:r>
          </w:p>
        </w:tc>
        <w:tc>
          <w:tcPr>
            <w:tcW w:w="1098" w:type="dxa"/>
          </w:tcPr>
          <w:p w14:paraId="24DFB228"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1,0000</w:t>
            </w:r>
          </w:p>
        </w:tc>
      </w:tr>
      <w:tr w:rsidR="00F151B8" w:rsidRPr="00DF20DE" w14:paraId="43975663" w14:textId="77777777" w:rsidTr="00C536DB">
        <w:trPr>
          <w:trHeight w:val="503"/>
        </w:trPr>
        <w:tc>
          <w:tcPr>
            <w:tcW w:w="3542" w:type="dxa"/>
          </w:tcPr>
          <w:p w14:paraId="200E41DD" w14:textId="77777777" w:rsidR="00F151B8" w:rsidRPr="00DF20DE" w:rsidRDefault="00F151B8" w:rsidP="00F151B8">
            <w:pPr>
              <w:widowControl w:val="0"/>
              <w:autoSpaceDE w:val="0"/>
              <w:autoSpaceDN w:val="0"/>
              <w:spacing w:after="0" w:line="240" w:lineRule="auto"/>
              <w:ind w:left="594"/>
              <w:rPr>
                <w:rFonts w:ascii="Times New Roman" w:eastAsia="Times New Roman" w:hAnsi="Times New Roman" w:cs="Times New Roman"/>
              </w:rPr>
            </w:pPr>
            <w:r w:rsidRPr="00DF20DE">
              <w:rPr>
                <w:rFonts w:ascii="Times New Roman" w:eastAsia="Times New Roman" w:hAnsi="Times New Roman" w:cs="Times New Roman"/>
              </w:rPr>
              <w:t>IKK</w:t>
            </w:r>
          </w:p>
        </w:tc>
        <w:tc>
          <w:tcPr>
            <w:tcW w:w="1300" w:type="dxa"/>
          </w:tcPr>
          <w:p w14:paraId="5E01913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0,6</w:t>
            </w:r>
          </w:p>
        </w:tc>
        <w:tc>
          <w:tcPr>
            <w:tcW w:w="1958" w:type="dxa"/>
          </w:tcPr>
          <w:p w14:paraId="7D2D4505"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1,33</w:t>
            </w:r>
          </w:p>
          <w:p w14:paraId="4CBDC0AF"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0,77 iki 2,31)</w:t>
            </w:r>
          </w:p>
        </w:tc>
        <w:tc>
          <w:tcPr>
            <w:tcW w:w="1276" w:type="dxa"/>
          </w:tcPr>
          <w:p w14:paraId="2695DAC2"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0,5</w:t>
            </w:r>
          </w:p>
        </w:tc>
        <w:tc>
          <w:tcPr>
            <w:tcW w:w="1098" w:type="dxa"/>
          </w:tcPr>
          <w:p w14:paraId="5DF60E81"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0,3130</w:t>
            </w:r>
          </w:p>
        </w:tc>
      </w:tr>
      <w:tr w:rsidR="00F151B8" w:rsidRPr="00DF20DE" w14:paraId="62462FEA" w14:textId="77777777" w:rsidTr="00C536DB">
        <w:trPr>
          <w:trHeight w:val="508"/>
        </w:trPr>
        <w:tc>
          <w:tcPr>
            <w:tcW w:w="3542" w:type="dxa"/>
          </w:tcPr>
          <w:p w14:paraId="1FD9E08B" w14:textId="77777777" w:rsidR="00F151B8" w:rsidRPr="00DF20DE" w:rsidRDefault="00F151B8" w:rsidP="00F151B8">
            <w:pPr>
              <w:widowControl w:val="0"/>
              <w:autoSpaceDE w:val="0"/>
              <w:autoSpaceDN w:val="0"/>
              <w:spacing w:after="0" w:line="240" w:lineRule="auto"/>
              <w:ind w:left="594"/>
              <w:rPr>
                <w:rFonts w:ascii="Times New Roman" w:eastAsia="Times New Roman" w:hAnsi="Times New Roman" w:cs="Times New Roman"/>
              </w:rPr>
            </w:pPr>
            <w:r w:rsidRPr="00DF20DE">
              <w:rPr>
                <w:rFonts w:ascii="Times New Roman" w:eastAsia="Times New Roman" w:hAnsi="Times New Roman" w:cs="Times New Roman"/>
              </w:rPr>
              <w:t>Kiti TIMI didesnieji</w:t>
            </w:r>
          </w:p>
        </w:tc>
        <w:tc>
          <w:tcPr>
            <w:tcW w:w="1300" w:type="dxa"/>
          </w:tcPr>
          <w:p w14:paraId="04880067"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1,6</w:t>
            </w:r>
          </w:p>
        </w:tc>
        <w:tc>
          <w:tcPr>
            <w:tcW w:w="1958" w:type="dxa"/>
          </w:tcPr>
          <w:p w14:paraId="708422F7"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3,61</w:t>
            </w:r>
          </w:p>
          <w:p w14:paraId="183E5CBD"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2,31 iki 5,65)</w:t>
            </w:r>
          </w:p>
        </w:tc>
        <w:tc>
          <w:tcPr>
            <w:tcW w:w="1276" w:type="dxa"/>
          </w:tcPr>
          <w:p w14:paraId="2B786DA4"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0,5</w:t>
            </w:r>
          </w:p>
        </w:tc>
        <w:tc>
          <w:tcPr>
            <w:tcW w:w="1098" w:type="dxa"/>
          </w:tcPr>
          <w:p w14:paraId="46130225"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r w:rsidR="00F151B8" w:rsidRPr="00DF20DE" w14:paraId="50EFEB3E" w14:textId="77777777" w:rsidTr="00C536DB">
        <w:trPr>
          <w:trHeight w:val="503"/>
        </w:trPr>
        <w:tc>
          <w:tcPr>
            <w:tcW w:w="3542" w:type="dxa"/>
          </w:tcPr>
          <w:p w14:paraId="39A9021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TIMI didesnieji ir nedideli</w:t>
            </w:r>
          </w:p>
        </w:tc>
        <w:tc>
          <w:tcPr>
            <w:tcW w:w="1300" w:type="dxa"/>
          </w:tcPr>
          <w:p w14:paraId="23C31822"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3,4</w:t>
            </w:r>
          </w:p>
        </w:tc>
        <w:tc>
          <w:tcPr>
            <w:tcW w:w="1958" w:type="dxa"/>
          </w:tcPr>
          <w:p w14:paraId="0E81A506"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2,54</w:t>
            </w:r>
          </w:p>
          <w:p w14:paraId="1EA49466"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1,93 iki 3,35)</w:t>
            </w:r>
          </w:p>
        </w:tc>
        <w:tc>
          <w:tcPr>
            <w:tcW w:w="1276" w:type="dxa"/>
          </w:tcPr>
          <w:p w14:paraId="2ADDCFE4"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1,4</w:t>
            </w:r>
          </w:p>
        </w:tc>
        <w:tc>
          <w:tcPr>
            <w:tcW w:w="1098" w:type="dxa"/>
          </w:tcPr>
          <w:p w14:paraId="1A7D3892"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r w:rsidR="00F151B8" w:rsidRPr="00DF20DE" w14:paraId="4A7FEAA3" w14:textId="77777777" w:rsidTr="00C536DB">
        <w:trPr>
          <w:trHeight w:val="508"/>
        </w:trPr>
        <w:tc>
          <w:tcPr>
            <w:tcW w:w="3542" w:type="dxa"/>
          </w:tcPr>
          <w:p w14:paraId="1F2077D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TIMI didesnieji, nedideli ir</w:t>
            </w:r>
          </w:p>
          <w:p w14:paraId="3BA1AC6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reikalaujantys gydytojo pagalbos</w:t>
            </w:r>
          </w:p>
        </w:tc>
        <w:tc>
          <w:tcPr>
            <w:tcW w:w="1300" w:type="dxa"/>
          </w:tcPr>
          <w:p w14:paraId="445EA6BB"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16,6</w:t>
            </w:r>
          </w:p>
        </w:tc>
        <w:tc>
          <w:tcPr>
            <w:tcW w:w="1958" w:type="dxa"/>
          </w:tcPr>
          <w:p w14:paraId="7E2F3530"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2,64</w:t>
            </w:r>
          </w:p>
          <w:p w14:paraId="741869C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2,35 iki 2,97)</w:t>
            </w:r>
          </w:p>
        </w:tc>
        <w:tc>
          <w:tcPr>
            <w:tcW w:w="1276" w:type="dxa"/>
          </w:tcPr>
          <w:p w14:paraId="679F9E95"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7,0</w:t>
            </w:r>
          </w:p>
        </w:tc>
        <w:tc>
          <w:tcPr>
            <w:tcW w:w="1098" w:type="dxa"/>
          </w:tcPr>
          <w:p w14:paraId="7193B47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r w:rsidR="00F151B8" w:rsidRPr="00DF20DE" w14:paraId="0670D773" w14:textId="77777777" w:rsidTr="00C536DB">
        <w:trPr>
          <w:trHeight w:val="253"/>
        </w:trPr>
        <w:tc>
          <w:tcPr>
            <w:tcW w:w="9174" w:type="dxa"/>
            <w:gridSpan w:val="5"/>
          </w:tcPr>
          <w:p w14:paraId="28595724"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Kraujavimo kategorijos pagal PLATO kriterijus</w:t>
            </w:r>
          </w:p>
        </w:tc>
      </w:tr>
      <w:tr w:rsidR="00F151B8" w:rsidRPr="00DF20DE" w14:paraId="1FEC4839" w14:textId="77777777" w:rsidTr="00C536DB">
        <w:trPr>
          <w:trHeight w:val="508"/>
        </w:trPr>
        <w:tc>
          <w:tcPr>
            <w:tcW w:w="3542" w:type="dxa"/>
          </w:tcPr>
          <w:p w14:paraId="3206025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PLATO didesnieji</w:t>
            </w:r>
          </w:p>
        </w:tc>
        <w:tc>
          <w:tcPr>
            <w:tcW w:w="1300" w:type="dxa"/>
          </w:tcPr>
          <w:p w14:paraId="2B937EFF"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3,5</w:t>
            </w:r>
          </w:p>
        </w:tc>
        <w:tc>
          <w:tcPr>
            <w:tcW w:w="1958" w:type="dxa"/>
          </w:tcPr>
          <w:p w14:paraId="547BBE7F"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2,57</w:t>
            </w:r>
          </w:p>
          <w:p w14:paraId="2A480161"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1,95 iki 3,37)</w:t>
            </w:r>
          </w:p>
        </w:tc>
        <w:tc>
          <w:tcPr>
            <w:tcW w:w="1276" w:type="dxa"/>
          </w:tcPr>
          <w:p w14:paraId="2769A7A7"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1,4</w:t>
            </w:r>
          </w:p>
        </w:tc>
        <w:tc>
          <w:tcPr>
            <w:tcW w:w="1098" w:type="dxa"/>
          </w:tcPr>
          <w:p w14:paraId="1B517B1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r w:rsidR="00F151B8" w:rsidRPr="00DF20DE" w14:paraId="3F0BE538" w14:textId="77777777" w:rsidTr="00C536DB">
        <w:trPr>
          <w:trHeight w:val="503"/>
        </w:trPr>
        <w:tc>
          <w:tcPr>
            <w:tcW w:w="3542" w:type="dxa"/>
          </w:tcPr>
          <w:p w14:paraId="469B79E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Mirtini ar pavojingi gyvybei</w:t>
            </w:r>
          </w:p>
        </w:tc>
        <w:tc>
          <w:tcPr>
            <w:tcW w:w="1300" w:type="dxa"/>
          </w:tcPr>
          <w:p w14:paraId="559FE8BB"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2,4</w:t>
            </w:r>
          </w:p>
        </w:tc>
        <w:tc>
          <w:tcPr>
            <w:tcW w:w="1958" w:type="dxa"/>
          </w:tcPr>
          <w:p w14:paraId="72B04405"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2,38</w:t>
            </w:r>
          </w:p>
          <w:p w14:paraId="6F2E57D8"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1,73 iki 3,26)</w:t>
            </w:r>
          </w:p>
        </w:tc>
        <w:tc>
          <w:tcPr>
            <w:tcW w:w="1276" w:type="dxa"/>
          </w:tcPr>
          <w:p w14:paraId="5FECE630"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w:t>
            </w:r>
          </w:p>
        </w:tc>
        <w:tc>
          <w:tcPr>
            <w:tcW w:w="1098" w:type="dxa"/>
          </w:tcPr>
          <w:p w14:paraId="1E47AED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r w:rsidR="00F151B8" w:rsidRPr="00DF20DE" w14:paraId="2D9797DA" w14:textId="77777777" w:rsidTr="00C536DB">
        <w:trPr>
          <w:trHeight w:val="508"/>
        </w:trPr>
        <w:tc>
          <w:tcPr>
            <w:tcW w:w="3542" w:type="dxa"/>
          </w:tcPr>
          <w:p w14:paraId="4665712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Kiti PLATO didesnieji</w:t>
            </w:r>
          </w:p>
        </w:tc>
        <w:tc>
          <w:tcPr>
            <w:tcW w:w="1300" w:type="dxa"/>
          </w:tcPr>
          <w:p w14:paraId="3CB1EC62"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w:t>
            </w:r>
          </w:p>
        </w:tc>
        <w:tc>
          <w:tcPr>
            <w:tcW w:w="1958" w:type="dxa"/>
          </w:tcPr>
          <w:p w14:paraId="10C64CF0"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3,37</w:t>
            </w:r>
          </w:p>
          <w:p w14:paraId="228244CB"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1,95 iki 5,83)</w:t>
            </w:r>
          </w:p>
        </w:tc>
        <w:tc>
          <w:tcPr>
            <w:tcW w:w="1276" w:type="dxa"/>
          </w:tcPr>
          <w:p w14:paraId="7A95DCA9"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0,3</w:t>
            </w:r>
          </w:p>
        </w:tc>
        <w:tc>
          <w:tcPr>
            <w:tcW w:w="1098" w:type="dxa"/>
          </w:tcPr>
          <w:p w14:paraId="623F3315"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r w:rsidR="00F151B8" w:rsidRPr="00DF20DE" w14:paraId="5411F369" w14:textId="77777777" w:rsidTr="00C536DB">
        <w:trPr>
          <w:trHeight w:val="503"/>
        </w:trPr>
        <w:tc>
          <w:tcPr>
            <w:tcW w:w="3542" w:type="dxa"/>
          </w:tcPr>
          <w:p w14:paraId="2BA95D4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PLATO didesnieji ir nedideli</w:t>
            </w:r>
          </w:p>
        </w:tc>
        <w:tc>
          <w:tcPr>
            <w:tcW w:w="1300" w:type="dxa"/>
          </w:tcPr>
          <w:p w14:paraId="1B6BAFBB"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15,2</w:t>
            </w:r>
          </w:p>
        </w:tc>
        <w:tc>
          <w:tcPr>
            <w:tcW w:w="1958" w:type="dxa"/>
          </w:tcPr>
          <w:p w14:paraId="0D414AFD"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2,71</w:t>
            </w:r>
          </w:p>
          <w:p w14:paraId="1CE68C47"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2,40 iki 3,08)</w:t>
            </w:r>
          </w:p>
        </w:tc>
        <w:tc>
          <w:tcPr>
            <w:tcW w:w="1276" w:type="dxa"/>
          </w:tcPr>
          <w:p w14:paraId="53A03464"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6,2</w:t>
            </w:r>
          </w:p>
        </w:tc>
        <w:tc>
          <w:tcPr>
            <w:tcW w:w="1098" w:type="dxa"/>
          </w:tcPr>
          <w:p w14:paraId="4406CDC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bl>
    <w:p w14:paraId="0472C82F" w14:textId="77777777" w:rsidR="00203303" w:rsidRPr="00DF20DE" w:rsidRDefault="00203303" w:rsidP="00203303">
      <w:pPr>
        <w:widowControl w:val="0"/>
        <w:autoSpaceDE w:val="0"/>
        <w:autoSpaceDN w:val="0"/>
        <w:spacing w:after="0" w:line="240" w:lineRule="auto"/>
        <w:rPr>
          <w:rFonts w:ascii="Times New Roman" w:eastAsia="Times New Roman" w:hAnsi="Times New Roman" w:cs="Times New Roman"/>
          <w:b/>
          <w:sz w:val="20"/>
          <w:szCs w:val="20"/>
        </w:rPr>
      </w:pPr>
      <w:r w:rsidRPr="00DF20DE">
        <w:rPr>
          <w:rFonts w:ascii="Times New Roman" w:eastAsia="Times New Roman" w:hAnsi="Times New Roman" w:cs="Times New Roman"/>
          <w:b/>
          <w:i/>
          <w:iCs/>
          <w:sz w:val="20"/>
          <w:szCs w:val="20"/>
        </w:rPr>
        <w:t>KM</w:t>
      </w:r>
      <w:r w:rsidRPr="00DF20DE">
        <w:rPr>
          <w:rFonts w:ascii="Times New Roman" w:eastAsia="Times New Roman" w:hAnsi="Times New Roman" w:cs="Times New Roman"/>
          <w:b/>
          <w:sz w:val="20"/>
          <w:szCs w:val="20"/>
        </w:rPr>
        <w:t xml:space="preserve"> – </w:t>
      </w:r>
      <w:r w:rsidRPr="00DF20DE">
        <w:rPr>
          <w:rFonts w:ascii="Times New Roman" w:eastAsia="Times New Roman" w:hAnsi="Times New Roman" w:cs="Times New Roman"/>
          <w:b/>
          <w:i/>
          <w:iCs/>
          <w:sz w:val="20"/>
          <w:szCs w:val="20"/>
        </w:rPr>
        <w:t>Kaplan-Meier</w:t>
      </w:r>
    </w:p>
    <w:p w14:paraId="4FB3D6FD" w14:textId="614294D0"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szCs w:val="20"/>
        </w:rPr>
      </w:pPr>
      <w:r w:rsidRPr="00DF20DE">
        <w:rPr>
          <w:rFonts w:ascii="Times New Roman" w:eastAsia="Times New Roman" w:hAnsi="Times New Roman" w:cs="Times New Roman"/>
          <w:b/>
          <w:sz w:val="20"/>
          <w:szCs w:val="20"/>
        </w:rPr>
        <w:t>Kraujavimo kategorijų sąvokos:</w:t>
      </w:r>
    </w:p>
    <w:p w14:paraId="414B8B9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TIMI didesnieji</w:t>
      </w:r>
      <w:r w:rsidRPr="00DF20DE">
        <w:rPr>
          <w:rFonts w:ascii="Times New Roman" w:eastAsia="Times New Roman" w:hAnsi="Times New Roman" w:cs="Times New Roman"/>
          <w:bCs/>
          <w:sz w:val="20"/>
          <w:szCs w:val="20"/>
        </w:rPr>
        <w:t xml:space="preserve"> – mirtinas kraujavimas; </w:t>
      </w:r>
      <w:r w:rsidRPr="00DF20DE">
        <w:rPr>
          <w:rFonts w:ascii="Times New Roman" w:eastAsia="Times New Roman" w:hAnsi="Times New Roman" w:cs="Times New Roman"/>
          <w:bCs/>
          <w:i/>
          <w:sz w:val="20"/>
          <w:szCs w:val="20"/>
        </w:rPr>
        <w:t xml:space="preserve">arba </w:t>
      </w:r>
      <w:r w:rsidRPr="00DF20DE">
        <w:rPr>
          <w:rFonts w:ascii="Times New Roman" w:eastAsia="Times New Roman" w:hAnsi="Times New Roman" w:cs="Times New Roman"/>
          <w:bCs/>
          <w:sz w:val="20"/>
          <w:szCs w:val="20"/>
        </w:rPr>
        <w:t xml:space="preserve">bet kokie intrakranijiniai kraujavimai; </w:t>
      </w:r>
      <w:r w:rsidRPr="00DF20DE">
        <w:rPr>
          <w:rFonts w:ascii="Times New Roman" w:eastAsia="Times New Roman" w:hAnsi="Times New Roman" w:cs="Times New Roman"/>
          <w:bCs/>
          <w:i/>
          <w:sz w:val="20"/>
          <w:szCs w:val="20"/>
        </w:rPr>
        <w:t xml:space="preserve">arba </w:t>
      </w:r>
      <w:r w:rsidRPr="00DF20DE">
        <w:rPr>
          <w:rFonts w:ascii="Times New Roman" w:eastAsia="Times New Roman" w:hAnsi="Times New Roman" w:cs="Times New Roman"/>
          <w:bCs/>
          <w:sz w:val="20"/>
          <w:szCs w:val="20"/>
        </w:rPr>
        <w:t xml:space="preserve">klinikiniai kraujavimo </w:t>
      </w:r>
      <w:r w:rsidRPr="00DF20DE">
        <w:rPr>
          <w:rFonts w:ascii="Times New Roman" w:eastAsia="Times New Roman" w:hAnsi="Times New Roman" w:cs="Times New Roman"/>
          <w:bCs/>
          <w:sz w:val="20"/>
          <w:szCs w:val="20"/>
        </w:rPr>
        <w:lastRenderedPageBreak/>
        <w:t>požymiai, susiję su hemoglobino (Hgb) koncentracijos sumažėjimu ≥ 50 g/l ar (jei Hgb koncentracija nežinoma) hematokrito (Hct) sumažėjimu 15 %.</w:t>
      </w:r>
    </w:p>
    <w:p w14:paraId="0A36037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 xml:space="preserve">Mirtini </w:t>
      </w:r>
      <w:r w:rsidRPr="00DF20DE">
        <w:rPr>
          <w:rFonts w:ascii="Times New Roman" w:eastAsia="Times New Roman" w:hAnsi="Times New Roman" w:cs="Times New Roman"/>
          <w:bCs/>
          <w:sz w:val="20"/>
          <w:szCs w:val="20"/>
        </w:rPr>
        <w:t>– kraujavimas, kuris tiesiogiai nulėmę mirtį per 7 dienas.</w:t>
      </w:r>
    </w:p>
    <w:p w14:paraId="55305C4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IKK</w:t>
      </w:r>
      <w:r w:rsidRPr="00DF20DE">
        <w:rPr>
          <w:rFonts w:ascii="Times New Roman" w:eastAsia="Times New Roman" w:hAnsi="Times New Roman" w:cs="Times New Roman"/>
          <w:bCs/>
          <w:sz w:val="20"/>
          <w:szCs w:val="20"/>
        </w:rPr>
        <w:t xml:space="preserve"> – intrakranijiniai kraujavimai.</w:t>
      </w:r>
    </w:p>
    <w:p w14:paraId="3B51CEE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Kiti TIMI didesnieji</w:t>
      </w:r>
      <w:r w:rsidRPr="00DF20DE">
        <w:rPr>
          <w:rFonts w:ascii="Times New Roman" w:eastAsia="Times New Roman" w:hAnsi="Times New Roman" w:cs="Times New Roman"/>
          <w:bCs/>
          <w:sz w:val="20"/>
          <w:szCs w:val="20"/>
        </w:rPr>
        <w:t xml:space="preserve"> – TIMI didesnieji kraujavimai, išskyrus mirtinus ir intrakranijinius.</w:t>
      </w:r>
    </w:p>
    <w:p w14:paraId="4C7BB1C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TIMI nedideli</w:t>
      </w:r>
      <w:r w:rsidRPr="00DF20DE">
        <w:rPr>
          <w:rFonts w:ascii="Times New Roman" w:eastAsia="Times New Roman" w:hAnsi="Times New Roman" w:cs="Times New Roman"/>
          <w:bCs/>
          <w:sz w:val="20"/>
          <w:szCs w:val="20"/>
        </w:rPr>
        <w:t xml:space="preserve"> – kliniškai pastebimi, dėl kurių hemoglobino sumažėjo 30–50 g/l.</w:t>
      </w:r>
    </w:p>
    <w:p w14:paraId="4060508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TIMI, dėl kurio reikėjo gydytojo pagalbos</w:t>
      </w:r>
      <w:r w:rsidRPr="00DF20DE">
        <w:rPr>
          <w:rFonts w:ascii="Times New Roman" w:eastAsia="Times New Roman" w:hAnsi="Times New Roman" w:cs="Times New Roman"/>
          <w:bCs/>
          <w:sz w:val="20"/>
          <w:szCs w:val="20"/>
        </w:rPr>
        <w:t xml:space="preserve"> – reikėjo intervencijos; arba hospitalizacijos; arba skubaus ištyrimo. </w:t>
      </w:r>
    </w:p>
    <w:p w14:paraId="49FD083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PLATO didesnieji mirtini ar pavojingi gyvybei</w:t>
      </w:r>
      <w:r w:rsidRPr="00DF20DE">
        <w:rPr>
          <w:rFonts w:ascii="Times New Roman" w:eastAsia="Times New Roman" w:hAnsi="Times New Roman" w:cs="Times New Roman"/>
          <w:bCs/>
          <w:sz w:val="20"/>
          <w:szCs w:val="20"/>
        </w:rPr>
        <w:t xml:space="preserve"> – mirtinas kraujavimas; arba bet kokie intrakranijiniai kraujavimai; arba vidiniai perikardo su širdies tamponada; arba su hipovoleminiu šoku ar sunkia hipotenzija, kai reikėjo kraujagysles siaurinančių ar inotropinių vaistinių preparatų arba operacijos; arba kliniškai pastebimi, dėl kurių hemoglobino sumažėjo &gt; 50 g/l ar teko perpilti ≥ 4 eritrocitų masės vienetus.</w:t>
      </w:r>
    </w:p>
    <w:p w14:paraId="0B318F1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PLATO didesnieji kiti</w:t>
      </w:r>
      <w:r w:rsidRPr="00DF20DE">
        <w:rPr>
          <w:rFonts w:ascii="Times New Roman" w:eastAsia="Times New Roman" w:hAnsi="Times New Roman" w:cs="Times New Roman"/>
          <w:bCs/>
          <w:sz w:val="20"/>
          <w:szCs w:val="20"/>
        </w:rPr>
        <w:t xml:space="preserve"> – sukėlę reikšmingą negalią; arba kliniškai pastebimi, kai hemoglobino sumažėjo 30–50 g/l ar teko perpilti 2–3 eritrocitų masės vienetus.</w:t>
      </w:r>
    </w:p>
    <w:p w14:paraId="074AF5B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PLATO nedideli</w:t>
      </w:r>
      <w:r w:rsidRPr="00DF20DE">
        <w:rPr>
          <w:rFonts w:ascii="Times New Roman" w:eastAsia="Times New Roman" w:hAnsi="Times New Roman" w:cs="Times New Roman"/>
          <w:bCs/>
          <w:sz w:val="20"/>
          <w:szCs w:val="20"/>
        </w:rPr>
        <w:t xml:space="preserve"> – reikėjo medicininės intervencijos kraujavimui stabdyti ar gydyti.</w:t>
      </w:r>
    </w:p>
    <w:p w14:paraId="61C051B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2A0B4E6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PEGASUS tyrimo metu TIMI didesnysis kraujavimas pasireiškė daugiau pacientų, vartojusių 60 mg tikagreloro 2 kartus per parą, negu vartojusių vien ASR. Vis dėlto, jiems didesnės mirtino kraujavimo rizikos nenustatyta, o IKK rizika buvo tik šiek tiek didesnė, negu vartojusiems vien ASR. Tyrimo metu nuo kraujavimo mirė 11 (0,3 %) 60 mg tikagreloro ir 12 (0,3 %) vien ASR vartojusių pacientų. Didesnę didesniųjų kraujavimų pagal TIMI kriterijus riziką vartojant 60 mg tikagreloro daugiausiai darė įtaką kitų kategorijų kraujavimai, ypač kraujavimas iš virškinimo trakto.</w:t>
      </w:r>
    </w:p>
    <w:p w14:paraId="0ECB30A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416B78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TIMI didesniųjų ir nedidelių, PLATO didesniųjų bei PLATO didesniųjų ir nedidelių kraujavimų padaugėjo panašiai kaip TIMI didesniųjų (žr. 3 lentelę). Dėl kraujavimo 60 mg tikagreloro vartojimas buvo nutrauktas dažniau, negu vien ASR (atitinkamai 6,2 % ir 1,5 %). Dauguma tokių kraujavimų buvo lengvesni, pvz., kraujavimas iš nosies, kraujosruvos ir hematomos (klasifikuoti kaip TIMI kraujavimai, dėl kurių reikėjo gydytojo pagalbos).</w:t>
      </w:r>
    </w:p>
    <w:p w14:paraId="168BCB1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0BFA7C9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Įvairių iš anksto numatytų pogrupių (pvz., pagal amžių, lytį, kūno svorį, rasę, geografinį regioną, gretutines ligas, kartu vartojamus vaistinius preparatus ir ligos anamnezę) pacientams, vartojusiems 60 mg tikagreloro, kraujavimų (TIMI didesniųjų, TIMI didesniųjų ir nedidelių, PLATO didesniųjų) pobūdis buvo panašus.</w:t>
      </w:r>
    </w:p>
    <w:p w14:paraId="238B24F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C151B3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Intrakranijinis kraujavimas (IKK)</w:t>
      </w:r>
    </w:p>
    <w:p w14:paraId="40C151B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Savaiminių IKK užfiksuota maždaug vienodai 60 mg tikagreloro ir vien ASR vartojusių pacientų (abejose gydymo grupėse – n = 13, 0,2 %). IKK po traumų ar procedūrų 60 mg tikagreloro vartojusiems pacientams buvo šiek tiek dažniau (n = 15, 0,2 %), negu vartojusiems vien ASR (n = 10, 0,1 %). Užfiksuoti 6 mirtino IKK atvejai vartojant 60 mg tikagreloro ir 5 mirtino IKK atvejai vartojant vien ASR. Atsižvelgiant į reikšmingas tirtos populiacijos gretutines ligas ir kardiovaskulinės rizikos faktorius, IKK dažnis abejų grupių pacientams buvo mažas.</w:t>
      </w:r>
    </w:p>
    <w:p w14:paraId="5368995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6ECEAF5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Dusulys</w:t>
      </w:r>
    </w:p>
    <w:p w14:paraId="0A295A33" w14:textId="6464EAD3"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vartojantiems pacientams užfiksuota dusulio (oro stokos pojūčio) atvejų. PLATO tyrimo metu dusulio nepageidaujamų reiškinių (dusulys, dusulys ramybėje, dusulys krūvio metu, paroksizminis dusulys naktį ir dusulys naktį) iš viso užfiksuota 13,8 % tikagrelor</w:t>
      </w:r>
      <w:r w:rsidR="0020330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7,8 % klopidogrel</w:t>
      </w:r>
      <w:r w:rsidR="00203303"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vartojusių pacientų. 2,2 % tikagrelor</w:t>
      </w:r>
      <w:r w:rsidR="0020330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0,6 % klopidogrel</w:t>
      </w:r>
      <w:r w:rsidR="00203303"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vartojusių pacientų pasireiškusį dusulį tyrėjai laikė susijusiu su PLATO tyrimo metu tirtais vaistiniais preparatais, nedaugeliu atvejų dusulys buvo sunkus (0,14 % vartojant tikagrelor</w:t>
      </w:r>
      <w:r w:rsidR="0020330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0,02 % vartojant klopidogrel</w:t>
      </w:r>
      <w:r w:rsidR="00203303" w:rsidRPr="00DF20DE">
        <w:rPr>
          <w:rFonts w:ascii="Times New Roman" w:eastAsia="Times New Roman" w:hAnsi="Times New Roman" w:cs="Times New Roman"/>
        </w:rPr>
        <w:t>io</w:t>
      </w:r>
      <w:r w:rsidRPr="00DF20DE">
        <w:rPr>
          <w:rFonts w:ascii="Times New Roman" w:eastAsia="Times New Roman" w:hAnsi="Times New Roman" w:cs="Times New Roman"/>
        </w:rPr>
        <w:t>) (žr. 4.4 skyrių). Dauguma užfiksuotų dusulio simptomų buvo lengvo ar vidutinio intensyvumo, dažniausiai pasireiškė vienas epizodas pradedant vartoti vaistinį preparatą.</w:t>
      </w:r>
    </w:p>
    <w:p w14:paraId="6F7615F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0368558" w14:textId="493117CD"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Palyginti su klopidogreliu astma ar LOPL sergantiems pacientams, vartojantiems tikagrelor</w:t>
      </w:r>
      <w:r w:rsidR="00203303" w:rsidRPr="00DF20DE">
        <w:rPr>
          <w:rFonts w:ascii="Times New Roman" w:eastAsia="Times New Roman" w:hAnsi="Times New Roman" w:cs="Times New Roman"/>
        </w:rPr>
        <w:t>o</w:t>
      </w:r>
      <w:r w:rsidRPr="00DF20DE">
        <w:rPr>
          <w:rFonts w:ascii="Times New Roman" w:eastAsia="Times New Roman" w:hAnsi="Times New Roman" w:cs="Times New Roman"/>
        </w:rPr>
        <w:t>, gali būti didesnė nesunkaus dusulio (3,29 % vartojant tikagrelor</w:t>
      </w:r>
      <w:r w:rsidR="0020330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0,53 % vartojant klopidogrel</w:t>
      </w:r>
      <w:r w:rsidR="00203303" w:rsidRPr="00DF20DE">
        <w:rPr>
          <w:rFonts w:ascii="Times New Roman" w:eastAsia="Times New Roman" w:hAnsi="Times New Roman" w:cs="Times New Roman"/>
        </w:rPr>
        <w:t>io</w:t>
      </w:r>
      <w:r w:rsidRPr="00DF20DE">
        <w:rPr>
          <w:rFonts w:ascii="Times New Roman" w:eastAsia="Times New Roman" w:hAnsi="Times New Roman" w:cs="Times New Roman"/>
        </w:rPr>
        <w:t>) bei sunkaus dusulio rizika (0,38 % vartojant tikagrelor</w:t>
      </w:r>
      <w:r w:rsidR="0020330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0,00 % vartojant klopidogrel</w:t>
      </w:r>
      <w:r w:rsidR="00203303" w:rsidRPr="00DF20DE">
        <w:rPr>
          <w:rFonts w:ascii="Times New Roman" w:eastAsia="Times New Roman" w:hAnsi="Times New Roman" w:cs="Times New Roman"/>
        </w:rPr>
        <w:t>io</w:t>
      </w:r>
      <w:r w:rsidRPr="00DF20DE">
        <w:rPr>
          <w:rFonts w:ascii="Times New Roman" w:eastAsia="Times New Roman" w:hAnsi="Times New Roman" w:cs="Times New Roman"/>
        </w:rPr>
        <w:t>). Absoliučia išraiška ši rizika buvo didesnė negu visoje PLATO tyrimo populiacijoje. Tikagrelor</w:t>
      </w:r>
      <w:r w:rsidR="0020330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vartojantiems pacientams, kurių anamnezėje užfiksuota astma ir (arba) LOPL, būtinos atsargumo priemonės (žr. 4.4 skyrių).</w:t>
      </w:r>
    </w:p>
    <w:p w14:paraId="66A6535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5D715CE" w14:textId="7B6AED29"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Maždaug 30 % dusulio epizodų praėjo per 7 dienas. Į PLATO tyrimą buvo įtraukiami ir pacientai, </w:t>
      </w:r>
      <w:r w:rsidRPr="00DF20DE">
        <w:rPr>
          <w:rFonts w:ascii="Times New Roman" w:eastAsia="Times New Roman" w:hAnsi="Times New Roman" w:cs="Times New Roman"/>
        </w:rPr>
        <w:lastRenderedPageBreak/>
        <w:t>kuriems pradedant tyrimą buvo stazinis širdies nepakankamumas, LOPL ar astma. Jiems ir taip pat senyviems pacientams dusulio pasireiškimo tikimybė buvo didesnė. Dėl dusulio tikagreloro vartojimą nutraukė 0,9 %, klopidogrelio – 0,1 % pacientų. Dažnesnis dusulio atsiradimas vartojant tikagrelor</w:t>
      </w:r>
      <w:r w:rsidR="0040612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nėra susijęs su naujomis ar pasunkėjusiomis širdies arba plaučių ligomis (žr. 4.4 skyrių). Įtakos plaučių funkcijos rodikliams tikagreloras neturi.</w:t>
      </w:r>
    </w:p>
    <w:p w14:paraId="776C4F5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112C655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PEGASUS tyrimo metu dusulys užfiksuotas 14,2 % 60 mg tikagreloro 2 kartus per parą ir 5,5 % vien ASR vartojusių pacientų. Kaip ir PLATO tyrimo metu, dusulys dažniausiai būdavo lengvo ar vidutinio intensyvumo (žr. 4.4 skyrių). Dusulio pasireiškimo tikimybė buvo didesnė senyviems pacientams ir taip pat tiems, kurie įtraukiant į tyrimą dažniau skundėsi dusuliu arba sirgo LOPL ar astma.</w:t>
      </w:r>
    </w:p>
    <w:p w14:paraId="6F3999C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FCDE80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Tyrimai</w:t>
      </w:r>
    </w:p>
    <w:p w14:paraId="694A072A" w14:textId="51DD66E1"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Padidėjusi šlapimo rūgšties koncentracija. PLATO tyrimo metu šlapimo rūgšties koncentracija serume padidėjo virš viršutinės normos ribos 22 % tikagrelor</w:t>
      </w:r>
      <w:r w:rsidR="0040612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13 % klopidogrel</w:t>
      </w:r>
      <w:r w:rsidR="00406123"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vartojusių pacientų, o PEGASUS tyrimo metu – 9,1 % 90 mg tikagreloro, 8,8 % 60 mg tikagreloro ir 5,5 % placeb</w:t>
      </w:r>
      <w:r w:rsidR="0040612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vartojusių pacientų. Vidutinė šlapimo rūgšties koncentracija serume vartojant tikagrelorą padidėjo maždaug 15 %, o vartojant klopidogrel</w:t>
      </w:r>
      <w:r w:rsidR="00406123"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 maždaug 7,5 %. Baigus vartoti tikagrelor</w:t>
      </w:r>
      <w:r w:rsidR="0040612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ji sumažėdavo maždaug iki 7 %, o baigus vartoti klopidogrel</w:t>
      </w:r>
      <w:r w:rsidR="00406123"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jos sumažėjimo nepastebėta. PEGASUS tyrimo metu šlapimo rūgšties koncentracija 90 mg tikagreloro vartojusių pacientų serume laikinai padidėjo vidutiniškai 6,3 %, 90 mg tikagreloro vartojusių pacientų serume – vidutiniškai 5,6 %, o placebo grupės pacientų serume ji vidutiniškai 1,5 % sumažėjo. PLATO tyrimo metu podagrinis artritas užfiksuotas 0,2 % tikagrelor</w:t>
      </w:r>
      <w:r w:rsidR="0040612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0,1 % klopidogrel</w:t>
      </w:r>
      <w:r w:rsidR="00406123"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vartojusių pacientų, PEGASUS tyrimo metu – 1,6 % 90 mg tikagreloro, 1,5 % 60 mg tikagreloro ir 1,1 % placebą vartojusių pacientų.</w:t>
      </w:r>
    </w:p>
    <w:p w14:paraId="5801B4D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5482989B" w14:textId="77777777" w:rsidR="00F151B8" w:rsidRPr="00DF20DE" w:rsidRDefault="00F151B8" w:rsidP="007E6752">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Pranešimas apie įtariamas nepageidaujamas reakcijas</w:t>
      </w:r>
    </w:p>
    <w:p w14:paraId="4421602A" w14:textId="39494882" w:rsidR="003B6174" w:rsidRPr="00DF20DE" w:rsidRDefault="00F151B8" w:rsidP="005137EA">
      <w:pPr>
        <w:tabs>
          <w:tab w:val="left" w:pos="567"/>
        </w:tabs>
        <w:autoSpaceDE w:val="0"/>
        <w:autoSpaceDN w:val="0"/>
        <w:adjustRightInd w:val="0"/>
        <w:spacing w:after="0" w:line="240" w:lineRule="auto"/>
        <w:rPr>
          <w:rFonts w:ascii="Times New Roman" w:eastAsia="Times New Roman" w:hAnsi="Times New Roman" w:cs="Times New Roman"/>
          <w:noProof/>
          <w:snapToGrid w:val="0"/>
          <w:szCs w:val="24"/>
        </w:rPr>
      </w:pPr>
      <w:r w:rsidRPr="00DF20DE">
        <w:rPr>
          <w:rFonts w:ascii="Times New Roman" w:eastAsia="Times New Roman" w:hAnsi="Times New Roman" w:cs="Times New Roman"/>
        </w:rPr>
        <w:t xml:space="preserve">Svarbu pranešti apie įtariamas nepageidaujamas reakcijas, pastebėtas po vaistinio preparato registracijos, nes tai leidžia nuolat stebėti vaistinio preparato naudos ir rizikos santykį. </w:t>
      </w:r>
      <w:r w:rsidR="001716B8" w:rsidRPr="001716B8">
        <w:rPr>
          <w:rFonts w:ascii="Times New Roman" w:eastAsia="Times New Roman" w:hAnsi="Times New Roman" w:cs="Times New Roman"/>
          <w:noProof/>
          <w:snapToGrid w:val="0"/>
          <w:szCs w:val="24"/>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1716B8" w:rsidRPr="001716B8">
        <w:rPr>
          <w:rFonts w:ascii="Times New Roman" w:eastAsia="Times New Roman" w:hAnsi="Times New Roman" w:cs="Times New Roman"/>
          <w:noProof/>
          <w:snapToGrid w:val="0"/>
          <w:szCs w:val="24"/>
          <w:u w:val="single"/>
        </w:rPr>
        <w:t>https://vvkt.lrv.lt/lt/</w:t>
      </w:r>
      <w:r w:rsidR="001716B8" w:rsidRPr="001716B8">
        <w:rPr>
          <w:rFonts w:ascii="Times New Roman" w:eastAsia="Times New Roman" w:hAnsi="Times New Roman" w:cs="Times New Roman"/>
          <w:noProof/>
          <w:snapToGrid w:val="0"/>
          <w:szCs w:val="24"/>
        </w:rPr>
        <w:t xml:space="preserve"> nurodytais būdais</w:t>
      </w:r>
      <w:r w:rsidR="001716B8">
        <w:rPr>
          <w:rFonts w:ascii="Times New Roman" w:eastAsia="Times New Roman" w:hAnsi="Times New Roman" w:cs="Times New Roman"/>
          <w:noProof/>
          <w:snapToGrid w:val="0"/>
          <w:szCs w:val="24"/>
        </w:rPr>
        <w:t>.</w:t>
      </w:r>
    </w:p>
    <w:p w14:paraId="002BF0DE" w14:textId="77777777" w:rsidR="00F151B8" w:rsidRPr="00DF20DE" w:rsidRDefault="00F151B8" w:rsidP="007E6752">
      <w:pPr>
        <w:widowControl w:val="0"/>
        <w:autoSpaceDE w:val="0"/>
        <w:autoSpaceDN w:val="0"/>
        <w:spacing w:after="0" w:line="240" w:lineRule="auto"/>
        <w:rPr>
          <w:rFonts w:ascii="Times New Roman" w:eastAsia="Times New Roman" w:hAnsi="Times New Roman" w:cs="Times New Roman"/>
        </w:rPr>
      </w:pPr>
    </w:p>
    <w:p w14:paraId="30C4225B" w14:textId="77777777" w:rsidR="00F151B8" w:rsidRPr="00DF20DE" w:rsidRDefault="00F151B8" w:rsidP="006A7DC7">
      <w:pPr>
        <w:widowControl w:val="0"/>
        <w:tabs>
          <w:tab w:val="left" w:pos="782"/>
          <w:tab w:val="left" w:pos="783"/>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4.9</w:t>
      </w:r>
      <w:r w:rsidRPr="00DF20DE">
        <w:rPr>
          <w:rFonts w:ascii="Times New Roman" w:eastAsia="Times New Roman" w:hAnsi="Times New Roman" w:cs="Times New Roman"/>
          <w:b/>
          <w:bCs/>
        </w:rPr>
        <w:tab/>
        <w:t>Perdozavimas</w:t>
      </w:r>
    </w:p>
    <w:p w14:paraId="6F66CF41" w14:textId="77777777" w:rsidR="00F151B8" w:rsidRPr="00DF20DE" w:rsidRDefault="00F151B8" w:rsidP="007E6752">
      <w:pPr>
        <w:widowControl w:val="0"/>
        <w:autoSpaceDE w:val="0"/>
        <w:autoSpaceDN w:val="0"/>
        <w:spacing w:after="0" w:line="240" w:lineRule="auto"/>
        <w:rPr>
          <w:rFonts w:ascii="Times New Roman" w:eastAsia="Times New Roman" w:hAnsi="Times New Roman" w:cs="Times New Roman"/>
          <w:b/>
          <w:sz w:val="21"/>
        </w:rPr>
      </w:pPr>
    </w:p>
    <w:p w14:paraId="5629E2CE" w14:textId="77777777" w:rsidR="00F151B8" w:rsidRPr="00DF20DE" w:rsidRDefault="00F151B8" w:rsidP="007E6752">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Vienkartinės tikagreloro dozės iki 900 mg toleruojamos gerai. Tiriant vienkartinės dozės didinimą, jį ribojo toksinis poveikis virškinimo traktui. Kitos kliniškai reikšmingos nepageidaujamos reakcijos, kurių gali pasireikšti perdozavus, yra dusulys ir skilvelių veiklos pauzės (žr. 4.8 skyrių).</w:t>
      </w:r>
    </w:p>
    <w:p w14:paraId="1FEECBC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270C946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Perdozavus gali pasireikšti aukščiau išvardytų nepageidaujamų reakcijų. Svarstytinas EKG registravimo tikslingumas.</w:t>
      </w:r>
    </w:p>
    <w:p w14:paraId="28A6A1C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B98AE5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Šiuo metu priešnuodžio tikagreloro poveikiui pašalinti nėra. Dializės būdu tikagreloro nepašalinama (žr. 5.2 skyrių). Perdozavimas gydomas įprastinėmis priemonėmis. Tikėtinas tikagreloro perdozavimo poveikis yra kraujavimo rizikos laikotarpio pailgėjimas, susijęs su trombocitų funkcijos slopinimu. Perpilti trombocitai neturėtų būti kliniškai naudingi pacientams kraujavimo metu (žr. 4.4 skyrių). Prasidėjus kraujavimui reikia imtis kitokių atitinkamų palaikomųjų priemonių.</w:t>
      </w:r>
    </w:p>
    <w:p w14:paraId="4B6482F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A01FFC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9BE1CEE" w14:textId="77777777" w:rsidR="00F151B8" w:rsidRPr="00DF20DE" w:rsidRDefault="00F151B8" w:rsidP="00B61CB8">
      <w:pPr>
        <w:widowControl w:val="0"/>
        <w:numPr>
          <w:ilvl w:val="0"/>
          <w:numId w:val="10"/>
        </w:numPr>
        <w:tabs>
          <w:tab w:val="left" w:pos="782"/>
          <w:tab w:val="left" w:pos="783"/>
        </w:tabs>
        <w:autoSpaceDE w:val="0"/>
        <w:autoSpaceDN w:val="0"/>
        <w:spacing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FARMAKOLOGINĖS SAVYBĖS</w:t>
      </w:r>
    </w:p>
    <w:p w14:paraId="3D68B3A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74C1A5D2"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5.1</w:t>
      </w:r>
      <w:r w:rsidRPr="00DF20DE">
        <w:rPr>
          <w:rFonts w:ascii="Times New Roman" w:eastAsia="Times New Roman" w:hAnsi="Times New Roman" w:cs="Times New Roman"/>
          <w:b/>
          <w:bCs/>
        </w:rPr>
        <w:tab/>
        <w:t>Farmakodinaminės savybės</w:t>
      </w:r>
    </w:p>
    <w:p w14:paraId="44036F6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p>
    <w:p w14:paraId="52D5EE61" w14:textId="009F4FF9"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Farmakoterapinė grupė –antitrombocitiniai vaistiniai preparatai, trombocitų agregacijos inhibitoriai, išskyrus hepariną, ATC kodas – B01AC24</w:t>
      </w:r>
      <w:r w:rsidR="00A3525D" w:rsidRPr="00DF20DE">
        <w:rPr>
          <w:rFonts w:ascii="Times New Roman" w:eastAsia="Times New Roman" w:hAnsi="Times New Roman" w:cs="Times New Roman"/>
        </w:rPr>
        <w:t>.</w:t>
      </w:r>
    </w:p>
    <w:p w14:paraId="7426D3E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09C4ED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Veikimo mechanizmas</w:t>
      </w:r>
    </w:p>
    <w:p w14:paraId="578A3732" w14:textId="3A045EF2" w:rsidR="00F151B8" w:rsidRPr="00DF20DE" w:rsidRDefault="008B0463"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F151B8" w:rsidRPr="00DF20DE">
        <w:rPr>
          <w:rFonts w:ascii="Times New Roman" w:eastAsia="Times New Roman" w:hAnsi="Times New Roman" w:cs="Times New Roman"/>
        </w:rPr>
        <w:t xml:space="preserve"> sudėtyje yra tikagreloro – geriamojo cheminės ciklopentiltriazolpirimidinų (CPTP) grupės </w:t>
      </w:r>
      <w:r w:rsidR="00F151B8" w:rsidRPr="00DF20DE">
        <w:rPr>
          <w:rFonts w:ascii="Times New Roman" w:eastAsia="Times New Roman" w:hAnsi="Times New Roman" w:cs="Times New Roman"/>
          <w:position w:val="2"/>
        </w:rPr>
        <w:t>tiesioginio ir selektyvaus veikimo laikinai prisijungiančio P2Y</w:t>
      </w:r>
      <w:r w:rsidR="00F151B8" w:rsidRPr="00DF20DE">
        <w:rPr>
          <w:rFonts w:ascii="Times New Roman" w:eastAsia="Times New Roman" w:hAnsi="Times New Roman" w:cs="Times New Roman"/>
          <w:sz w:val="14"/>
        </w:rPr>
        <w:t xml:space="preserve">12 </w:t>
      </w:r>
      <w:r w:rsidR="00F151B8" w:rsidRPr="00DF20DE">
        <w:rPr>
          <w:rFonts w:ascii="Times New Roman" w:eastAsia="Times New Roman" w:hAnsi="Times New Roman" w:cs="Times New Roman"/>
          <w:position w:val="2"/>
        </w:rPr>
        <w:t xml:space="preserve">receptorių antagonisto, trikdančio </w:t>
      </w:r>
      <w:r w:rsidR="00F151B8" w:rsidRPr="00DF20DE">
        <w:rPr>
          <w:rFonts w:ascii="Times New Roman" w:eastAsia="Times New Roman" w:hAnsi="Times New Roman" w:cs="Times New Roman"/>
          <w:position w:val="2"/>
        </w:rPr>
        <w:lastRenderedPageBreak/>
        <w:t xml:space="preserve">ADF </w:t>
      </w:r>
      <w:r w:rsidR="00406123" w:rsidRPr="00DF20DE">
        <w:rPr>
          <w:rFonts w:ascii="Times New Roman" w:eastAsia="Times New Roman" w:hAnsi="Times New Roman" w:cs="Times New Roman"/>
          <w:position w:val="2"/>
        </w:rPr>
        <w:t xml:space="preserve">tarpininkaujamą, </w:t>
      </w:r>
      <w:r w:rsidR="00F151B8" w:rsidRPr="00DF20DE">
        <w:rPr>
          <w:rFonts w:ascii="Times New Roman" w:eastAsia="Times New Roman" w:hAnsi="Times New Roman" w:cs="Times New Roman"/>
          <w:position w:val="2"/>
        </w:rPr>
        <w:t>nuo P2Y</w:t>
      </w:r>
      <w:r w:rsidR="00F151B8" w:rsidRPr="00DF20DE">
        <w:rPr>
          <w:rFonts w:ascii="Times New Roman" w:eastAsia="Times New Roman" w:hAnsi="Times New Roman" w:cs="Times New Roman"/>
          <w:sz w:val="14"/>
        </w:rPr>
        <w:t xml:space="preserve">12 </w:t>
      </w:r>
      <w:r w:rsidR="00F151B8" w:rsidRPr="00DF20DE">
        <w:rPr>
          <w:rFonts w:ascii="Times New Roman" w:eastAsia="Times New Roman" w:hAnsi="Times New Roman" w:cs="Times New Roman"/>
          <w:position w:val="2"/>
        </w:rPr>
        <w:t>priklausomą trombocitų aktyvinimą ir jų agregaciją. Tikagreloras nekliudo prisijungti ADF, tačiau pats prisijungęs prie P2Y</w:t>
      </w:r>
      <w:r w:rsidR="00F151B8" w:rsidRPr="00DF20DE">
        <w:rPr>
          <w:rFonts w:ascii="Times New Roman" w:eastAsia="Times New Roman" w:hAnsi="Times New Roman" w:cs="Times New Roman"/>
          <w:sz w:val="14"/>
        </w:rPr>
        <w:t xml:space="preserve">12 </w:t>
      </w:r>
      <w:r w:rsidR="00F151B8" w:rsidRPr="00DF20DE">
        <w:rPr>
          <w:rFonts w:ascii="Times New Roman" w:eastAsia="Times New Roman" w:hAnsi="Times New Roman" w:cs="Times New Roman"/>
          <w:position w:val="2"/>
        </w:rPr>
        <w:t xml:space="preserve">receptorių neleidžia ADF perduoti </w:t>
      </w:r>
      <w:r w:rsidR="00F151B8" w:rsidRPr="00DF20DE">
        <w:rPr>
          <w:rFonts w:ascii="Times New Roman" w:eastAsia="Times New Roman" w:hAnsi="Times New Roman" w:cs="Times New Roman"/>
        </w:rPr>
        <w:t>signalo. Trombocitai dalyvauja prasidedant ir (arba) progresuojant aterosklerozės trombozinėms komplikacijoms, todėl jų funkcijos slopinimas mažina KV komplikacijų (mirties, MI ir insulto) riziką.</w:t>
      </w:r>
    </w:p>
    <w:p w14:paraId="6C745AD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6CEF17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Be to, tikagreloras didina lokalią endogeninio adenozino koncentraciją, nes slopina pusiausvyrinį nukleozidų nešiklį 1 (angl. </w:t>
      </w:r>
      <w:r w:rsidRPr="00DF20DE">
        <w:rPr>
          <w:rFonts w:ascii="Times New Roman" w:eastAsia="Times New Roman" w:hAnsi="Times New Roman" w:cs="Times New Roman"/>
          <w:i/>
        </w:rPr>
        <w:t>equilibrative nucleoside transporter-1</w:t>
      </w:r>
      <w:r w:rsidRPr="00DF20DE">
        <w:rPr>
          <w:rFonts w:ascii="Times New Roman" w:eastAsia="Times New Roman" w:hAnsi="Times New Roman" w:cs="Times New Roman"/>
        </w:rPr>
        <w:t>, ENT-1).</w:t>
      </w:r>
    </w:p>
    <w:p w14:paraId="0C11E44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56E67C8" w14:textId="5241D97D"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Nustatyta, kad tikagreloras sustiprina šį adenozino poveikį sveikiems žmonėms ir </w:t>
      </w:r>
      <w:r w:rsidR="00406123" w:rsidRPr="00DF20DE">
        <w:rPr>
          <w:rFonts w:ascii="Times New Roman" w:eastAsia="Times New Roman" w:hAnsi="Times New Roman" w:cs="Times New Roman"/>
        </w:rPr>
        <w:t>ŪK</w:t>
      </w:r>
      <w:r w:rsidRPr="00DF20DE">
        <w:rPr>
          <w:rFonts w:ascii="Times New Roman" w:eastAsia="Times New Roman" w:hAnsi="Times New Roman" w:cs="Times New Roman"/>
        </w:rPr>
        <w:t xml:space="preserve">S ištiktiems pacientams: kraujagyslių išsiplėtimą (matuojamas pagal sveikų žmonių ir </w:t>
      </w:r>
      <w:r w:rsidR="00406123" w:rsidRPr="00DF20DE">
        <w:rPr>
          <w:rFonts w:ascii="Times New Roman" w:eastAsia="Times New Roman" w:hAnsi="Times New Roman" w:cs="Times New Roman"/>
        </w:rPr>
        <w:t>ŪK</w:t>
      </w:r>
      <w:r w:rsidRPr="00DF20DE">
        <w:rPr>
          <w:rFonts w:ascii="Times New Roman" w:eastAsia="Times New Roman" w:hAnsi="Times New Roman" w:cs="Times New Roman"/>
        </w:rPr>
        <w:t xml:space="preserve">S ištiktų pacientų koronarinės kraujotakos padidėjimą, galvos skausmą), trombocitų funkcijos slopinimą (žmogaus kraujyje </w:t>
      </w:r>
      <w:r w:rsidRPr="00DF20DE">
        <w:rPr>
          <w:rFonts w:ascii="Times New Roman" w:eastAsia="Times New Roman" w:hAnsi="Times New Roman" w:cs="Times New Roman"/>
          <w:i/>
        </w:rPr>
        <w:t>in vitro</w:t>
      </w:r>
      <w:r w:rsidRPr="00DF20DE">
        <w:rPr>
          <w:rFonts w:ascii="Times New Roman" w:eastAsia="Times New Roman" w:hAnsi="Times New Roman" w:cs="Times New Roman"/>
        </w:rPr>
        <w:t>) ir dusulį. Vis dėlto ryšys tarp nustatyto adenozino koncentracijos padidėjimo ir klinikinių rezultatų (pvz., sergamumo ir mirštamumo) tiksliai neišaiškintas.</w:t>
      </w:r>
    </w:p>
    <w:p w14:paraId="1790392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12ED4A5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Farmakodinaminis poveikis</w:t>
      </w:r>
    </w:p>
    <w:p w14:paraId="34489AE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Veikimo pradžia</w:t>
      </w:r>
    </w:p>
    <w:p w14:paraId="606C7B52" w14:textId="43416F7F"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Stabilia išemine širdies liga (IŠL) sergantiems pacientams, vartojantiems acetilsalicilo rūgšt</w:t>
      </w:r>
      <w:r w:rsidR="00406123" w:rsidRPr="00DF20DE">
        <w:rPr>
          <w:rFonts w:ascii="Times New Roman" w:eastAsia="Times New Roman" w:hAnsi="Times New Roman" w:cs="Times New Roman"/>
        </w:rPr>
        <w:t>ies</w:t>
      </w:r>
      <w:r w:rsidRPr="00DF20DE">
        <w:rPr>
          <w:rFonts w:ascii="Times New Roman" w:eastAsia="Times New Roman" w:hAnsi="Times New Roman" w:cs="Times New Roman"/>
        </w:rPr>
        <w:t>, tikagreloras greitai sukelia farmakologinį poveikį: jo sukeliamas vidutinis trombocitų agregacijos slopinimas praėjus 30 min. po 180 mg įsotinimo dozės siekia apie 41 %, stipriausias (89 %) pasidaro praėjus 2–4 val. ir išlieka 2–8 val. po jos. 90 % pacientų, pavartojusių tikagreloro, galutinis trombocitų agregacijos slopinimas pasiekdavo &gt; 70 % per 2 val.</w:t>
      </w:r>
    </w:p>
    <w:p w14:paraId="3CC3D0F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3F34FF0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Veikimo pabaiga</w:t>
      </w:r>
    </w:p>
    <w:p w14:paraId="6F27B0B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Planuojant koronarinių arterijų šuntavimo procedūrą reikia atsižvelgti į tai, kad su tikagreloru susijusio kraujavimo rizika būna didesnė negu susijusio su klopidogreliu jo vartojimą nutraukus iki procedūros likus mažiau kaip 96 val.</w:t>
      </w:r>
    </w:p>
    <w:p w14:paraId="60B23C4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0BF892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Keitimo duomenys</w:t>
      </w:r>
    </w:p>
    <w:p w14:paraId="3EFE2FD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75 mg klopidogrelio pakeitus į 90 mg tikagreloro 2 kartus per parą, absoliutus trombocitų agregacijos slopinimas sustiprėja 26,4 %, o tikagrelorą pakeitus klopidogreliu – susilpnėja 24,5 %. Klopidogrelį galima pakeisti tikagreloru be antitrombocitinio poveikio pertraukos (žr. 4.2 skyrių).</w:t>
      </w:r>
    </w:p>
    <w:p w14:paraId="387EBA5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0BFE7B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Klinikinis veiksmingumas ir saugumas</w:t>
      </w:r>
    </w:p>
    <w:p w14:paraId="0D2902D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Tikagreloro veiksmingumo ir saugumo klinikiniai duomenys gauti dviejų 3 fazės tyrimų metu:</w:t>
      </w:r>
    </w:p>
    <w:p w14:paraId="795FB8B7"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PLATO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u w:val="single"/>
        </w:rPr>
        <w:t>PLAT</w:t>
      </w:r>
      <w:r w:rsidRPr="00DF20DE">
        <w:rPr>
          <w:rFonts w:ascii="Times New Roman" w:eastAsia="Times New Roman" w:hAnsi="Times New Roman" w:cs="Times New Roman"/>
          <w:i/>
        </w:rPr>
        <w:t xml:space="preserve">elet Inhibition and Patient </w:t>
      </w:r>
      <w:r w:rsidRPr="00DF20DE">
        <w:rPr>
          <w:rFonts w:ascii="Times New Roman" w:eastAsia="Times New Roman" w:hAnsi="Times New Roman" w:cs="Times New Roman"/>
          <w:i/>
          <w:u w:val="single"/>
        </w:rPr>
        <w:t>O</w:t>
      </w:r>
      <w:r w:rsidRPr="00DF20DE">
        <w:rPr>
          <w:rFonts w:ascii="Times New Roman" w:eastAsia="Times New Roman" w:hAnsi="Times New Roman" w:cs="Times New Roman"/>
          <w:i/>
        </w:rPr>
        <w:t>utcomes</w:t>
      </w:r>
      <w:r w:rsidRPr="00DF20DE">
        <w:rPr>
          <w:rFonts w:ascii="Times New Roman" w:eastAsia="Times New Roman" w:hAnsi="Times New Roman" w:cs="Times New Roman"/>
        </w:rPr>
        <w:t xml:space="preserve"> – trombocitų funkcijos slopinimo ir pacientų vertinamųjų baigčių) tyrimo, kurio metu lygintas tikagreloro ir klopidogrelio poveikis kiekvieną iš jų derinant su ASR ir kiti įprastiniu gydymu;</w:t>
      </w:r>
    </w:p>
    <w:p w14:paraId="683E3BEA"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PEGASUS TIMI-54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u w:val="single"/>
        </w:rPr>
        <w:t>P</w:t>
      </w:r>
      <w:r w:rsidRPr="00DF20DE">
        <w:rPr>
          <w:rFonts w:ascii="Times New Roman" w:eastAsia="Times New Roman" w:hAnsi="Times New Roman" w:cs="Times New Roman"/>
          <w:i/>
        </w:rPr>
        <w:t>r</w:t>
      </w:r>
      <w:r w:rsidRPr="00DF20DE">
        <w:rPr>
          <w:rFonts w:ascii="Times New Roman" w:eastAsia="Times New Roman" w:hAnsi="Times New Roman" w:cs="Times New Roman"/>
          <w:i/>
          <w:u w:val="single"/>
        </w:rPr>
        <w:t>E</w:t>
      </w:r>
      <w:r w:rsidRPr="00DF20DE">
        <w:rPr>
          <w:rFonts w:ascii="Times New Roman" w:eastAsia="Times New Roman" w:hAnsi="Times New Roman" w:cs="Times New Roman"/>
          <w:i/>
        </w:rPr>
        <w:t>vention with Tica</w:t>
      </w:r>
      <w:r w:rsidRPr="00DF20DE">
        <w:rPr>
          <w:rFonts w:ascii="Times New Roman" w:eastAsia="Times New Roman" w:hAnsi="Times New Roman" w:cs="Times New Roman"/>
          <w:i/>
          <w:u w:val="single"/>
        </w:rPr>
        <w:t>G</w:t>
      </w:r>
      <w:r w:rsidRPr="00DF20DE">
        <w:rPr>
          <w:rFonts w:ascii="Times New Roman" w:eastAsia="Times New Roman" w:hAnsi="Times New Roman" w:cs="Times New Roman"/>
          <w:i/>
        </w:rPr>
        <w:t>relor of Second</w:t>
      </w:r>
      <w:r w:rsidRPr="00DF20DE">
        <w:rPr>
          <w:rFonts w:ascii="Times New Roman" w:eastAsia="Times New Roman" w:hAnsi="Times New Roman" w:cs="Times New Roman"/>
          <w:i/>
          <w:u w:val="single"/>
        </w:rPr>
        <w:t>A</w:t>
      </w:r>
      <w:r w:rsidRPr="00DF20DE">
        <w:rPr>
          <w:rFonts w:ascii="Times New Roman" w:eastAsia="Times New Roman" w:hAnsi="Times New Roman" w:cs="Times New Roman"/>
          <w:i/>
        </w:rPr>
        <w:t>ry Thrombotic Events in High-Ri</w:t>
      </w:r>
      <w:r w:rsidRPr="00DF20DE">
        <w:rPr>
          <w:rFonts w:ascii="Times New Roman" w:eastAsia="Times New Roman" w:hAnsi="Times New Roman" w:cs="Times New Roman"/>
          <w:i/>
          <w:u w:val="single"/>
        </w:rPr>
        <w:t>S</w:t>
      </w:r>
      <w:r w:rsidRPr="00DF20DE">
        <w:rPr>
          <w:rFonts w:ascii="Times New Roman" w:eastAsia="Times New Roman" w:hAnsi="Times New Roman" w:cs="Times New Roman"/>
          <w:i/>
        </w:rPr>
        <w:t>k Ac</w:t>
      </w:r>
      <w:r w:rsidRPr="00DF20DE">
        <w:rPr>
          <w:rFonts w:ascii="Times New Roman" w:eastAsia="Times New Roman" w:hAnsi="Times New Roman" w:cs="Times New Roman"/>
          <w:i/>
          <w:u w:val="single"/>
        </w:rPr>
        <w:t>U</w:t>
      </w:r>
      <w:r w:rsidRPr="00DF20DE">
        <w:rPr>
          <w:rFonts w:ascii="Times New Roman" w:eastAsia="Times New Roman" w:hAnsi="Times New Roman" w:cs="Times New Roman"/>
          <w:i/>
        </w:rPr>
        <w:t xml:space="preserve">te Coronary </w:t>
      </w:r>
      <w:r w:rsidRPr="00DF20DE">
        <w:rPr>
          <w:rFonts w:ascii="Times New Roman" w:eastAsia="Times New Roman" w:hAnsi="Times New Roman" w:cs="Times New Roman"/>
          <w:i/>
          <w:u w:val="single"/>
        </w:rPr>
        <w:t>S</w:t>
      </w:r>
      <w:r w:rsidRPr="00DF20DE">
        <w:rPr>
          <w:rFonts w:ascii="Times New Roman" w:eastAsia="Times New Roman" w:hAnsi="Times New Roman" w:cs="Times New Roman"/>
          <w:i/>
        </w:rPr>
        <w:t>yndrome Patients</w:t>
      </w:r>
      <w:r w:rsidRPr="00DF20DE">
        <w:rPr>
          <w:rFonts w:ascii="Times New Roman" w:eastAsia="Times New Roman" w:hAnsi="Times New Roman" w:cs="Times New Roman"/>
        </w:rPr>
        <w:t xml:space="preserve"> – antrinių trombozės reiškinių profilaktika tikagreloru ūminių koronarinių sindromų ištiktiems pacientams, turintiems didelę riziką) tyrimo, kurio metu lygintas tikagreloro derinio su ASR ir vien ASR poveikis.</w:t>
      </w:r>
    </w:p>
    <w:p w14:paraId="368D6E8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3"/>
        </w:rPr>
      </w:pPr>
    </w:p>
    <w:p w14:paraId="6AD607C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PLATO tyrimas (ūminiai koronariniai sindromai)</w:t>
      </w:r>
    </w:p>
    <w:p w14:paraId="2FF6771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sz w:val="13"/>
        </w:rPr>
      </w:pPr>
    </w:p>
    <w:p w14:paraId="1D42FCE1" w14:textId="405F21DF"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PLATO tyrime dalyvavo 18624 pacientai, kurie kreip</w:t>
      </w:r>
      <w:r w:rsidR="004C70DE" w:rsidRPr="00DF20DE">
        <w:rPr>
          <w:rFonts w:ascii="Times New Roman" w:eastAsia="Times New Roman" w:hAnsi="Times New Roman" w:cs="Times New Roman"/>
        </w:rPr>
        <w:t>ė</w:t>
      </w:r>
      <w:r w:rsidRPr="00DF20DE">
        <w:rPr>
          <w:rFonts w:ascii="Times New Roman" w:eastAsia="Times New Roman" w:hAnsi="Times New Roman" w:cs="Times New Roman"/>
        </w:rPr>
        <w:t>si per 24 val. nuo nestabilios krūtinės anginos, miokardo infarkto be ST pakilimo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rPr>
        <w:t>non ST elevation myocardial infarction</w:t>
      </w:r>
      <w:r w:rsidRPr="00DF20DE">
        <w:rPr>
          <w:rFonts w:ascii="Times New Roman" w:eastAsia="Times New Roman" w:hAnsi="Times New Roman" w:cs="Times New Roman"/>
        </w:rPr>
        <w:t>, NSTEMI) arba miokardo infarkto su ST pakilimu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rPr>
        <w:t>ST elevation myocardial infarction</w:t>
      </w:r>
      <w:r w:rsidRPr="00DF20DE">
        <w:rPr>
          <w:rFonts w:ascii="Times New Roman" w:eastAsia="Times New Roman" w:hAnsi="Times New Roman" w:cs="Times New Roman"/>
        </w:rPr>
        <w:t>, STEMI) simptomų pasireiškimo. Jie iš pradžių buvo gydomi vaistiniais preparatais arba taikant perkutaninę koronarinę intervenciją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rPr>
        <w:t>percutaneous coronary intervention</w:t>
      </w:r>
      <w:r w:rsidRPr="00DF20DE">
        <w:rPr>
          <w:rFonts w:ascii="Times New Roman" w:eastAsia="Times New Roman" w:hAnsi="Times New Roman" w:cs="Times New Roman"/>
        </w:rPr>
        <w:t>, PCI) arba koronarinių arterijų šuntavimą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rPr>
        <w:t>coronary artery bypass grafting</w:t>
      </w:r>
      <w:r w:rsidRPr="00DF20DE">
        <w:rPr>
          <w:rFonts w:ascii="Times New Roman" w:eastAsia="Times New Roman" w:hAnsi="Times New Roman" w:cs="Times New Roman"/>
        </w:rPr>
        <w:t>, CABG).</w:t>
      </w:r>
    </w:p>
    <w:p w14:paraId="2DEC099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3380AF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Klinikinis veiksmingumas</w:t>
      </w:r>
    </w:p>
    <w:p w14:paraId="2809994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Kartu kasdien vartojus ASR, 90 mg tikagreloro 2 kartus per parą poveikis pagal suminį rodiklį (KV mirtys, MI ir insultai) buvo palankesnis negu 75 mg klopidogrelio per parą (skirtumą nulėmė kardiovaskulinės mirtys ir miokardo infarktai). Pacientai vartojo 300 mg klopidogrelio įsotinimo dozę (prieš numatomą perkutaninę koronarinę intervenciją buvo leidžiama vartoti 600 mg dozę) arba</w:t>
      </w:r>
    </w:p>
    <w:p w14:paraId="1349C95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180 mg tikagreloro įsotinimo dozę.</w:t>
      </w:r>
    </w:p>
    <w:p w14:paraId="10BE610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29C3EFF" w14:textId="1BAF05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Šie duomenys nustatyti anksti (absoliu</w:t>
      </w:r>
      <w:r w:rsidR="004C70DE" w:rsidRPr="00DF20DE">
        <w:rPr>
          <w:rFonts w:ascii="Times New Roman" w:eastAsia="Times New Roman" w:hAnsi="Times New Roman" w:cs="Times New Roman"/>
        </w:rPr>
        <w:t>tu</w:t>
      </w:r>
      <w:r w:rsidRPr="00DF20DE">
        <w:rPr>
          <w:rFonts w:ascii="Times New Roman" w:eastAsia="Times New Roman" w:hAnsi="Times New Roman" w:cs="Times New Roman"/>
        </w:rPr>
        <w:t>s rizikos sumažėjimas [</w:t>
      </w:r>
      <w:r w:rsidRPr="00DF20DE">
        <w:rPr>
          <w:rFonts w:ascii="Times New Roman" w:eastAsia="Times New Roman" w:hAnsi="Times New Roman" w:cs="Times New Roman"/>
          <w:i/>
        </w:rPr>
        <w:t>absolute risk reduction</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iCs/>
        </w:rPr>
        <w:t>ARR</w:t>
      </w:r>
      <w:r w:rsidRPr="00DF20DE">
        <w:rPr>
          <w:rFonts w:ascii="Times New Roman" w:eastAsia="Times New Roman" w:hAnsi="Times New Roman" w:cs="Times New Roman"/>
        </w:rPr>
        <w:t>] 0,6 % ir santykin</w:t>
      </w:r>
      <w:r w:rsidR="004C70DE" w:rsidRPr="00DF20DE">
        <w:rPr>
          <w:rFonts w:ascii="Times New Roman" w:eastAsia="Times New Roman" w:hAnsi="Times New Roman" w:cs="Times New Roman"/>
        </w:rPr>
        <w:t>i</w:t>
      </w:r>
      <w:r w:rsidRPr="00DF20DE">
        <w:rPr>
          <w:rFonts w:ascii="Times New Roman" w:eastAsia="Times New Roman" w:hAnsi="Times New Roman" w:cs="Times New Roman"/>
        </w:rPr>
        <w:t>s rizikos sumažėjimas [</w:t>
      </w:r>
      <w:r w:rsidRPr="00DF20DE">
        <w:rPr>
          <w:rFonts w:ascii="Times New Roman" w:eastAsia="Times New Roman" w:hAnsi="Times New Roman" w:cs="Times New Roman"/>
          <w:i/>
        </w:rPr>
        <w:t>Relative Risk Reduction</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iCs/>
        </w:rPr>
        <w:t>RRR</w:t>
      </w:r>
      <w:r w:rsidRPr="00DF20DE">
        <w:rPr>
          <w:rFonts w:ascii="Times New Roman" w:eastAsia="Times New Roman" w:hAnsi="Times New Roman" w:cs="Times New Roman"/>
        </w:rPr>
        <w:t>] 12 % 30–ąją parą) ir buvo stabilūs gydant 12 mėn.: absoliut</w:t>
      </w:r>
      <w:r w:rsidR="004C70DE" w:rsidRPr="00DF20DE">
        <w:rPr>
          <w:rFonts w:ascii="Times New Roman" w:eastAsia="Times New Roman" w:hAnsi="Times New Roman" w:cs="Times New Roman"/>
        </w:rPr>
        <w:t>us</w:t>
      </w:r>
      <w:r w:rsidRPr="00DF20DE">
        <w:rPr>
          <w:rFonts w:ascii="Times New Roman" w:eastAsia="Times New Roman" w:hAnsi="Times New Roman" w:cs="Times New Roman"/>
        </w:rPr>
        <w:t xml:space="preserve"> rizik</w:t>
      </w:r>
      <w:r w:rsidR="004C70DE" w:rsidRPr="00DF20DE">
        <w:rPr>
          <w:rFonts w:ascii="Times New Roman" w:eastAsia="Times New Roman" w:hAnsi="Times New Roman" w:cs="Times New Roman"/>
        </w:rPr>
        <w:t>os</w:t>
      </w:r>
      <w:r w:rsidRPr="00DF20DE">
        <w:rPr>
          <w:rFonts w:ascii="Times New Roman" w:eastAsia="Times New Roman" w:hAnsi="Times New Roman" w:cs="Times New Roman"/>
        </w:rPr>
        <w:t xml:space="preserve"> sumažėj</w:t>
      </w:r>
      <w:r w:rsidR="004C70DE" w:rsidRPr="00DF20DE">
        <w:rPr>
          <w:rFonts w:ascii="Times New Roman" w:eastAsia="Times New Roman" w:hAnsi="Times New Roman" w:cs="Times New Roman"/>
        </w:rPr>
        <w:t>imas</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iCs/>
        </w:rPr>
        <w:t>ARR</w:t>
      </w:r>
      <w:r w:rsidRPr="00DF20DE">
        <w:rPr>
          <w:rFonts w:ascii="Times New Roman" w:eastAsia="Times New Roman" w:hAnsi="Times New Roman" w:cs="Times New Roman"/>
        </w:rPr>
        <w:t>] 1,9 % per metus, santykinė</w:t>
      </w:r>
      <w:r w:rsidR="004B0B9E" w:rsidRPr="00DF20DE">
        <w:rPr>
          <w:rFonts w:ascii="Times New Roman" w:eastAsia="Times New Roman" w:hAnsi="Times New Roman" w:cs="Times New Roman"/>
        </w:rPr>
        <w:t>s</w:t>
      </w:r>
      <w:r w:rsidRPr="00DF20DE">
        <w:rPr>
          <w:rFonts w:ascii="Times New Roman" w:eastAsia="Times New Roman" w:hAnsi="Times New Roman" w:cs="Times New Roman"/>
        </w:rPr>
        <w:t xml:space="preserve"> rizik</w:t>
      </w:r>
      <w:r w:rsidR="004B0B9E" w:rsidRPr="00DF20DE">
        <w:rPr>
          <w:rFonts w:ascii="Times New Roman" w:eastAsia="Times New Roman" w:hAnsi="Times New Roman" w:cs="Times New Roman"/>
        </w:rPr>
        <w:t>os sumažėjimas</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iCs/>
        </w:rPr>
        <w:t>RRR</w:t>
      </w:r>
      <w:r w:rsidRPr="00DF20DE">
        <w:rPr>
          <w:rFonts w:ascii="Times New Roman" w:eastAsia="Times New Roman" w:hAnsi="Times New Roman" w:cs="Times New Roman"/>
        </w:rPr>
        <w:t>] – 16 %. Tai leidžia manyti, kad 90 mg tikagreloro 2 kartus per parą tikslinga vartoti 12 mėn. (žr. 4.2 skyrių). 54 ūminių koronarinių sindromų ištiktiems pacientams vartojant tikagrelor</w:t>
      </w:r>
      <w:r w:rsidR="004C70DE"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vietoje klopidogrelio būtų išvengta vieno arterijų trombozės reiškinio, 91 pacientui vartojant tikagrelor</w:t>
      </w:r>
      <w:r w:rsidR="004C70DE"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vietoje klopidogrelio – vienos kardiovaskulinės mirties (žr. 1 pav. ir 4 lentelę).</w:t>
      </w:r>
    </w:p>
    <w:p w14:paraId="6F29C27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3015EC3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Tikagreloro poveikis, palankesnis negu klopidogrelio, nustatytas daugeliui pacientų pogrupių, sudarytų pagal svorį, lytį, cukrinio diabeto, trumpalaikių išemijos atakų, nehemoraginio insulto ar revaskuliarizacijos anamnezę, kartu vartojamus vaistinius preparatus, įskaitant heparinus, GpIIb/IIIa inhibitorius ir protonų siurblio inhibitorius (žr. 4.5 skyrių), galutinės diagnozės įvykį (miokardo infarktas su ST pakilimu, miokardo infarktas be ST pakilimo, nestabilioji krūtinės angina) ir atrankos į tyrimą metu planuotą gydymą (invazinis ar gydymas vaistiniais preparatais).</w:t>
      </w:r>
    </w:p>
    <w:p w14:paraId="5414524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AA616A9" w14:textId="247155F6"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Pastebėta nestipri, bet reikšminga regiono įtaka gydomajam poveikiui: rizikos santykis (</w:t>
      </w:r>
      <w:r w:rsidRPr="00DF20DE">
        <w:rPr>
          <w:rFonts w:ascii="Times New Roman" w:eastAsia="Times New Roman" w:hAnsi="Times New Roman" w:cs="Times New Roman"/>
          <w:i/>
          <w:iCs/>
        </w:rPr>
        <w:t>angl. hazard ratio, HR</w:t>
      </w:r>
      <w:r w:rsidRPr="00DF20DE">
        <w:rPr>
          <w:rFonts w:ascii="Times New Roman" w:eastAsia="Times New Roman" w:hAnsi="Times New Roman" w:cs="Times New Roman"/>
        </w:rPr>
        <w:t>) pagal pirminės vertinamosios baigties rodiklį tikagrelor</w:t>
      </w:r>
      <w:r w:rsidR="004C70DE"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vartojusiems pacientams buvo palankesnis visame pasaulyje, išskyrus Šiaurės Ameriką, kurioje nustatytas palankesnis klopidogrelio poveikis (joje tirti pacientai sudarė apie 10 % visos tirtos populiacijos) (įtakos p = 0,045). Papildoma analizė leidžia įtarti didesnės acetilsalicilo rūgšties dozės ryšį su mažesniu tikagreloro veiksmingumu. Ilgalaikiam gydymui kartu su tikagreloru reikia vartoti 75-150 mg ASR (žr. 4.2 ir 4.4 skyrius).</w:t>
      </w:r>
    </w:p>
    <w:p w14:paraId="40C01E3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55344F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1 pav. pavaizduota apskaičiuotoji bendra visų pirmųjų įvykių, įtrauktų į sudėtinį rodiklį, rizika.</w:t>
      </w:r>
    </w:p>
    <w:p w14:paraId="0689D20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04A707D"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1 pav. Pagrindinės klinikinės sudėtinės PLATO tyrimo vertinamosios baigties (KV mirties, MI, insulto) analizė</w:t>
      </w:r>
    </w:p>
    <w:p w14:paraId="72CA5C79"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p>
    <w:p w14:paraId="584A91E8"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noProof/>
          <w:lang w:eastAsia="lt-LT"/>
        </w:rPr>
        <w:drawing>
          <wp:inline distT="0" distB="0" distL="0" distR="0" wp14:anchorId="0E866DF4" wp14:editId="5634E9A1">
            <wp:extent cx="5073650" cy="307472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73650" cy="3074724"/>
                    </a:xfrm>
                    <a:prstGeom prst="rect">
                      <a:avLst/>
                    </a:prstGeom>
                    <a:noFill/>
                    <a:ln>
                      <a:noFill/>
                    </a:ln>
                  </pic:spPr>
                </pic:pic>
              </a:graphicData>
            </a:graphic>
          </wp:inline>
        </w:drawing>
      </w:r>
    </w:p>
    <w:p w14:paraId="3FCC462D"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p>
    <w:p w14:paraId="1AACFE79" w14:textId="5F8863F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Tikagreloras, palyginus su klopidogreliu, sumažino pirminės </w:t>
      </w:r>
      <w:r w:rsidR="004C70DE" w:rsidRPr="00DF20DE">
        <w:rPr>
          <w:rFonts w:ascii="Times New Roman" w:eastAsia="Times New Roman" w:hAnsi="Times New Roman" w:cs="Times New Roman"/>
        </w:rPr>
        <w:t xml:space="preserve">sudėtinės </w:t>
      </w:r>
      <w:r w:rsidRPr="00DF20DE">
        <w:rPr>
          <w:rFonts w:ascii="Times New Roman" w:eastAsia="Times New Roman" w:hAnsi="Times New Roman" w:cs="Times New Roman"/>
        </w:rPr>
        <w:t xml:space="preserve">vertinamosios baigties pasireiškimo riziką tiek nestabilią krūtinės anginą ar miokardo infarktą be ST pakilimo, tiek miokardo infarktą su ST pakilimu patyrusių pacientų populiacijoje (4 lentelė). Taigi, 90 mg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2 kartus per parą kartu su maža ASR doze tinka ŪKS (nestabilios krūtinės anginos, miokardo infarkto be ST pakilimo [</w:t>
      </w:r>
      <w:r w:rsidRPr="00DF20DE">
        <w:rPr>
          <w:rFonts w:ascii="Times New Roman" w:eastAsia="Times New Roman" w:hAnsi="Times New Roman" w:cs="Times New Roman"/>
          <w:i/>
          <w:iCs/>
        </w:rPr>
        <w:t>NSTEMI</w:t>
      </w:r>
      <w:r w:rsidRPr="00DF20DE">
        <w:rPr>
          <w:rFonts w:ascii="Times New Roman" w:eastAsia="Times New Roman" w:hAnsi="Times New Roman" w:cs="Times New Roman"/>
        </w:rPr>
        <w:t>] ir miokardo infarkto su ST pakilimu [</w:t>
      </w:r>
      <w:r w:rsidRPr="00DF20DE">
        <w:rPr>
          <w:rFonts w:ascii="Times New Roman" w:eastAsia="Times New Roman" w:hAnsi="Times New Roman" w:cs="Times New Roman"/>
          <w:i/>
          <w:iCs/>
        </w:rPr>
        <w:t>STEMI</w:t>
      </w:r>
      <w:r w:rsidRPr="00DF20DE">
        <w:rPr>
          <w:rFonts w:ascii="Times New Roman" w:eastAsia="Times New Roman" w:hAnsi="Times New Roman" w:cs="Times New Roman"/>
        </w:rPr>
        <w:t>]) ištiktiems pacientams, įskaitant gydomus vaistiniais preparatais, taikant perkutaninę koronarinę intervenciją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rPr>
        <w:t>percutaneous coronary intervention</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iCs/>
        </w:rPr>
        <w:t>PCI</w:t>
      </w:r>
      <w:r w:rsidRPr="00DF20DE">
        <w:rPr>
          <w:rFonts w:ascii="Times New Roman" w:eastAsia="Times New Roman" w:hAnsi="Times New Roman" w:cs="Times New Roman"/>
        </w:rPr>
        <w:t>) ir koronarinių arterijų šuntavimą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rPr>
        <w:t>coronary artery by-pass grafting</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iCs/>
        </w:rPr>
        <w:t>CABG</w:t>
      </w:r>
      <w:r w:rsidRPr="00DF20DE">
        <w:rPr>
          <w:rFonts w:ascii="Times New Roman" w:eastAsia="Times New Roman" w:hAnsi="Times New Roman" w:cs="Times New Roman"/>
        </w:rPr>
        <w:t>).</w:t>
      </w:r>
    </w:p>
    <w:p w14:paraId="79AB1E6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4BB3DD3" w14:textId="77777777" w:rsidR="00F151B8" w:rsidRPr="00DF20DE" w:rsidRDefault="00F151B8" w:rsidP="00F151B8">
      <w:pPr>
        <w:keepNext/>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lastRenderedPageBreak/>
        <w:t>4 lentelė. Pirminių ir antrinių PLATO tyrimo vertinamųjų baigčių analizė</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0"/>
        <w:gridCol w:w="1361"/>
        <w:gridCol w:w="1417"/>
        <w:gridCol w:w="684"/>
        <w:gridCol w:w="1442"/>
        <w:gridCol w:w="1125"/>
        <w:gridCol w:w="10"/>
      </w:tblGrid>
      <w:tr w:rsidR="00505926" w:rsidRPr="00DF20DE" w14:paraId="4616C646" w14:textId="77777777" w:rsidTr="005D637C">
        <w:trPr>
          <w:trHeight w:val="2279"/>
        </w:trPr>
        <w:tc>
          <w:tcPr>
            <w:tcW w:w="1890" w:type="dxa"/>
          </w:tcPr>
          <w:p w14:paraId="0E3F95CE"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sz w:val="20"/>
              </w:rPr>
            </w:pPr>
          </w:p>
        </w:tc>
        <w:tc>
          <w:tcPr>
            <w:tcW w:w="1361" w:type="dxa"/>
          </w:tcPr>
          <w:p w14:paraId="3862C49F" w14:textId="43094C13"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bCs/>
              </w:rPr>
            </w:pPr>
            <w:r w:rsidRPr="00DF20DE">
              <w:rPr>
                <w:rFonts w:ascii="Times New Roman" w:eastAsia="Times New Roman" w:hAnsi="Times New Roman" w:cs="Times New Roman"/>
                <w:b/>
                <w:bCs/>
              </w:rPr>
              <w:t>Tikagreloras po 90 mg 2 kartus per parą (reiškinį patyrę pacientai, %)</w:t>
            </w:r>
          </w:p>
          <w:p w14:paraId="401DD7DC" w14:textId="58A52558"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bCs/>
              </w:rPr>
            </w:pPr>
            <w:r w:rsidRPr="00DF20DE">
              <w:rPr>
                <w:rFonts w:ascii="Times New Roman" w:eastAsia="Times New Roman" w:hAnsi="Times New Roman" w:cs="Times New Roman"/>
                <w:b/>
                <w:bCs/>
              </w:rPr>
              <w:t>N</w:t>
            </w:r>
            <w:r w:rsidR="00C61DE9" w:rsidRPr="00DF20DE">
              <w:rPr>
                <w:rFonts w:ascii="Times New Roman" w:eastAsia="Times New Roman" w:hAnsi="Times New Roman" w:cs="Times New Roman"/>
                <w:b/>
                <w:bCs/>
              </w:rPr>
              <w:t> </w:t>
            </w:r>
            <w:r w:rsidRPr="00DF20DE">
              <w:rPr>
                <w:rFonts w:ascii="Times New Roman" w:eastAsia="Times New Roman" w:hAnsi="Times New Roman" w:cs="Times New Roman"/>
                <w:b/>
                <w:bCs/>
              </w:rPr>
              <w:t>=</w:t>
            </w:r>
            <w:r w:rsidR="00C61DE9" w:rsidRPr="00DF20DE">
              <w:rPr>
                <w:rFonts w:ascii="Times New Roman" w:eastAsia="Times New Roman" w:hAnsi="Times New Roman" w:cs="Times New Roman"/>
                <w:b/>
                <w:bCs/>
              </w:rPr>
              <w:t> </w:t>
            </w:r>
            <w:r w:rsidRPr="00DF20DE">
              <w:rPr>
                <w:rFonts w:ascii="Times New Roman" w:eastAsia="Times New Roman" w:hAnsi="Times New Roman" w:cs="Times New Roman"/>
                <w:b/>
                <w:bCs/>
              </w:rPr>
              <w:t>9333</w:t>
            </w:r>
          </w:p>
        </w:tc>
        <w:tc>
          <w:tcPr>
            <w:tcW w:w="1417" w:type="dxa"/>
          </w:tcPr>
          <w:p w14:paraId="53EEF36E" w14:textId="026EADE1"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bCs/>
              </w:rPr>
            </w:pPr>
            <w:r w:rsidRPr="00DF20DE">
              <w:rPr>
                <w:rFonts w:ascii="Times New Roman" w:eastAsia="Times New Roman" w:hAnsi="Times New Roman" w:cs="Times New Roman"/>
                <w:b/>
                <w:bCs/>
              </w:rPr>
              <w:t>Klopidogrelis 75 mg 1 kartą per parą (reiškinį patyrę pacientai,%) N</w:t>
            </w:r>
            <w:r w:rsidR="00C61DE9" w:rsidRPr="00DF20DE">
              <w:rPr>
                <w:rFonts w:ascii="Times New Roman" w:eastAsia="Times New Roman" w:hAnsi="Times New Roman" w:cs="Times New Roman"/>
                <w:b/>
                <w:bCs/>
              </w:rPr>
              <w:t> </w:t>
            </w:r>
            <w:r w:rsidRPr="00DF20DE">
              <w:rPr>
                <w:rFonts w:ascii="Times New Roman" w:eastAsia="Times New Roman" w:hAnsi="Times New Roman" w:cs="Times New Roman"/>
                <w:b/>
                <w:bCs/>
              </w:rPr>
              <w:t>=</w:t>
            </w:r>
            <w:r w:rsidR="00C61DE9" w:rsidRPr="00DF20DE">
              <w:rPr>
                <w:rFonts w:ascii="Times New Roman" w:eastAsia="Times New Roman" w:hAnsi="Times New Roman" w:cs="Times New Roman"/>
                <w:b/>
                <w:bCs/>
              </w:rPr>
              <w:t> </w:t>
            </w:r>
            <w:r w:rsidRPr="00DF20DE">
              <w:rPr>
                <w:rFonts w:ascii="Times New Roman" w:eastAsia="Times New Roman" w:hAnsi="Times New Roman" w:cs="Times New Roman"/>
                <w:b/>
                <w:bCs/>
              </w:rPr>
              <w:t>9291</w:t>
            </w:r>
          </w:p>
        </w:tc>
        <w:tc>
          <w:tcPr>
            <w:tcW w:w="684" w:type="dxa"/>
          </w:tcPr>
          <w:p w14:paraId="10FD9B01"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bCs/>
                <w:sz w:val="26"/>
              </w:rPr>
            </w:pPr>
          </w:p>
          <w:p w14:paraId="6C30393F"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bCs/>
                <w:sz w:val="26"/>
              </w:rPr>
            </w:pPr>
          </w:p>
          <w:p w14:paraId="11111575"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bCs/>
              </w:rPr>
            </w:pPr>
            <w:r w:rsidRPr="00DF20DE">
              <w:rPr>
                <w:rFonts w:ascii="Times New Roman" w:eastAsia="Times New Roman" w:hAnsi="Times New Roman" w:cs="Times New Roman"/>
                <w:b/>
                <w:bCs/>
                <w:i/>
                <w:iCs/>
              </w:rPr>
              <w:t>ARR</w:t>
            </w:r>
            <w:r w:rsidRPr="00DF20DE">
              <w:rPr>
                <w:rFonts w:ascii="Times New Roman" w:eastAsia="Times New Roman" w:hAnsi="Times New Roman" w:cs="Times New Roman"/>
                <w:b/>
                <w:bCs/>
              </w:rPr>
              <w:t xml:space="preserve"> </w:t>
            </w:r>
            <w:r w:rsidRPr="00DF20DE">
              <w:rPr>
                <w:rFonts w:ascii="Times New Roman" w:eastAsia="Times New Roman" w:hAnsi="Times New Roman" w:cs="Times New Roman"/>
                <w:b/>
                <w:bCs/>
                <w:vertAlign w:val="superscript"/>
              </w:rPr>
              <w:t>a</w:t>
            </w:r>
          </w:p>
          <w:p w14:paraId="5770EED0"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bCs/>
              </w:rPr>
            </w:pPr>
            <w:r w:rsidRPr="00DF20DE">
              <w:rPr>
                <w:rFonts w:ascii="Times New Roman" w:eastAsia="Times New Roman" w:hAnsi="Times New Roman" w:cs="Times New Roman"/>
                <w:b/>
                <w:bCs/>
              </w:rPr>
              <w:t>(% per metus)</w:t>
            </w:r>
          </w:p>
        </w:tc>
        <w:tc>
          <w:tcPr>
            <w:tcW w:w="1442" w:type="dxa"/>
          </w:tcPr>
          <w:p w14:paraId="22867C14"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bCs/>
                <w:sz w:val="24"/>
              </w:rPr>
            </w:pPr>
          </w:p>
          <w:p w14:paraId="1C52CEEE"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bCs/>
                <w:sz w:val="24"/>
              </w:rPr>
            </w:pPr>
          </w:p>
          <w:p w14:paraId="2FD934C3"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bCs/>
                <w:sz w:val="29"/>
              </w:rPr>
            </w:pPr>
          </w:p>
          <w:p w14:paraId="3AC9EE70"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bCs/>
              </w:rPr>
            </w:pPr>
            <w:r w:rsidRPr="00DF20DE">
              <w:rPr>
                <w:rFonts w:ascii="Times New Roman" w:eastAsia="Times New Roman" w:hAnsi="Times New Roman" w:cs="Times New Roman"/>
                <w:b/>
                <w:bCs/>
                <w:i/>
                <w:iCs/>
              </w:rPr>
              <w:t>RRR</w:t>
            </w:r>
            <w:r w:rsidRPr="00DF20DE">
              <w:rPr>
                <w:rFonts w:ascii="Times New Roman" w:eastAsia="Times New Roman" w:hAnsi="Times New Roman" w:cs="Times New Roman"/>
                <w:b/>
                <w:bCs/>
              </w:rPr>
              <w:t xml:space="preserve"> </w:t>
            </w:r>
            <w:r w:rsidRPr="00DF20DE">
              <w:rPr>
                <w:rFonts w:ascii="Times New Roman" w:eastAsia="Times New Roman" w:hAnsi="Times New Roman" w:cs="Times New Roman"/>
                <w:b/>
                <w:bCs/>
                <w:vertAlign w:val="superscript"/>
              </w:rPr>
              <w:t>a</w:t>
            </w:r>
            <w:r w:rsidRPr="00DF20DE">
              <w:rPr>
                <w:rFonts w:ascii="Times New Roman" w:eastAsia="Times New Roman" w:hAnsi="Times New Roman" w:cs="Times New Roman"/>
                <w:b/>
                <w:bCs/>
              </w:rPr>
              <w:t xml:space="preserve"> (%) (95 % PI)</w:t>
            </w:r>
          </w:p>
        </w:tc>
        <w:tc>
          <w:tcPr>
            <w:tcW w:w="1135" w:type="dxa"/>
            <w:gridSpan w:val="2"/>
          </w:tcPr>
          <w:p w14:paraId="6FCD111B"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b/>
                <w:bCs/>
                <w:sz w:val="24"/>
              </w:rPr>
            </w:pPr>
          </w:p>
          <w:p w14:paraId="29163185"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b/>
                <w:bCs/>
                <w:sz w:val="24"/>
              </w:rPr>
            </w:pPr>
          </w:p>
          <w:p w14:paraId="537686C5"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b/>
                <w:bCs/>
                <w:sz w:val="29"/>
              </w:rPr>
            </w:pPr>
          </w:p>
          <w:p w14:paraId="051D0A0A"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b/>
                <w:bCs/>
              </w:rPr>
            </w:pPr>
            <w:r w:rsidRPr="00DF20DE">
              <w:rPr>
                <w:rFonts w:ascii="Times New Roman" w:eastAsia="Times New Roman" w:hAnsi="Times New Roman" w:cs="Times New Roman"/>
                <w:b/>
                <w:bCs/>
              </w:rPr>
              <w:t>p reikšmė</w:t>
            </w:r>
          </w:p>
        </w:tc>
      </w:tr>
      <w:tr w:rsidR="00505926" w:rsidRPr="00DF20DE" w14:paraId="1C3C250D" w14:textId="77777777" w:rsidTr="005D637C">
        <w:trPr>
          <w:gridAfter w:val="1"/>
          <w:wAfter w:w="10" w:type="dxa"/>
          <w:trHeight w:val="1261"/>
        </w:trPr>
        <w:tc>
          <w:tcPr>
            <w:tcW w:w="1890" w:type="dxa"/>
          </w:tcPr>
          <w:p w14:paraId="72C13E73" w14:textId="77777777" w:rsidR="00F151B8" w:rsidRPr="00DF20DE" w:rsidRDefault="00F151B8" w:rsidP="00F151B8">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Kardiovaskulinės mirtys, miokardo infarktai (išskyrus besimptomius) ir insultai</w:t>
            </w:r>
          </w:p>
        </w:tc>
        <w:tc>
          <w:tcPr>
            <w:tcW w:w="1361" w:type="dxa"/>
          </w:tcPr>
          <w:p w14:paraId="7A85A581"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4"/>
              </w:rPr>
            </w:pPr>
          </w:p>
          <w:p w14:paraId="742B3D12"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19"/>
              </w:rPr>
            </w:pPr>
          </w:p>
          <w:p w14:paraId="39D2DB71"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9,3</w:t>
            </w:r>
          </w:p>
        </w:tc>
        <w:tc>
          <w:tcPr>
            <w:tcW w:w="1417" w:type="dxa"/>
          </w:tcPr>
          <w:p w14:paraId="69395A49"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4"/>
              </w:rPr>
            </w:pPr>
          </w:p>
          <w:p w14:paraId="5849935C"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19"/>
              </w:rPr>
            </w:pPr>
          </w:p>
          <w:p w14:paraId="19A71F65"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10,9</w:t>
            </w:r>
          </w:p>
        </w:tc>
        <w:tc>
          <w:tcPr>
            <w:tcW w:w="684" w:type="dxa"/>
          </w:tcPr>
          <w:p w14:paraId="3B6C198B"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4"/>
              </w:rPr>
            </w:pPr>
          </w:p>
          <w:p w14:paraId="3D1CB7A6"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19"/>
              </w:rPr>
            </w:pPr>
          </w:p>
          <w:p w14:paraId="11BE2018"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1,9</w:t>
            </w:r>
          </w:p>
        </w:tc>
        <w:tc>
          <w:tcPr>
            <w:tcW w:w="1442" w:type="dxa"/>
          </w:tcPr>
          <w:p w14:paraId="45E1E274"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rPr>
            </w:pPr>
          </w:p>
          <w:p w14:paraId="05B95CA7"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16</w:t>
            </w:r>
          </w:p>
          <w:p w14:paraId="33242459"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(8, 23)</w:t>
            </w:r>
          </w:p>
        </w:tc>
        <w:tc>
          <w:tcPr>
            <w:tcW w:w="1125" w:type="dxa"/>
          </w:tcPr>
          <w:p w14:paraId="0C932E38"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4"/>
              </w:rPr>
            </w:pPr>
          </w:p>
          <w:p w14:paraId="0560E38D"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19"/>
              </w:rPr>
            </w:pPr>
          </w:p>
          <w:p w14:paraId="71065D74"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0,0003</w:t>
            </w:r>
          </w:p>
        </w:tc>
      </w:tr>
      <w:tr w:rsidR="00505926" w:rsidRPr="00DF20DE" w14:paraId="7FAB76DA" w14:textId="77777777" w:rsidTr="005D637C">
        <w:trPr>
          <w:gridAfter w:val="1"/>
          <w:wAfter w:w="10" w:type="dxa"/>
          <w:trHeight w:val="762"/>
        </w:trPr>
        <w:tc>
          <w:tcPr>
            <w:tcW w:w="1890" w:type="dxa"/>
          </w:tcPr>
          <w:p w14:paraId="4A662B94" w14:textId="77777777" w:rsidR="00F151B8" w:rsidRPr="00DF20DE" w:rsidRDefault="00F151B8" w:rsidP="00F151B8">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Numatytos invazinės procedūras</w:t>
            </w:r>
          </w:p>
        </w:tc>
        <w:tc>
          <w:tcPr>
            <w:tcW w:w="1361" w:type="dxa"/>
          </w:tcPr>
          <w:p w14:paraId="4CA2AE06"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1"/>
              </w:rPr>
            </w:pPr>
          </w:p>
          <w:p w14:paraId="17FAED2E"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8,5</w:t>
            </w:r>
          </w:p>
        </w:tc>
        <w:tc>
          <w:tcPr>
            <w:tcW w:w="1417" w:type="dxa"/>
          </w:tcPr>
          <w:p w14:paraId="1069BEC0"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1"/>
              </w:rPr>
            </w:pPr>
          </w:p>
          <w:p w14:paraId="43C798B4"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10,0</w:t>
            </w:r>
          </w:p>
        </w:tc>
        <w:tc>
          <w:tcPr>
            <w:tcW w:w="684" w:type="dxa"/>
          </w:tcPr>
          <w:p w14:paraId="5B39F9C5"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1"/>
              </w:rPr>
            </w:pPr>
          </w:p>
          <w:p w14:paraId="5A2FE63D"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1,7</w:t>
            </w:r>
          </w:p>
        </w:tc>
        <w:tc>
          <w:tcPr>
            <w:tcW w:w="1442" w:type="dxa"/>
          </w:tcPr>
          <w:p w14:paraId="7AA08CAC"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16</w:t>
            </w:r>
          </w:p>
          <w:p w14:paraId="7C418C81"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(6, 25)</w:t>
            </w:r>
          </w:p>
        </w:tc>
        <w:tc>
          <w:tcPr>
            <w:tcW w:w="1125" w:type="dxa"/>
          </w:tcPr>
          <w:p w14:paraId="79B831F6"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1"/>
              </w:rPr>
            </w:pPr>
          </w:p>
          <w:p w14:paraId="2A61A95F"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0,0025</w:t>
            </w:r>
          </w:p>
        </w:tc>
      </w:tr>
      <w:tr w:rsidR="00505926" w:rsidRPr="00DF20DE" w14:paraId="19EBDBDE" w14:textId="77777777" w:rsidTr="005D637C">
        <w:trPr>
          <w:gridAfter w:val="1"/>
          <w:wAfter w:w="10" w:type="dxa"/>
          <w:trHeight w:val="758"/>
        </w:trPr>
        <w:tc>
          <w:tcPr>
            <w:tcW w:w="1890" w:type="dxa"/>
          </w:tcPr>
          <w:p w14:paraId="6FFB8520" w14:textId="77777777" w:rsidR="00F151B8" w:rsidRPr="00DF20DE" w:rsidRDefault="00F151B8" w:rsidP="00F151B8">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Numatytas gydymas vaistiniais preparatais</w:t>
            </w:r>
          </w:p>
        </w:tc>
        <w:tc>
          <w:tcPr>
            <w:tcW w:w="1361" w:type="dxa"/>
          </w:tcPr>
          <w:p w14:paraId="1F2F0740"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1"/>
              </w:rPr>
            </w:pPr>
          </w:p>
          <w:p w14:paraId="6A35E802"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11,3</w:t>
            </w:r>
          </w:p>
        </w:tc>
        <w:tc>
          <w:tcPr>
            <w:tcW w:w="1417" w:type="dxa"/>
          </w:tcPr>
          <w:p w14:paraId="311272B0"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1"/>
              </w:rPr>
            </w:pPr>
          </w:p>
          <w:p w14:paraId="2BC69B3C"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13,2</w:t>
            </w:r>
          </w:p>
        </w:tc>
        <w:tc>
          <w:tcPr>
            <w:tcW w:w="684" w:type="dxa"/>
          </w:tcPr>
          <w:p w14:paraId="7D3E29B4"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1"/>
              </w:rPr>
            </w:pPr>
          </w:p>
          <w:p w14:paraId="54D2E795"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2,3</w:t>
            </w:r>
          </w:p>
        </w:tc>
        <w:tc>
          <w:tcPr>
            <w:tcW w:w="1442" w:type="dxa"/>
          </w:tcPr>
          <w:p w14:paraId="3A0B2F72"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15</w:t>
            </w:r>
          </w:p>
          <w:p w14:paraId="5A280CF7"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(0,3, 27)</w:t>
            </w:r>
          </w:p>
        </w:tc>
        <w:tc>
          <w:tcPr>
            <w:tcW w:w="1125" w:type="dxa"/>
          </w:tcPr>
          <w:p w14:paraId="4D8656CB"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1"/>
              </w:rPr>
            </w:pPr>
          </w:p>
          <w:p w14:paraId="35BC7546"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0,0444</w:t>
            </w:r>
            <w:r w:rsidRPr="00DF20DE">
              <w:rPr>
                <w:rFonts w:ascii="Times New Roman" w:eastAsia="Times New Roman" w:hAnsi="Times New Roman" w:cs="Times New Roman"/>
                <w:vertAlign w:val="superscript"/>
              </w:rPr>
              <w:t>d</w:t>
            </w:r>
          </w:p>
        </w:tc>
      </w:tr>
      <w:tr w:rsidR="00505926" w:rsidRPr="00DF20DE" w14:paraId="5640161D" w14:textId="77777777" w:rsidTr="005D637C">
        <w:trPr>
          <w:gridAfter w:val="1"/>
          <w:wAfter w:w="10" w:type="dxa"/>
          <w:trHeight w:val="503"/>
        </w:trPr>
        <w:tc>
          <w:tcPr>
            <w:tcW w:w="1890" w:type="dxa"/>
          </w:tcPr>
          <w:p w14:paraId="085E9A89" w14:textId="77777777" w:rsidR="00F151B8" w:rsidRPr="00DF20DE" w:rsidRDefault="00F151B8" w:rsidP="00F151B8">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Kardiovaskulinės mirtys</w:t>
            </w:r>
          </w:p>
        </w:tc>
        <w:tc>
          <w:tcPr>
            <w:tcW w:w="1361" w:type="dxa"/>
          </w:tcPr>
          <w:p w14:paraId="305B26CD"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3,8</w:t>
            </w:r>
          </w:p>
        </w:tc>
        <w:tc>
          <w:tcPr>
            <w:tcW w:w="1417" w:type="dxa"/>
          </w:tcPr>
          <w:p w14:paraId="33EC66AF"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4,8</w:t>
            </w:r>
          </w:p>
        </w:tc>
        <w:tc>
          <w:tcPr>
            <w:tcW w:w="684" w:type="dxa"/>
          </w:tcPr>
          <w:p w14:paraId="0F2C03BF"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w:t>
            </w:r>
          </w:p>
        </w:tc>
        <w:tc>
          <w:tcPr>
            <w:tcW w:w="1442" w:type="dxa"/>
          </w:tcPr>
          <w:p w14:paraId="26986465"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21</w:t>
            </w:r>
          </w:p>
          <w:p w14:paraId="3F503E66"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(9, 31)</w:t>
            </w:r>
          </w:p>
        </w:tc>
        <w:tc>
          <w:tcPr>
            <w:tcW w:w="1125" w:type="dxa"/>
          </w:tcPr>
          <w:p w14:paraId="0476A261"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0,0013</w:t>
            </w:r>
          </w:p>
        </w:tc>
      </w:tr>
      <w:tr w:rsidR="00505926" w:rsidRPr="00DF20DE" w14:paraId="5A426168" w14:textId="77777777" w:rsidTr="005D637C">
        <w:trPr>
          <w:gridAfter w:val="1"/>
          <w:wAfter w:w="10" w:type="dxa"/>
          <w:trHeight w:val="508"/>
        </w:trPr>
        <w:tc>
          <w:tcPr>
            <w:tcW w:w="1890" w:type="dxa"/>
          </w:tcPr>
          <w:p w14:paraId="739D3D2F" w14:textId="74AF435A" w:rsidR="00F151B8" w:rsidRPr="00DF20DE" w:rsidRDefault="00F151B8" w:rsidP="00F151B8">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MI (išskyrus besimptomius)</w:t>
            </w:r>
            <w:r w:rsidRPr="00DF20DE">
              <w:rPr>
                <w:rFonts w:ascii="Times New Roman" w:eastAsia="Times New Roman" w:hAnsi="Times New Roman" w:cs="Times New Roman"/>
                <w:vertAlign w:val="superscript"/>
              </w:rPr>
              <w:t>b</w:t>
            </w:r>
          </w:p>
        </w:tc>
        <w:tc>
          <w:tcPr>
            <w:tcW w:w="1361" w:type="dxa"/>
          </w:tcPr>
          <w:p w14:paraId="72412E6E"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5,4</w:t>
            </w:r>
          </w:p>
        </w:tc>
        <w:tc>
          <w:tcPr>
            <w:tcW w:w="1417" w:type="dxa"/>
          </w:tcPr>
          <w:p w14:paraId="499F23A0"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6,4</w:t>
            </w:r>
          </w:p>
        </w:tc>
        <w:tc>
          <w:tcPr>
            <w:tcW w:w="684" w:type="dxa"/>
          </w:tcPr>
          <w:p w14:paraId="7926A017"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w:t>
            </w:r>
          </w:p>
        </w:tc>
        <w:tc>
          <w:tcPr>
            <w:tcW w:w="1442" w:type="dxa"/>
          </w:tcPr>
          <w:p w14:paraId="59D892EE"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16</w:t>
            </w:r>
          </w:p>
          <w:p w14:paraId="6489A8F9"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(5, 25)</w:t>
            </w:r>
          </w:p>
        </w:tc>
        <w:tc>
          <w:tcPr>
            <w:tcW w:w="1125" w:type="dxa"/>
          </w:tcPr>
          <w:p w14:paraId="1024439C"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0,0045</w:t>
            </w:r>
          </w:p>
        </w:tc>
      </w:tr>
      <w:tr w:rsidR="00505926" w:rsidRPr="00DF20DE" w14:paraId="44833458" w14:textId="77777777" w:rsidTr="005D637C">
        <w:trPr>
          <w:gridAfter w:val="1"/>
          <w:wAfter w:w="10" w:type="dxa"/>
          <w:trHeight w:val="503"/>
        </w:trPr>
        <w:tc>
          <w:tcPr>
            <w:tcW w:w="1890" w:type="dxa"/>
          </w:tcPr>
          <w:p w14:paraId="3F9FB34A" w14:textId="77777777" w:rsidR="00F151B8" w:rsidRPr="00DF20DE" w:rsidRDefault="00F151B8" w:rsidP="00F151B8">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Insultai</w:t>
            </w:r>
          </w:p>
        </w:tc>
        <w:tc>
          <w:tcPr>
            <w:tcW w:w="1361" w:type="dxa"/>
          </w:tcPr>
          <w:p w14:paraId="6CADF5EC"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1,3</w:t>
            </w:r>
          </w:p>
        </w:tc>
        <w:tc>
          <w:tcPr>
            <w:tcW w:w="1417" w:type="dxa"/>
          </w:tcPr>
          <w:p w14:paraId="68C048FB"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w:t>
            </w:r>
          </w:p>
        </w:tc>
        <w:tc>
          <w:tcPr>
            <w:tcW w:w="684" w:type="dxa"/>
          </w:tcPr>
          <w:p w14:paraId="33BCB4E7"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-0,2</w:t>
            </w:r>
          </w:p>
        </w:tc>
        <w:tc>
          <w:tcPr>
            <w:tcW w:w="1442" w:type="dxa"/>
          </w:tcPr>
          <w:p w14:paraId="6974D516"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-17</w:t>
            </w:r>
          </w:p>
          <w:p w14:paraId="421F9EA9"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(-52, 9)</w:t>
            </w:r>
          </w:p>
        </w:tc>
        <w:tc>
          <w:tcPr>
            <w:tcW w:w="1125" w:type="dxa"/>
          </w:tcPr>
          <w:p w14:paraId="521681ED"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0,2249</w:t>
            </w:r>
          </w:p>
        </w:tc>
      </w:tr>
      <w:tr w:rsidR="00505926" w:rsidRPr="00DF20DE" w14:paraId="7D66D1DC" w14:textId="77777777" w:rsidTr="005D637C">
        <w:trPr>
          <w:gridAfter w:val="1"/>
          <w:wAfter w:w="10" w:type="dxa"/>
          <w:trHeight w:val="1266"/>
        </w:trPr>
        <w:tc>
          <w:tcPr>
            <w:tcW w:w="1890" w:type="dxa"/>
          </w:tcPr>
          <w:p w14:paraId="787BE63D" w14:textId="77777777" w:rsidR="00F151B8" w:rsidRPr="00DF20DE" w:rsidRDefault="00F151B8" w:rsidP="00F151B8">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Mirtys dėl visų priežasčių, MI (išskyrus besimptomius) ir insultai</w:t>
            </w:r>
          </w:p>
        </w:tc>
        <w:tc>
          <w:tcPr>
            <w:tcW w:w="1361" w:type="dxa"/>
          </w:tcPr>
          <w:p w14:paraId="443C9CEF"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4"/>
              </w:rPr>
            </w:pPr>
          </w:p>
          <w:p w14:paraId="645D5084"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0"/>
              </w:rPr>
            </w:pPr>
          </w:p>
          <w:p w14:paraId="6AE6D408"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9,7</w:t>
            </w:r>
          </w:p>
        </w:tc>
        <w:tc>
          <w:tcPr>
            <w:tcW w:w="1417" w:type="dxa"/>
          </w:tcPr>
          <w:p w14:paraId="34612F51"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4"/>
              </w:rPr>
            </w:pPr>
          </w:p>
          <w:p w14:paraId="0F610C5F"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0"/>
              </w:rPr>
            </w:pPr>
          </w:p>
          <w:p w14:paraId="1924591A"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11,5</w:t>
            </w:r>
          </w:p>
        </w:tc>
        <w:tc>
          <w:tcPr>
            <w:tcW w:w="684" w:type="dxa"/>
          </w:tcPr>
          <w:p w14:paraId="227B03F4"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4"/>
              </w:rPr>
            </w:pPr>
          </w:p>
          <w:p w14:paraId="64536262"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0"/>
              </w:rPr>
            </w:pPr>
          </w:p>
          <w:p w14:paraId="6DF23306"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2,1</w:t>
            </w:r>
          </w:p>
        </w:tc>
        <w:tc>
          <w:tcPr>
            <w:tcW w:w="1442" w:type="dxa"/>
          </w:tcPr>
          <w:p w14:paraId="7F9C5CD2"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rPr>
            </w:pPr>
          </w:p>
          <w:p w14:paraId="2CA1D701"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16</w:t>
            </w:r>
          </w:p>
          <w:p w14:paraId="57C21ECC"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(8, 23)</w:t>
            </w:r>
          </w:p>
        </w:tc>
        <w:tc>
          <w:tcPr>
            <w:tcW w:w="1125" w:type="dxa"/>
          </w:tcPr>
          <w:p w14:paraId="4D24655B"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4"/>
              </w:rPr>
            </w:pPr>
          </w:p>
          <w:p w14:paraId="08512775"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0"/>
              </w:rPr>
            </w:pPr>
          </w:p>
          <w:p w14:paraId="2C636D5A"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0,0001</w:t>
            </w:r>
          </w:p>
        </w:tc>
      </w:tr>
      <w:tr w:rsidR="00505926" w:rsidRPr="00DF20DE" w14:paraId="228ADB2D" w14:textId="77777777" w:rsidTr="005D637C">
        <w:trPr>
          <w:gridAfter w:val="1"/>
          <w:wAfter w:w="10" w:type="dxa"/>
          <w:trHeight w:val="1262"/>
        </w:trPr>
        <w:tc>
          <w:tcPr>
            <w:tcW w:w="1890" w:type="dxa"/>
          </w:tcPr>
          <w:p w14:paraId="6C8DDFA7" w14:textId="02B7CB5C" w:rsidR="00F151B8" w:rsidRPr="00DF20DE" w:rsidRDefault="00F151B8" w:rsidP="00F151B8">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 xml:space="preserve">Kardiovaskulinės mirtys, miokardo infarktai (iš viso), insultai, </w:t>
            </w:r>
            <w:r w:rsidRPr="00DF20DE">
              <w:rPr>
                <w:rFonts w:ascii="Times New Roman" w:eastAsia="Times New Roman" w:hAnsi="Times New Roman" w:cs="Times New Roman"/>
                <w:i/>
                <w:iCs/>
              </w:rPr>
              <w:t>SRI, RI, TIA</w:t>
            </w:r>
            <w:r w:rsidRPr="00DF20DE">
              <w:rPr>
                <w:rFonts w:ascii="Times New Roman" w:eastAsia="Times New Roman" w:hAnsi="Times New Roman" w:cs="Times New Roman"/>
              </w:rPr>
              <w:t xml:space="preserve"> ir kiti </w:t>
            </w:r>
            <w:r w:rsidRPr="00DF20DE">
              <w:rPr>
                <w:rFonts w:ascii="Times New Roman" w:eastAsia="Times New Roman" w:hAnsi="Times New Roman" w:cs="Times New Roman"/>
                <w:i/>
                <w:iCs/>
              </w:rPr>
              <w:t>ATE</w:t>
            </w:r>
            <w:r w:rsidRPr="00DF20DE">
              <w:rPr>
                <w:rFonts w:ascii="Times New Roman" w:eastAsia="Times New Roman" w:hAnsi="Times New Roman" w:cs="Times New Roman"/>
                <w:i/>
                <w:iCs/>
                <w:vertAlign w:val="superscript"/>
              </w:rPr>
              <w:t>c</w:t>
            </w:r>
          </w:p>
        </w:tc>
        <w:tc>
          <w:tcPr>
            <w:tcW w:w="1361" w:type="dxa"/>
          </w:tcPr>
          <w:p w14:paraId="19C9F7E4"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4"/>
              </w:rPr>
            </w:pPr>
          </w:p>
          <w:p w14:paraId="7437A0CB"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0"/>
              </w:rPr>
            </w:pPr>
          </w:p>
          <w:p w14:paraId="15208A14"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13,8</w:t>
            </w:r>
          </w:p>
        </w:tc>
        <w:tc>
          <w:tcPr>
            <w:tcW w:w="1417" w:type="dxa"/>
          </w:tcPr>
          <w:p w14:paraId="1C5DDE56"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4"/>
              </w:rPr>
            </w:pPr>
          </w:p>
          <w:p w14:paraId="58273E24"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0"/>
              </w:rPr>
            </w:pPr>
          </w:p>
          <w:p w14:paraId="7487CE0E"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15,7</w:t>
            </w:r>
          </w:p>
        </w:tc>
        <w:tc>
          <w:tcPr>
            <w:tcW w:w="684" w:type="dxa"/>
          </w:tcPr>
          <w:p w14:paraId="18F8ED45"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4"/>
              </w:rPr>
            </w:pPr>
          </w:p>
          <w:p w14:paraId="20B31F0C"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0"/>
              </w:rPr>
            </w:pPr>
          </w:p>
          <w:p w14:paraId="12BAE4EE"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2,1</w:t>
            </w:r>
          </w:p>
        </w:tc>
        <w:tc>
          <w:tcPr>
            <w:tcW w:w="1442" w:type="dxa"/>
          </w:tcPr>
          <w:p w14:paraId="26ED4293"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rPr>
            </w:pPr>
          </w:p>
          <w:p w14:paraId="771FB925"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12</w:t>
            </w:r>
          </w:p>
          <w:p w14:paraId="170EC60B"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(5, 19)</w:t>
            </w:r>
          </w:p>
        </w:tc>
        <w:tc>
          <w:tcPr>
            <w:tcW w:w="1125" w:type="dxa"/>
          </w:tcPr>
          <w:p w14:paraId="2CD04261"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4"/>
              </w:rPr>
            </w:pPr>
          </w:p>
          <w:p w14:paraId="4C8F476C"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b/>
                <w:sz w:val="20"/>
              </w:rPr>
            </w:pPr>
          </w:p>
          <w:p w14:paraId="2FB3DF50"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0,0006</w:t>
            </w:r>
          </w:p>
        </w:tc>
      </w:tr>
      <w:tr w:rsidR="00505926" w:rsidRPr="00DF20DE" w14:paraId="15F96329" w14:textId="77777777" w:rsidTr="005D637C">
        <w:trPr>
          <w:gridAfter w:val="1"/>
          <w:wAfter w:w="10" w:type="dxa"/>
          <w:trHeight w:val="508"/>
        </w:trPr>
        <w:tc>
          <w:tcPr>
            <w:tcW w:w="1890" w:type="dxa"/>
          </w:tcPr>
          <w:p w14:paraId="44072264" w14:textId="77777777" w:rsidR="00F151B8" w:rsidRPr="00DF20DE" w:rsidRDefault="00F151B8" w:rsidP="00F151B8">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Mirtys dėl visų priežasčių</w:t>
            </w:r>
          </w:p>
        </w:tc>
        <w:tc>
          <w:tcPr>
            <w:tcW w:w="1361" w:type="dxa"/>
          </w:tcPr>
          <w:p w14:paraId="60BF3662"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4,3</w:t>
            </w:r>
          </w:p>
        </w:tc>
        <w:tc>
          <w:tcPr>
            <w:tcW w:w="1417" w:type="dxa"/>
          </w:tcPr>
          <w:p w14:paraId="22964890"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5,4</w:t>
            </w:r>
          </w:p>
        </w:tc>
        <w:tc>
          <w:tcPr>
            <w:tcW w:w="684" w:type="dxa"/>
          </w:tcPr>
          <w:p w14:paraId="7A6A728F"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1,4</w:t>
            </w:r>
          </w:p>
        </w:tc>
        <w:tc>
          <w:tcPr>
            <w:tcW w:w="1442" w:type="dxa"/>
          </w:tcPr>
          <w:p w14:paraId="60B9C545"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22</w:t>
            </w:r>
          </w:p>
          <w:p w14:paraId="51D1C281"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(11, 31)</w:t>
            </w:r>
          </w:p>
        </w:tc>
        <w:tc>
          <w:tcPr>
            <w:tcW w:w="1125" w:type="dxa"/>
          </w:tcPr>
          <w:p w14:paraId="771FB1EA"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0,0003</w:t>
            </w:r>
            <w:r w:rsidRPr="00DF20DE">
              <w:rPr>
                <w:rFonts w:ascii="Times New Roman" w:eastAsia="Times New Roman" w:hAnsi="Times New Roman" w:cs="Times New Roman"/>
                <w:vertAlign w:val="superscript"/>
              </w:rPr>
              <w:t>d</w:t>
            </w:r>
          </w:p>
        </w:tc>
      </w:tr>
      <w:tr w:rsidR="00505926" w:rsidRPr="00DF20DE" w14:paraId="0BC65756" w14:textId="77777777" w:rsidTr="005D637C">
        <w:trPr>
          <w:gridAfter w:val="1"/>
          <w:wAfter w:w="10" w:type="dxa"/>
          <w:trHeight w:val="508"/>
        </w:trPr>
        <w:tc>
          <w:tcPr>
            <w:tcW w:w="1890" w:type="dxa"/>
          </w:tcPr>
          <w:p w14:paraId="1B5DC6D5" w14:textId="77777777" w:rsidR="00F151B8" w:rsidRPr="00DF20DE" w:rsidRDefault="00F151B8" w:rsidP="00F151B8">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Nustatytos stento trombozės</w:t>
            </w:r>
          </w:p>
        </w:tc>
        <w:tc>
          <w:tcPr>
            <w:tcW w:w="1361" w:type="dxa"/>
          </w:tcPr>
          <w:p w14:paraId="77A18FEC"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1,2</w:t>
            </w:r>
          </w:p>
        </w:tc>
        <w:tc>
          <w:tcPr>
            <w:tcW w:w="1417" w:type="dxa"/>
          </w:tcPr>
          <w:p w14:paraId="0C1B59EE"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1,7</w:t>
            </w:r>
          </w:p>
        </w:tc>
        <w:tc>
          <w:tcPr>
            <w:tcW w:w="684" w:type="dxa"/>
          </w:tcPr>
          <w:p w14:paraId="1055C96B"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0,6</w:t>
            </w:r>
          </w:p>
        </w:tc>
        <w:tc>
          <w:tcPr>
            <w:tcW w:w="1442" w:type="dxa"/>
          </w:tcPr>
          <w:p w14:paraId="461CCC10"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32</w:t>
            </w:r>
          </w:p>
          <w:p w14:paraId="59CD5282"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(8, 49)</w:t>
            </w:r>
          </w:p>
        </w:tc>
        <w:tc>
          <w:tcPr>
            <w:tcW w:w="1125" w:type="dxa"/>
          </w:tcPr>
          <w:p w14:paraId="34E3371E" w14:textId="77777777" w:rsidR="00F151B8" w:rsidRPr="00DF20DE" w:rsidRDefault="00F151B8" w:rsidP="00F151B8">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0,0123</w:t>
            </w:r>
            <w:r w:rsidRPr="00DF20DE">
              <w:rPr>
                <w:rFonts w:ascii="Times New Roman" w:eastAsia="Times New Roman" w:hAnsi="Times New Roman" w:cs="Times New Roman"/>
                <w:vertAlign w:val="superscript"/>
              </w:rPr>
              <w:t>d</w:t>
            </w:r>
          </w:p>
        </w:tc>
      </w:tr>
    </w:tbl>
    <w:p w14:paraId="53114520" w14:textId="0F58EE75"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a</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iCs/>
          <w:sz w:val="20"/>
          <w:szCs w:val="20"/>
        </w:rPr>
        <w:t>ARR</w:t>
      </w:r>
      <w:r w:rsidRPr="00DF20DE">
        <w:rPr>
          <w:rFonts w:ascii="Times New Roman" w:eastAsia="Times New Roman" w:hAnsi="Times New Roman" w:cs="Times New Roman"/>
          <w:sz w:val="20"/>
          <w:szCs w:val="20"/>
        </w:rPr>
        <w:t xml:space="preserve"> – absoliu</w:t>
      </w:r>
      <w:r w:rsidR="00C61DE9" w:rsidRPr="00DF20DE">
        <w:rPr>
          <w:rFonts w:ascii="Times New Roman" w:eastAsia="Times New Roman" w:hAnsi="Times New Roman" w:cs="Times New Roman"/>
          <w:sz w:val="20"/>
          <w:szCs w:val="20"/>
        </w:rPr>
        <w:t>tus</w:t>
      </w:r>
      <w:r w:rsidRPr="00DF20DE">
        <w:rPr>
          <w:rFonts w:ascii="Times New Roman" w:eastAsia="Times New Roman" w:hAnsi="Times New Roman" w:cs="Times New Roman"/>
          <w:sz w:val="20"/>
          <w:szCs w:val="20"/>
        </w:rPr>
        <w:t xml:space="preserve"> rizikos sumažėjimas, </w:t>
      </w:r>
      <w:r w:rsidRPr="00DF20DE">
        <w:rPr>
          <w:rFonts w:ascii="Times New Roman" w:eastAsia="Times New Roman" w:hAnsi="Times New Roman" w:cs="Times New Roman"/>
          <w:i/>
          <w:iCs/>
          <w:sz w:val="20"/>
          <w:szCs w:val="20"/>
        </w:rPr>
        <w:t>RRR</w:t>
      </w:r>
      <w:r w:rsidRPr="00DF20DE">
        <w:rPr>
          <w:rFonts w:ascii="Times New Roman" w:eastAsia="Times New Roman" w:hAnsi="Times New Roman" w:cs="Times New Roman"/>
          <w:sz w:val="20"/>
          <w:szCs w:val="20"/>
        </w:rPr>
        <w:t xml:space="preserve"> – santykin</w:t>
      </w:r>
      <w:r w:rsidR="00C61DE9" w:rsidRPr="00DF20DE">
        <w:rPr>
          <w:rFonts w:ascii="Times New Roman" w:eastAsia="Times New Roman" w:hAnsi="Times New Roman" w:cs="Times New Roman"/>
          <w:sz w:val="20"/>
          <w:szCs w:val="20"/>
        </w:rPr>
        <w:t>i</w:t>
      </w:r>
      <w:r w:rsidRPr="00DF20DE">
        <w:rPr>
          <w:rFonts w:ascii="Times New Roman" w:eastAsia="Times New Roman" w:hAnsi="Times New Roman" w:cs="Times New Roman"/>
          <w:sz w:val="20"/>
          <w:szCs w:val="20"/>
        </w:rPr>
        <w:t xml:space="preserve">s rizikos sumažėjimas = (1 – santykinė rizika) x 100 %. Neigiamas </w:t>
      </w:r>
      <w:r w:rsidRPr="00DF20DE">
        <w:rPr>
          <w:rFonts w:ascii="Times New Roman" w:eastAsia="Times New Roman" w:hAnsi="Times New Roman" w:cs="Times New Roman"/>
          <w:i/>
          <w:iCs/>
          <w:sz w:val="20"/>
          <w:szCs w:val="20"/>
        </w:rPr>
        <w:t>RRR</w:t>
      </w:r>
      <w:r w:rsidRPr="00DF20DE">
        <w:rPr>
          <w:rFonts w:ascii="Times New Roman" w:eastAsia="Times New Roman" w:hAnsi="Times New Roman" w:cs="Times New Roman"/>
          <w:sz w:val="20"/>
          <w:szCs w:val="20"/>
        </w:rPr>
        <w:t xml:space="preserve"> rodo padidėjusią santykinę riziką.</w:t>
      </w:r>
    </w:p>
    <w:p w14:paraId="5895B00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b</w:t>
      </w:r>
      <w:r w:rsidRPr="00DF20DE">
        <w:rPr>
          <w:rFonts w:ascii="Times New Roman" w:eastAsia="Times New Roman" w:hAnsi="Times New Roman" w:cs="Times New Roman"/>
          <w:sz w:val="20"/>
          <w:szCs w:val="20"/>
        </w:rPr>
        <w:t xml:space="preserve"> Išskyrus besimptomį MI.</w:t>
      </w:r>
    </w:p>
    <w:p w14:paraId="018E900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c</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iCs/>
          <w:sz w:val="20"/>
          <w:szCs w:val="20"/>
        </w:rPr>
        <w:t>SRI</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iCs/>
          <w:sz w:val="20"/>
          <w:szCs w:val="20"/>
        </w:rPr>
        <w:t>angl.</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sz w:val="20"/>
          <w:szCs w:val="20"/>
        </w:rPr>
        <w:t>serious recurrent ischaemia</w:t>
      </w:r>
      <w:r w:rsidRPr="00DF20DE">
        <w:rPr>
          <w:rFonts w:ascii="Times New Roman" w:eastAsia="Times New Roman" w:hAnsi="Times New Roman" w:cs="Times New Roman"/>
          <w:sz w:val="20"/>
          <w:szCs w:val="20"/>
        </w:rPr>
        <w:t xml:space="preserve">) – sunki pasikartojanti išemija, </w:t>
      </w:r>
      <w:r w:rsidRPr="00DF20DE">
        <w:rPr>
          <w:rFonts w:ascii="Times New Roman" w:eastAsia="Times New Roman" w:hAnsi="Times New Roman" w:cs="Times New Roman"/>
          <w:i/>
          <w:iCs/>
          <w:sz w:val="20"/>
          <w:szCs w:val="20"/>
        </w:rPr>
        <w:t>RI</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iCs/>
          <w:sz w:val="20"/>
          <w:szCs w:val="20"/>
        </w:rPr>
        <w:t>angl.</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sz w:val="20"/>
          <w:szCs w:val="20"/>
        </w:rPr>
        <w:t>recurrent ischaemia</w:t>
      </w:r>
      <w:r w:rsidRPr="00DF20DE">
        <w:rPr>
          <w:rFonts w:ascii="Times New Roman" w:eastAsia="Times New Roman" w:hAnsi="Times New Roman" w:cs="Times New Roman"/>
          <w:sz w:val="20"/>
          <w:szCs w:val="20"/>
        </w:rPr>
        <w:t xml:space="preserve">) – pasikartojanti išemija, </w:t>
      </w:r>
      <w:r w:rsidRPr="00DF20DE">
        <w:rPr>
          <w:rFonts w:ascii="Times New Roman" w:eastAsia="Times New Roman" w:hAnsi="Times New Roman" w:cs="Times New Roman"/>
          <w:i/>
          <w:iCs/>
          <w:sz w:val="20"/>
          <w:szCs w:val="20"/>
        </w:rPr>
        <w:t>TIA</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iCs/>
          <w:sz w:val="20"/>
          <w:szCs w:val="20"/>
        </w:rPr>
        <w:t>angl.</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sz w:val="20"/>
          <w:szCs w:val="20"/>
        </w:rPr>
        <w:t>transient ischaemic attack</w:t>
      </w:r>
      <w:r w:rsidRPr="00DF20DE">
        <w:rPr>
          <w:rFonts w:ascii="Times New Roman" w:eastAsia="Times New Roman" w:hAnsi="Times New Roman" w:cs="Times New Roman"/>
          <w:sz w:val="20"/>
          <w:szCs w:val="20"/>
        </w:rPr>
        <w:t xml:space="preserve">) – trumpalaikė išemijos ataka, </w:t>
      </w:r>
      <w:r w:rsidRPr="00DF20DE">
        <w:rPr>
          <w:rFonts w:ascii="Times New Roman" w:eastAsia="Times New Roman" w:hAnsi="Times New Roman" w:cs="Times New Roman"/>
          <w:i/>
          <w:iCs/>
          <w:sz w:val="20"/>
          <w:szCs w:val="20"/>
        </w:rPr>
        <w:t>ATE</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iCs/>
          <w:sz w:val="20"/>
          <w:szCs w:val="20"/>
        </w:rPr>
        <w:t xml:space="preserve">angl. </w:t>
      </w:r>
      <w:r w:rsidRPr="00DF20DE">
        <w:rPr>
          <w:rFonts w:ascii="Times New Roman" w:eastAsia="Times New Roman" w:hAnsi="Times New Roman" w:cs="Times New Roman"/>
          <w:i/>
          <w:sz w:val="20"/>
          <w:szCs w:val="20"/>
        </w:rPr>
        <w:t>arterial thrombotic</w:t>
      </w:r>
      <w:r w:rsidRPr="00DF20DE">
        <w:rPr>
          <w:rFonts w:ascii="Times New Roman" w:eastAsia="Times New Roman" w:hAnsi="Times New Roman" w:cs="Times New Roman"/>
          <w:sz w:val="20"/>
          <w:szCs w:val="20"/>
        </w:rPr>
        <w:t>) – arterijų trombozės reiškiniai. Į bendrą miokardo infarktų skaičių įskaičiuoti ir besimptomiai, kurių nustatymo data laikyta jų pasireiškimo data.</w:t>
      </w:r>
    </w:p>
    <w:p w14:paraId="553818B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d</w:t>
      </w:r>
      <w:r w:rsidRPr="00DF20DE">
        <w:rPr>
          <w:rFonts w:ascii="Times New Roman" w:eastAsia="Times New Roman" w:hAnsi="Times New Roman" w:cs="Times New Roman"/>
          <w:sz w:val="20"/>
          <w:szCs w:val="20"/>
        </w:rPr>
        <w:t xml:space="preserve"> Nominali reikšmingumo reikšmė. Visos kitos yra formaliai reikšmingos statistikai pagal iš anksto pasirinktą hierarchinį metodą.</w:t>
      </w:r>
    </w:p>
    <w:p w14:paraId="6418D27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274FD89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PLATO tyrimo genetinė dalis</w:t>
      </w:r>
    </w:p>
    <w:p w14:paraId="3D34976F" w14:textId="005B9E1A"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PLATO tyrime dalyvavusių 10285 pacientų genotipų analizė pagal CYP2C19 ir ABCB1 genus suteikė informacijos apie ryšį tarp genotipo grupių ir PLATO tyrimo metų gautų rodiklių. Vertinant pagal didžiųjų kardiovaskulinių reiškinių rizikos sumažėjimą, pacientų genotipas pagal CYP2C19 ir ABCB1 reikšmingos įtakos palankesniam už klopidogrelio tikagreloro poveikiui neturėjo. Panašiai kaip bendrais PLATO tyrimo duomenimis, suminis didžiųjų kraujavimų pagal PLATO kriterijus skaičius </w:t>
      </w:r>
      <w:r w:rsidRPr="00DF20DE">
        <w:rPr>
          <w:rFonts w:ascii="Times New Roman" w:eastAsia="Times New Roman" w:hAnsi="Times New Roman" w:cs="Times New Roman"/>
        </w:rPr>
        <w:lastRenderedPageBreak/>
        <w:t>vartojant tikagrelor</w:t>
      </w:r>
      <w:r w:rsidR="00ED040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klopidogrel</w:t>
      </w:r>
      <w:r w:rsidR="00ED0403"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CYP2C19 ar ABCB1 genotipų pacientams nesiskyrė. Pacientams, neturintiems vieno ar daugiau funkcionuojančių CYP2C19 alelių, vartojant tikagrelor</w:t>
      </w:r>
      <w:r w:rsidR="00ED040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pasireiškė daugiau su koronarinių arterijų šuntavimu nesusijusių didesniųjų kraujavimų pagal PLATO kriterijus, negu vartojant klopidogrel</w:t>
      </w:r>
      <w:r w:rsidR="00ED0403" w:rsidRPr="00DF20DE">
        <w:rPr>
          <w:rFonts w:ascii="Times New Roman" w:eastAsia="Times New Roman" w:hAnsi="Times New Roman" w:cs="Times New Roman"/>
        </w:rPr>
        <w:t>io</w:t>
      </w:r>
      <w:r w:rsidRPr="00DF20DE">
        <w:rPr>
          <w:rFonts w:ascii="Times New Roman" w:eastAsia="Times New Roman" w:hAnsi="Times New Roman" w:cs="Times New Roman"/>
        </w:rPr>
        <w:t>, o neturintiems nefunkcionuojančių alelių tokių kraujavimų skaičius buvo panašus kaip vartojant klopidogrel</w:t>
      </w:r>
      <w:r w:rsidR="00ED0403" w:rsidRPr="00DF20DE">
        <w:rPr>
          <w:rFonts w:ascii="Times New Roman" w:eastAsia="Times New Roman" w:hAnsi="Times New Roman" w:cs="Times New Roman"/>
        </w:rPr>
        <w:t>io</w:t>
      </w:r>
      <w:r w:rsidRPr="00DF20DE">
        <w:rPr>
          <w:rFonts w:ascii="Times New Roman" w:eastAsia="Times New Roman" w:hAnsi="Times New Roman" w:cs="Times New Roman"/>
        </w:rPr>
        <w:t>.</w:t>
      </w:r>
    </w:p>
    <w:p w14:paraId="25A245D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D5EB5C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Suminis saugumo ir veiksmingumo rodiklis</w:t>
      </w:r>
    </w:p>
    <w:p w14:paraId="1571721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Suminis saugumo ir veiksmingumo rodiklis, apimantis kardiovaskulines mirtis, miokardo infarktus, insultus ir didžiuosius kraujavimus pagal PLATO kriterijus, rodo, kad 12 mėn. laikotarpį po ūminių koronarinių sindromų pasireiškimo tikagreloro veiksmingumo, didesnio už klopidogrelio, naudos didesniųjų kraujavimo reiškinių rizika nenusveria (</w:t>
      </w:r>
      <w:r w:rsidRPr="00DF20DE">
        <w:rPr>
          <w:rFonts w:ascii="Times New Roman" w:eastAsia="Times New Roman" w:hAnsi="Times New Roman" w:cs="Times New Roman"/>
          <w:i/>
          <w:iCs/>
        </w:rPr>
        <w:t>ARR</w:t>
      </w:r>
      <w:r w:rsidRPr="00DF20DE">
        <w:rPr>
          <w:rFonts w:ascii="Times New Roman" w:eastAsia="Times New Roman" w:hAnsi="Times New Roman" w:cs="Times New Roman"/>
        </w:rPr>
        <w:t xml:space="preserve"> 1,4 %, </w:t>
      </w:r>
      <w:r w:rsidRPr="00DF20DE">
        <w:rPr>
          <w:rFonts w:ascii="Times New Roman" w:eastAsia="Times New Roman" w:hAnsi="Times New Roman" w:cs="Times New Roman"/>
          <w:i/>
          <w:iCs/>
        </w:rPr>
        <w:t>RRR</w:t>
      </w:r>
      <w:r w:rsidRPr="00DF20DE">
        <w:rPr>
          <w:rFonts w:ascii="Times New Roman" w:eastAsia="Times New Roman" w:hAnsi="Times New Roman" w:cs="Times New Roman"/>
        </w:rPr>
        <w:t xml:space="preserve"> 8 %, RS – 0,92; p = 0,0257).</w:t>
      </w:r>
    </w:p>
    <w:p w14:paraId="3C33609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1A0D07C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Klinikinis saugumas</w:t>
      </w:r>
    </w:p>
    <w:p w14:paraId="00EF1F8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p>
    <w:p w14:paraId="709847AA" w14:textId="01DD4FB0"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Holter</w:t>
      </w:r>
      <w:r w:rsidR="00ED0403"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tyrimo dalis</w:t>
      </w:r>
    </w:p>
    <w:p w14:paraId="1D02409E" w14:textId="5357E673"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PLATO tyrimo metu tirdami skilvelių veiklos pauzių ir kitokių aritmijos epizodų pasireiškimą, tyrėjai atliko Holter</w:t>
      </w:r>
      <w:r w:rsidR="00ED0403"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monitoringą beveik 3000 pacientų, iš kurių maždaug 2000 duomenys buvo užregistruoti ūminėje ŪKS fazėje ir po 1 mėn. Pagrindinis tirtas rodiklis buvo ≥ 3 sek. trukmės skilvelių veiklos pauzės. Ūminėje fazėje jų nustatyta daugiau tikagrelor</w:t>
      </w:r>
      <w:r w:rsidR="00ED0403" w:rsidRPr="00DF20DE">
        <w:rPr>
          <w:rFonts w:ascii="Times New Roman" w:eastAsia="Times New Roman" w:hAnsi="Times New Roman" w:cs="Times New Roman"/>
        </w:rPr>
        <w:t>o</w:t>
      </w:r>
      <w:r w:rsidRPr="00DF20DE">
        <w:rPr>
          <w:rFonts w:ascii="Times New Roman" w:eastAsia="Times New Roman" w:hAnsi="Times New Roman" w:cs="Times New Roman"/>
        </w:rPr>
        <w:t xml:space="preserve"> (6 %) negu klopidogrel</w:t>
      </w:r>
      <w:r w:rsidR="00ED0403"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(3,5 %) vartojusių pacientų, po 1 mėn. šie skaičiai buvo atitinkamai 2,2 % ir 1,6 % (žr. 4.4 skyrių). Skilvelių veiklos pauzių ūminėje ŪKS fazėje vartojant tikagrelor</w:t>
      </w:r>
      <w:r w:rsidR="005F5780" w:rsidRPr="00DF20DE">
        <w:rPr>
          <w:rFonts w:ascii="Times New Roman" w:eastAsia="Times New Roman" w:hAnsi="Times New Roman" w:cs="Times New Roman"/>
        </w:rPr>
        <w:t>o</w:t>
      </w:r>
      <w:r w:rsidRPr="00DF20DE">
        <w:rPr>
          <w:rFonts w:ascii="Times New Roman" w:eastAsia="Times New Roman" w:hAnsi="Times New Roman" w:cs="Times New Roman"/>
        </w:rPr>
        <w:t xml:space="preserve"> labiau padaugėjo pacientams, kurių anamnezėje buvo stazinis širdies nepakankamumas (jų patyrė 9,2 % tokių pacientų palyginus su 5,4 % niekada staziniu širdies nepakankamumu nesirgusių; klopidogrel</w:t>
      </w:r>
      <w:r w:rsidR="005F5780"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vartojusiems pacientams šie skaičiai buvo atitinkamai 4 % ir 3,6 %). Praėjus mėnesiui po ŪKS tokio skirtumo nenustatyta (vartojant tikagrelor</w:t>
      </w:r>
      <w:r w:rsidR="005F5780" w:rsidRPr="00DF20DE">
        <w:rPr>
          <w:rFonts w:ascii="Times New Roman" w:eastAsia="Times New Roman" w:hAnsi="Times New Roman" w:cs="Times New Roman"/>
        </w:rPr>
        <w:t>o</w:t>
      </w:r>
      <w:r w:rsidRPr="00DF20DE">
        <w:rPr>
          <w:rFonts w:ascii="Times New Roman" w:eastAsia="Times New Roman" w:hAnsi="Times New Roman" w:cs="Times New Roman"/>
        </w:rPr>
        <w:t xml:space="preserve"> šie skaičiai buvo atitinkamai 2 % ir 2,1 %, vartojant klopidogrel</w:t>
      </w:r>
      <w:r w:rsidR="005F5780"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 3,8 % ir 1,4 %). Su šiuo skirtumu susijusių neigiamų klinikinių pasekmių (įskaitant stimuliatorių implantavimą) šiai pacientų populiacijai nebuvo.</w:t>
      </w:r>
    </w:p>
    <w:p w14:paraId="7A75B62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3"/>
        </w:rPr>
      </w:pPr>
    </w:p>
    <w:p w14:paraId="10D9DE5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PEGASUS tyrimas (anksčiau miokardo infarktą patyrę pacientai)</w:t>
      </w:r>
    </w:p>
    <w:p w14:paraId="1132B5D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sz w:val="15"/>
        </w:rPr>
      </w:pPr>
    </w:p>
    <w:p w14:paraId="6177194D" w14:textId="6E30A14B"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PEGASUS TIMI-54 tyrime dalyvavo 21 162 pacientai. Tai buvo randomizuotas, dvigubai koduotas, placebu kontroliuojamas, lygiagrečių grupių, tarptautinis daugelyje centrų atliktas įvyki</w:t>
      </w:r>
      <w:r w:rsidR="00A75FB8" w:rsidRPr="00DF20DE">
        <w:rPr>
          <w:rFonts w:ascii="Times New Roman" w:eastAsia="Times New Roman" w:hAnsi="Times New Roman" w:cs="Times New Roman"/>
        </w:rPr>
        <w:t xml:space="preserve">ais pagrįstas </w:t>
      </w:r>
      <w:r w:rsidRPr="00DF20DE">
        <w:rPr>
          <w:rFonts w:ascii="Times New Roman" w:eastAsia="Times New Roman" w:hAnsi="Times New Roman" w:cs="Times New Roman"/>
        </w:rPr>
        <w:t xml:space="preserve">tyrimas siekiant palyginti aterotrombozės įvykių profilaktiką dviem tikagreloro dozėmis (90 mg 2 kartus per parą arba 60 mg 2 kartus per parą), vartojamomis kartu su maža ASR doze (75–150 mg), su vien ASR </w:t>
      </w:r>
      <w:r w:rsidR="00A75FB8" w:rsidRPr="00DF20DE">
        <w:rPr>
          <w:rFonts w:ascii="Times New Roman" w:eastAsia="Times New Roman" w:hAnsi="Times New Roman" w:cs="Times New Roman"/>
        </w:rPr>
        <w:t xml:space="preserve">vartojimu </w:t>
      </w:r>
      <w:r w:rsidRPr="00DF20DE">
        <w:rPr>
          <w:rFonts w:ascii="Times New Roman" w:eastAsia="Times New Roman" w:hAnsi="Times New Roman" w:cs="Times New Roman"/>
        </w:rPr>
        <w:t>pacientams, anksčiau patyrusiems MI ir turintiems papildomų aterotrombozės rizikos faktorių.</w:t>
      </w:r>
    </w:p>
    <w:p w14:paraId="3112862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EB13E3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Įtraukimo kriterijai buvo 50 metų arba vyresnis amžius, anksčiau (likus 1–3 metams iki randomizacijos) patirtas MI ir bent vienas iš šių aterotrombozės rizikos faktorių: 65 metų arba vyresnis amžius, cukrinis diabetas, kurį reikia gydyti vaistiniais preparatais, antras ankstesnis MI, kelias kraujagysles pažeidusios IŠL duomenys arba lėtinė neterminalinės stadijos inkstų disfunkcija.</w:t>
      </w:r>
    </w:p>
    <w:p w14:paraId="60AC98B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86BDBC1" w14:textId="5AA89A14"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Neįtraukimo kriterijai buvo tyrimo laikotarpiu numatomas P2Y</w:t>
      </w:r>
      <w:r w:rsidRPr="00DF20DE">
        <w:rPr>
          <w:rFonts w:ascii="Times New Roman" w:eastAsia="Times New Roman" w:hAnsi="Times New Roman" w:cs="Times New Roman"/>
          <w:sz w:val="14"/>
        </w:rPr>
        <w:t xml:space="preserve">12 </w:t>
      </w:r>
      <w:r w:rsidRPr="00DF20DE">
        <w:rPr>
          <w:rFonts w:ascii="Times New Roman" w:eastAsia="Times New Roman" w:hAnsi="Times New Roman" w:cs="Times New Roman"/>
          <w:position w:val="2"/>
        </w:rPr>
        <w:t xml:space="preserve">receptorių antagonistų </w:t>
      </w:r>
      <w:r w:rsidRPr="00DF20DE">
        <w:rPr>
          <w:rFonts w:ascii="Times New Roman" w:eastAsia="Times New Roman" w:hAnsi="Times New Roman" w:cs="Times New Roman"/>
        </w:rPr>
        <w:t xml:space="preserve">(dipiridamolio, cilostazolo) arba antikoaguliantų vartojimas; kraujavimu pasireiškiantys sutrikimai arba anksčiau buvęs išeminis insultas ar </w:t>
      </w:r>
      <w:r w:rsidR="0058593D" w:rsidRPr="00DF20DE">
        <w:rPr>
          <w:rFonts w:ascii="Times New Roman" w:eastAsia="Times New Roman" w:hAnsi="Times New Roman" w:cs="Times New Roman"/>
        </w:rPr>
        <w:t>intrakranijinis</w:t>
      </w:r>
      <w:r w:rsidRPr="00DF20DE">
        <w:rPr>
          <w:rFonts w:ascii="Times New Roman" w:eastAsia="Times New Roman" w:hAnsi="Times New Roman" w:cs="Times New Roman"/>
        </w:rPr>
        <w:t xml:space="preserve"> kraujavimas, centrinės nervų sistemos navikas ar vidinių galvos kraujagyslių anomalija; kraujavimas virškinimo trakte per paskutinius 6 mėn. arba didelės apimties operacija per paskutines 30 dienų.</w:t>
      </w:r>
    </w:p>
    <w:p w14:paraId="3CDA603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20A912EA"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Klinikinis veiksmingumas</w:t>
      </w:r>
    </w:p>
    <w:p w14:paraId="1147700E"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i/>
          <w:sz w:val="23"/>
        </w:rPr>
      </w:pPr>
    </w:p>
    <w:p w14:paraId="7CA282C7" w14:textId="112BD765" w:rsidR="00F151B8" w:rsidRPr="00DF20DE" w:rsidRDefault="00F151B8" w:rsidP="00F151B8">
      <w:pPr>
        <w:keepNext/>
        <w:widowControl w:val="0"/>
        <w:autoSpaceDE w:val="0"/>
        <w:autoSpaceDN w:val="0"/>
        <w:spacing w:after="0" w:line="240" w:lineRule="auto"/>
        <w:outlineLvl w:val="1"/>
        <w:rPr>
          <w:rFonts w:ascii="Times New Roman" w:eastAsia="Times New Roman" w:hAnsi="Times New Roman" w:cs="Times New Roman"/>
          <w:u w:val="single"/>
        </w:rPr>
      </w:pPr>
      <w:r w:rsidRPr="00DF20DE">
        <w:rPr>
          <w:rFonts w:ascii="Times New Roman" w:eastAsia="Times New Roman" w:hAnsi="Times New Roman" w:cs="Times New Roman"/>
          <w:b/>
          <w:bCs/>
        </w:rPr>
        <w:t xml:space="preserve">2 pav. </w:t>
      </w:r>
      <w:r w:rsidR="0058593D" w:rsidRPr="00DF20DE">
        <w:rPr>
          <w:rFonts w:ascii="Times New Roman" w:eastAsia="Times New Roman" w:hAnsi="Times New Roman" w:cs="Times New Roman"/>
          <w:b/>
          <w:bCs/>
        </w:rPr>
        <w:t xml:space="preserve">Pirminės </w:t>
      </w:r>
      <w:r w:rsidRPr="00DF20DE">
        <w:rPr>
          <w:rFonts w:ascii="Times New Roman" w:eastAsia="Times New Roman" w:hAnsi="Times New Roman" w:cs="Times New Roman"/>
          <w:b/>
          <w:bCs/>
        </w:rPr>
        <w:t xml:space="preserve">klinikinės sudėtinės PEGASUS tyrimo vertinamosios baigties (KV mirties, MI ir </w:t>
      </w:r>
      <w:r w:rsidRPr="00DF20DE">
        <w:rPr>
          <w:rFonts w:ascii="Times New Roman" w:eastAsia="Times New Roman" w:hAnsi="Times New Roman" w:cs="Times New Roman"/>
          <w:b/>
          <w:bCs/>
        </w:rPr>
        <w:lastRenderedPageBreak/>
        <w:t>insulto) analizė</w:t>
      </w:r>
    </w:p>
    <w:p w14:paraId="01800741"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b/>
          <w:sz w:val="21"/>
        </w:rPr>
      </w:pPr>
      <w:r w:rsidRPr="00DF20DE">
        <w:rPr>
          <w:rFonts w:ascii="Times New Roman" w:eastAsia="Times New Roman" w:hAnsi="Times New Roman" w:cs="Times New Roman"/>
          <w:noProof/>
          <w:lang w:eastAsia="lt-LT"/>
        </w:rPr>
        <w:drawing>
          <wp:anchor distT="0" distB="0" distL="0" distR="0" simplePos="0" relativeHeight="251659264" behindDoc="0" locked="0" layoutInCell="1" allowOverlap="1" wp14:anchorId="46F3A3F9" wp14:editId="0BE6632C">
            <wp:simplePos x="0" y="0"/>
            <wp:positionH relativeFrom="page">
              <wp:posOffset>721995</wp:posOffset>
            </wp:positionH>
            <wp:positionV relativeFrom="paragraph">
              <wp:posOffset>169545</wp:posOffset>
            </wp:positionV>
            <wp:extent cx="5586730" cy="3268345"/>
            <wp:effectExtent l="0" t="0" r="0" b="8255"/>
            <wp:wrapTopAndBottom/>
            <wp:docPr id="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4.jpeg"/>
                    <pic:cNvPicPr/>
                  </pic:nvPicPr>
                  <pic:blipFill>
                    <a:blip r:embed="rId15" cstate="print"/>
                    <a:stretch>
                      <a:fillRect/>
                    </a:stretch>
                  </pic:blipFill>
                  <pic:spPr>
                    <a:xfrm>
                      <a:off x="0" y="0"/>
                      <a:ext cx="5586730" cy="3268345"/>
                    </a:xfrm>
                    <a:prstGeom prst="rect">
                      <a:avLst/>
                    </a:prstGeom>
                  </pic:spPr>
                </pic:pic>
              </a:graphicData>
            </a:graphic>
          </wp:anchor>
        </w:drawing>
      </w:r>
    </w:p>
    <w:p w14:paraId="27A2FEF0"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b/>
          <w:sz w:val="24"/>
        </w:rPr>
      </w:pPr>
    </w:p>
    <w:p w14:paraId="331B0B1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r w:rsidRPr="00DF20DE">
        <w:rPr>
          <w:rFonts w:ascii="Times New Roman" w:eastAsia="Times New Roman" w:hAnsi="Times New Roman" w:cs="Times New Roman"/>
          <w:b/>
        </w:rPr>
        <w:t>5 lentelė. PEGASUS tyrimo pirminės ir antrinės veiksmingumo vertinamųjų baigčių analizė</w:t>
      </w:r>
    </w:p>
    <w:tbl>
      <w:tblPr>
        <w:tblW w:w="0" w:type="auto"/>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291"/>
        <w:gridCol w:w="1128"/>
        <w:gridCol w:w="912"/>
        <w:gridCol w:w="2036"/>
        <w:gridCol w:w="1148"/>
        <w:gridCol w:w="1372"/>
        <w:gridCol w:w="1018"/>
      </w:tblGrid>
      <w:tr w:rsidR="00F151B8" w:rsidRPr="00DF20DE" w14:paraId="1C8A27D6" w14:textId="77777777" w:rsidTr="00C536DB">
        <w:trPr>
          <w:trHeight w:val="1012"/>
        </w:trPr>
        <w:tc>
          <w:tcPr>
            <w:tcW w:w="1291" w:type="dxa"/>
            <w:tcBorders>
              <w:bottom w:val="single" w:sz="6" w:space="0" w:color="000000"/>
              <w:right w:val="single" w:sz="6" w:space="0" w:color="000000"/>
            </w:tcBorders>
          </w:tcPr>
          <w:p w14:paraId="2F86394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Cs/>
              </w:rPr>
            </w:pPr>
          </w:p>
        </w:tc>
        <w:tc>
          <w:tcPr>
            <w:tcW w:w="4076" w:type="dxa"/>
            <w:gridSpan w:val="3"/>
            <w:tcBorders>
              <w:left w:val="single" w:sz="6" w:space="0" w:color="000000"/>
              <w:bottom w:val="single" w:sz="6" w:space="0" w:color="000000"/>
              <w:right w:val="single" w:sz="6" w:space="0" w:color="000000"/>
            </w:tcBorders>
          </w:tcPr>
          <w:p w14:paraId="4B5043E7"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Tikagreloras po 60 mg</w:t>
            </w:r>
          </w:p>
          <w:p w14:paraId="6149D4B6"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2 kartus per parą kartu su ASR</w:t>
            </w:r>
          </w:p>
          <w:p w14:paraId="68723FE7" w14:textId="59F30745"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N</w:t>
            </w:r>
            <w:r w:rsidR="0058593D" w:rsidRPr="00DF20DE">
              <w:rPr>
                <w:rFonts w:ascii="Times New Roman" w:eastAsia="Times New Roman" w:hAnsi="Times New Roman" w:cs="Times New Roman"/>
                <w:b/>
              </w:rPr>
              <w:t> </w:t>
            </w:r>
            <w:r w:rsidRPr="00DF20DE">
              <w:rPr>
                <w:rFonts w:ascii="Times New Roman" w:eastAsia="Times New Roman" w:hAnsi="Times New Roman" w:cs="Times New Roman"/>
                <w:b/>
              </w:rPr>
              <w:t xml:space="preserve"> =</w:t>
            </w:r>
            <w:r w:rsidR="0058593D" w:rsidRPr="00DF20DE">
              <w:rPr>
                <w:rFonts w:ascii="Times New Roman" w:eastAsia="Times New Roman" w:hAnsi="Times New Roman" w:cs="Times New Roman"/>
                <w:b/>
              </w:rPr>
              <w:t> </w:t>
            </w:r>
            <w:r w:rsidRPr="00DF20DE">
              <w:rPr>
                <w:rFonts w:ascii="Times New Roman" w:eastAsia="Times New Roman" w:hAnsi="Times New Roman" w:cs="Times New Roman"/>
                <w:b/>
              </w:rPr>
              <w:t>7045</w:t>
            </w:r>
          </w:p>
        </w:tc>
        <w:tc>
          <w:tcPr>
            <w:tcW w:w="2520" w:type="dxa"/>
            <w:gridSpan w:val="2"/>
            <w:tcBorders>
              <w:left w:val="single" w:sz="6" w:space="0" w:color="000000"/>
              <w:bottom w:val="single" w:sz="6" w:space="0" w:color="000000"/>
              <w:right w:val="single" w:sz="6" w:space="0" w:color="000000"/>
            </w:tcBorders>
          </w:tcPr>
          <w:p w14:paraId="020A6F71"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6561F274" w14:textId="2AD9AC62"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Vien ASR N</w:t>
            </w:r>
            <w:r w:rsidR="0058593D" w:rsidRPr="00DF20DE">
              <w:rPr>
                <w:rFonts w:ascii="Times New Roman" w:eastAsia="Times New Roman" w:hAnsi="Times New Roman" w:cs="Times New Roman"/>
                <w:b/>
              </w:rPr>
              <w:t> </w:t>
            </w:r>
            <w:r w:rsidRPr="00DF20DE">
              <w:rPr>
                <w:rFonts w:ascii="Times New Roman" w:eastAsia="Times New Roman" w:hAnsi="Times New Roman" w:cs="Times New Roman"/>
                <w:b/>
              </w:rPr>
              <w:t>=</w:t>
            </w:r>
            <w:r w:rsidR="0058593D" w:rsidRPr="00DF20DE">
              <w:rPr>
                <w:rFonts w:ascii="Times New Roman" w:eastAsia="Times New Roman" w:hAnsi="Times New Roman" w:cs="Times New Roman"/>
                <w:b/>
              </w:rPr>
              <w:t> </w:t>
            </w:r>
            <w:r w:rsidRPr="00DF20DE">
              <w:rPr>
                <w:rFonts w:ascii="Times New Roman" w:eastAsia="Times New Roman" w:hAnsi="Times New Roman" w:cs="Times New Roman"/>
                <w:b/>
              </w:rPr>
              <w:t>7067</w:t>
            </w:r>
          </w:p>
        </w:tc>
        <w:tc>
          <w:tcPr>
            <w:tcW w:w="1018" w:type="dxa"/>
            <w:vMerge w:val="restart"/>
            <w:tcBorders>
              <w:left w:val="single" w:sz="6" w:space="0" w:color="000000"/>
              <w:bottom w:val="single" w:sz="6" w:space="0" w:color="000000"/>
            </w:tcBorders>
          </w:tcPr>
          <w:p w14:paraId="799F330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Cs/>
              </w:rPr>
            </w:pPr>
          </w:p>
          <w:p w14:paraId="6B75205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Cs/>
              </w:rPr>
            </w:pPr>
          </w:p>
          <w:p w14:paraId="07671F4D"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i/>
              </w:rPr>
            </w:pPr>
            <w:r w:rsidRPr="00DF20DE">
              <w:rPr>
                <w:rFonts w:ascii="Times New Roman" w:eastAsia="Times New Roman" w:hAnsi="Times New Roman" w:cs="Times New Roman"/>
                <w:b/>
                <w:i/>
              </w:rPr>
              <w:t>p</w:t>
            </w:r>
          </w:p>
          <w:p w14:paraId="1A28712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Cs/>
              </w:rPr>
            </w:pPr>
            <w:r w:rsidRPr="00DF20DE">
              <w:rPr>
                <w:rFonts w:ascii="Times New Roman" w:eastAsia="Times New Roman" w:hAnsi="Times New Roman" w:cs="Times New Roman"/>
                <w:b/>
              </w:rPr>
              <w:t>reikšmė</w:t>
            </w:r>
          </w:p>
        </w:tc>
      </w:tr>
      <w:tr w:rsidR="00F151B8" w:rsidRPr="00DF20DE" w14:paraId="329610EE" w14:textId="77777777" w:rsidTr="00C536DB">
        <w:trPr>
          <w:trHeight w:val="757"/>
        </w:trPr>
        <w:tc>
          <w:tcPr>
            <w:tcW w:w="1291" w:type="dxa"/>
            <w:tcBorders>
              <w:top w:val="single" w:sz="6" w:space="0" w:color="000000"/>
              <w:bottom w:val="single" w:sz="6" w:space="0" w:color="000000"/>
              <w:right w:val="single" w:sz="6" w:space="0" w:color="000000"/>
            </w:tcBorders>
          </w:tcPr>
          <w:p w14:paraId="7B26EC7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Cs/>
              </w:rPr>
            </w:pPr>
          </w:p>
          <w:p w14:paraId="1F4AAC7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Rodiklis</w:t>
            </w:r>
          </w:p>
        </w:tc>
        <w:tc>
          <w:tcPr>
            <w:tcW w:w="1128" w:type="dxa"/>
            <w:tcBorders>
              <w:top w:val="single" w:sz="6" w:space="0" w:color="000000"/>
              <w:left w:val="single" w:sz="6" w:space="0" w:color="000000"/>
              <w:bottom w:val="single" w:sz="6" w:space="0" w:color="000000"/>
              <w:right w:val="single" w:sz="6" w:space="0" w:color="000000"/>
            </w:tcBorders>
          </w:tcPr>
          <w:p w14:paraId="0EC7D250"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Įvykių patyrę pacientai</w:t>
            </w:r>
          </w:p>
        </w:tc>
        <w:tc>
          <w:tcPr>
            <w:tcW w:w="912" w:type="dxa"/>
            <w:tcBorders>
              <w:top w:val="single" w:sz="6" w:space="0" w:color="000000"/>
              <w:left w:val="single" w:sz="6" w:space="0" w:color="000000"/>
              <w:bottom w:val="single" w:sz="6" w:space="0" w:color="000000"/>
              <w:right w:val="single" w:sz="6" w:space="0" w:color="000000"/>
            </w:tcBorders>
          </w:tcPr>
          <w:p w14:paraId="22DC028F"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6D5AE3F7"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i/>
                <w:iCs/>
              </w:rPr>
              <w:t>KM</w:t>
            </w:r>
            <w:r w:rsidRPr="00DF20DE">
              <w:rPr>
                <w:rFonts w:ascii="Times New Roman" w:eastAsia="Times New Roman" w:hAnsi="Times New Roman" w:cs="Times New Roman"/>
                <w:b/>
              </w:rPr>
              <w:t> %</w:t>
            </w:r>
          </w:p>
        </w:tc>
        <w:tc>
          <w:tcPr>
            <w:tcW w:w="2036" w:type="dxa"/>
            <w:tcBorders>
              <w:top w:val="single" w:sz="6" w:space="0" w:color="000000"/>
              <w:left w:val="single" w:sz="6" w:space="0" w:color="000000"/>
              <w:bottom w:val="single" w:sz="6" w:space="0" w:color="000000"/>
              <w:right w:val="single" w:sz="6" w:space="0" w:color="000000"/>
            </w:tcBorders>
          </w:tcPr>
          <w:p w14:paraId="52E86787"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RS</w:t>
            </w:r>
          </w:p>
          <w:p w14:paraId="38D875FE"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(95 % PI)</w:t>
            </w:r>
          </w:p>
        </w:tc>
        <w:tc>
          <w:tcPr>
            <w:tcW w:w="1148" w:type="dxa"/>
            <w:tcBorders>
              <w:top w:val="single" w:sz="6" w:space="0" w:color="000000"/>
              <w:left w:val="single" w:sz="6" w:space="0" w:color="000000"/>
              <w:bottom w:val="single" w:sz="6" w:space="0" w:color="000000"/>
              <w:right w:val="single" w:sz="6" w:space="0" w:color="000000"/>
            </w:tcBorders>
          </w:tcPr>
          <w:p w14:paraId="633363D8"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Įvykių</w:t>
            </w:r>
          </w:p>
          <w:p w14:paraId="458A35C0"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patyrę pacientai</w:t>
            </w:r>
          </w:p>
        </w:tc>
        <w:tc>
          <w:tcPr>
            <w:tcW w:w="1372" w:type="dxa"/>
            <w:tcBorders>
              <w:top w:val="single" w:sz="6" w:space="0" w:color="000000"/>
              <w:left w:val="single" w:sz="6" w:space="0" w:color="000000"/>
              <w:bottom w:val="single" w:sz="6" w:space="0" w:color="000000"/>
              <w:right w:val="single" w:sz="6" w:space="0" w:color="000000"/>
            </w:tcBorders>
          </w:tcPr>
          <w:p w14:paraId="623CF03F"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56D9977F"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i/>
                <w:iCs/>
              </w:rPr>
              <w:t>KM</w:t>
            </w:r>
            <w:r w:rsidRPr="00DF20DE">
              <w:rPr>
                <w:rFonts w:ascii="Times New Roman" w:eastAsia="Times New Roman" w:hAnsi="Times New Roman" w:cs="Times New Roman"/>
                <w:b/>
              </w:rPr>
              <w:t> %</w:t>
            </w:r>
          </w:p>
        </w:tc>
        <w:tc>
          <w:tcPr>
            <w:tcW w:w="1018" w:type="dxa"/>
            <w:vMerge/>
            <w:tcBorders>
              <w:top w:val="nil"/>
              <w:left w:val="single" w:sz="6" w:space="0" w:color="000000"/>
              <w:bottom w:val="single" w:sz="6" w:space="0" w:color="000000"/>
            </w:tcBorders>
          </w:tcPr>
          <w:p w14:paraId="7495D19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Cs/>
              </w:rPr>
            </w:pPr>
          </w:p>
        </w:tc>
      </w:tr>
      <w:tr w:rsidR="00F151B8" w:rsidRPr="00DF20DE" w14:paraId="1DC8441E" w14:textId="77777777" w:rsidTr="00C536DB">
        <w:trPr>
          <w:trHeight w:val="508"/>
        </w:trPr>
        <w:tc>
          <w:tcPr>
            <w:tcW w:w="8905" w:type="dxa"/>
            <w:gridSpan w:val="7"/>
            <w:tcBorders>
              <w:top w:val="single" w:sz="6" w:space="0" w:color="000000"/>
              <w:bottom w:val="single" w:sz="6" w:space="0" w:color="000000"/>
            </w:tcBorders>
          </w:tcPr>
          <w:p w14:paraId="42143F2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Pirminė vertinamoji baigtis</w:t>
            </w:r>
          </w:p>
        </w:tc>
      </w:tr>
      <w:tr w:rsidR="00F151B8" w:rsidRPr="00DF20DE" w14:paraId="4A1E4147" w14:textId="77777777" w:rsidTr="00C536DB">
        <w:trPr>
          <w:trHeight w:val="1266"/>
        </w:trPr>
        <w:tc>
          <w:tcPr>
            <w:tcW w:w="1291" w:type="dxa"/>
            <w:tcBorders>
              <w:top w:val="single" w:sz="6" w:space="0" w:color="000000"/>
              <w:bottom w:val="single" w:sz="6" w:space="0" w:color="000000"/>
              <w:right w:val="single" w:sz="6" w:space="0" w:color="000000"/>
            </w:tcBorders>
          </w:tcPr>
          <w:p w14:paraId="26E9F12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Bendras KV mirčių, MI ir insultų</w:t>
            </w:r>
          </w:p>
          <w:p w14:paraId="77D5AFE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skaičius</w:t>
            </w:r>
          </w:p>
        </w:tc>
        <w:tc>
          <w:tcPr>
            <w:tcW w:w="1128" w:type="dxa"/>
            <w:tcBorders>
              <w:top w:val="single" w:sz="6" w:space="0" w:color="000000"/>
              <w:left w:val="single" w:sz="6" w:space="0" w:color="000000"/>
              <w:bottom w:val="single" w:sz="6" w:space="0" w:color="000000"/>
              <w:right w:val="single" w:sz="6" w:space="0" w:color="000000"/>
            </w:tcBorders>
          </w:tcPr>
          <w:p w14:paraId="5BCADE81"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10C6D8C0"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487</w:t>
            </w:r>
          </w:p>
          <w:p w14:paraId="37760814"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(6,9 %)</w:t>
            </w:r>
          </w:p>
        </w:tc>
        <w:tc>
          <w:tcPr>
            <w:tcW w:w="912" w:type="dxa"/>
            <w:tcBorders>
              <w:top w:val="single" w:sz="6" w:space="0" w:color="000000"/>
              <w:left w:val="single" w:sz="6" w:space="0" w:color="000000"/>
              <w:bottom w:val="single" w:sz="6" w:space="0" w:color="000000"/>
              <w:right w:val="single" w:sz="6" w:space="0" w:color="000000"/>
            </w:tcBorders>
          </w:tcPr>
          <w:p w14:paraId="4620C84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72B0EE10"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08A9CF95"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7,8 %</w:t>
            </w:r>
          </w:p>
        </w:tc>
        <w:tc>
          <w:tcPr>
            <w:tcW w:w="2036" w:type="dxa"/>
            <w:tcBorders>
              <w:top w:val="single" w:sz="6" w:space="0" w:color="000000"/>
              <w:left w:val="single" w:sz="6" w:space="0" w:color="000000"/>
              <w:bottom w:val="single" w:sz="6" w:space="0" w:color="000000"/>
              <w:right w:val="single" w:sz="6" w:space="0" w:color="000000"/>
            </w:tcBorders>
          </w:tcPr>
          <w:p w14:paraId="758D2CA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43F77609"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0,84</w:t>
            </w:r>
          </w:p>
          <w:p w14:paraId="07780FE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(0,74, 0,95)</w:t>
            </w:r>
          </w:p>
        </w:tc>
        <w:tc>
          <w:tcPr>
            <w:tcW w:w="1148" w:type="dxa"/>
            <w:tcBorders>
              <w:top w:val="single" w:sz="6" w:space="0" w:color="000000"/>
              <w:left w:val="single" w:sz="6" w:space="0" w:color="000000"/>
              <w:bottom w:val="single" w:sz="6" w:space="0" w:color="000000"/>
              <w:right w:val="single" w:sz="6" w:space="0" w:color="000000"/>
            </w:tcBorders>
          </w:tcPr>
          <w:p w14:paraId="240732E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4339099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578</w:t>
            </w:r>
          </w:p>
          <w:p w14:paraId="7E326DE6"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(8,2 %)</w:t>
            </w:r>
          </w:p>
        </w:tc>
        <w:tc>
          <w:tcPr>
            <w:tcW w:w="1372" w:type="dxa"/>
            <w:tcBorders>
              <w:top w:val="single" w:sz="6" w:space="0" w:color="000000"/>
              <w:left w:val="single" w:sz="6" w:space="0" w:color="000000"/>
              <w:bottom w:val="single" w:sz="6" w:space="0" w:color="000000"/>
              <w:right w:val="single" w:sz="6" w:space="0" w:color="000000"/>
            </w:tcBorders>
          </w:tcPr>
          <w:p w14:paraId="6FAF14A7"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2AB82D80"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76B65174"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9,0 %</w:t>
            </w:r>
          </w:p>
        </w:tc>
        <w:tc>
          <w:tcPr>
            <w:tcW w:w="1018" w:type="dxa"/>
            <w:tcBorders>
              <w:top w:val="single" w:sz="6" w:space="0" w:color="000000"/>
              <w:left w:val="single" w:sz="6" w:space="0" w:color="000000"/>
              <w:bottom w:val="single" w:sz="6" w:space="0" w:color="000000"/>
            </w:tcBorders>
          </w:tcPr>
          <w:p w14:paraId="4B5FB3B2"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317D8483"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0,0043</w:t>
            </w:r>
          </w:p>
          <w:p w14:paraId="37516F0E"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(r)</w:t>
            </w:r>
          </w:p>
        </w:tc>
      </w:tr>
      <w:tr w:rsidR="00F151B8" w:rsidRPr="00DF20DE" w14:paraId="6422B740" w14:textId="77777777" w:rsidTr="00C536DB">
        <w:trPr>
          <w:trHeight w:val="757"/>
        </w:trPr>
        <w:tc>
          <w:tcPr>
            <w:tcW w:w="1291" w:type="dxa"/>
            <w:tcBorders>
              <w:top w:val="single" w:sz="6" w:space="0" w:color="000000"/>
              <w:bottom w:val="single" w:sz="6" w:space="0" w:color="000000"/>
              <w:right w:val="single" w:sz="6" w:space="0" w:color="000000"/>
            </w:tcBorders>
          </w:tcPr>
          <w:p w14:paraId="05BB2EC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78FEC7BB"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KV mirtys</w:t>
            </w:r>
          </w:p>
        </w:tc>
        <w:tc>
          <w:tcPr>
            <w:tcW w:w="1128" w:type="dxa"/>
            <w:tcBorders>
              <w:top w:val="single" w:sz="6" w:space="0" w:color="000000"/>
              <w:left w:val="single" w:sz="6" w:space="0" w:color="000000"/>
              <w:bottom w:val="single" w:sz="6" w:space="0" w:color="000000"/>
              <w:right w:val="single" w:sz="6" w:space="0" w:color="000000"/>
            </w:tcBorders>
          </w:tcPr>
          <w:p w14:paraId="614154A8"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174</w:t>
            </w:r>
          </w:p>
          <w:p w14:paraId="22599776"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(2,5 %)</w:t>
            </w:r>
          </w:p>
        </w:tc>
        <w:tc>
          <w:tcPr>
            <w:tcW w:w="912" w:type="dxa"/>
            <w:tcBorders>
              <w:top w:val="single" w:sz="6" w:space="0" w:color="000000"/>
              <w:left w:val="single" w:sz="6" w:space="0" w:color="000000"/>
              <w:bottom w:val="single" w:sz="6" w:space="0" w:color="000000"/>
              <w:right w:val="single" w:sz="6" w:space="0" w:color="000000"/>
            </w:tcBorders>
          </w:tcPr>
          <w:p w14:paraId="621448F4"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3F3FB698"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2,9 %</w:t>
            </w:r>
          </w:p>
        </w:tc>
        <w:tc>
          <w:tcPr>
            <w:tcW w:w="2036" w:type="dxa"/>
            <w:tcBorders>
              <w:top w:val="single" w:sz="6" w:space="0" w:color="000000"/>
              <w:left w:val="single" w:sz="6" w:space="0" w:color="000000"/>
              <w:bottom w:val="single" w:sz="6" w:space="0" w:color="000000"/>
              <w:right w:val="single" w:sz="6" w:space="0" w:color="000000"/>
            </w:tcBorders>
          </w:tcPr>
          <w:p w14:paraId="0A4CCC06"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0,83</w:t>
            </w:r>
          </w:p>
          <w:p w14:paraId="3F3BBDC0"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(0,68, 1,01)</w:t>
            </w:r>
          </w:p>
        </w:tc>
        <w:tc>
          <w:tcPr>
            <w:tcW w:w="1148" w:type="dxa"/>
            <w:tcBorders>
              <w:top w:val="single" w:sz="6" w:space="0" w:color="000000"/>
              <w:left w:val="single" w:sz="6" w:space="0" w:color="000000"/>
              <w:bottom w:val="single" w:sz="6" w:space="0" w:color="000000"/>
              <w:right w:val="single" w:sz="6" w:space="0" w:color="000000"/>
            </w:tcBorders>
          </w:tcPr>
          <w:p w14:paraId="71EB31B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210</w:t>
            </w:r>
          </w:p>
          <w:p w14:paraId="66DFE1F8"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(3,0 %)</w:t>
            </w:r>
          </w:p>
        </w:tc>
        <w:tc>
          <w:tcPr>
            <w:tcW w:w="1372" w:type="dxa"/>
            <w:tcBorders>
              <w:top w:val="single" w:sz="6" w:space="0" w:color="000000"/>
              <w:left w:val="single" w:sz="6" w:space="0" w:color="000000"/>
              <w:bottom w:val="single" w:sz="6" w:space="0" w:color="000000"/>
              <w:right w:val="single" w:sz="6" w:space="0" w:color="000000"/>
            </w:tcBorders>
          </w:tcPr>
          <w:p w14:paraId="35ECDDDB"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5B07F093"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3,4 %</w:t>
            </w:r>
          </w:p>
        </w:tc>
        <w:tc>
          <w:tcPr>
            <w:tcW w:w="1018" w:type="dxa"/>
            <w:tcBorders>
              <w:top w:val="single" w:sz="6" w:space="0" w:color="000000"/>
              <w:left w:val="single" w:sz="6" w:space="0" w:color="000000"/>
              <w:bottom w:val="single" w:sz="6" w:space="0" w:color="000000"/>
            </w:tcBorders>
          </w:tcPr>
          <w:p w14:paraId="5AA52552"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0C95A68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0,0676</w:t>
            </w:r>
          </w:p>
        </w:tc>
      </w:tr>
      <w:tr w:rsidR="00F151B8" w:rsidRPr="00DF20DE" w14:paraId="63BFD570" w14:textId="77777777" w:rsidTr="00C536DB">
        <w:trPr>
          <w:trHeight w:val="757"/>
        </w:trPr>
        <w:tc>
          <w:tcPr>
            <w:tcW w:w="1291" w:type="dxa"/>
            <w:tcBorders>
              <w:top w:val="single" w:sz="6" w:space="0" w:color="000000"/>
              <w:bottom w:val="single" w:sz="6" w:space="0" w:color="000000"/>
              <w:right w:val="single" w:sz="6" w:space="0" w:color="000000"/>
            </w:tcBorders>
          </w:tcPr>
          <w:p w14:paraId="22DCF82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1228CB35"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MI</w:t>
            </w:r>
          </w:p>
        </w:tc>
        <w:tc>
          <w:tcPr>
            <w:tcW w:w="1128" w:type="dxa"/>
            <w:tcBorders>
              <w:top w:val="single" w:sz="6" w:space="0" w:color="000000"/>
              <w:left w:val="single" w:sz="6" w:space="0" w:color="000000"/>
              <w:bottom w:val="single" w:sz="6" w:space="0" w:color="000000"/>
              <w:right w:val="single" w:sz="6" w:space="0" w:color="000000"/>
            </w:tcBorders>
          </w:tcPr>
          <w:p w14:paraId="42087E54"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285</w:t>
            </w:r>
          </w:p>
          <w:p w14:paraId="5AE340B2"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(4,0 %)</w:t>
            </w:r>
          </w:p>
        </w:tc>
        <w:tc>
          <w:tcPr>
            <w:tcW w:w="912" w:type="dxa"/>
            <w:tcBorders>
              <w:top w:val="single" w:sz="6" w:space="0" w:color="000000"/>
              <w:left w:val="single" w:sz="6" w:space="0" w:color="000000"/>
              <w:bottom w:val="single" w:sz="6" w:space="0" w:color="000000"/>
              <w:right w:val="single" w:sz="6" w:space="0" w:color="000000"/>
            </w:tcBorders>
          </w:tcPr>
          <w:p w14:paraId="5B35C0E2"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38357E3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4,5 %</w:t>
            </w:r>
          </w:p>
        </w:tc>
        <w:tc>
          <w:tcPr>
            <w:tcW w:w="2036" w:type="dxa"/>
            <w:tcBorders>
              <w:top w:val="single" w:sz="6" w:space="0" w:color="000000"/>
              <w:left w:val="single" w:sz="6" w:space="0" w:color="000000"/>
              <w:bottom w:val="single" w:sz="6" w:space="0" w:color="000000"/>
              <w:right w:val="single" w:sz="6" w:space="0" w:color="000000"/>
            </w:tcBorders>
          </w:tcPr>
          <w:p w14:paraId="77389F5B"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0,84</w:t>
            </w:r>
          </w:p>
          <w:p w14:paraId="524664E9"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(0,72, 0,98)</w:t>
            </w:r>
          </w:p>
        </w:tc>
        <w:tc>
          <w:tcPr>
            <w:tcW w:w="1148" w:type="dxa"/>
            <w:tcBorders>
              <w:top w:val="single" w:sz="6" w:space="0" w:color="000000"/>
              <w:left w:val="single" w:sz="6" w:space="0" w:color="000000"/>
              <w:bottom w:val="single" w:sz="6" w:space="0" w:color="000000"/>
              <w:right w:val="single" w:sz="6" w:space="0" w:color="000000"/>
            </w:tcBorders>
          </w:tcPr>
          <w:p w14:paraId="719A2C69"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338</w:t>
            </w:r>
          </w:p>
          <w:p w14:paraId="42A6BC51"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(4,8 %)</w:t>
            </w:r>
          </w:p>
        </w:tc>
        <w:tc>
          <w:tcPr>
            <w:tcW w:w="1372" w:type="dxa"/>
            <w:tcBorders>
              <w:top w:val="single" w:sz="6" w:space="0" w:color="000000"/>
              <w:left w:val="single" w:sz="6" w:space="0" w:color="000000"/>
              <w:bottom w:val="single" w:sz="6" w:space="0" w:color="000000"/>
              <w:right w:val="single" w:sz="6" w:space="0" w:color="000000"/>
            </w:tcBorders>
          </w:tcPr>
          <w:p w14:paraId="11935927"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5CCFEBF5"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5,2 %</w:t>
            </w:r>
          </w:p>
        </w:tc>
        <w:tc>
          <w:tcPr>
            <w:tcW w:w="1018" w:type="dxa"/>
            <w:tcBorders>
              <w:top w:val="single" w:sz="6" w:space="0" w:color="000000"/>
              <w:left w:val="single" w:sz="6" w:space="0" w:color="000000"/>
              <w:bottom w:val="single" w:sz="6" w:space="0" w:color="000000"/>
            </w:tcBorders>
          </w:tcPr>
          <w:p w14:paraId="2F9BF816"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0D8934EB"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0,0314</w:t>
            </w:r>
          </w:p>
        </w:tc>
      </w:tr>
      <w:tr w:rsidR="00F151B8" w:rsidRPr="00DF20DE" w14:paraId="580D8FD5" w14:textId="77777777" w:rsidTr="00C536DB">
        <w:trPr>
          <w:trHeight w:val="762"/>
        </w:trPr>
        <w:tc>
          <w:tcPr>
            <w:tcW w:w="1291" w:type="dxa"/>
            <w:tcBorders>
              <w:top w:val="single" w:sz="6" w:space="0" w:color="000000"/>
              <w:bottom w:val="single" w:sz="6" w:space="0" w:color="000000"/>
              <w:right w:val="single" w:sz="6" w:space="0" w:color="000000"/>
            </w:tcBorders>
          </w:tcPr>
          <w:p w14:paraId="516C211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3C3F90A2"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Insultai</w:t>
            </w:r>
          </w:p>
        </w:tc>
        <w:tc>
          <w:tcPr>
            <w:tcW w:w="1128" w:type="dxa"/>
            <w:tcBorders>
              <w:top w:val="single" w:sz="6" w:space="0" w:color="000000"/>
              <w:left w:val="single" w:sz="6" w:space="0" w:color="000000"/>
              <w:bottom w:val="single" w:sz="6" w:space="0" w:color="000000"/>
              <w:right w:val="single" w:sz="6" w:space="0" w:color="000000"/>
            </w:tcBorders>
          </w:tcPr>
          <w:p w14:paraId="6D9C5FAE"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91</w:t>
            </w:r>
          </w:p>
          <w:p w14:paraId="230F8555"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(1,3 %)</w:t>
            </w:r>
          </w:p>
        </w:tc>
        <w:tc>
          <w:tcPr>
            <w:tcW w:w="912" w:type="dxa"/>
            <w:tcBorders>
              <w:top w:val="single" w:sz="6" w:space="0" w:color="000000"/>
              <w:left w:val="single" w:sz="6" w:space="0" w:color="000000"/>
              <w:bottom w:val="single" w:sz="6" w:space="0" w:color="000000"/>
              <w:right w:val="single" w:sz="6" w:space="0" w:color="000000"/>
            </w:tcBorders>
          </w:tcPr>
          <w:p w14:paraId="257ACFBE"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738078E6"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1,5 %</w:t>
            </w:r>
          </w:p>
        </w:tc>
        <w:tc>
          <w:tcPr>
            <w:tcW w:w="2036" w:type="dxa"/>
            <w:tcBorders>
              <w:top w:val="single" w:sz="6" w:space="0" w:color="000000"/>
              <w:left w:val="single" w:sz="6" w:space="0" w:color="000000"/>
              <w:bottom w:val="single" w:sz="6" w:space="0" w:color="000000"/>
              <w:right w:val="single" w:sz="6" w:space="0" w:color="000000"/>
            </w:tcBorders>
          </w:tcPr>
          <w:p w14:paraId="22AAF755"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0,75</w:t>
            </w:r>
          </w:p>
          <w:p w14:paraId="13DF4163"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(0,57, 0,98)</w:t>
            </w:r>
          </w:p>
        </w:tc>
        <w:tc>
          <w:tcPr>
            <w:tcW w:w="1148" w:type="dxa"/>
            <w:tcBorders>
              <w:top w:val="single" w:sz="6" w:space="0" w:color="000000"/>
              <w:left w:val="single" w:sz="6" w:space="0" w:color="000000"/>
              <w:bottom w:val="single" w:sz="6" w:space="0" w:color="000000"/>
              <w:right w:val="single" w:sz="6" w:space="0" w:color="000000"/>
            </w:tcBorders>
          </w:tcPr>
          <w:p w14:paraId="76DC2DB5"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122</w:t>
            </w:r>
          </w:p>
          <w:p w14:paraId="77D2622D"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(1,7 %)</w:t>
            </w:r>
          </w:p>
        </w:tc>
        <w:tc>
          <w:tcPr>
            <w:tcW w:w="1372" w:type="dxa"/>
            <w:tcBorders>
              <w:top w:val="single" w:sz="6" w:space="0" w:color="000000"/>
              <w:left w:val="single" w:sz="6" w:space="0" w:color="000000"/>
              <w:bottom w:val="single" w:sz="6" w:space="0" w:color="000000"/>
              <w:right w:val="single" w:sz="6" w:space="0" w:color="000000"/>
            </w:tcBorders>
          </w:tcPr>
          <w:p w14:paraId="5D0D4810"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6192876B"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1,9 %</w:t>
            </w:r>
          </w:p>
        </w:tc>
        <w:tc>
          <w:tcPr>
            <w:tcW w:w="1018" w:type="dxa"/>
            <w:tcBorders>
              <w:top w:val="single" w:sz="6" w:space="0" w:color="000000"/>
              <w:left w:val="single" w:sz="6" w:space="0" w:color="000000"/>
              <w:bottom w:val="single" w:sz="6" w:space="0" w:color="000000"/>
            </w:tcBorders>
          </w:tcPr>
          <w:p w14:paraId="4D620C81"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45869BA3"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0,0337</w:t>
            </w:r>
          </w:p>
        </w:tc>
      </w:tr>
      <w:tr w:rsidR="00F151B8" w:rsidRPr="00DF20DE" w14:paraId="79E55EF0" w14:textId="77777777" w:rsidTr="00C536DB">
        <w:trPr>
          <w:trHeight w:val="508"/>
        </w:trPr>
        <w:tc>
          <w:tcPr>
            <w:tcW w:w="8905" w:type="dxa"/>
            <w:gridSpan w:val="7"/>
            <w:tcBorders>
              <w:top w:val="single" w:sz="6" w:space="0" w:color="000000"/>
              <w:bottom w:val="single" w:sz="6" w:space="0" w:color="000000"/>
            </w:tcBorders>
          </w:tcPr>
          <w:p w14:paraId="1B53D37F"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Antrinė vertinamoji baigtis</w:t>
            </w:r>
          </w:p>
        </w:tc>
      </w:tr>
      <w:tr w:rsidR="00F151B8" w:rsidRPr="00DF20DE" w14:paraId="3494E4F6" w14:textId="77777777" w:rsidTr="00C536DB">
        <w:trPr>
          <w:trHeight w:val="757"/>
        </w:trPr>
        <w:tc>
          <w:tcPr>
            <w:tcW w:w="1291" w:type="dxa"/>
            <w:tcBorders>
              <w:top w:val="single" w:sz="6" w:space="0" w:color="000000"/>
              <w:bottom w:val="single" w:sz="6" w:space="0" w:color="000000"/>
              <w:right w:val="single" w:sz="6" w:space="0" w:color="000000"/>
            </w:tcBorders>
          </w:tcPr>
          <w:p w14:paraId="6F78190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6D659E93"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KV mirtys</w:t>
            </w:r>
          </w:p>
        </w:tc>
        <w:tc>
          <w:tcPr>
            <w:tcW w:w="1128" w:type="dxa"/>
            <w:tcBorders>
              <w:top w:val="single" w:sz="6" w:space="0" w:color="000000"/>
              <w:left w:val="single" w:sz="6" w:space="0" w:color="000000"/>
              <w:bottom w:val="single" w:sz="6" w:space="0" w:color="000000"/>
              <w:right w:val="single" w:sz="6" w:space="0" w:color="000000"/>
            </w:tcBorders>
          </w:tcPr>
          <w:p w14:paraId="6E8156AD"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174</w:t>
            </w:r>
          </w:p>
          <w:p w14:paraId="72E70CA0"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(2,5 %)</w:t>
            </w:r>
          </w:p>
        </w:tc>
        <w:tc>
          <w:tcPr>
            <w:tcW w:w="912" w:type="dxa"/>
            <w:tcBorders>
              <w:top w:val="single" w:sz="6" w:space="0" w:color="000000"/>
              <w:left w:val="single" w:sz="6" w:space="0" w:color="000000"/>
              <w:bottom w:val="single" w:sz="6" w:space="0" w:color="000000"/>
              <w:right w:val="single" w:sz="6" w:space="0" w:color="000000"/>
            </w:tcBorders>
          </w:tcPr>
          <w:p w14:paraId="24DC57F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3427E36B"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2,9 %</w:t>
            </w:r>
          </w:p>
        </w:tc>
        <w:tc>
          <w:tcPr>
            <w:tcW w:w="2036" w:type="dxa"/>
            <w:tcBorders>
              <w:top w:val="single" w:sz="6" w:space="0" w:color="000000"/>
              <w:left w:val="single" w:sz="6" w:space="0" w:color="000000"/>
              <w:bottom w:val="single" w:sz="6" w:space="0" w:color="000000"/>
              <w:right w:val="single" w:sz="6" w:space="0" w:color="000000"/>
            </w:tcBorders>
          </w:tcPr>
          <w:p w14:paraId="794C524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0,83</w:t>
            </w:r>
          </w:p>
          <w:p w14:paraId="7FFDD997"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(0,68, 1,01)</w:t>
            </w:r>
          </w:p>
        </w:tc>
        <w:tc>
          <w:tcPr>
            <w:tcW w:w="1148" w:type="dxa"/>
            <w:tcBorders>
              <w:top w:val="single" w:sz="6" w:space="0" w:color="000000"/>
              <w:left w:val="single" w:sz="6" w:space="0" w:color="000000"/>
              <w:bottom w:val="single" w:sz="6" w:space="0" w:color="000000"/>
              <w:right w:val="single" w:sz="6" w:space="0" w:color="000000"/>
            </w:tcBorders>
          </w:tcPr>
          <w:p w14:paraId="489167A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210</w:t>
            </w:r>
          </w:p>
          <w:p w14:paraId="0D430808"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(3,0 %)</w:t>
            </w:r>
          </w:p>
        </w:tc>
        <w:tc>
          <w:tcPr>
            <w:tcW w:w="1372" w:type="dxa"/>
            <w:tcBorders>
              <w:top w:val="single" w:sz="6" w:space="0" w:color="000000"/>
              <w:left w:val="single" w:sz="6" w:space="0" w:color="000000"/>
              <w:bottom w:val="single" w:sz="6" w:space="0" w:color="000000"/>
              <w:right w:val="single" w:sz="6" w:space="0" w:color="000000"/>
            </w:tcBorders>
          </w:tcPr>
          <w:p w14:paraId="5F97C683"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5CA784D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3,4 %</w:t>
            </w:r>
          </w:p>
        </w:tc>
        <w:tc>
          <w:tcPr>
            <w:tcW w:w="1018" w:type="dxa"/>
            <w:tcBorders>
              <w:top w:val="single" w:sz="6" w:space="0" w:color="000000"/>
              <w:left w:val="single" w:sz="6" w:space="0" w:color="000000"/>
              <w:bottom w:val="single" w:sz="6" w:space="0" w:color="000000"/>
            </w:tcBorders>
          </w:tcPr>
          <w:p w14:paraId="21A0834D"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25D9EE3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w:t>
            </w:r>
          </w:p>
        </w:tc>
      </w:tr>
      <w:tr w:rsidR="00F151B8" w:rsidRPr="00DF20DE" w14:paraId="491B694F" w14:textId="77777777" w:rsidTr="00C536DB">
        <w:trPr>
          <w:trHeight w:val="757"/>
        </w:trPr>
        <w:tc>
          <w:tcPr>
            <w:tcW w:w="1291" w:type="dxa"/>
            <w:tcBorders>
              <w:top w:val="single" w:sz="6" w:space="0" w:color="000000"/>
              <w:right w:val="single" w:sz="6" w:space="0" w:color="000000"/>
            </w:tcBorders>
          </w:tcPr>
          <w:p w14:paraId="4F208C8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Mirtys dėl bet kurios priežasties</w:t>
            </w:r>
          </w:p>
        </w:tc>
        <w:tc>
          <w:tcPr>
            <w:tcW w:w="1128" w:type="dxa"/>
            <w:tcBorders>
              <w:top w:val="single" w:sz="6" w:space="0" w:color="000000"/>
              <w:left w:val="single" w:sz="6" w:space="0" w:color="000000"/>
              <w:right w:val="single" w:sz="6" w:space="0" w:color="000000"/>
            </w:tcBorders>
          </w:tcPr>
          <w:p w14:paraId="2EBCFF99"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289</w:t>
            </w:r>
          </w:p>
          <w:p w14:paraId="23A66C85"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(4,1 %)</w:t>
            </w:r>
          </w:p>
        </w:tc>
        <w:tc>
          <w:tcPr>
            <w:tcW w:w="912" w:type="dxa"/>
            <w:tcBorders>
              <w:top w:val="single" w:sz="6" w:space="0" w:color="000000"/>
              <w:left w:val="single" w:sz="6" w:space="0" w:color="000000"/>
              <w:right w:val="single" w:sz="6" w:space="0" w:color="000000"/>
            </w:tcBorders>
          </w:tcPr>
          <w:p w14:paraId="429DFF49"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42576C9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4,7 %</w:t>
            </w:r>
          </w:p>
        </w:tc>
        <w:tc>
          <w:tcPr>
            <w:tcW w:w="2036" w:type="dxa"/>
            <w:tcBorders>
              <w:top w:val="single" w:sz="6" w:space="0" w:color="000000"/>
              <w:left w:val="single" w:sz="6" w:space="0" w:color="000000"/>
              <w:right w:val="single" w:sz="6" w:space="0" w:color="000000"/>
            </w:tcBorders>
          </w:tcPr>
          <w:p w14:paraId="2EEE7563"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0,89</w:t>
            </w:r>
          </w:p>
          <w:p w14:paraId="0D1A3334"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(0,76, 1,04)</w:t>
            </w:r>
          </w:p>
        </w:tc>
        <w:tc>
          <w:tcPr>
            <w:tcW w:w="1148" w:type="dxa"/>
            <w:tcBorders>
              <w:top w:val="single" w:sz="6" w:space="0" w:color="000000"/>
              <w:left w:val="single" w:sz="6" w:space="0" w:color="000000"/>
              <w:right w:val="single" w:sz="6" w:space="0" w:color="000000"/>
            </w:tcBorders>
          </w:tcPr>
          <w:p w14:paraId="412B1C5F"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326</w:t>
            </w:r>
          </w:p>
          <w:p w14:paraId="2DEC311E"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(4,6 %)</w:t>
            </w:r>
          </w:p>
        </w:tc>
        <w:tc>
          <w:tcPr>
            <w:tcW w:w="1372" w:type="dxa"/>
            <w:tcBorders>
              <w:top w:val="single" w:sz="6" w:space="0" w:color="000000"/>
              <w:left w:val="single" w:sz="6" w:space="0" w:color="000000"/>
              <w:right w:val="single" w:sz="6" w:space="0" w:color="000000"/>
            </w:tcBorders>
          </w:tcPr>
          <w:p w14:paraId="5925261C"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0133F4B1"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5,2 %</w:t>
            </w:r>
          </w:p>
        </w:tc>
        <w:tc>
          <w:tcPr>
            <w:tcW w:w="1018" w:type="dxa"/>
            <w:tcBorders>
              <w:top w:val="single" w:sz="6" w:space="0" w:color="000000"/>
              <w:left w:val="single" w:sz="6" w:space="0" w:color="000000"/>
            </w:tcBorders>
          </w:tcPr>
          <w:p w14:paraId="413EC8B9"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b/>
              </w:rPr>
            </w:pPr>
          </w:p>
          <w:p w14:paraId="20A7314F"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w:t>
            </w:r>
          </w:p>
        </w:tc>
      </w:tr>
    </w:tbl>
    <w:p w14:paraId="3BA3CBB9" w14:textId="7BB6F541"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i/>
          <w:iCs/>
          <w:sz w:val="20"/>
          <w:szCs w:val="20"/>
        </w:rPr>
        <w:t>R</w:t>
      </w:r>
      <w:r w:rsidR="0058593D" w:rsidRPr="00DF20DE">
        <w:rPr>
          <w:rFonts w:ascii="Times New Roman" w:eastAsia="Times New Roman" w:hAnsi="Times New Roman" w:cs="Times New Roman"/>
          <w:i/>
          <w:iCs/>
          <w:sz w:val="20"/>
          <w:szCs w:val="20"/>
        </w:rPr>
        <w:t>S</w:t>
      </w:r>
      <w:r w:rsidRPr="00DF20DE">
        <w:rPr>
          <w:rFonts w:ascii="Times New Roman" w:eastAsia="Times New Roman" w:hAnsi="Times New Roman" w:cs="Times New Roman"/>
          <w:sz w:val="20"/>
          <w:szCs w:val="20"/>
        </w:rPr>
        <w:t xml:space="preserve"> ir </w:t>
      </w:r>
      <w:r w:rsidRPr="00DF20DE">
        <w:rPr>
          <w:rFonts w:ascii="Times New Roman" w:eastAsia="Times New Roman" w:hAnsi="Times New Roman" w:cs="Times New Roman"/>
          <w:i/>
          <w:iCs/>
          <w:sz w:val="20"/>
          <w:szCs w:val="20"/>
        </w:rPr>
        <w:t>p</w:t>
      </w:r>
      <w:r w:rsidRPr="00DF20DE">
        <w:rPr>
          <w:rFonts w:ascii="Times New Roman" w:eastAsia="Times New Roman" w:hAnsi="Times New Roman" w:cs="Times New Roman"/>
          <w:sz w:val="20"/>
          <w:szCs w:val="20"/>
        </w:rPr>
        <w:t xml:space="preserve"> reikšmės apskaičiuoti atskirai tikagrelorui plg. su vien ASR naudojant Cox proporcinės rizikos modelį </w:t>
      </w:r>
      <w:r w:rsidRPr="00DF20DE">
        <w:rPr>
          <w:rFonts w:ascii="Times New Roman" w:eastAsia="Times New Roman" w:hAnsi="Times New Roman" w:cs="Times New Roman"/>
          <w:sz w:val="20"/>
          <w:szCs w:val="20"/>
        </w:rPr>
        <w:lastRenderedPageBreak/>
        <w:t>(vienintelis aiškinamasis kintamasis buvo gydymo grupė).</w:t>
      </w:r>
    </w:p>
    <w:p w14:paraId="15CB51C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i/>
          <w:iCs/>
          <w:sz w:val="20"/>
          <w:szCs w:val="20"/>
        </w:rPr>
        <w:t>KM</w:t>
      </w:r>
      <w:r w:rsidRPr="00DF20DE">
        <w:rPr>
          <w:rFonts w:ascii="Times New Roman" w:eastAsia="Times New Roman" w:hAnsi="Times New Roman" w:cs="Times New Roman"/>
          <w:sz w:val="20"/>
          <w:szCs w:val="20"/>
        </w:rPr>
        <w:t xml:space="preserve"> procentai apskaičiuoti po 36 mėn.</w:t>
      </w:r>
    </w:p>
    <w:p w14:paraId="340BE88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rPr>
        <w:t>Pastaba. Sudėtinėje vertinamojoje baigtyje nurodytas tik pirmųjų reiškinių – komponentų (KV mirčių, MI ir insultų) – skaičius, bet ne jų suma.</w:t>
      </w:r>
    </w:p>
    <w:p w14:paraId="47E52CB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rPr>
        <w:t>(r) – rodo statistinį reikšmingumą.</w:t>
      </w:r>
    </w:p>
    <w:p w14:paraId="3DF1F506" w14:textId="34EBADA8"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rPr>
        <w:t>PI – pasikliautinasis intervalas, KV – kardiovaskulinis, R</w:t>
      </w:r>
      <w:r w:rsidR="0058593D" w:rsidRPr="00DF20DE">
        <w:rPr>
          <w:rFonts w:ascii="Times New Roman" w:eastAsia="Times New Roman" w:hAnsi="Times New Roman" w:cs="Times New Roman"/>
          <w:sz w:val="20"/>
          <w:szCs w:val="20"/>
        </w:rPr>
        <w:t>S</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iCs/>
          <w:sz w:val="20"/>
          <w:szCs w:val="20"/>
        </w:rPr>
        <w:t>angl. Hazard ratio)</w:t>
      </w:r>
      <w:r w:rsidRPr="00DF20DE">
        <w:rPr>
          <w:rFonts w:ascii="Times New Roman" w:eastAsia="Times New Roman" w:hAnsi="Times New Roman" w:cs="Times New Roman"/>
          <w:sz w:val="20"/>
          <w:szCs w:val="20"/>
        </w:rPr>
        <w:t xml:space="preserve"> – rizikos santykis; </w:t>
      </w:r>
      <w:r w:rsidRPr="00DF20DE">
        <w:rPr>
          <w:rFonts w:ascii="Times New Roman" w:eastAsia="Times New Roman" w:hAnsi="Times New Roman" w:cs="Times New Roman"/>
          <w:i/>
          <w:iCs/>
          <w:sz w:val="20"/>
          <w:szCs w:val="20"/>
        </w:rPr>
        <w:t>KM</w:t>
      </w:r>
      <w:r w:rsidRPr="00DF20DE">
        <w:rPr>
          <w:rFonts w:ascii="Times New Roman" w:eastAsia="Times New Roman" w:hAnsi="Times New Roman" w:cs="Times New Roman"/>
          <w:sz w:val="20"/>
          <w:szCs w:val="20"/>
        </w:rPr>
        <w:t xml:space="preserve"> – </w:t>
      </w:r>
      <w:r w:rsidRPr="00DF20DE">
        <w:rPr>
          <w:rFonts w:ascii="Times New Roman" w:eastAsia="Times New Roman" w:hAnsi="Times New Roman" w:cs="Times New Roman"/>
          <w:i/>
          <w:iCs/>
          <w:sz w:val="20"/>
          <w:szCs w:val="20"/>
        </w:rPr>
        <w:t>Kaplan-Meier</w:t>
      </w:r>
      <w:r w:rsidRPr="00DF20DE">
        <w:rPr>
          <w:rFonts w:ascii="Times New Roman" w:eastAsia="Times New Roman" w:hAnsi="Times New Roman" w:cs="Times New Roman"/>
          <w:sz w:val="20"/>
          <w:szCs w:val="20"/>
        </w:rPr>
        <w:t>, MI – miokardo infarktas, N – pacientų skaičius.</w:t>
      </w:r>
    </w:p>
    <w:p w14:paraId="0651C10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966AE7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Tiek 60 mg, tiek 90 mg tikagreloro 2 kartus per parą kartu su ASR apsaugojo nuo aterotrombozės reiškinių (sudėtinė vertinamoji baigtis buvo KV mirtis, MI ir insultas) geriau negu vien ASR. Gydymo poveikis buvo nuoseklus visą vartojimo laikotarpį, 60 mg tikagreloro </w:t>
      </w:r>
      <w:r w:rsidRPr="00DF20DE">
        <w:rPr>
          <w:rFonts w:ascii="Times New Roman" w:eastAsia="Times New Roman" w:hAnsi="Times New Roman" w:cs="Times New Roman"/>
          <w:i/>
          <w:iCs/>
        </w:rPr>
        <w:t>RRR</w:t>
      </w:r>
      <w:r w:rsidRPr="00DF20DE">
        <w:rPr>
          <w:rFonts w:ascii="Times New Roman" w:eastAsia="Times New Roman" w:hAnsi="Times New Roman" w:cs="Times New Roman"/>
        </w:rPr>
        <w:t xml:space="preserve"> buvo 16 % ir </w:t>
      </w:r>
      <w:r w:rsidRPr="00DF20DE">
        <w:rPr>
          <w:rFonts w:ascii="Times New Roman" w:eastAsia="Times New Roman" w:hAnsi="Times New Roman" w:cs="Times New Roman"/>
          <w:i/>
          <w:iCs/>
        </w:rPr>
        <w:t>ARR</w:t>
      </w:r>
      <w:r w:rsidRPr="00DF20DE">
        <w:rPr>
          <w:rFonts w:ascii="Times New Roman" w:eastAsia="Times New Roman" w:hAnsi="Times New Roman" w:cs="Times New Roman"/>
        </w:rPr>
        <w:t xml:space="preserve"> –</w:t>
      </w:r>
    </w:p>
    <w:p w14:paraId="4340CAC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1,27 %, 90 mg tikagreloro </w:t>
      </w:r>
      <w:r w:rsidRPr="00DF20DE">
        <w:rPr>
          <w:rFonts w:ascii="Times New Roman" w:eastAsia="Times New Roman" w:hAnsi="Times New Roman" w:cs="Times New Roman"/>
          <w:i/>
          <w:iCs/>
        </w:rPr>
        <w:t>RRR</w:t>
      </w:r>
      <w:r w:rsidRPr="00DF20DE">
        <w:rPr>
          <w:rFonts w:ascii="Times New Roman" w:eastAsia="Times New Roman" w:hAnsi="Times New Roman" w:cs="Times New Roman"/>
        </w:rPr>
        <w:t xml:space="preserve"> –15 % ir </w:t>
      </w:r>
      <w:r w:rsidRPr="00DF20DE">
        <w:rPr>
          <w:rFonts w:ascii="Times New Roman" w:eastAsia="Times New Roman" w:hAnsi="Times New Roman" w:cs="Times New Roman"/>
          <w:i/>
          <w:iCs/>
        </w:rPr>
        <w:t>ARR</w:t>
      </w:r>
      <w:r w:rsidRPr="00DF20DE">
        <w:rPr>
          <w:rFonts w:ascii="Times New Roman" w:eastAsia="Times New Roman" w:hAnsi="Times New Roman" w:cs="Times New Roman"/>
        </w:rPr>
        <w:t xml:space="preserve"> – 1,19 %.</w:t>
      </w:r>
    </w:p>
    <w:p w14:paraId="27B0E8B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8DBE6C8" w14:textId="63B041A4"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Nors 90 mg ir 60 mg dozių saugumas buvo panašus, tačiau gauta duomenų, kad mažesnioji dozė yra geriau toleruojama bei saugesnė kraujavimo ir dusulio požiūriu. Dėl to aterotrombozės įvykių (KV mirties, MI ir insulto) profilaktikai anksčiau MI patyrusiems pacientams, turintiems didelę aterotrombozės reiškinių riziką, rekomenduojama vartoti tik 60 mg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2 kartus per parą kartu su ASR.</w:t>
      </w:r>
    </w:p>
    <w:p w14:paraId="373152A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7A3BF1B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60 mg tikagreloro 2 kartus per parą reikšmingai labiau negu vien ASA sumažino pirminės sudėtinės vertinamosios baigties įvykių (KV mirčių, MI ir insultų) skaičių. Įtakos pirminės sudėtinės vertinamosios baigties įvykių skaičiaus sumažėjimui turėjo visi jos komponentai (KV mirčių </w:t>
      </w:r>
      <w:r w:rsidRPr="00DF20DE">
        <w:rPr>
          <w:rFonts w:ascii="Times New Roman" w:eastAsia="Times New Roman" w:hAnsi="Times New Roman" w:cs="Times New Roman"/>
          <w:i/>
          <w:iCs/>
        </w:rPr>
        <w:t>RRR</w:t>
      </w:r>
    </w:p>
    <w:p w14:paraId="68B58DD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17 %, MI – 16 %, insulto – 25 %).</w:t>
      </w:r>
    </w:p>
    <w:p w14:paraId="180E6092" w14:textId="77777777" w:rsidR="00F151B8" w:rsidRPr="00DF20DE" w:rsidRDefault="00F151B8" w:rsidP="00F151B8">
      <w:pPr>
        <w:widowControl w:val="0"/>
        <w:autoSpaceDE w:val="0"/>
        <w:autoSpaceDN w:val="0"/>
        <w:spacing w:after="0" w:line="240" w:lineRule="auto"/>
        <w:jc w:val="both"/>
        <w:rPr>
          <w:rFonts w:ascii="Times New Roman" w:eastAsia="Times New Roman" w:hAnsi="Times New Roman" w:cs="Times New Roman"/>
        </w:rPr>
      </w:pPr>
    </w:p>
    <w:p w14:paraId="7A9B8C1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Sudėtinės vertinamosios baigties </w:t>
      </w:r>
      <w:r w:rsidRPr="00DF20DE">
        <w:rPr>
          <w:rFonts w:ascii="Times New Roman" w:eastAsia="Times New Roman" w:hAnsi="Times New Roman" w:cs="Times New Roman"/>
          <w:i/>
          <w:iCs/>
        </w:rPr>
        <w:t>RRR</w:t>
      </w:r>
      <w:r w:rsidRPr="00DF20DE">
        <w:rPr>
          <w:rFonts w:ascii="Times New Roman" w:eastAsia="Times New Roman" w:hAnsi="Times New Roman" w:cs="Times New Roman"/>
        </w:rPr>
        <w:t xml:space="preserve"> nuo 1-os iki 360-os dienos ir nuo 361 dienos buvo panašūs (atitinkamai 17 % ir 16 %). Tikagreloro vartojimo ilgiau kaip 3 metus veiksmingumo ir saugumo duomenų yra nedaug.</w:t>
      </w:r>
    </w:p>
    <w:p w14:paraId="3C5B34E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208C82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Pradėjus vartoti 60 mg tikagreloro 2 kartus per parą stabilios klinikinės būklės pacientams, patyrusiems MI daugiau kaip prieš 2 metus arba nutraukusiems ankstesnio ADF receptorių inhibitoriaus vartojimą daugiau kaip prieš 1 metus, naudos nenustatyta (pirminės sudėtinės vertinamosios baigties, kurią sudarė KV mirtis, MI ir insultas, atvejų nesumažėjo), tačiau buvo daugiau didesniųjų kraujavimų (taip pat žr. 4.2 skyrių).</w:t>
      </w:r>
    </w:p>
    <w:p w14:paraId="75F331E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0DCEF59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Klinikinis saugumas</w:t>
      </w:r>
    </w:p>
    <w:p w14:paraId="57B0670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Dėl kraujavimo ar dusulio 60 mg tikagreloro vartojimą vyresni kaip 75 metų pacientai nutraukė dažniau (42 %) negu jaunesni (nuo 23 iki 31 %); skirtumas, palyginus su placebu, buvo didesnis kaip 10 % (atitinkamai 42 % ir 29 %).</w:t>
      </w:r>
    </w:p>
    <w:p w14:paraId="256CD10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A9BEBC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Vaikų populiacija</w:t>
      </w:r>
    </w:p>
    <w:p w14:paraId="6C3BB957" w14:textId="77777777" w:rsidR="00FE3F4A" w:rsidRPr="00DF20DE" w:rsidRDefault="00FE3F4A" w:rsidP="00FE3F4A">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Randomizuoto dvigubai koduoto lygiagrečių grupių III fazės HESTIA 3 tyrimo metu 193 vaikai (nuo</w:t>
      </w:r>
    </w:p>
    <w:p w14:paraId="4A423D29" w14:textId="5071E75D" w:rsidR="00FE3F4A" w:rsidRPr="00DF20DE" w:rsidRDefault="00FE3F4A" w:rsidP="00FE3F4A">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2 iki &lt; 18 metų amžiaus), sirgę pjautuvo pavidalo ląstelių liga, buvo randomizuoti vartoti placeb</w:t>
      </w:r>
      <w:r w:rsidR="002F42C6" w:rsidRPr="00DF20DE">
        <w:rPr>
          <w:rFonts w:ascii="Times New Roman" w:eastAsia="Times New Roman" w:hAnsi="Times New Roman" w:cs="Times New Roman"/>
        </w:rPr>
        <w:t>o</w:t>
      </w:r>
      <w:r w:rsidRPr="00DF20DE">
        <w:rPr>
          <w:rFonts w:ascii="Times New Roman" w:eastAsia="Times New Roman" w:hAnsi="Times New Roman" w:cs="Times New Roman"/>
        </w:rPr>
        <w:t xml:space="preserve"> arba</w:t>
      </w:r>
    </w:p>
    <w:p w14:paraId="6A311FCA" w14:textId="3CC5B2C0" w:rsidR="00FE3F4A" w:rsidRPr="00DF20DE" w:rsidRDefault="00FE3F4A" w:rsidP="00FE3F4A">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po 15-45 mg tikagreloro 2 kartus per parą, priklausomai nuo kūno svorio. Nusistovėjus pusiausvyr</w:t>
      </w:r>
      <w:r w:rsidR="00832414" w:rsidRPr="00DF20DE">
        <w:rPr>
          <w:rFonts w:ascii="Times New Roman" w:eastAsia="Times New Roman" w:hAnsi="Times New Roman" w:cs="Times New Roman"/>
        </w:rPr>
        <w:t>inei</w:t>
      </w:r>
    </w:p>
    <w:p w14:paraId="28DEB313" w14:textId="21E9273C" w:rsidR="00FE3F4A" w:rsidRPr="00DF20DE" w:rsidRDefault="002F42C6" w:rsidP="00FE3F4A">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koncentracijai </w:t>
      </w:r>
      <w:r w:rsidR="00FE3F4A" w:rsidRPr="00DF20DE">
        <w:rPr>
          <w:rFonts w:ascii="Times New Roman" w:eastAsia="Times New Roman" w:hAnsi="Times New Roman" w:cs="Times New Roman"/>
        </w:rPr>
        <w:t>tikagreloro sukelto trombocitų funkcijos slopinimo mediana buvo 35 % prieš geriant eilinę</w:t>
      </w:r>
      <w:r w:rsidRPr="00DF20DE">
        <w:rPr>
          <w:rFonts w:ascii="Times New Roman" w:eastAsia="Times New Roman" w:hAnsi="Times New Roman" w:cs="Times New Roman"/>
        </w:rPr>
        <w:t xml:space="preserve"> </w:t>
      </w:r>
      <w:r w:rsidR="00FE3F4A" w:rsidRPr="00DF20DE">
        <w:rPr>
          <w:rFonts w:ascii="Times New Roman" w:eastAsia="Times New Roman" w:hAnsi="Times New Roman" w:cs="Times New Roman"/>
        </w:rPr>
        <w:t>jo dozę ir 56 % praėjus 2 val. po jos vartojimo.</w:t>
      </w:r>
    </w:p>
    <w:p w14:paraId="2C27FB25" w14:textId="77777777" w:rsidR="00FE3F4A" w:rsidRPr="00DF20DE" w:rsidRDefault="00FE3F4A" w:rsidP="00FE3F4A">
      <w:pPr>
        <w:widowControl w:val="0"/>
        <w:autoSpaceDE w:val="0"/>
        <w:autoSpaceDN w:val="0"/>
        <w:spacing w:after="0" w:line="240" w:lineRule="auto"/>
        <w:rPr>
          <w:rFonts w:ascii="Times New Roman" w:eastAsia="Times New Roman" w:hAnsi="Times New Roman" w:cs="Times New Roman"/>
        </w:rPr>
      </w:pPr>
    </w:p>
    <w:p w14:paraId="0288ACDC" w14:textId="77777777" w:rsidR="00FE3F4A" w:rsidRPr="00DF20DE" w:rsidRDefault="00FE3F4A" w:rsidP="00FE3F4A">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Tikagreloras nesukėlė pranašesnio negu placebas gydomojo poveikio, vertinant kraujagyslių</w:t>
      </w:r>
    </w:p>
    <w:p w14:paraId="60792057" w14:textId="505C15F0" w:rsidR="00FE3F4A" w:rsidRPr="00DF20DE" w:rsidRDefault="00FE3F4A" w:rsidP="00FE3F4A">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užsikimšimo krizių dažnį.</w:t>
      </w:r>
    </w:p>
    <w:p w14:paraId="3E106450" w14:textId="77777777" w:rsidR="00FE3F4A" w:rsidRPr="00DF20DE" w:rsidRDefault="00FE3F4A" w:rsidP="00F151B8">
      <w:pPr>
        <w:widowControl w:val="0"/>
        <w:autoSpaceDE w:val="0"/>
        <w:autoSpaceDN w:val="0"/>
        <w:spacing w:after="0" w:line="240" w:lineRule="auto"/>
        <w:rPr>
          <w:rFonts w:ascii="Times New Roman" w:eastAsia="Times New Roman" w:hAnsi="Times New Roman" w:cs="Times New Roman"/>
        </w:rPr>
      </w:pPr>
    </w:p>
    <w:p w14:paraId="2AB23E1D" w14:textId="576AFA4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Europos vaistų agentūra atleido nuo įpareigojimo pateikti referencinio vaistinio preparato, kurio sudėtyje yra tikagreloro, tyrimų su visais vaikų, sergančių ūminių koronarinių sindromų (ŪKS) ir anksčiau patyrusių miokardo infarktą (MI), populiacijos pogrupiais duomenis (vartojimo vaikams informacija pateikiama 4.2 skyriuje).</w:t>
      </w:r>
    </w:p>
    <w:p w14:paraId="1305B72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D510E9D" w14:textId="77777777" w:rsidR="00F151B8" w:rsidRPr="00DF20DE" w:rsidRDefault="00F151B8" w:rsidP="00F151B8">
      <w:pPr>
        <w:widowControl w:val="0"/>
        <w:tabs>
          <w:tab w:val="left" w:pos="540"/>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5.2</w:t>
      </w:r>
      <w:r w:rsidRPr="00DF20DE">
        <w:rPr>
          <w:rFonts w:ascii="Times New Roman" w:eastAsia="Times New Roman" w:hAnsi="Times New Roman" w:cs="Times New Roman"/>
          <w:b/>
          <w:bCs/>
        </w:rPr>
        <w:tab/>
        <w:t>Farmakokinetinės savybės</w:t>
      </w:r>
    </w:p>
    <w:p w14:paraId="09AA920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p>
    <w:p w14:paraId="6FAFD23A" w14:textId="52A64BDD"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Tikagreloro farmakokinetika yra tiesinė, jo ir jo aktyvaus metabolito AR-C124910XX ekspozicijos būna maždaug proporcingos dozei iki 1</w:t>
      </w:r>
      <w:r w:rsidR="00FE3F4A" w:rsidRPr="00DF20DE">
        <w:rPr>
          <w:rFonts w:ascii="Times New Roman" w:eastAsia="Times New Roman" w:hAnsi="Times New Roman" w:cs="Times New Roman"/>
        </w:rPr>
        <w:t> </w:t>
      </w:r>
      <w:r w:rsidRPr="00DF20DE">
        <w:rPr>
          <w:rFonts w:ascii="Times New Roman" w:eastAsia="Times New Roman" w:hAnsi="Times New Roman" w:cs="Times New Roman"/>
        </w:rPr>
        <w:t>260 mg.</w:t>
      </w:r>
    </w:p>
    <w:p w14:paraId="4720FF2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7E9F77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Absorbcija</w:t>
      </w:r>
    </w:p>
    <w:p w14:paraId="45C6E70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Tikagreloro absorbcija yra greita, t</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mediana yra apie 1,5 val. Pagrindinis (aktyvus) cirkuliuojantis tikagreloro metabolitas AR-C124910XX taip pat susidaro greitai, jo t</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mediana yra apie 2,5 val.</w:t>
      </w:r>
    </w:p>
    <w:p w14:paraId="7A99886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Sveikiems žmonėms pavartojus vieną 90 mg tikagreloro dozę nevalgius per burną,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būna 529 ng/ml, AUC – 3451 ng×val./ml. Metabolito ir nepakitusio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rPr>
        <w:t xml:space="preserve">santykis būna 0,28, AUC – 0,42. Tikagreloro ir AR-C124910XX farmakokinetika anksčiau MI patyrusiems pacientams buvo iš esmės panaši kaip ištiktiems ŪKS. PEGASUS tyrimo populiacinės farmakokinetikos analizės </w:t>
      </w:r>
      <w:r w:rsidRPr="00DF20DE">
        <w:rPr>
          <w:rFonts w:ascii="Times New Roman" w:eastAsia="Times New Roman" w:hAnsi="Times New Roman" w:cs="Times New Roman"/>
          <w:position w:val="2"/>
        </w:rPr>
        <w:t>duomenimis,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mediana nusistovėjus pusiausvyrinei koncentracijai vartojant 60 mg buvo </w:t>
      </w:r>
      <w:r w:rsidRPr="00DF20DE">
        <w:rPr>
          <w:rFonts w:ascii="Times New Roman" w:eastAsia="Times New Roman" w:hAnsi="Times New Roman" w:cs="Times New Roman"/>
        </w:rPr>
        <w:t xml:space="preserve">391 ng/ml, o AUC – 3801 ng×val./ml. Nusistovėjus pusiausvyrinei koncentracijai vartojant 90 mg </w:t>
      </w:r>
      <w:r w:rsidRPr="00DF20DE">
        <w:rPr>
          <w:rFonts w:ascii="Times New Roman" w:eastAsia="Times New Roman" w:hAnsi="Times New Roman" w:cs="Times New Roman"/>
          <w:position w:val="2"/>
        </w:rPr>
        <w:t>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buvo 627 ng/ml, o AUC – 6255 ng×val./ml.</w:t>
      </w:r>
    </w:p>
    <w:p w14:paraId="6F12AC3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3A666B50" w14:textId="0892EDA9"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Apskaičiuotasis tikagreloro vidutinis biologinis prieinamumas yra 36 %. Riebus maistas sukėlė </w:t>
      </w:r>
      <w:r w:rsidRPr="00DF20DE">
        <w:rPr>
          <w:rFonts w:ascii="Times New Roman" w:eastAsia="Times New Roman" w:hAnsi="Times New Roman" w:cs="Times New Roman"/>
          <w:position w:val="2"/>
        </w:rPr>
        <w:t>tikagreloro AUC padidėjimą 21 % ir jo aktyvaus metabolito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sumažėjimą 22 %, tačiau įtakos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ir jo aktyvaus metabolito AUC neturėjo. Šių skirtumų klinikinė reikšmė laikoma </w:t>
      </w:r>
      <w:r w:rsidRPr="00DF20DE">
        <w:rPr>
          <w:rFonts w:ascii="Times New Roman" w:eastAsia="Times New Roman" w:hAnsi="Times New Roman" w:cs="Times New Roman"/>
        </w:rPr>
        <w:t>minimalia, todėl tikagrelor</w:t>
      </w:r>
      <w:r w:rsidR="009866D5" w:rsidRPr="00DF20DE">
        <w:rPr>
          <w:rFonts w:ascii="Times New Roman" w:eastAsia="Times New Roman" w:hAnsi="Times New Roman" w:cs="Times New Roman"/>
        </w:rPr>
        <w:t>o</w:t>
      </w:r>
      <w:r w:rsidRPr="00DF20DE">
        <w:rPr>
          <w:rFonts w:ascii="Times New Roman" w:eastAsia="Times New Roman" w:hAnsi="Times New Roman" w:cs="Times New Roman"/>
        </w:rPr>
        <w:t xml:space="preserve"> galima gerti valgant arba nevalgius. Tikagreloras ir jo aktyvus metabolitas yra P-gp substratai.</w:t>
      </w:r>
    </w:p>
    <w:p w14:paraId="062FBD1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076242C" w14:textId="23CD2478"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Sumaltų tikagreloro tablečių, sumaišytų su vandeniu ir pavartotų per burną arba per nazogastrinį</w:t>
      </w:r>
      <w:r w:rsidR="009866D5" w:rsidRPr="00DF20DE">
        <w:rPr>
          <w:rFonts w:ascii="Times New Roman" w:eastAsia="Times New Roman" w:hAnsi="Times New Roman" w:cs="Times New Roman"/>
        </w:rPr>
        <w:t xml:space="preserve"> zondą</w:t>
      </w:r>
      <w:r w:rsidRPr="00DF20DE">
        <w:rPr>
          <w:rFonts w:ascii="Times New Roman" w:eastAsia="Times New Roman" w:hAnsi="Times New Roman" w:cs="Times New Roman"/>
        </w:rPr>
        <w:t xml:space="preserve"> tiesiai į skrandį, biologinis prieinamumas, apskaičiuotas pagal tikagreloro ir jo </w:t>
      </w:r>
      <w:r w:rsidRPr="00DF20DE">
        <w:rPr>
          <w:rFonts w:ascii="Times New Roman" w:eastAsia="Times New Roman" w:hAnsi="Times New Roman" w:cs="Times New Roman"/>
          <w:position w:val="2"/>
        </w:rPr>
        <w:t>aktyvaus metabolito AUC ir C</w:t>
      </w:r>
      <w:r w:rsidRPr="00DF20DE">
        <w:rPr>
          <w:rFonts w:ascii="Times New Roman" w:eastAsia="Times New Roman" w:hAnsi="Times New Roman" w:cs="Times New Roman"/>
          <w:sz w:val="14"/>
        </w:rPr>
        <w:t>max</w:t>
      </w:r>
      <w:r w:rsidRPr="00DF20DE">
        <w:rPr>
          <w:rFonts w:ascii="Times New Roman" w:eastAsia="Times New Roman" w:hAnsi="Times New Roman" w:cs="Times New Roman"/>
          <w:position w:val="2"/>
        </w:rPr>
        <w:t xml:space="preserve">, yra panašus kaip nepažeistų tablečių. Pradinė (0,5 ir 1 val. po dozės) </w:t>
      </w:r>
      <w:r w:rsidRPr="00DF20DE">
        <w:rPr>
          <w:rFonts w:ascii="Times New Roman" w:eastAsia="Times New Roman" w:hAnsi="Times New Roman" w:cs="Times New Roman"/>
        </w:rPr>
        <w:t>ekspozicija pavartojus sumaltų ir sumaišytų su vandeniu tikagreloro tablečių būna didesnė negu jų pavartojus nepažeistų, tačiau vėliau (po 2–48 val.) koncentracijos iš esmės nesiskiria.</w:t>
      </w:r>
    </w:p>
    <w:p w14:paraId="7F569FB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93B54A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Pasiskirstymas</w:t>
      </w:r>
    </w:p>
    <w:p w14:paraId="342B64A8" w14:textId="745D7B73"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Tikagreloro pasiskirstymo tūris </w:t>
      </w:r>
      <w:r w:rsidR="009866D5" w:rsidRPr="00DF20DE">
        <w:rPr>
          <w:rFonts w:ascii="Times New Roman" w:eastAsia="Times New Roman" w:hAnsi="Times New Roman" w:cs="Times New Roman"/>
        </w:rPr>
        <w:t xml:space="preserve">nusistovėjus pusiausvyrinei koncentracijai </w:t>
      </w:r>
      <w:r w:rsidRPr="00DF20DE">
        <w:rPr>
          <w:rFonts w:ascii="Times New Roman" w:eastAsia="Times New Roman" w:hAnsi="Times New Roman" w:cs="Times New Roman"/>
        </w:rPr>
        <w:t>yra 87,5 l. Didelė tikagreloro ir jo aktyvaus metabolito dalis (&gt; 99 %) būna prisijungusi prie žmogaus plazmos baltymų.</w:t>
      </w:r>
    </w:p>
    <w:p w14:paraId="7FC160A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8A544B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Biotransformacija</w:t>
      </w:r>
    </w:p>
    <w:p w14:paraId="374A629F" w14:textId="77777777" w:rsidR="00F151B8" w:rsidRPr="00DF20DE" w:rsidRDefault="00F151B8" w:rsidP="00F151B8">
      <w:pPr>
        <w:widowControl w:val="0"/>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CYP3A4 yra pagrindinis tikagrelorą metabolizuojantis ir jo aktyvaus metabolito susidarymą skatinantis fermentas, o jų sąveika su kitais CYP3A substratais įvairuoja nuo aktyvinimo iki slopinimo.</w:t>
      </w:r>
    </w:p>
    <w:p w14:paraId="3BB6397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Pagrindinis tikagreloro metabolitas yra AR-C124910XX (jis yra aktyvus – tą rodo jungimosi prie </w:t>
      </w:r>
      <w:r w:rsidRPr="00DF20DE">
        <w:rPr>
          <w:rFonts w:ascii="Times New Roman" w:eastAsia="Times New Roman" w:hAnsi="Times New Roman" w:cs="Times New Roman"/>
          <w:position w:val="2"/>
        </w:rPr>
        <w:t>trombocitų P2Y</w:t>
      </w:r>
      <w:r w:rsidRPr="00DF20DE">
        <w:rPr>
          <w:rFonts w:ascii="Times New Roman" w:eastAsia="Times New Roman" w:hAnsi="Times New Roman" w:cs="Times New Roman"/>
          <w:sz w:val="14"/>
        </w:rPr>
        <w:t xml:space="preserve">12 </w:t>
      </w:r>
      <w:r w:rsidRPr="00DF20DE">
        <w:rPr>
          <w:rFonts w:ascii="Times New Roman" w:eastAsia="Times New Roman" w:hAnsi="Times New Roman" w:cs="Times New Roman"/>
          <w:position w:val="2"/>
        </w:rPr>
        <w:t xml:space="preserve">ADF receptorių tyrimų </w:t>
      </w:r>
      <w:r w:rsidRPr="00DF20DE">
        <w:rPr>
          <w:rFonts w:ascii="Times New Roman" w:eastAsia="Times New Roman" w:hAnsi="Times New Roman" w:cs="Times New Roman"/>
          <w:i/>
          <w:position w:val="2"/>
        </w:rPr>
        <w:t xml:space="preserve">in vitro </w:t>
      </w:r>
      <w:r w:rsidRPr="00DF20DE">
        <w:rPr>
          <w:rFonts w:ascii="Times New Roman" w:eastAsia="Times New Roman" w:hAnsi="Times New Roman" w:cs="Times New Roman"/>
          <w:position w:val="2"/>
        </w:rPr>
        <w:t xml:space="preserve">duomenys). Aktyviojo metabolito sisteminė </w:t>
      </w:r>
      <w:r w:rsidRPr="00DF20DE">
        <w:rPr>
          <w:rFonts w:ascii="Times New Roman" w:eastAsia="Times New Roman" w:hAnsi="Times New Roman" w:cs="Times New Roman"/>
        </w:rPr>
        <w:t>ekspozicija sudaro maždaug 30–40 % tikagreloro ekspozicijos.</w:t>
      </w:r>
    </w:p>
    <w:p w14:paraId="58C6690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EB9497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Eliminacija</w:t>
      </w:r>
    </w:p>
    <w:p w14:paraId="3543BB4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Pagrindinis tikagreloro eliminacijos būdas yra metabolizmas kepenyse. Pavartojus radioaktyviu izotopu žymėto tikagreloro, išskirto randama maždaug 84 % radioaktyvumo (57,8 % išmatose, 26,5 % šlapime). Tikagreloro ir jo aktyvaus metabolito kiekis šlapime atitiko po mažiau kaip 1 % pavartotos dozės. Pagrindinis aktyvaus metabolito eliminacijos būdas tikriausiai yra išskyrimas su tulžimi.</w:t>
      </w:r>
    </w:p>
    <w:p w14:paraId="0274B8B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position w:val="2"/>
        </w:rPr>
      </w:pPr>
      <w:r w:rsidRPr="00DF20DE">
        <w:rPr>
          <w:rFonts w:ascii="Times New Roman" w:eastAsia="Times New Roman" w:hAnsi="Times New Roman" w:cs="Times New Roman"/>
          <w:position w:val="2"/>
        </w:rPr>
        <w:t>Vidutinis tikagreloro t</w:t>
      </w:r>
      <w:r w:rsidRPr="00DF20DE">
        <w:rPr>
          <w:rFonts w:ascii="Times New Roman" w:eastAsia="Times New Roman" w:hAnsi="Times New Roman" w:cs="Times New Roman"/>
          <w:sz w:val="14"/>
        </w:rPr>
        <w:t xml:space="preserve">1/2 </w:t>
      </w:r>
      <w:r w:rsidRPr="00DF20DE">
        <w:rPr>
          <w:rFonts w:ascii="Times New Roman" w:eastAsia="Times New Roman" w:hAnsi="Times New Roman" w:cs="Times New Roman"/>
          <w:position w:val="2"/>
        </w:rPr>
        <w:t xml:space="preserve">buvo maždaug 7 val., jo aktyvaus metabolito – 8,5 val. </w:t>
      </w:r>
    </w:p>
    <w:p w14:paraId="52DDF14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position w:val="2"/>
        </w:rPr>
      </w:pPr>
    </w:p>
    <w:p w14:paraId="277D491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Ypatingos populiacijos</w:t>
      </w:r>
    </w:p>
    <w:p w14:paraId="0C69FF9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Senyvi pacientai</w:t>
      </w:r>
    </w:p>
    <w:p w14:paraId="597E8CC8" w14:textId="4155EC1B"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Populiacinė farmakokinetikos analizė parodė didesnę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ir AUC – maždaug po 25 %) ir </w:t>
      </w:r>
      <w:r w:rsidRPr="00DF20DE">
        <w:rPr>
          <w:rFonts w:ascii="Times New Roman" w:eastAsia="Times New Roman" w:hAnsi="Times New Roman" w:cs="Times New Roman"/>
        </w:rPr>
        <w:t xml:space="preserve">jo aktyvaus metabolito ekspoziciją ūminių koronarinių sindromų ištiktiems senyviems (75 metų ir vyresniems) pacientams negu jaunesniems, tačiau šie skirtumai nelaikomi </w:t>
      </w:r>
      <w:r w:rsidR="009866D5" w:rsidRPr="00DF20DE">
        <w:rPr>
          <w:rFonts w:ascii="Times New Roman" w:eastAsia="Times New Roman" w:hAnsi="Times New Roman" w:cs="Times New Roman"/>
        </w:rPr>
        <w:t xml:space="preserve">kliniškai </w:t>
      </w:r>
      <w:r w:rsidRPr="00DF20DE">
        <w:rPr>
          <w:rFonts w:ascii="Times New Roman" w:eastAsia="Times New Roman" w:hAnsi="Times New Roman" w:cs="Times New Roman"/>
        </w:rPr>
        <w:t>reikšmingais (žr. 4.2 skyrių).</w:t>
      </w:r>
    </w:p>
    <w:p w14:paraId="66EBC17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7D694F1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Vaikų populiacija</w:t>
      </w:r>
    </w:p>
    <w:p w14:paraId="5CCD3E2E" w14:textId="5BDBB6FE" w:rsidR="00071FFE" w:rsidRPr="00DF20DE" w:rsidRDefault="00071FFE" w:rsidP="00071FFE">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Vaikams, sergantiems pjautuvo pavidalo ląstelių liga, duomenų yra nedaug (žr. 4.2 ir 5.1 skyrius).</w:t>
      </w:r>
    </w:p>
    <w:p w14:paraId="17080904" w14:textId="77777777" w:rsidR="00071FFE" w:rsidRPr="00DF20DE" w:rsidRDefault="00071FFE" w:rsidP="00071FFE">
      <w:pPr>
        <w:widowControl w:val="0"/>
        <w:autoSpaceDE w:val="0"/>
        <w:autoSpaceDN w:val="0"/>
        <w:spacing w:after="0" w:line="240" w:lineRule="auto"/>
        <w:rPr>
          <w:rFonts w:ascii="Times New Roman" w:eastAsia="Times New Roman" w:hAnsi="Times New Roman" w:cs="Times New Roman"/>
        </w:rPr>
      </w:pPr>
    </w:p>
    <w:p w14:paraId="48D744D9" w14:textId="2E2E0A4D" w:rsidR="00071FFE" w:rsidRPr="00DF20DE" w:rsidRDefault="00071FFE" w:rsidP="00071FFE">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HESTIA 3 tyrimo metu nuo 2 iki &lt; 18 metų amžiaus pacientai, kurių svoris buvo nuo ≥ 12 iki ≤ 24 kg,</w:t>
      </w:r>
    </w:p>
    <w:p w14:paraId="05792662" w14:textId="1952876F" w:rsidR="00071FFE" w:rsidRPr="00DF20DE" w:rsidRDefault="00071FFE" w:rsidP="00071FFE">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nuo &gt; 24 iki ≤ 48 kg ir &gt; 48 kg, vartojo vaikams skirtas disperguojamas tikagreloro 15 mg tabletes</w:t>
      </w:r>
    </w:p>
    <w:p w14:paraId="13C22026" w14:textId="1FE382EB" w:rsidR="00071FFE" w:rsidRPr="00DF20DE" w:rsidRDefault="00071FFE" w:rsidP="00071FFE">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atitinkamai po 15 mg, 30 mg ir 45 mg du kartus per parą dozėmis. Populiacinės farmakokinetikos</w:t>
      </w:r>
    </w:p>
    <w:p w14:paraId="1957FB2B" w14:textId="77777777" w:rsidR="00071FFE" w:rsidRPr="00DF20DE" w:rsidRDefault="00071FFE" w:rsidP="00071FFE">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analizės duomenimis, pusiausvyros apykaitos sąlygomis vidutinis AUC rodmuo buvo nuo</w:t>
      </w:r>
    </w:p>
    <w:p w14:paraId="4C0BF7ED" w14:textId="55041167" w:rsidR="00F151B8" w:rsidRPr="00DF20DE" w:rsidRDefault="00071FFE" w:rsidP="00071FFE">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1 095 ng×val./ml iki 1 458 ng×val./ml, o vidutinis Cmax rodmuo – nuo 143 ng/ml iki 206 ng/ml</w:t>
      </w:r>
      <w:r w:rsidR="00F151B8" w:rsidRPr="00DF20DE">
        <w:rPr>
          <w:rFonts w:ascii="Times New Roman" w:eastAsia="Times New Roman" w:hAnsi="Times New Roman" w:cs="Times New Roman"/>
        </w:rPr>
        <w:t>.</w:t>
      </w:r>
    </w:p>
    <w:p w14:paraId="02331F8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7E4D757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Lytis</w:t>
      </w:r>
    </w:p>
    <w:p w14:paraId="7CA0B7B0" w14:textId="184F8F11"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Moterims nustatyta didesnė tikagreloro ir jo aktyvaus metabolito ekspozicija negu vyrams, tačiau šie skirtumai nelaikomi </w:t>
      </w:r>
      <w:r w:rsidR="00487102" w:rsidRPr="00DF20DE">
        <w:rPr>
          <w:rFonts w:ascii="Times New Roman" w:eastAsia="Times New Roman" w:hAnsi="Times New Roman" w:cs="Times New Roman"/>
        </w:rPr>
        <w:t xml:space="preserve">kliniškai </w:t>
      </w:r>
      <w:r w:rsidRPr="00DF20DE">
        <w:rPr>
          <w:rFonts w:ascii="Times New Roman" w:eastAsia="Times New Roman" w:hAnsi="Times New Roman" w:cs="Times New Roman"/>
        </w:rPr>
        <w:t>reikšmingais.</w:t>
      </w:r>
    </w:p>
    <w:p w14:paraId="3CB3E12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BD0BB7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Sutrikusi inkstų funkcija</w:t>
      </w:r>
    </w:p>
    <w:p w14:paraId="71B5274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Sunkiu inkstų nepakankamumu (kreatinino klirensas &lt; 30 ml/min.) sergantiems pacientams nustatyta maždaug 20 % mažesnė tikagreloro ir maždaug 17 % didesnė jo aktyvaus metabolito ekspozicija negu turintiems normalią inkstų funkciją.</w:t>
      </w:r>
    </w:p>
    <w:p w14:paraId="4DB01D6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86550E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Terminalinės stadijos inkstų liga sergantiems hemodializuojamiems pacientams, ne dializės dieną </w:t>
      </w:r>
      <w:r w:rsidRPr="00DF20DE">
        <w:rPr>
          <w:rFonts w:ascii="Times New Roman" w:eastAsia="Times New Roman" w:hAnsi="Times New Roman" w:cs="Times New Roman"/>
          <w:position w:val="2"/>
        </w:rPr>
        <w:t>išgėrusiems 90 mg tikagreloro, AUC ir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buvo atitinkamai 38 % ir 51 % didesni negu turėjusiems </w:t>
      </w:r>
      <w:r w:rsidRPr="00DF20DE">
        <w:rPr>
          <w:rFonts w:ascii="Times New Roman" w:eastAsia="Times New Roman" w:hAnsi="Times New Roman" w:cs="Times New Roman"/>
        </w:rPr>
        <w:t xml:space="preserve">normalią inkstų funkciją. Tikagreloro išgėrus prieš pat dializę, jo ekspozicija padidėjo panašiai (atitinkamai 49 % ir 61 %) – tai rodo, kad dializės metu tikagreloro nepašalinama. Aktyvaus </w:t>
      </w:r>
      <w:r w:rsidRPr="00DF20DE">
        <w:rPr>
          <w:rFonts w:ascii="Times New Roman" w:eastAsia="Times New Roman" w:hAnsi="Times New Roman" w:cs="Times New Roman"/>
          <w:position w:val="2"/>
        </w:rPr>
        <w:t>metabolito ekspozicija padidėjo mažiau (AUC – 13–14 %,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 17–36 %). Tikagreloro sukeliamas </w:t>
      </w:r>
      <w:r w:rsidRPr="00DF20DE">
        <w:rPr>
          <w:rFonts w:ascii="Times New Roman" w:eastAsia="Times New Roman" w:hAnsi="Times New Roman" w:cs="Times New Roman"/>
        </w:rPr>
        <w:t>galutinės stadijos inkstų liga sergančių hemodializuojamų pacientų trombocitų agregacijos slopinimas nepriklausė nuo dializių ir buvo panašus kaip normalią inkstų funkciją turėjusių tiriamųjų (žr. 4.2 skyrių).</w:t>
      </w:r>
    </w:p>
    <w:p w14:paraId="61DCE51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724D67E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Sutrikusi kepenų funkcija</w:t>
      </w:r>
    </w:p>
    <w:p w14:paraId="1E985D91" w14:textId="3F304F0D"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Pacientams, kuriems yra lengvas kepenų funkcijos sutrikimas,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ir AUC buvo atitinkamai 12 % ir </w:t>
      </w:r>
      <w:r w:rsidRPr="00DF20DE">
        <w:rPr>
          <w:rFonts w:ascii="Times New Roman" w:eastAsia="Times New Roman" w:hAnsi="Times New Roman" w:cs="Times New Roman"/>
        </w:rPr>
        <w:t xml:space="preserve">23 % didesni negu sveikiems asmenims, tačiau </w:t>
      </w:r>
      <w:r w:rsidR="00487102" w:rsidRPr="00DF20DE">
        <w:rPr>
          <w:rFonts w:ascii="Times New Roman" w:eastAsia="Times New Roman" w:hAnsi="Times New Roman" w:cs="Times New Roman"/>
        </w:rPr>
        <w:t xml:space="preserve">trombocitų agregacijos slopinimo </w:t>
      </w:r>
      <w:r w:rsidRPr="00DF20DE">
        <w:rPr>
          <w:rFonts w:ascii="Times New Roman" w:eastAsia="Times New Roman" w:hAnsi="Times New Roman" w:cs="Times New Roman"/>
        </w:rPr>
        <w:t>poveikis buvo panašus. Pacientams, kuriems yra lengvas kepenų funkcijos sutrikimas, dozės koreguoti nereikia. Tikagreloro poveikis pacientams, kuriems yra sunkus kepenų funkcijos sutrikimas, netirtas; pacientams, kuriems yra vidutinio sunkumo kepenų funkcijos sutrikimas, farmakokinetikos duomenų nėra. Pacientų, kurių vienas ar keli kepenų funkcijos rodikliai iš pradžių buvo vidutiniškai arba labai padidėję, plazmoje vidutinė tikagreloro koncentracija buvo panaši arba šiek tiek didesnė negu tų, kurių atitinkami rodikliai padidėję nebuvo. Dėl vidutinio sunkumo kepenų funkcijos sutrikimo dozės koreguoti nerekomenduojama (žr. 4.2 ir 4.4 skyrius).</w:t>
      </w:r>
    </w:p>
    <w:p w14:paraId="564A4A5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7B1283B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Rasė</w:t>
      </w:r>
    </w:p>
    <w:p w14:paraId="10548982" w14:textId="3B557153"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Vidutinis biologinis prieinamumas pacientams azijiečiams buvo 39 % didesnis negu europidams (baltiesiems). Pacientams, save identifikavusiems juoda</w:t>
      </w:r>
      <w:r w:rsidR="00487102" w:rsidRPr="00DF20DE">
        <w:rPr>
          <w:rFonts w:ascii="Times New Roman" w:eastAsia="Times New Roman" w:hAnsi="Times New Roman" w:cs="Times New Roman"/>
        </w:rPr>
        <w:t>odžiai</w:t>
      </w:r>
      <w:r w:rsidRPr="00DF20DE">
        <w:rPr>
          <w:rFonts w:ascii="Times New Roman" w:eastAsia="Times New Roman" w:hAnsi="Times New Roman" w:cs="Times New Roman"/>
        </w:rPr>
        <w:t xml:space="preserve">s, tikagreloro biologinis prieinamumas buvo 18 % mažesnis negu europidams. Atliekant klinikinius farmakologinius tyrimus nustatyta </w:t>
      </w:r>
      <w:r w:rsidRPr="00DF20DE">
        <w:rPr>
          <w:rFonts w:ascii="Times New Roman" w:eastAsia="Times New Roman" w:hAnsi="Times New Roman" w:cs="Times New Roman"/>
          <w:position w:val="2"/>
        </w:rPr>
        <w:t>tikagreloro ekspozicija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ir AUC) japonų rasės asmenims yra maždaug 40 % (koreguota pagal </w:t>
      </w:r>
      <w:r w:rsidRPr="00DF20DE">
        <w:rPr>
          <w:rFonts w:ascii="Times New Roman" w:eastAsia="Times New Roman" w:hAnsi="Times New Roman" w:cs="Times New Roman"/>
        </w:rPr>
        <w:t>kūno svorį – 20 %) didesnė negu europidams. Pacientų, kurie save laikė ispaniškos arba Lotynų Amerikos kilmės, ekspozicija buvo panaši kaip europidų.</w:t>
      </w:r>
    </w:p>
    <w:p w14:paraId="162BFB59" w14:textId="77777777" w:rsidR="00F151B8" w:rsidRPr="00DF20DE" w:rsidRDefault="00F151B8" w:rsidP="00F151B8">
      <w:pPr>
        <w:widowControl w:val="0"/>
        <w:tabs>
          <w:tab w:val="left" w:pos="782"/>
        </w:tabs>
        <w:autoSpaceDE w:val="0"/>
        <w:autoSpaceDN w:val="0"/>
        <w:spacing w:after="0" w:line="240" w:lineRule="auto"/>
        <w:outlineLvl w:val="1"/>
        <w:rPr>
          <w:rFonts w:ascii="Times New Roman" w:eastAsia="Times New Roman" w:hAnsi="Times New Roman" w:cs="Times New Roman"/>
          <w:b/>
          <w:bCs/>
        </w:rPr>
      </w:pPr>
    </w:p>
    <w:p w14:paraId="305644DF" w14:textId="77777777" w:rsidR="00F151B8" w:rsidRPr="00DF20DE" w:rsidRDefault="00F151B8" w:rsidP="00F151B8">
      <w:pPr>
        <w:widowControl w:val="0"/>
        <w:tabs>
          <w:tab w:val="left" w:pos="782"/>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5.3</w:t>
      </w:r>
      <w:r w:rsidRPr="00DF20DE">
        <w:rPr>
          <w:rFonts w:ascii="Times New Roman" w:eastAsia="Times New Roman" w:hAnsi="Times New Roman" w:cs="Times New Roman"/>
          <w:b/>
          <w:bCs/>
        </w:rPr>
        <w:tab/>
        <w:t>Ikiklinikinių saugumo tyrimų duomenys</w:t>
      </w:r>
    </w:p>
    <w:p w14:paraId="789CFA0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393192CC" w14:textId="77777777" w:rsidR="00F151B8" w:rsidRPr="00DF20DE" w:rsidRDefault="00F151B8" w:rsidP="00F151B8">
      <w:pPr>
        <w:widowControl w:val="0"/>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Tikagreloro ir jo pagrindinio metabolito įprastų farmakologinio saugumo, vienos dozės ir kartotinių dozių toksiškumo bei genotoksiškumo ikiklinikinių tyrimų duomenys nepriimtinos nepageidaujamų poveikių rizikos žmogui neparodė.</w:t>
      </w:r>
    </w:p>
    <w:p w14:paraId="3DD9807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C212AD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Esant klinikai reikšmingai ekspozicijai, kelioms gyvūnų rūšims nustatyta virškinimo trakto sutrikimų (žr. 4.8 skyrių).</w:t>
      </w:r>
    </w:p>
    <w:p w14:paraId="7F75785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58973DB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Žiurkių patelėms didelės tikagreloro dozės sukėlė gimdos navikų (adenokarcinomų) ir kepenų adenomų padažnėjimą. Tikėtinas gimdos navikų atsiradimo mechanizmas yra sutrikusi hormonų pusiausvyra, dėl kurios gali atsirasti navikų žiurkėms. Tikėtinas kepenų adenomų atsiradimo mechanizmas yra graužikams specifinė kepenų fermentų indukcija. Dėl to manoma, kad nustatyti kancerogeniškumo duomenys neturėtų būti reikšmingi žmonėms.</w:t>
      </w:r>
    </w:p>
    <w:p w14:paraId="3D2826B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486331D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Žiurkėms skiriant šio vaistinio preparato dozėmis, sukeliančiomis toksinį poveikį vaikingoms patelėms, nustatyta vystymosi anomalijų (saugumo riba – 5,1). Vaikingoms triušių patelėms davus šio vaistinio preparato didelėmis, bet toksinio poveikio joms nesukeliančiomis dozėmis, nustatytas nežymus jų vaisių kepenų brendimo ir skeleto vystymosi sulėtėjimas (saugumo riba – 4,5).</w:t>
      </w:r>
    </w:p>
    <w:p w14:paraId="207D129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93F689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Su žiurkėmis ir triušiais atlikti tyrimai parodė toksinį poveikį reprodukcijai: šiek tiek sumažėjo vaikingų patelių svorio prieaugis, atsivestų jauniklių gyvybingumas ir atsivedimo svoris, jie lėčiau augo. Tikagreloras sukėlė ciklų nereguliarumą (dažniausiai jie užsitęsdavo) žiurkių patelėms, tačiau įtakos bendram žiurkių patinų ir patelių vaisingumui neturėjo. Su radioaktyviu izotopu žymėtu tikagreloru atlikti farmakokinetikos tyrimai parodė nepakitusio tikagreloro ir jo metabolitų išskyrimą su žiurkių pienu (žr. 4.6 skyrių).</w:t>
      </w:r>
    </w:p>
    <w:p w14:paraId="109BA5F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4"/>
        </w:rPr>
      </w:pPr>
    </w:p>
    <w:p w14:paraId="3E3A06F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5329E13C" w14:textId="77777777" w:rsidR="00F151B8" w:rsidRPr="00DF20DE" w:rsidRDefault="00F151B8" w:rsidP="00B61CB8">
      <w:pPr>
        <w:widowControl w:val="0"/>
        <w:numPr>
          <w:ilvl w:val="0"/>
          <w:numId w:val="10"/>
        </w:numPr>
        <w:tabs>
          <w:tab w:val="left" w:pos="782"/>
          <w:tab w:val="left" w:pos="783"/>
        </w:tabs>
        <w:autoSpaceDE w:val="0"/>
        <w:autoSpaceDN w:val="0"/>
        <w:spacing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FARMACINĖ INFORMACIJA</w:t>
      </w:r>
    </w:p>
    <w:p w14:paraId="08B29AC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p>
    <w:p w14:paraId="46E8B848"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6.1</w:t>
      </w:r>
      <w:r w:rsidRPr="00DF20DE">
        <w:rPr>
          <w:rFonts w:ascii="Times New Roman" w:eastAsia="Times New Roman" w:hAnsi="Times New Roman" w:cs="Times New Roman"/>
          <w:b/>
          <w:bCs/>
        </w:rPr>
        <w:tab/>
        <w:t>Pagalbinių medžiagų sąrašas</w:t>
      </w:r>
    </w:p>
    <w:p w14:paraId="68F282E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3A942B6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u w:val="single"/>
        </w:rPr>
      </w:pPr>
      <w:r w:rsidRPr="00DF20DE">
        <w:rPr>
          <w:rFonts w:ascii="Times New Roman" w:eastAsia="Times New Roman" w:hAnsi="Times New Roman" w:cs="Times New Roman"/>
          <w:u w:val="single"/>
        </w:rPr>
        <w:t>Tabletės šerdis</w:t>
      </w:r>
    </w:p>
    <w:p w14:paraId="6152390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Manitolis (E421)</w:t>
      </w:r>
    </w:p>
    <w:p w14:paraId="2A62B23D" w14:textId="0557838A"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Kalcio-vandenilio fosfatas dihidratas</w:t>
      </w:r>
      <w:r w:rsidR="00071FFE" w:rsidRPr="00DF20DE">
        <w:rPr>
          <w:rFonts w:ascii="Times New Roman" w:eastAsia="Times New Roman" w:hAnsi="Times New Roman" w:cs="Times New Roman"/>
        </w:rPr>
        <w:t xml:space="preserve"> (E341)</w:t>
      </w:r>
      <w:r w:rsidRPr="00DF20DE">
        <w:rPr>
          <w:rFonts w:ascii="Times New Roman" w:eastAsia="Times New Roman" w:hAnsi="Times New Roman" w:cs="Times New Roman"/>
        </w:rPr>
        <w:t xml:space="preserve"> </w:t>
      </w:r>
    </w:p>
    <w:p w14:paraId="0EB3B47E" w14:textId="1F71A301" w:rsidR="005B7399" w:rsidRPr="00DF20DE" w:rsidRDefault="005B7399"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Karboksimetilkrakmolo natrio druska</w:t>
      </w:r>
    </w:p>
    <w:p w14:paraId="11D1B859" w14:textId="28EAEDFA" w:rsidR="00071FFE" w:rsidRPr="00DF20DE" w:rsidRDefault="005B7399"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Hi</w:t>
      </w:r>
      <w:r w:rsidR="00071FFE" w:rsidRPr="00DF20DE">
        <w:rPr>
          <w:rFonts w:ascii="Times New Roman" w:eastAsia="Times New Roman" w:hAnsi="Times New Roman" w:cs="Times New Roman"/>
        </w:rPr>
        <w:t>promeliozė</w:t>
      </w:r>
    </w:p>
    <w:p w14:paraId="19F072B4" w14:textId="77777777" w:rsidR="00071FFE" w:rsidRPr="00DF20DE" w:rsidRDefault="00071FFE" w:rsidP="00F151B8">
      <w:pPr>
        <w:widowControl w:val="0"/>
        <w:autoSpaceDE w:val="0"/>
        <w:autoSpaceDN w:val="0"/>
        <w:spacing w:after="0" w:line="240" w:lineRule="auto"/>
        <w:rPr>
          <w:rFonts w:ascii="Times New Roman" w:eastAsia="Times New Roman" w:hAnsi="Times New Roman" w:cs="Times New Roman"/>
        </w:rPr>
      </w:pPr>
      <w:bookmarkStart w:id="4" w:name="_Hlk90973902"/>
      <w:r w:rsidRPr="00DF20DE">
        <w:rPr>
          <w:rFonts w:ascii="Times New Roman" w:eastAsia="Times New Roman" w:hAnsi="Times New Roman" w:cs="Times New Roman"/>
        </w:rPr>
        <w:t>Magnio stearatas (E470b)</w:t>
      </w:r>
      <w:bookmarkEnd w:id="4"/>
    </w:p>
    <w:p w14:paraId="45337D3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highlight w:val="yellow"/>
        </w:rPr>
      </w:pPr>
    </w:p>
    <w:p w14:paraId="6356C3E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u w:val="single"/>
        </w:rPr>
      </w:pPr>
      <w:r w:rsidRPr="00DF20DE">
        <w:rPr>
          <w:rFonts w:ascii="Times New Roman" w:eastAsia="Times New Roman" w:hAnsi="Times New Roman" w:cs="Times New Roman"/>
          <w:sz w:val="21"/>
          <w:u w:val="single"/>
        </w:rPr>
        <w:t>Tabletės plėvelė</w:t>
      </w:r>
    </w:p>
    <w:p w14:paraId="258134B4" w14:textId="77777777" w:rsidR="005B7399" w:rsidRPr="00DF20DE" w:rsidRDefault="005B7399" w:rsidP="005B7399">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Hipromeliozė</w:t>
      </w:r>
    </w:p>
    <w:p w14:paraId="48D9A4B7" w14:textId="518F0636" w:rsidR="005B7399" w:rsidRPr="00DF20DE" w:rsidRDefault="005B7399" w:rsidP="00F151B8">
      <w:pPr>
        <w:widowControl w:val="0"/>
        <w:autoSpaceDE w:val="0"/>
        <w:autoSpaceDN w:val="0"/>
        <w:spacing w:after="0" w:line="240" w:lineRule="auto"/>
        <w:rPr>
          <w:rFonts w:ascii="Times New Roman" w:eastAsia="Times New Roman" w:hAnsi="Times New Roman" w:cs="Times New Roman"/>
          <w:sz w:val="21"/>
        </w:rPr>
      </w:pPr>
      <w:r w:rsidRPr="00DF20DE">
        <w:rPr>
          <w:rFonts w:ascii="Times New Roman" w:eastAsia="Times New Roman" w:hAnsi="Times New Roman" w:cs="Times New Roman"/>
          <w:sz w:val="21"/>
        </w:rPr>
        <w:t>Titano dioksidas (E171)</w:t>
      </w:r>
    </w:p>
    <w:p w14:paraId="76EE2B24" w14:textId="0CC0534B" w:rsidR="005B7399" w:rsidRPr="00DF20DE" w:rsidRDefault="005B7399" w:rsidP="00F151B8">
      <w:pPr>
        <w:widowControl w:val="0"/>
        <w:autoSpaceDE w:val="0"/>
        <w:autoSpaceDN w:val="0"/>
        <w:spacing w:after="0" w:line="240" w:lineRule="auto"/>
        <w:rPr>
          <w:rFonts w:ascii="Times New Roman" w:eastAsia="Times New Roman" w:hAnsi="Times New Roman" w:cs="Times New Roman"/>
          <w:sz w:val="21"/>
        </w:rPr>
      </w:pPr>
      <w:r w:rsidRPr="00DF20DE">
        <w:rPr>
          <w:rFonts w:ascii="Times New Roman" w:eastAsia="Times New Roman" w:hAnsi="Times New Roman" w:cs="Times New Roman"/>
          <w:sz w:val="21"/>
        </w:rPr>
        <w:t>Makrogolis</w:t>
      </w:r>
    </w:p>
    <w:p w14:paraId="137FEBBA" w14:textId="1670A771" w:rsidR="005B7399" w:rsidRPr="00DF20DE" w:rsidRDefault="005B7399" w:rsidP="005B7399">
      <w:pPr>
        <w:widowControl w:val="0"/>
        <w:autoSpaceDE w:val="0"/>
        <w:autoSpaceDN w:val="0"/>
        <w:spacing w:after="0" w:line="240" w:lineRule="auto"/>
        <w:rPr>
          <w:rFonts w:ascii="Times New Roman" w:eastAsia="Times New Roman" w:hAnsi="Times New Roman" w:cs="Times New Roman"/>
          <w:sz w:val="21"/>
        </w:rPr>
      </w:pPr>
      <w:r w:rsidRPr="00DF20DE">
        <w:rPr>
          <w:rFonts w:ascii="Times New Roman" w:eastAsia="Times New Roman" w:hAnsi="Times New Roman" w:cs="Times New Roman"/>
          <w:sz w:val="21"/>
        </w:rPr>
        <w:t>Raudonasis geležies oksidas (E172)</w:t>
      </w:r>
    </w:p>
    <w:p w14:paraId="4B8D103B" w14:textId="3D227E31" w:rsidR="005B7399" w:rsidRPr="00DF20DE" w:rsidRDefault="005B7399" w:rsidP="005B7399">
      <w:pPr>
        <w:widowControl w:val="0"/>
        <w:autoSpaceDE w:val="0"/>
        <w:autoSpaceDN w:val="0"/>
        <w:spacing w:after="0" w:line="240" w:lineRule="auto"/>
        <w:rPr>
          <w:rFonts w:ascii="Times New Roman" w:eastAsia="Times New Roman" w:hAnsi="Times New Roman" w:cs="Times New Roman"/>
          <w:sz w:val="21"/>
        </w:rPr>
      </w:pPr>
      <w:r w:rsidRPr="00DF20DE">
        <w:rPr>
          <w:rFonts w:ascii="Times New Roman" w:eastAsia="Times New Roman" w:hAnsi="Times New Roman" w:cs="Times New Roman"/>
          <w:sz w:val="21"/>
        </w:rPr>
        <w:t>Juodasis geležies oksidas (E172)</w:t>
      </w:r>
    </w:p>
    <w:p w14:paraId="5E80A97D"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p>
    <w:p w14:paraId="08F3172D"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6.2</w:t>
      </w:r>
      <w:r w:rsidRPr="00DF20DE">
        <w:rPr>
          <w:rFonts w:ascii="Times New Roman" w:eastAsia="Times New Roman" w:hAnsi="Times New Roman" w:cs="Times New Roman"/>
          <w:b/>
          <w:bCs/>
        </w:rPr>
        <w:tab/>
        <w:t>Nesuderinamumas</w:t>
      </w:r>
    </w:p>
    <w:p w14:paraId="70CCC90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7B47F2E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Duomenys nebūtini.</w:t>
      </w:r>
    </w:p>
    <w:p w14:paraId="123F0D3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7E9F954" w14:textId="77777777" w:rsidR="00F151B8" w:rsidRPr="00DF20DE" w:rsidRDefault="00F151B8" w:rsidP="00F151B8">
      <w:pPr>
        <w:widowControl w:val="0"/>
        <w:tabs>
          <w:tab w:val="left" w:pos="782"/>
          <w:tab w:val="left" w:pos="783"/>
        </w:tabs>
        <w:autoSpaceDE w:val="0"/>
        <w:autoSpaceDN w:val="0"/>
        <w:spacing w:after="0" w:line="240" w:lineRule="auto"/>
        <w:ind w:left="630" w:hanging="630"/>
        <w:outlineLvl w:val="1"/>
        <w:rPr>
          <w:rFonts w:ascii="Times New Roman" w:eastAsia="Times New Roman" w:hAnsi="Times New Roman" w:cs="Times New Roman"/>
          <w:b/>
          <w:bCs/>
        </w:rPr>
      </w:pPr>
      <w:r w:rsidRPr="00DF20DE">
        <w:rPr>
          <w:rFonts w:ascii="Times New Roman" w:eastAsia="Times New Roman" w:hAnsi="Times New Roman" w:cs="Times New Roman"/>
          <w:b/>
          <w:bCs/>
        </w:rPr>
        <w:t>6.3</w:t>
      </w:r>
      <w:r w:rsidRPr="00DF20DE">
        <w:rPr>
          <w:rFonts w:ascii="Times New Roman" w:eastAsia="Times New Roman" w:hAnsi="Times New Roman" w:cs="Times New Roman"/>
          <w:b/>
          <w:bCs/>
        </w:rPr>
        <w:tab/>
        <w:t>Tinkamumo laikas</w:t>
      </w:r>
    </w:p>
    <w:p w14:paraId="060ECDE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00FDEE37" w14:textId="211FA666" w:rsidR="00F151B8" w:rsidRPr="00DF20DE" w:rsidRDefault="005B7399"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3 </w:t>
      </w:r>
      <w:r w:rsidR="00F151B8" w:rsidRPr="00DF20DE">
        <w:rPr>
          <w:rFonts w:ascii="Times New Roman" w:eastAsia="Times New Roman" w:hAnsi="Times New Roman" w:cs="Times New Roman"/>
        </w:rPr>
        <w:t>metai</w:t>
      </w:r>
    </w:p>
    <w:p w14:paraId="28A8588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D59BEE9"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6.4</w:t>
      </w:r>
      <w:r w:rsidRPr="00DF20DE">
        <w:rPr>
          <w:rFonts w:ascii="Times New Roman" w:eastAsia="Times New Roman" w:hAnsi="Times New Roman" w:cs="Times New Roman"/>
          <w:b/>
          <w:bCs/>
        </w:rPr>
        <w:tab/>
        <w:t>Specialios laikymo sąlygos</w:t>
      </w:r>
    </w:p>
    <w:p w14:paraId="56FDE3F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5208CA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Šiam vaistiniam preparatui specialių laikymo sąlygų nereikia.</w:t>
      </w:r>
    </w:p>
    <w:p w14:paraId="2CC07C1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F64881E" w14:textId="77777777" w:rsidR="00F151B8" w:rsidRPr="00DF20DE" w:rsidRDefault="00F151B8" w:rsidP="00F151B8">
      <w:pPr>
        <w:widowControl w:val="0"/>
        <w:tabs>
          <w:tab w:val="left" w:pos="783"/>
        </w:tabs>
        <w:autoSpaceDE w:val="0"/>
        <w:autoSpaceDN w:val="0"/>
        <w:spacing w:after="0" w:line="240" w:lineRule="auto"/>
        <w:ind w:left="540" w:hanging="540"/>
        <w:jc w:val="both"/>
        <w:outlineLvl w:val="1"/>
        <w:rPr>
          <w:rFonts w:ascii="Times New Roman" w:eastAsia="Times New Roman" w:hAnsi="Times New Roman" w:cs="Times New Roman"/>
          <w:b/>
          <w:bCs/>
        </w:rPr>
      </w:pPr>
      <w:r w:rsidRPr="00DF20DE">
        <w:rPr>
          <w:rFonts w:ascii="Times New Roman" w:eastAsia="Times New Roman" w:hAnsi="Times New Roman" w:cs="Times New Roman"/>
          <w:b/>
          <w:bCs/>
        </w:rPr>
        <w:t>6.5</w:t>
      </w:r>
      <w:r w:rsidRPr="00DF20DE">
        <w:rPr>
          <w:rFonts w:ascii="Times New Roman" w:eastAsia="Times New Roman" w:hAnsi="Times New Roman" w:cs="Times New Roman"/>
          <w:b/>
          <w:bCs/>
        </w:rPr>
        <w:tab/>
        <w:t>Talpyklės pobūdis ir jos turinys</w:t>
      </w:r>
    </w:p>
    <w:p w14:paraId="7EC6CEF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2BFF0BD6" w14:textId="33F9B664" w:rsidR="00F151B8" w:rsidRPr="00DF20DE" w:rsidRDefault="00297F0E" w:rsidP="00F151B8">
      <w:pPr>
        <w:tabs>
          <w:tab w:val="left" w:pos="567"/>
        </w:tabs>
        <w:spacing w:after="0" w:line="240" w:lineRule="auto"/>
        <w:rPr>
          <w:rFonts w:ascii="Times New Roman" w:eastAsia="Times New Roman" w:hAnsi="Times New Roman" w:cs="Times New Roman"/>
          <w:snapToGrid w:val="0"/>
        </w:rPr>
      </w:pPr>
      <w:bookmarkStart w:id="5" w:name="_Hlk90974290"/>
      <w:r w:rsidRPr="00DF20DE">
        <w:rPr>
          <w:rFonts w:ascii="Times New Roman" w:eastAsia="Times New Roman" w:hAnsi="Times New Roman" w:cs="Times New Roman"/>
          <w:snapToGrid w:val="0"/>
        </w:rPr>
        <w:t>Kartono dėžutė, kurioje yra 14 plėvele dengtų tablečių permatomose PVC-PVDC / Al lizdinėse plokštelėse.</w:t>
      </w:r>
    </w:p>
    <w:p w14:paraId="7275E170" w14:textId="49D68291" w:rsidR="00F151B8" w:rsidRPr="00DF20DE" w:rsidRDefault="00F151B8" w:rsidP="00F151B8">
      <w:pPr>
        <w:tabs>
          <w:tab w:val="left" w:pos="567"/>
        </w:tabs>
        <w:spacing w:after="0" w:line="240" w:lineRule="auto"/>
        <w:rPr>
          <w:rFonts w:ascii="Times New Roman" w:eastAsia="Times New Roman" w:hAnsi="Times New Roman" w:cs="Times New Roman"/>
          <w:snapToGrid w:val="0"/>
          <w:highlight w:val="yellow"/>
        </w:rPr>
      </w:pPr>
    </w:p>
    <w:p w14:paraId="546A84CC" w14:textId="5E184BE9" w:rsidR="000C46D4" w:rsidRPr="00DF20DE" w:rsidRDefault="000C46D4" w:rsidP="000C46D4">
      <w:pPr>
        <w:tabs>
          <w:tab w:val="left" w:pos="567"/>
        </w:tabs>
        <w:spacing w:after="0" w:line="240" w:lineRule="auto"/>
        <w:rPr>
          <w:rFonts w:ascii="Times New Roman" w:eastAsia="Times New Roman" w:hAnsi="Times New Roman" w:cs="Times New Roman"/>
          <w:snapToGrid w:val="0"/>
        </w:rPr>
      </w:pPr>
      <w:r w:rsidRPr="00DF20DE">
        <w:rPr>
          <w:rFonts w:ascii="Times New Roman" w:eastAsia="Times New Roman" w:hAnsi="Times New Roman" w:cs="Times New Roman"/>
          <w:snapToGrid w:val="0"/>
        </w:rPr>
        <w:t>Pakuotėje yra 56 plėvele dengtos tabletės</w:t>
      </w:r>
      <w:r w:rsidRPr="00DF20DE">
        <w:rPr>
          <w:rFonts w:ascii="Times New Roman" w:eastAsia="TimesNewRoman" w:hAnsi="Times New Roman" w:cs="Times New Roman"/>
          <w:snapToGrid w:val="0"/>
          <w:lang w:eastAsia="pl-PL"/>
        </w:rPr>
        <w:t>.</w:t>
      </w:r>
    </w:p>
    <w:bookmarkEnd w:id="5"/>
    <w:p w14:paraId="6B196E28" w14:textId="77777777" w:rsidR="000C46D4" w:rsidRPr="00DF20DE" w:rsidRDefault="000C46D4" w:rsidP="000C46D4">
      <w:pPr>
        <w:widowControl w:val="0"/>
        <w:autoSpaceDE w:val="0"/>
        <w:autoSpaceDN w:val="0"/>
        <w:spacing w:after="0" w:line="240" w:lineRule="auto"/>
        <w:rPr>
          <w:rFonts w:ascii="Times New Roman" w:eastAsia="Times New Roman" w:hAnsi="Times New Roman" w:cs="Times New Roman"/>
          <w:highlight w:val="yellow"/>
        </w:rPr>
      </w:pPr>
    </w:p>
    <w:p w14:paraId="394F0D14" w14:textId="77777777" w:rsidR="00F151B8" w:rsidRPr="00DF20DE" w:rsidRDefault="00F151B8" w:rsidP="00F151B8">
      <w:pPr>
        <w:widowControl w:val="0"/>
        <w:tabs>
          <w:tab w:val="left" w:pos="783"/>
        </w:tabs>
        <w:autoSpaceDE w:val="0"/>
        <w:autoSpaceDN w:val="0"/>
        <w:spacing w:after="0" w:line="240" w:lineRule="auto"/>
        <w:ind w:left="540" w:hanging="540"/>
        <w:jc w:val="both"/>
        <w:outlineLvl w:val="1"/>
        <w:rPr>
          <w:rFonts w:ascii="Times New Roman" w:eastAsia="Times New Roman" w:hAnsi="Times New Roman" w:cs="Times New Roman"/>
          <w:b/>
          <w:bCs/>
        </w:rPr>
      </w:pPr>
      <w:r w:rsidRPr="00DF20DE">
        <w:rPr>
          <w:rFonts w:ascii="Times New Roman" w:eastAsia="Times New Roman" w:hAnsi="Times New Roman" w:cs="Times New Roman"/>
          <w:b/>
          <w:bCs/>
        </w:rPr>
        <w:t>6.6</w:t>
      </w:r>
      <w:r w:rsidRPr="00DF20DE">
        <w:rPr>
          <w:rFonts w:ascii="Times New Roman" w:eastAsia="Times New Roman" w:hAnsi="Times New Roman" w:cs="Times New Roman"/>
          <w:b/>
          <w:bCs/>
        </w:rPr>
        <w:tab/>
        <w:t>Specialūs reikalavimai atliekoms tvarkyti</w:t>
      </w:r>
    </w:p>
    <w:p w14:paraId="28B5805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5609A62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Nesuvartotą vaistinį preparatą ar atliekas reikia tvarkyti laikantis vietinių reikalavimų.</w:t>
      </w:r>
    </w:p>
    <w:p w14:paraId="4B372AF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1E78EE1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2052114B" w14:textId="77777777" w:rsidR="00F151B8" w:rsidRPr="00DF20DE" w:rsidRDefault="00F151B8" w:rsidP="00B61CB8">
      <w:pPr>
        <w:widowControl w:val="0"/>
        <w:numPr>
          <w:ilvl w:val="0"/>
          <w:numId w:val="10"/>
        </w:numPr>
        <w:tabs>
          <w:tab w:val="left" w:pos="782"/>
          <w:tab w:val="left" w:pos="783"/>
        </w:tabs>
        <w:autoSpaceDE w:val="0"/>
        <w:autoSpaceDN w:val="0"/>
        <w:spacing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REGISTRUOTOJAS</w:t>
      </w:r>
    </w:p>
    <w:p w14:paraId="1BE867D9" w14:textId="4DB595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7F2D9BCE" w14:textId="77777777" w:rsidR="000F48F1" w:rsidRPr="00DF20DE" w:rsidRDefault="000F48F1" w:rsidP="000F48F1">
      <w:pPr>
        <w:spacing w:after="0" w:line="240" w:lineRule="auto"/>
        <w:rPr>
          <w:rFonts w:ascii="Times New Roman" w:hAnsi="Times New Roman" w:cs="Times New Roman"/>
        </w:rPr>
      </w:pPr>
      <w:r w:rsidRPr="00DF20DE">
        <w:rPr>
          <w:rFonts w:ascii="Times New Roman" w:hAnsi="Times New Roman" w:cs="Times New Roman"/>
        </w:rPr>
        <w:t>Egis Pharmaceuticals PLC</w:t>
      </w:r>
    </w:p>
    <w:p w14:paraId="4C0A86B7" w14:textId="77777777" w:rsidR="002D13DF" w:rsidRPr="00DF20DE" w:rsidRDefault="002D13DF" w:rsidP="002D13DF">
      <w:pPr>
        <w:spacing w:after="0" w:line="240" w:lineRule="auto"/>
        <w:rPr>
          <w:rFonts w:ascii="Times New Roman" w:hAnsi="Times New Roman" w:cs="Times New Roman"/>
        </w:rPr>
      </w:pPr>
      <w:r w:rsidRPr="00DF20DE">
        <w:rPr>
          <w:rFonts w:ascii="Times New Roman" w:hAnsi="Times New Roman" w:cs="Times New Roman"/>
        </w:rPr>
        <w:t>Keresztúri út 30–38</w:t>
      </w:r>
    </w:p>
    <w:p w14:paraId="13BF2008" w14:textId="57E9618E" w:rsidR="000F48F1" w:rsidRPr="00DF20DE" w:rsidRDefault="000F48F1" w:rsidP="000F48F1">
      <w:pPr>
        <w:spacing w:after="0" w:line="240" w:lineRule="auto"/>
        <w:rPr>
          <w:rFonts w:ascii="Times New Roman" w:hAnsi="Times New Roman" w:cs="Times New Roman"/>
        </w:rPr>
      </w:pPr>
      <w:r w:rsidRPr="00DF20DE">
        <w:rPr>
          <w:rFonts w:ascii="Times New Roman" w:hAnsi="Times New Roman" w:cs="Times New Roman"/>
        </w:rPr>
        <w:t>1106 Budapest</w:t>
      </w:r>
    </w:p>
    <w:p w14:paraId="79F3BB2B" w14:textId="77777777" w:rsidR="000F48F1" w:rsidRPr="00DF20DE" w:rsidRDefault="000F48F1" w:rsidP="000F48F1">
      <w:pPr>
        <w:widowControl w:val="0"/>
        <w:autoSpaceDE w:val="0"/>
        <w:autoSpaceDN w:val="0"/>
        <w:spacing w:after="0" w:line="240" w:lineRule="auto"/>
        <w:rPr>
          <w:rFonts w:ascii="Times New Roman" w:hAnsi="Times New Roman" w:cs="Times New Roman"/>
        </w:rPr>
      </w:pPr>
      <w:r w:rsidRPr="00DF20DE">
        <w:rPr>
          <w:rFonts w:ascii="Times New Roman" w:hAnsi="Times New Roman" w:cs="Times New Roman"/>
        </w:rPr>
        <w:t>Vengrija</w:t>
      </w:r>
    </w:p>
    <w:p w14:paraId="4A33DEFB" w14:textId="77777777" w:rsidR="000F48F1" w:rsidRPr="00DF20DE" w:rsidRDefault="000F48F1" w:rsidP="00F151B8">
      <w:pPr>
        <w:widowControl w:val="0"/>
        <w:autoSpaceDE w:val="0"/>
        <w:autoSpaceDN w:val="0"/>
        <w:spacing w:after="0" w:line="240" w:lineRule="auto"/>
        <w:rPr>
          <w:rFonts w:ascii="Times New Roman" w:eastAsia="Times New Roman" w:hAnsi="Times New Roman" w:cs="Times New Roman"/>
          <w:sz w:val="20"/>
        </w:rPr>
      </w:pPr>
    </w:p>
    <w:p w14:paraId="3DE4B152" w14:textId="77777777" w:rsidR="00F151B8" w:rsidRPr="00DF20DE" w:rsidRDefault="00F151B8" w:rsidP="00B61CB8">
      <w:pPr>
        <w:widowControl w:val="0"/>
        <w:numPr>
          <w:ilvl w:val="0"/>
          <w:numId w:val="10"/>
        </w:numPr>
        <w:tabs>
          <w:tab w:val="left" w:pos="782"/>
          <w:tab w:val="left" w:pos="783"/>
        </w:tabs>
        <w:autoSpaceDE w:val="0"/>
        <w:autoSpaceDN w:val="0"/>
        <w:spacing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lastRenderedPageBreak/>
        <w:t>REGISTRACIJOS PAŽYMĖJIMO NUMERIS (-IAI)</w:t>
      </w:r>
    </w:p>
    <w:p w14:paraId="300A87E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F0D2461" w14:textId="61463DA9" w:rsidR="00F151B8" w:rsidRPr="00DF20DE" w:rsidRDefault="001102CA"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LT/1/22/4919/001</w:t>
      </w:r>
    </w:p>
    <w:p w14:paraId="5EB86A76" w14:textId="77777777" w:rsidR="001102CA" w:rsidRPr="00DF20DE" w:rsidRDefault="001102CA" w:rsidP="00F151B8">
      <w:pPr>
        <w:widowControl w:val="0"/>
        <w:autoSpaceDE w:val="0"/>
        <w:autoSpaceDN w:val="0"/>
        <w:spacing w:after="0" w:line="240" w:lineRule="auto"/>
        <w:rPr>
          <w:rFonts w:ascii="Times New Roman" w:eastAsia="Times New Roman" w:hAnsi="Times New Roman" w:cs="Times New Roman"/>
          <w:sz w:val="20"/>
        </w:rPr>
      </w:pPr>
    </w:p>
    <w:p w14:paraId="63D92A8D" w14:textId="77777777" w:rsidR="001102CA" w:rsidRPr="00DF20DE" w:rsidRDefault="001102CA" w:rsidP="00F151B8">
      <w:pPr>
        <w:widowControl w:val="0"/>
        <w:autoSpaceDE w:val="0"/>
        <w:autoSpaceDN w:val="0"/>
        <w:spacing w:after="0" w:line="240" w:lineRule="auto"/>
        <w:rPr>
          <w:rFonts w:ascii="Times New Roman" w:eastAsia="Times New Roman" w:hAnsi="Times New Roman" w:cs="Times New Roman"/>
          <w:sz w:val="20"/>
        </w:rPr>
      </w:pPr>
    </w:p>
    <w:p w14:paraId="56396731" w14:textId="77777777" w:rsidR="00F151B8" w:rsidRPr="00DF20DE" w:rsidRDefault="00F151B8" w:rsidP="00B61CB8">
      <w:pPr>
        <w:widowControl w:val="0"/>
        <w:numPr>
          <w:ilvl w:val="0"/>
          <w:numId w:val="10"/>
        </w:numPr>
        <w:tabs>
          <w:tab w:val="left" w:pos="782"/>
          <w:tab w:val="left" w:pos="783"/>
        </w:tabs>
        <w:autoSpaceDE w:val="0"/>
        <w:autoSpaceDN w:val="0"/>
        <w:spacing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REGISTRAVIMO / PERREGISTRAVIMO DATA</w:t>
      </w:r>
    </w:p>
    <w:p w14:paraId="7338A75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32D09354" w14:textId="7991FD92" w:rsidR="004E4DA0" w:rsidRPr="00DF20DE" w:rsidRDefault="004E4DA0"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hAnsi="Times New Roman" w:cs="Times New Roman"/>
          <w:noProof/>
          <w:snapToGrid w:val="0"/>
          <w:szCs w:val="24"/>
        </w:rPr>
        <w:t xml:space="preserve">Registravimo data </w:t>
      </w:r>
      <w:r w:rsidR="001102CA" w:rsidRPr="00DF20DE">
        <w:rPr>
          <w:rFonts w:ascii="Times New Roman" w:hAnsi="Times New Roman" w:cs="Times New Roman"/>
          <w:noProof/>
          <w:snapToGrid w:val="0"/>
          <w:szCs w:val="24"/>
        </w:rPr>
        <w:t>2022 m. kovo 10 d.</w:t>
      </w:r>
    </w:p>
    <w:p w14:paraId="737817AB" w14:textId="0F09808F"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7A959462" w14:textId="77777777" w:rsidR="004E4DA0" w:rsidRPr="00DF20DE" w:rsidRDefault="004E4DA0" w:rsidP="00F151B8">
      <w:pPr>
        <w:widowControl w:val="0"/>
        <w:autoSpaceDE w:val="0"/>
        <w:autoSpaceDN w:val="0"/>
        <w:spacing w:after="0" w:line="240" w:lineRule="auto"/>
        <w:rPr>
          <w:rFonts w:ascii="Times New Roman" w:eastAsia="Times New Roman" w:hAnsi="Times New Roman" w:cs="Times New Roman"/>
          <w:sz w:val="20"/>
        </w:rPr>
      </w:pPr>
    </w:p>
    <w:p w14:paraId="6130E43E" w14:textId="77777777" w:rsidR="00F151B8" w:rsidRPr="00DF20DE" w:rsidRDefault="00F151B8" w:rsidP="00B61CB8">
      <w:pPr>
        <w:widowControl w:val="0"/>
        <w:numPr>
          <w:ilvl w:val="0"/>
          <w:numId w:val="10"/>
        </w:numPr>
        <w:tabs>
          <w:tab w:val="left" w:pos="782"/>
          <w:tab w:val="left" w:pos="783"/>
        </w:tabs>
        <w:autoSpaceDE w:val="0"/>
        <w:autoSpaceDN w:val="0"/>
        <w:spacing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TEKSTO PERŽIŪROS DATA</w:t>
      </w:r>
    </w:p>
    <w:p w14:paraId="2BB118B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1E47EBA" w14:textId="0BD94C7C" w:rsidR="00D236C3" w:rsidRDefault="00F77643" w:rsidP="00F151B8">
      <w:pPr>
        <w:widowControl w:val="0"/>
        <w:autoSpaceDE w:val="0"/>
        <w:autoSpaceDN w:val="0"/>
        <w:spacing w:after="0" w:line="240" w:lineRule="auto"/>
        <w:rPr>
          <w:rFonts w:ascii="Times New Roman" w:eastAsia="Times New Roman" w:hAnsi="Times New Roman" w:cs="Times New Roman"/>
        </w:rPr>
      </w:pPr>
      <w:r>
        <w:rPr>
          <w:rFonts w:ascii="Times New Roman" w:eastAsia="Times New Roman" w:hAnsi="Times New Roman" w:cs="Times New Roman"/>
        </w:rPr>
        <w:t>2024 m. lapkričio 8 d.</w:t>
      </w:r>
    </w:p>
    <w:p w14:paraId="0E5DCA37" w14:textId="77777777" w:rsidR="005137EA" w:rsidRPr="00DF20DE" w:rsidRDefault="005137EA" w:rsidP="00F151B8">
      <w:pPr>
        <w:widowControl w:val="0"/>
        <w:autoSpaceDE w:val="0"/>
        <w:autoSpaceDN w:val="0"/>
        <w:spacing w:after="0" w:line="240" w:lineRule="auto"/>
        <w:rPr>
          <w:rFonts w:ascii="Times New Roman" w:eastAsia="Times New Roman" w:hAnsi="Times New Roman" w:cs="Times New Roman"/>
          <w:b/>
          <w:sz w:val="19"/>
        </w:rPr>
      </w:pPr>
    </w:p>
    <w:p w14:paraId="14191504" w14:textId="2A57EE0A" w:rsidR="00F151B8" w:rsidRPr="00B14E8A"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Išsami informacija apie šį vaistinį preparatą pateikiama Valstybinės vaistų kontrolės tarnybos prie Lietuvos Res</w:t>
      </w:r>
      <w:r w:rsidRPr="00B14E8A">
        <w:rPr>
          <w:rFonts w:ascii="Times New Roman" w:eastAsia="Times New Roman" w:hAnsi="Times New Roman" w:cs="Times New Roman"/>
        </w:rPr>
        <w:t xml:space="preserve">publikos sveikatos apsaugos ministerijos tinklalapyje </w:t>
      </w:r>
      <w:hyperlink r:id="rId16" w:history="1">
        <w:r w:rsidR="001716B8" w:rsidRPr="00B14E8A">
          <w:rPr>
            <w:rStyle w:val="Hipersaitas"/>
            <w:rFonts w:ascii="Times New Roman" w:eastAsia="Times New Roman" w:hAnsi="Times New Roman" w:cs="Times New Roman"/>
          </w:rPr>
          <w:t>https://vvkt.lrv.lt/lt</w:t>
        </w:r>
        <w:r w:rsidRPr="00B14E8A">
          <w:rPr>
            <w:rStyle w:val="Hipersaitas"/>
            <w:rFonts w:ascii="Times New Roman" w:eastAsia="Times New Roman" w:hAnsi="Times New Roman" w:cs="Times New Roman"/>
          </w:rPr>
          <w:t>.</w:t>
        </w:r>
      </w:hyperlink>
    </w:p>
    <w:p w14:paraId="2147ED0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F5D250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br w:type="page"/>
      </w:r>
    </w:p>
    <w:p w14:paraId="13634B4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34B9751" w14:textId="77777777" w:rsidR="00F151B8" w:rsidRPr="00DF20DE" w:rsidRDefault="00F151B8" w:rsidP="00020879">
      <w:pPr>
        <w:widowControl w:val="0"/>
        <w:numPr>
          <w:ilvl w:val="0"/>
          <w:numId w:val="19"/>
        </w:numPr>
        <w:autoSpaceDE w:val="0"/>
        <w:autoSpaceDN w:val="0"/>
        <w:spacing w:before="20" w:after="0" w:line="240" w:lineRule="auto"/>
        <w:ind w:hanging="450"/>
        <w:outlineLvl w:val="0"/>
        <w:rPr>
          <w:rFonts w:ascii="Times New Roman" w:eastAsia="Times New Roman" w:hAnsi="Times New Roman" w:cs="Times New Roman"/>
          <w:b/>
          <w:bCs/>
        </w:rPr>
      </w:pPr>
      <w:r w:rsidRPr="00DF20DE">
        <w:rPr>
          <w:rFonts w:ascii="Times New Roman" w:eastAsia="Times New Roman" w:hAnsi="Times New Roman" w:cs="Times New Roman"/>
          <w:b/>
          <w:bCs/>
        </w:rPr>
        <w:t>VAISTINIO PREPARATO PAVADINIMAS</w:t>
      </w:r>
    </w:p>
    <w:p w14:paraId="65F8E4E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18734486" w14:textId="6C76E331" w:rsidR="00F151B8" w:rsidRPr="00DF20DE" w:rsidRDefault="008B0463"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F151B8" w:rsidRPr="00DF20DE">
        <w:rPr>
          <w:rFonts w:ascii="Times New Roman" w:eastAsia="Times New Roman" w:hAnsi="Times New Roman" w:cs="Times New Roman"/>
        </w:rPr>
        <w:t xml:space="preserve"> 90 mg plėvele dengtos tabletės</w:t>
      </w:r>
    </w:p>
    <w:p w14:paraId="191875C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4"/>
        </w:rPr>
      </w:pPr>
    </w:p>
    <w:p w14:paraId="5A6B873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6A2E6792" w14:textId="77777777" w:rsidR="00F151B8" w:rsidRPr="00DF20DE" w:rsidRDefault="00F151B8" w:rsidP="00020879">
      <w:pPr>
        <w:widowControl w:val="0"/>
        <w:numPr>
          <w:ilvl w:val="0"/>
          <w:numId w:val="19"/>
        </w:numPr>
        <w:autoSpaceDE w:val="0"/>
        <w:autoSpaceDN w:val="0"/>
        <w:spacing w:before="20"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KOKYBINĖ IR KIEKYBINĖ SUDĖTIS</w:t>
      </w:r>
    </w:p>
    <w:p w14:paraId="1148472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1CDE40F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Kiekvienoje plėvele dengtoje tabletėje yra 90 mg tikagreloro.</w:t>
      </w:r>
    </w:p>
    <w:p w14:paraId="15700EF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6FBDB0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Visos pagalbinės medžiagos išvardytos 6.1 skyriuje.</w:t>
      </w:r>
    </w:p>
    <w:p w14:paraId="070E4A3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A424CC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C87CFCB" w14:textId="77777777" w:rsidR="00F151B8" w:rsidRPr="00DF20DE" w:rsidRDefault="00F151B8" w:rsidP="00020879">
      <w:pPr>
        <w:widowControl w:val="0"/>
        <w:numPr>
          <w:ilvl w:val="0"/>
          <w:numId w:val="19"/>
        </w:numPr>
        <w:autoSpaceDE w:val="0"/>
        <w:autoSpaceDN w:val="0"/>
        <w:spacing w:before="20"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FARMACINĖ FORMA</w:t>
      </w:r>
    </w:p>
    <w:p w14:paraId="313BA1B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57B7FD2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Plėvele dengta tabletė (tabletė)</w:t>
      </w:r>
    </w:p>
    <w:p w14:paraId="48780E9F" w14:textId="74DD70E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Apvali</w:t>
      </w:r>
      <w:r w:rsidR="00E65A9D" w:rsidRPr="00DF20DE">
        <w:rPr>
          <w:rFonts w:ascii="Times New Roman" w:eastAsia="Times New Roman" w:hAnsi="Times New Roman" w:cs="Times New Roman"/>
        </w:rPr>
        <w:t>os</w:t>
      </w:r>
      <w:r w:rsidRPr="00DF20DE">
        <w:rPr>
          <w:rFonts w:ascii="Times New Roman" w:eastAsia="Times New Roman" w:hAnsi="Times New Roman" w:cs="Times New Roman"/>
        </w:rPr>
        <w:t>, abipus išgaubt</w:t>
      </w:r>
      <w:r w:rsidR="00E65A9D" w:rsidRPr="00DF20DE">
        <w:rPr>
          <w:rFonts w:ascii="Times New Roman" w:eastAsia="Times New Roman" w:hAnsi="Times New Roman" w:cs="Times New Roman"/>
        </w:rPr>
        <w:t>os, geltonos, 9 mm skersmens tabletės, kurių vienoje pusėje yra įspaudas „90“</w:t>
      </w:r>
      <w:r w:rsidRPr="00DF20DE">
        <w:rPr>
          <w:rFonts w:ascii="Times New Roman" w:eastAsia="Times New Roman" w:hAnsi="Times New Roman" w:cs="Times New Roman"/>
        </w:rPr>
        <w:t>.</w:t>
      </w:r>
    </w:p>
    <w:p w14:paraId="40D5C5D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4"/>
        </w:rPr>
      </w:pPr>
    </w:p>
    <w:p w14:paraId="6413F8B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6D3A3B81" w14:textId="77777777" w:rsidR="00F151B8" w:rsidRPr="00DF20DE" w:rsidRDefault="00F151B8" w:rsidP="00020879">
      <w:pPr>
        <w:widowControl w:val="0"/>
        <w:numPr>
          <w:ilvl w:val="0"/>
          <w:numId w:val="19"/>
        </w:numPr>
        <w:autoSpaceDE w:val="0"/>
        <w:autoSpaceDN w:val="0"/>
        <w:spacing w:before="20"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KLINIKINĖ INFORMACIJA</w:t>
      </w:r>
    </w:p>
    <w:p w14:paraId="6E09C3B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07A532A6" w14:textId="77777777" w:rsidR="00F151B8" w:rsidRPr="00DF20DE" w:rsidRDefault="00F151B8" w:rsidP="00F151B8">
      <w:pPr>
        <w:widowControl w:val="0"/>
        <w:tabs>
          <w:tab w:val="left" w:pos="540"/>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4.1</w:t>
      </w:r>
      <w:r w:rsidRPr="00DF20DE">
        <w:rPr>
          <w:rFonts w:ascii="Times New Roman" w:eastAsia="Times New Roman" w:hAnsi="Times New Roman" w:cs="Times New Roman"/>
          <w:b/>
          <w:bCs/>
        </w:rPr>
        <w:tab/>
        <w:t>Terapinės indikacijos</w:t>
      </w:r>
    </w:p>
    <w:p w14:paraId="6794B99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4FA07A92" w14:textId="42142F40" w:rsidR="00F151B8" w:rsidRPr="00DF20DE" w:rsidRDefault="008B0463"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F151B8" w:rsidRPr="00DF20DE">
        <w:rPr>
          <w:rFonts w:ascii="Times New Roman" w:eastAsia="Times New Roman" w:hAnsi="Times New Roman" w:cs="Times New Roman"/>
        </w:rPr>
        <w:t xml:space="preserve"> derinyje su acetilsalicilo rūgštimi (ASR) skirtas aterotrombozinių reiškinių profilaktikai suaugusiems pacientams:</w:t>
      </w:r>
    </w:p>
    <w:p w14:paraId="5A8B0D07" w14:textId="77777777" w:rsidR="00F151B8" w:rsidRPr="00DF20DE" w:rsidRDefault="00F151B8" w:rsidP="00B61CB8">
      <w:pPr>
        <w:widowControl w:val="0"/>
        <w:numPr>
          <w:ilvl w:val="2"/>
          <w:numId w:val="9"/>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sergantiems ūminiais koronariniais sindromais (ŪKS) arba</w:t>
      </w:r>
    </w:p>
    <w:p w14:paraId="237FA527" w14:textId="77777777" w:rsidR="00F151B8" w:rsidRPr="00DF20DE" w:rsidRDefault="00F151B8" w:rsidP="00B61CB8">
      <w:pPr>
        <w:widowControl w:val="0"/>
        <w:numPr>
          <w:ilvl w:val="2"/>
          <w:numId w:val="9"/>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anksčiau patyrusiems miokardo infarktą (MI) ir jeigu yra didelė aterotrombozinio reiškinio išsivystymo rizika (žr. 4.2 ir 5.1 skyrius).</w:t>
      </w:r>
    </w:p>
    <w:p w14:paraId="72EF9A5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CFFE466" w14:textId="77777777" w:rsidR="00F151B8" w:rsidRPr="00DF20DE" w:rsidRDefault="00F151B8" w:rsidP="00F151B8">
      <w:pPr>
        <w:widowControl w:val="0"/>
        <w:tabs>
          <w:tab w:val="left" w:pos="540"/>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4.2</w:t>
      </w:r>
      <w:r w:rsidRPr="00DF20DE">
        <w:rPr>
          <w:rFonts w:ascii="Times New Roman" w:eastAsia="Times New Roman" w:hAnsi="Times New Roman" w:cs="Times New Roman"/>
          <w:b/>
          <w:bCs/>
        </w:rPr>
        <w:tab/>
        <w:t>Dozavimas ir vartojimo metodas</w:t>
      </w:r>
    </w:p>
    <w:p w14:paraId="121CF5DE" w14:textId="77777777" w:rsidR="008F1BE5" w:rsidRPr="00DF20DE" w:rsidRDefault="008F1BE5" w:rsidP="00F151B8">
      <w:pPr>
        <w:widowControl w:val="0"/>
        <w:autoSpaceDE w:val="0"/>
        <w:autoSpaceDN w:val="0"/>
        <w:spacing w:after="0" w:line="240" w:lineRule="auto"/>
        <w:rPr>
          <w:rFonts w:ascii="Times New Roman" w:eastAsia="Times New Roman" w:hAnsi="Times New Roman" w:cs="Times New Roman"/>
          <w:b/>
          <w:sz w:val="21"/>
        </w:rPr>
      </w:pPr>
    </w:p>
    <w:p w14:paraId="404C62E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Dozavimas</w:t>
      </w:r>
    </w:p>
    <w:p w14:paraId="4D7C4E2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13"/>
        </w:rPr>
      </w:pPr>
    </w:p>
    <w:p w14:paraId="34D00F02" w14:textId="1E477206"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Pacientams kartu su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reikia kasdien vartoti mažą palaikomąją ASR dozę (75-150 mg), išskyrus atvejį, kai yra konkrečių kontraindikacijų.</w:t>
      </w:r>
    </w:p>
    <w:p w14:paraId="2CDC807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2392CA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Ūminiai koronariniai sindromai</w:t>
      </w:r>
    </w:p>
    <w:p w14:paraId="06739B5A" w14:textId="0A64CF4C"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Gydymas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turi būti pradedamas nuo vienkartinės 180 mg įsotinimo dozės (2 tabletės po 90 mg), vėliau vartojama po 90 mg 2 kartus per parą.</w:t>
      </w:r>
    </w:p>
    <w:p w14:paraId="1C1B8F8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5C76342" w14:textId="79B50C26" w:rsidR="008F60E7"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ŪKS sergantiems pacientams rekomenduojama vartoti 90 mg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2 kartus per parą 12 mėn., išskyrus atvejį, kai gydymą juo reikia nutraukti dėl klinikinės situacijos (žr. 5.1 skyrių).</w:t>
      </w:r>
    </w:p>
    <w:p w14:paraId="424F6F1F" w14:textId="77777777" w:rsidR="007D2D6A" w:rsidRDefault="007D2D6A" w:rsidP="00F151B8">
      <w:pPr>
        <w:widowControl w:val="0"/>
        <w:autoSpaceDE w:val="0"/>
        <w:autoSpaceDN w:val="0"/>
        <w:spacing w:after="0" w:line="240" w:lineRule="auto"/>
        <w:rPr>
          <w:rFonts w:ascii="Times New Roman" w:eastAsia="Times New Roman" w:hAnsi="Times New Roman" w:cs="Times New Roman"/>
        </w:rPr>
      </w:pPr>
    </w:p>
    <w:p w14:paraId="53E3A9CC" w14:textId="42F8C83F" w:rsidR="005C7837" w:rsidRDefault="005C7837" w:rsidP="005C7837">
      <w:pPr>
        <w:widowControl w:val="0"/>
        <w:autoSpaceDE w:val="0"/>
        <w:autoSpaceDN w:val="0"/>
        <w:spacing w:after="0" w:line="240" w:lineRule="auto"/>
        <w:rPr>
          <w:rFonts w:ascii="Times New Roman" w:eastAsia="Times New Roman" w:hAnsi="Times New Roman" w:cs="Times New Roman"/>
        </w:rPr>
      </w:pPr>
      <w:r w:rsidRPr="005C7837">
        <w:rPr>
          <w:rFonts w:ascii="Times New Roman" w:eastAsia="Times New Roman" w:hAnsi="Times New Roman" w:cs="Times New Roman"/>
        </w:rPr>
        <w:t xml:space="preserve">Jei ŪKS ištiktam pacientui, kuriam atlikta perkutaninė koronarinė intervencija (angl. </w:t>
      </w:r>
      <w:r w:rsidRPr="005C7837">
        <w:rPr>
          <w:rFonts w:ascii="Times New Roman" w:eastAsia="Times New Roman" w:hAnsi="Times New Roman" w:cs="Times New Roman"/>
          <w:i/>
          <w:iCs/>
        </w:rPr>
        <w:t>percutaneous</w:t>
      </w:r>
      <w:r>
        <w:rPr>
          <w:rFonts w:ascii="Times New Roman" w:eastAsia="Times New Roman" w:hAnsi="Times New Roman" w:cs="Times New Roman"/>
          <w:i/>
          <w:iCs/>
        </w:rPr>
        <w:t xml:space="preserve"> </w:t>
      </w:r>
      <w:r w:rsidRPr="005C7837">
        <w:rPr>
          <w:rFonts w:ascii="Times New Roman" w:eastAsia="Times New Roman" w:hAnsi="Times New Roman" w:cs="Times New Roman"/>
          <w:i/>
          <w:iCs/>
        </w:rPr>
        <w:t>coronary intervention, PCI</w:t>
      </w:r>
      <w:r w:rsidRPr="005C7837">
        <w:rPr>
          <w:rFonts w:ascii="Times New Roman" w:eastAsia="Times New Roman" w:hAnsi="Times New Roman" w:cs="Times New Roman"/>
        </w:rPr>
        <w:t>), padidėjusi kraujavimo rizika, tai praėjus 3</w:t>
      </w:r>
      <w:r>
        <w:rPr>
          <w:rFonts w:ascii="Times New Roman" w:eastAsia="Times New Roman" w:hAnsi="Times New Roman" w:cs="Times New Roman"/>
        </w:rPr>
        <w:t> </w:t>
      </w:r>
      <w:r w:rsidRPr="005C7837">
        <w:rPr>
          <w:rFonts w:ascii="Times New Roman" w:eastAsia="Times New Roman" w:hAnsi="Times New Roman" w:cs="Times New Roman"/>
        </w:rPr>
        <w:t>mėn. galima svarstyti</w:t>
      </w:r>
      <w:r>
        <w:rPr>
          <w:rFonts w:ascii="Times New Roman" w:eastAsia="Times New Roman" w:hAnsi="Times New Roman" w:cs="Times New Roman"/>
        </w:rPr>
        <w:t xml:space="preserve"> </w:t>
      </w:r>
      <w:r w:rsidRPr="005C7837">
        <w:rPr>
          <w:rFonts w:ascii="Times New Roman" w:eastAsia="Times New Roman" w:hAnsi="Times New Roman" w:cs="Times New Roman"/>
        </w:rPr>
        <w:t>galimybę nutraukti ASR vartojimą. Tokiu atveju 9</w:t>
      </w:r>
      <w:r>
        <w:rPr>
          <w:rFonts w:ascii="Times New Roman" w:eastAsia="Times New Roman" w:hAnsi="Times New Roman" w:cs="Times New Roman"/>
        </w:rPr>
        <w:t> </w:t>
      </w:r>
      <w:r w:rsidRPr="005C7837">
        <w:rPr>
          <w:rFonts w:ascii="Times New Roman" w:eastAsia="Times New Roman" w:hAnsi="Times New Roman" w:cs="Times New Roman"/>
        </w:rPr>
        <w:t>mėn. gydymą reikia tęsti vieninteliu antiagregantu</w:t>
      </w:r>
      <w:r>
        <w:rPr>
          <w:rFonts w:ascii="Times New Roman" w:eastAsia="Times New Roman" w:hAnsi="Times New Roman" w:cs="Times New Roman"/>
        </w:rPr>
        <w:t xml:space="preserve">  </w:t>
      </w:r>
      <w:r w:rsidRPr="005C7837">
        <w:rPr>
          <w:rFonts w:ascii="Times New Roman" w:eastAsia="Times New Roman" w:hAnsi="Times New Roman" w:cs="Times New Roman"/>
        </w:rPr>
        <w:t>–</w:t>
      </w:r>
      <w:r>
        <w:rPr>
          <w:rFonts w:ascii="Times New Roman" w:eastAsia="Times New Roman" w:hAnsi="Times New Roman" w:cs="Times New Roman"/>
        </w:rPr>
        <w:t> </w:t>
      </w:r>
      <w:r w:rsidRPr="005C7837">
        <w:rPr>
          <w:rFonts w:ascii="Times New Roman" w:eastAsia="Times New Roman" w:hAnsi="Times New Roman" w:cs="Times New Roman"/>
        </w:rPr>
        <w:t>tikagreloru (žr. 4.4</w:t>
      </w:r>
      <w:r>
        <w:rPr>
          <w:rFonts w:ascii="Times New Roman" w:eastAsia="Times New Roman" w:hAnsi="Times New Roman" w:cs="Times New Roman"/>
        </w:rPr>
        <w:t> </w:t>
      </w:r>
      <w:r w:rsidRPr="005C7837">
        <w:rPr>
          <w:rFonts w:ascii="Times New Roman" w:eastAsia="Times New Roman" w:hAnsi="Times New Roman" w:cs="Times New Roman"/>
        </w:rPr>
        <w:t>skyrių).</w:t>
      </w:r>
    </w:p>
    <w:p w14:paraId="709C19D0" w14:textId="77777777" w:rsidR="005C7837" w:rsidRPr="00DF20DE" w:rsidRDefault="005C7837" w:rsidP="005C7837">
      <w:pPr>
        <w:widowControl w:val="0"/>
        <w:autoSpaceDE w:val="0"/>
        <w:autoSpaceDN w:val="0"/>
        <w:spacing w:after="0" w:line="240" w:lineRule="auto"/>
        <w:rPr>
          <w:rFonts w:ascii="Times New Roman" w:eastAsia="Times New Roman" w:hAnsi="Times New Roman" w:cs="Times New Roman"/>
        </w:rPr>
      </w:pPr>
    </w:p>
    <w:p w14:paraId="0602CCBE" w14:textId="292139AD" w:rsidR="008F60E7" w:rsidRPr="00DF20DE" w:rsidRDefault="00F151B8" w:rsidP="00F151B8">
      <w:pPr>
        <w:widowControl w:val="0"/>
        <w:autoSpaceDE w:val="0"/>
        <w:autoSpaceDN w:val="0"/>
        <w:spacing w:after="0" w:line="240" w:lineRule="auto"/>
        <w:rPr>
          <w:rFonts w:ascii="Times New Roman" w:eastAsia="Times New Roman" w:hAnsi="Times New Roman" w:cs="Times New Roman"/>
          <w:i/>
          <w:u w:val="single"/>
        </w:rPr>
      </w:pPr>
      <w:r w:rsidRPr="00DF20DE">
        <w:rPr>
          <w:rFonts w:ascii="Times New Roman" w:eastAsia="Times New Roman" w:hAnsi="Times New Roman" w:cs="Times New Roman"/>
          <w:i/>
          <w:u w:val="single"/>
        </w:rPr>
        <w:t>Anksčiau buvęs miokardo infarktas</w:t>
      </w:r>
      <w:r w:rsidR="008F60E7" w:rsidRPr="00DF20DE">
        <w:rPr>
          <w:rFonts w:ascii="Times New Roman" w:eastAsia="Times New Roman" w:hAnsi="Times New Roman" w:cs="Times New Roman"/>
          <w:i/>
          <w:u w:val="single"/>
        </w:rPr>
        <w:t xml:space="preserve"> </w:t>
      </w:r>
    </w:p>
    <w:p w14:paraId="7AAE57B8" w14:textId="77777777" w:rsidR="007D2D6A" w:rsidRPr="00DF20DE" w:rsidRDefault="007D2D6A" w:rsidP="00F151B8">
      <w:pPr>
        <w:widowControl w:val="0"/>
        <w:autoSpaceDE w:val="0"/>
        <w:autoSpaceDN w:val="0"/>
        <w:spacing w:after="0" w:line="240" w:lineRule="auto"/>
        <w:rPr>
          <w:rFonts w:ascii="Times New Roman" w:eastAsia="Times New Roman" w:hAnsi="Times New Roman" w:cs="Times New Roman"/>
          <w:i/>
          <w:u w:val="single"/>
        </w:rPr>
      </w:pPr>
    </w:p>
    <w:p w14:paraId="11557B28" w14:textId="7AA46C16" w:rsidR="007D2D6A" w:rsidRPr="00DF20DE" w:rsidRDefault="007D2D6A" w:rsidP="007D2D6A">
      <w:pPr>
        <w:widowControl w:val="0"/>
        <w:autoSpaceDE w:val="0"/>
        <w:autoSpaceDN w:val="0"/>
        <w:spacing w:after="0" w:line="240" w:lineRule="auto"/>
        <w:rPr>
          <w:rFonts w:ascii="Times New Roman" w:eastAsia="Times New Roman" w:hAnsi="Times New Roman" w:cs="Times New Roman"/>
          <w:bCs/>
          <w:sz w:val="21"/>
        </w:rPr>
      </w:pPr>
      <w:bookmarkStart w:id="6" w:name="_Hlk97037413"/>
      <w:r w:rsidRPr="006A7DC7">
        <w:rPr>
          <w:rFonts w:ascii="Times New Roman" w:eastAsia="Times New Roman" w:hAnsi="Times New Roman" w:cs="Times New Roman"/>
          <w:bCs/>
        </w:rPr>
        <w:t xml:space="preserve">*Pastaba. Toliau nurodytos 60 mg dozės šio (90 mg) stiprumo vaistiniu preparatu vartoti neįmanoma, todėl tokiu atveju reikia rinktis vaistinį preparatą Plategra 60 mg </w:t>
      </w:r>
      <w:r w:rsidRPr="006A7DC7">
        <w:rPr>
          <w:rFonts w:ascii="Times New Roman" w:eastAsia="Times New Roman" w:hAnsi="Times New Roman" w:cs="Times New Roman"/>
        </w:rPr>
        <w:t>plėvele dengtos tabletės.</w:t>
      </w:r>
      <w:r w:rsidRPr="006A7DC7" w:rsidDel="002566A6">
        <w:rPr>
          <w:rFonts w:ascii="Times New Roman" w:eastAsia="Times New Roman" w:hAnsi="Times New Roman" w:cs="Times New Roman"/>
          <w:bCs/>
        </w:rPr>
        <w:t xml:space="preserve"> </w:t>
      </w:r>
    </w:p>
    <w:bookmarkEnd w:id="6"/>
    <w:p w14:paraId="243607B1" w14:textId="77777777" w:rsidR="002566A6" w:rsidRPr="00DF20DE" w:rsidRDefault="002566A6" w:rsidP="00F151B8">
      <w:pPr>
        <w:widowControl w:val="0"/>
        <w:autoSpaceDE w:val="0"/>
        <w:autoSpaceDN w:val="0"/>
        <w:spacing w:after="0" w:line="240" w:lineRule="auto"/>
        <w:rPr>
          <w:rFonts w:ascii="Times New Roman" w:eastAsia="Times New Roman" w:hAnsi="Times New Roman" w:cs="Times New Roman"/>
          <w:i/>
        </w:rPr>
      </w:pPr>
    </w:p>
    <w:p w14:paraId="63693C0F" w14:textId="6B077B0D"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Prieš 1 metus ar seniau MI patyrusiems pacientams, kuriems yra didelė aterotrombozės rizika ir reikia ilgalaikio gydymo, rekomenduojama skirti 60 mg</w:t>
      </w:r>
      <w:r w:rsidR="008F1BE5" w:rsidRPr="00DF20DE">
        <w:rPr>
          <w:rFonts w:ascii="Times New Roman" w:eastAsia="Times New Roman" w:hAnsi="Times New Roman" w:cs="Times New Roman"/>
        </w:rPr>
        <w:t>*</w:t>
      </w:r>
      <w:r w:rsidRPr="00DF20DE">
        <w:rPr>
          <w:rFonts w:ascii="Times New Roman" w:eastAsia="Times New Roman" w:hAnsi="Times New Roman" w:cs="Times New Roman"/>
        </w:rPr>
        <w:t xml:space="preserv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2 kartus per parą (žr. 5.1 skyrių). Tokį ŪKS sergančių pacientų, turinčių didelę aterotrombozės riziką, gydymą galima pradėti be pertraukos, </w:t>
      </w:r>
      <w:r w:rsidRPr="00DF20DE">
        <w:rPr>
          <w:rFonts w:ascii="Times New Roman" w:eastAsia="Times New Roman" w:hAnsi="Times New Roman" w:cs="Times New Roman"/>
        </w:rPr>
        <w:lastRenderedPageBreak/>
        <w:t xml:space="preserve">kaip vienerių metų pradinio gydymo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90 mg doze arba kitu adenozino difosfato (ADF) receptorių inhibitoriumi pratęsimą. Be to, tokį gydymą galima pradėti per 2 metus po MI arba per 1 metus po ankstesnio gydymo ADF receptorių inhibitoriumi. Ilgesnės kaip 3 metų trukmės gydymo tikagreloru saugumo ir veiksmingumo duomenų yra nedaug.</w:t>
      </w:r>
    </w:p>
    <w:p w14:paraId="5731FA5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35DD537" w14:textId="3DBA16E8"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Jeigu reikia pakeisti vaistinį preparatą, pirmą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dozę reikia vartoti praėjus 24 val. po paskutinės kito trombocitų funkciją slopinančio vaistinio preparato dozės.</w:t>
      </w:r>
    </w:p>
    <w:p w14:paraId="31C9714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u w:val="single"/>
        </w:rPr>
      </w:pPr>
    </w:p>
    <w:p w14:paraId="180A8F0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Praleista dozė</w:t>
      </w:r>
    </w:p>
    <w:p w14:paraId="681DACCC" w14:textId="4CC9E9DC"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Gydymo pertrūkių taip pat reikia vengti. Pacientas, užmiršęs išgerti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dozę, turi vartoti tik vieną tabletę (kitą dozę) įprastu laiku.</w:t>
      </w:r>
    </w:p>
    <w:p w14:paraId="557B033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B3777D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Ypatingos populiacijos</w:t>
      </w:r>
    </w:p>
    <w:p w14:paraId="49FEA1D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sz w:val="13"/>
        </w:rPr>
      </w:pPr>
    </w:p>
    <w:p w14:paraId="4894A53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Senyviems pacientams</w:t>
      </w:r>
    </w:p>
    <w:p w14:paraId="09938B4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Senyviems pacientams dozės koreguoti nereikia (žr. 5.2 skyrių).</w:t>
      </w:r>
    </w:p>
    <w:p w14:paraId="7C52B0C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0B55A76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Pacientams, kurių inkstų funkcija sutrikusi</w:t>
      </w:r>
    </w:p>
    <w:p w14:paraId="7003E8D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Pacientams, kurių inkstų funkcija sutrikusi, dozės koreguoti nereikia (žr. 5.2 skyrių).</w:t>
      </w:r>
    </w:p>
    <w:p w14:paraId="61096D4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41B32F7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Pacientams, kurių kepenų funkcija sutrikusi</w:t>
      </w:r>
    </w:p>
    <w:p w14:paraId="1230B1D0" w14:textId="46148B2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Tikagreloro poveikis pacientams, kuriems yra sunkus kepenų funkcijos sutrikimas, netirtas, todėl jo vartoti šiems pacientams </w:t>
      </w:r>
      <w:r w:rsidR="008F1BE5" w:rsidRPr="00DF20DE">
        <w:rPr>
          <w:rFonts w:ascii="Times New Roman" w:eastAsia="Times New Roman" w:hAnsi="Times New Roman" w:cs="Times New Roman"/>
        </w:rPr>
        <w:t xml:space="preserve">draudžiama </w:t>
      </w:r>
      <w:r w:rsidRPr="00DF20DE">
        <w:rPr>
          <w:rFonts w:ascii="Times New Roman" w:eastAsia="Times New Roman" w:hAnsi="Times New Roman" w:cs="Times New Roman"/>
        </w:rPr>
        <w:t>(žr. 4.3 skyrių). Vartojimo pacientams, kuriems yra vidutinio sunkumo kepenų funkcijos sutrikimas, duomenų yra nedaug. Jiems dozės koreguoti nerekomenduojama, tačiau tikagrelor</w:t>
      </w:r>
      <w:r w:rsidR="008F1BE5" w:rsidRPr="00DF20DE">
        <w:rPr>
          <w:rFonts w:ascii="Times New Roman" w:eastAsia="Times New Roman" w:hAnsi="Times New Roman" w:cs="Times New Roman"/>
        </w:rPr>
        <w:t>o</w:t>
      </w:r>
      <w:r w:rsidRPr="00DF20DE">
        <w:rPr>
          <w:rFonts w:ascii="Times New Roman" w:eastAsia="Times New Roman" w:hAnsi="Times New Roman" w:cs="Times New Roman"/>
        </w:rPr>
        <w:t xml:space="preserve"> reikia vartoti atsargiai (žr. 4.4 ir 5.2 skyrius). Pacientams, kuri</w:t>
      </w:r>
      <w:r w:rsidR="000668FE" w:rsidRPr="00DF20DE">
        <w:rPr>
          <w:rFonts w:ascii="Times New Roman" w:eastAsia="Times New Roman" w:hAnsi="Times New Roman" w:cs="Times New Roman"/>
        </w:rPr>
        <w:t>ems</w:t>
      </w:r>
      <w:r w:rsidRPr="00DF20DE">
        <w:rPr>
          <w:rFonts w:ascii="Times New Roman" w:eastAsia="Times New Roman" w:hAnsi="Times New Roman" w:cs="Times New Roman"/>
        </w:rPr>
        <w:t xml:space="preserve"> yra lengvas kepenų funkcijos sutrikimas, dozės koreguoti nereikia (žr. 5.2 skyrių).</w:t>
      </w:r>
    </w:p>
    <w:p w14:paraId="71223A4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492274B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Vaikų populiacija</w:t>
      </w:r>
    </w:p>
    <w:p w14:paraId="75D01293" w14:textId="77777777" w:rsidR="00E65A9D" w:rsidRPr="00DF20DE" w:rsidRDefault="00E65A9D" w:rsidP="00E65A9D">
      <w:pPr>
        <w:autoSpaceDE w:val="0"/>
        <w:autoSpaceDN w:val="0"/>
        <w:adjustRightInd w:val="0"/>
        <w:spacing w:after="0" w:line="240" w:lineRule="auto"/>
        <w:rPr>
          <w:rFonts w:ascii="Times New Roman" w:hAnsi="Times New Roman" w:cs="Times New Roman"/>
        </w:rPr>
      </w:pPr>
      <w:r w:rsidRPr="00DF20DE">
        <w:rPr>
          <w:rFonts w:ascii="Times New Roman" w:eastAsia="Times New Roman" w:hAnsi="Times New Roman" w:cs="Times New Roman"/>
        </w:rPr>
        <w:t xml:space="preserve">Tikagreloro saugumas ir veiksmingumas vaikams iki 18 metų neištirti. </w:t>
      </w:r>
      <w:r w:rsidRPr="00DF20DE">
        <w:rPr>
          <w:rFonts w:ascii="Times New Roman" w:hAnsi="Times New Roman" w:cs="Times New Roman"/>
        </w:rPr>
        <w:t>Tikagreloras nėra skirtas</w:t>
      </w:r>
    </w:p>
    <w:p w14:paraId="4A6585B1" w14:textId="05C10937" w:rsidR="00E65A9D" w:rsidRPr="00DF20DE" w:rsidRDefault="00E65A9D" w:rsidP="00E65A9D">
      <w:pPr>
        <w:widowControl w:val="0"/>
        <w:autoSpaceDE w:val="0"/>
        <w:autoSpaceDN w:val="0"/>
        <w:spacing w:after="0" w:line="240" w:lineRule="auto"/>
        <w:rPr>
          <w:rFonts w:ascii="Times New Roman" w:eastAsia="Times New Roman" w:hAnsi="Times New Roman" w:cs="Times New Roman"/>
        </w:rPr>
      </w:pPr>
      <w:r w:rsidRPr="00DF20DE">
        <w:rPr>
          <w:rFonts w:ascii="Times New Roman" w:hAnsi="Times New Roman" w:cs="Times New Roman"/>
        </w:rPr>
        <w:t>vaikams, sergantiems pjautuvo pavidalo ląstelių liga (žr. 5.1 ir 5.2 skyrius).</w:t>
      </w:r>
    </w:p>
    <w:p w14:paraId="75216E5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1E9220F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Vartojimo metodas</w:t>
      </w:r>
      <w:r w:rsidRPr="00DF20DE">
        <w:rPr>
          <w:rFonts w:ascii="Times New Roman" w:eastAsia="Times New Roman" w:hAnsi="Times New Roman" w:cs="Times New Roman"/>
        </w:rPr>
        <w:t xml:space="preserve"> </w:t>
      </w:r>
    </w:p>
    <w:p w14:paraId="6707BA8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Vartoti per burną.</w:t>
      </w:r>
    </w:p>
    <w:p w14:paraId="2E8CF271" w14:textId="7C3C332B" w:rsidR="00F151B8" w:rsidRPr="00DF20DE" w:rsidRDefault="008B0463"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F151B8" w:rsidRPr="00DF20DE">
        <w:rPr>
          <w:rFonts w:ascii="Times New Roman" w:eastAsia="Times New Roman" w:hAnsi="Times New Roman" w:cs="Times New Roman"/>
        </w:rPr>
        <w:t xml:space="preserve"> galima vartoti valgio metu arba nevalgius.</w:t>
      </w:r>
    </w:p>
    <w:p w14:paraId="703DA18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Pacientams, kurie negali nuryti visos tabletės (tablečių), jas galima susmulkinti į miltelius, sumaišyti pusėje stiklinės vandens ir nedelsiant išgerti. Paskui stiklinę reikia praskalauti dar puse stiklinės vandens ir vėl išgerti. Be to, gautą mišinį galima vartoti per nazogastrinį zondą (CH8 ar didesnį). Po vartojimo nazogastrinį zondą svarbu praskalauti vandeniu.</w:t>
      </w:r>
    </w:p>
    <w:p w14:paraId="0769C48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FA45F67" w14:textId="77777777" w:rsidR="00F151B8" w:rsidRPr="00DF20DE" w:rsidRDefault="00F151B8" w:rsidP="00020879">
      <w:pPr>
        <w:widowControl w:val="0"/>
        <w:numPr>
          <w:ilvl w:val="1"/>
          <w:numId w:val="19"/>
        </w:numPr>
        <w:tabs>
          <w:tab w:val="left" w:pos="540"/>
        </w:tabs>
        <w:autoSpaceDE w:val="0"/>
        <w:autoSpaceDN w:val="0"/>
        <w:spacing w:after="0" w:line="240" w:lineRule="auto"/>
        <w:ind w:hanging="645"/>
        <w:outlineLvl w:val="1"/>
        <w:rPr>
          <w:rFonts w:ascii="Times New Roman" w:eastAsia="Times New Roman" w:hAnsi="Times New Roman" w:cs="Times New Roman"/>
          <w:b/>
          <w:bCs/>
        </w:rPr>
      </w:pPr>
      <w:r w:rsidRPr="00DF20DE">
        <w:rPr>
          <w:rFonts w:ascii="Times New Roman" w:eastAsia="Times New Roman" w:hAnsi="Times New Roman" w:cs="Times New Roman"/>
          <w:b/>
          <w:bCs/>
        </w:rPr>
        <w:t>Kontraindikacijos</w:t>
      </w:r>
    </w:p>
    <w:p w14:paraId="5FECEAC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p>
    <w:p w14:paraId="1EF6BD2A"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Padidėjęs jautrumas veikliajai arba bet kuriai 6.1 skyriuje nurodytai pagalbinei medžiagai (žr. 4.8 skyrių).</w:t>
      </w:r>
    </w:p>
    <w:p w14:paraId="7AC3BFEF"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Aktyvus patologinis kraujavimas.</w:t>
      </w:r>
    </w:p>
    <w:p w14:paraId="42A71F32"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Intrakranijinis kraujavimas anamnezėje (žr. 4.8 skyrių).</w:t>
      </w:r>
    </w:p>
    <w:p w14:paraId="2064A63F"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Sunkus kepenų funkcijos sutrikimas (žr. 4.2, 4.4 ir 5.2 skyrius).</w:t>
      </w:r>
    </w:p>
    <w:p w14:paraId="504A73A3"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Tikagreloro vartojimas derinyje su stipriai veikiančiais CYP3A4 inhibitoriais (pvz., ketokonazolu, klaritromicinu, nefazodonu, ritonaviru, atazanaviru), kadangi gali gerokai padidėti tikagreloro ekspozicija (žr. 4.5 skyrių).</w:t>
      </w:r>
    </w:p>
    <w:p w14:paraId="5343094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DC70909"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4.4</w:t>
      </w:r>
      <w:r w:rsidRPr="00DF20DE">
        <w:rPr>
          <w:rFonts w:ascii="Times New Roman" w:eastAsia="Times New Roman" w:hAnsi="Times New Roman" w:cs="Times New Roman"/>
          <w:b/>
          <w:bCs/>
        </w:rPr>
        <w:tab/>
        <w:t>Specialūs įspėjimai ir atsargumo priemonės</w:t>
      </w:r>
    </w:p>
    <w:p w14:paraId="67B272D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43ED64E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Kraujavimo rizika</w:t>
      </w:r>
    </w:p>
    <w:p w14:paraId="0544928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Tikagreloro skiriant pacientams, kuriems nustatyta padidėjusi kraujavimo rizika, reikia įvertinti kraujavimo rizikos ir aterotrombozinių reiškinių profilaktikos naudos santykį (žr. 4.8 ir 5.1 skyrius). Esant klinikinei būtinybei, tikagreloro atsargiai skiriama šių grupių pacientams:</w:t>
      </w:r>
    </w:p>
    <w:p w14:paraId="32B585F4" w14:textId="1D2B2519"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 xml:space="preserve">turintiems polinkį kraujuoti (pvz., neseniai patyrusiems traumą, neseniai operuotiems, turintiems </w:t>
      </w:r>
      <w:r w:rsidRPr="00DF20DE">
        <w:rPr>
          <w:rFonts w:ascii="Times New Roman" w:eastAsia="Times New Roman" w:hAnsi="Times New Roman" w:cs="Times New Roman"/>
        </w:rPr>
        <w:lastRenderedPageBreak/>
        <w:t>koaguliacijos sutrikimų, esant ar neseniai buvus kraujavimui iš virškinimo trakto)</w:t>
      </w:r>
      <w:r w:rsidR="00E65A9D" w:rsidRPr="00DF20DE">
        <w:rPr>
          <w:rFonts w:ascii="Times New Roman" w:eastAsia="Times New Roman" w:hAnsi="Times New Roman" w:cs="Times New Roman"/>
        </w:rPr>
        <w:t xml:space="preserve"> </w:t>
      </w:r>
      <w:r w:rsidR="00E65A9D" w:rsidRPr="00DF20DE">
        <w:rPr>
          <w:rFonts w:ascii="Times New Roman" w:eastAsia="TimesNewRoman" w:hAnsi="Times New Roman" w:cs="Times New Roman"/>
        </w:rPr>
        <w:t>arba didesnę traumos riziką</w:t>
      </w:r>
      <w:r w:rsidRPr="00DF20DE">
        <w:rPr>
          <w:rFonts w:ascii="Times New Roman" w:eastAsia="Times New Roman" w:hAnsi="Times New Roman" w:cs="Times New Roman"/>
        </w:rPr>
        <w:t xml:space="preserve">. Esant aktyviam patologiniam kraujavimui, buvus intrakranijiniam kraujavimui arba pacientams, kuriems yra sunkus kepenų funkcijos sutrikimas, tikagreloro vartoti </w:t>
      </w:r>
      <w:r w:rsidR="008F1BE5" w:rsidRPr="00DF20DE">
        <w:rPr>
          <w:rFonts w:ascii="Times New Roman" w:eastAsia="Times New Roman" w:hAnsi="Times New Roman" w:cs="Times New Roman"/>
        </w:rPr>
        <w:t xml:space="preserve">draudžiama </w:t>
      </w:r>
      <w:r w:rsidRPr="00DF20DE">
        <w:rPr>
          <w:rFonts w:ascii="Times New Roman" w:eastAsia="Times New Roman" w:hAnsi="Times New Roman" w:cs="Times New Roman"/>
        </w:rPr>
        <w:t>(žr. 4.3 skyrių);</w:t>
      </w:r>
    </w:p>
    <w:p w14:paraId="78E0BDB9" w14:textId="77777777" w:rsidR="00F151B8" w:rsidRPr="00DF20DE" w:rsidRDefault="00F151B8" w:rsidP="00B61CB8">
      <w:pPr>
        <w:widowControl w:val="0"/>
        <w:numPr>
          <w:ilvl w:val="0"/>
          <w:numId w:val="8"/>
        </w:numPr>
        <w:tabs>
          <w:tab w:val="left" w:pos="783"/>
        </w:tabs>
        <w:autoSpaceDE w:val="0"/>
        <w:autoSpaceDN w:val="0"/>
        <w:spacing w:after="0" w:line="240" w:lineRule="auto"/>
        <w:ind w:left="540" w:hanging="540"/>
        <w:jc w:val="both"/>
        <w:rPr>
          <w:rFonts w:ascii="Times New Roman" w:eastAsia="Times New Roman" w:hAnsi="Times New Roman" w:cs="Times New Roman"/>
        </w:rPr>
      </w:pPr>
      <w:r w:rsidRPr="00DF20DE">
        <w:rPr>
          <w:rFonts w:ascii="Times New Roman" w:eastAsia="Times New Roman" w:hAnsi="Times New Roman" w:cs="Times New Roman"/>
        </w:rPr>
        <w:t>kartu vartojantiems vaistinių preparatų, kurie gali didinti kraujavimo riziką, pvz., nesteroidinių vaistinių preparatų nuo uždegimo (NVPNU), geriamųjų antikoaguliantų ir (arba) fibrinolizinių vaistinių preparatų, jei pertrauka tarp jų ir tikagreloro vartojimo yra mažesnė kaip 24 val.</w:t>
      </w:r>
    </w:p>
    <w:p w14:paraId="60DB6B79" w14:textId="77777777" w:rsidR="00F151B8" w:rsidRPr="00DF20DE" w:rsidRDefault="00F151B8" w:rsidP="00F151B8">
      <w:pPr>
        <w:widowControl w:val="0"/>
        <w:autoSpaceDE w:val="0"/>
        <w:autoSpaceDN w:val="0"/>
        <w:spacing w:after="0" w:line="240" w:lineRule="auto"/>
        <w:ind w:left="540" w:hanging="540"/>
        <w:rPr>
          <w:rFonts w:ascii="Times New Roman" w:eastAsia="Times New Roman" w:hAnsi="Times New Roman" w:cs="Times New Roman"/>
        </w:rPr>
      </w:pPr>
    </w:p>
    <w:p w14:paraId="025FCD08" w14:textId="19BB2BF9" w:rsidR="005C7837" w:rsidRDefault="005C7837" w:rsidP="00F151B8">
      <w:pPr>
        <w:widowControl w:val="0"/>
        <w:autoSpaceDE w:val="0"/>
        <w:autoSpaceDN w:val="0"/>
        <w:spacing w:after="0" w:line="240" w:lineRule="auto"/>
        <w:rPr>
          <w:rFonts w:ascii="Times New Roman" w:eastAsia="Times New Roman" w:hAnsi="Times New Roman" w:cs="Times New Roman"/>
        </w:rPr>
      </w:pPr>
      <w:r w:rsidRPr="00D23384">
        <w:rPr>
          <w:rFonts w:ascii="Times New Roman" w:eastAsia="Times New Roman" w:hAnsi="Times New Roman" w:cs="Times New Roman"/>
        </w:rPr>
        <w:t>Dviejuose atsitiktinių imčių kontroliuojamuose tyrimuose (TICO ir TWILIGHT) dalyvavo ŪKS ištikti</w:t>
      </w:r>
      <w:r>
        <w:rPr>
          <w:rFonts w:ascii="Times New Roman" w:eastAsia="Times New Roman" w:hAnsi="Times New Roman" w:cs="Times New Roman"/>
        </w:rPr>
        <w:t xml:space="preserve"> </w:t>
      </w:r>
      <w:r w:rsidRPr="00D23384">
        <w:rPr>
          <w:rFonts w:ascii="Times New Roman" w:eastAsia="Times New Roman" w:hAnsi="Times New Roman" w:cs="Times New Roman"/>
        </w:rPr>
        <w:t xml:space="preserve">pacientai, kuriems buvo atlikta </w:t>
      </w:r>
      <w:r w:rsidRPr="00D23384">
        <w:rPr>
          <w:rFonts w:ascii="Times New Roman" w:eastAsia="Times New Roman" w:hAnsi="Times New Roman" w:cs="Times New Roman"/>
          <w:i/>
          <w:iCs/>
        </w:rPr>
        <w:t xml:space="preserve">PCI </w:t>
      </w:r>
      <w:r w:rsidR="00003F78">
        <w:rPr>
          <w:rFonts w:ascii="Times New Roman" w:eastAsia="Times New Roman" w:hAnsi="Times New Roman" w:cs="Times New Roman"/>
        </w:rPr>
        <w:t>įvedant</w:t>
      </w:r>
      <w:r w:rsidRPr="00D23384">
        <w:rPr>
          <w:rFonts w:ascii="Times New Roman" w:eastAsia="Times New Roman" w:hAnsi="Times New Roman" w:cs="Times New Roman"/>
        </w:rPr>
        <w:t xml:space="preserve"> vaist</w:t>
      </w:r>
      <w:r w:rsidR="00003F78">
        <w:rPr>
          <w:rFonts w:ascii="Times New Roman" w:eastAsia="Times New Roman" w:hAnsi="Times New Roman" w:cs="Times New Roman"/>
        </w:rPr>
        <w:t>iniu preparatu</w:t>
      </w:r>
      <w:r w:rsidRPr="00D23384">
        <w:rPr>
          <w:rFonts w:ascii="Times New Roman" w:eastAsia="Times New Roman" w:hAnsi="Times New Roman" w:cs="Times New Roman"/>
        </w:rPr>
        <w:t xml:space="preserve"> </w:t>
      </w:r>
      <w:r w:rsidR="00003F78">
        <w:rPr>
          <w:rFonts w:ascii="Times New Roman" w:eastAsia="Times New Roman" w:hAnsi="Times New Roman" w:cs="Times New Roman"/>
        </w:rPr>
        <w:t>padengtą</w:t>
      </w:r>
      <w:r w:rsidRPr="00D23384">
        <w:rPr>
          <w:rFonts w:ascii="Times New Roman" w:eastAsia="Times New Roman" w:hAnsi="Times New Roman" w:cs="Times New Roman"/>
        </w:rPr>
        <w:t xml:space="preserve"> stentą. Šių tyrimų metu</w:t>
      </w:r>
      <w:r>
        <w:rPr>
          <w:rFonts w:ascii="Times New Roman" w:eastAsia="Times New Roman" w:hAnsi="Times New Roman" w:cs="Times New Roman"/>
        </w:rPr>
        <w:t>,</w:t>
      </w:r>
      <w:r w:rsidRPr="00D23384">
        <w:rPr>
          <w:rFonts w:ascii="Times New Roman" w:eastAsia="Times New Roman" w:hAnsi="Times New Roman" w:cs="Times New Roman"/>
        </w:rPr>
        <w:t xml:space="preserve"> nutraukus ASR</w:t>
      </w:r>
      <w:r>
        <w:rPr>
          <w:rFonts w:ascii="Times New Roman" w:eastAsia="Times New Roman" w:hAnsi="Times New Roman" w:cs="Times New Roman"/>
        </w:rPr>
        <w:t xml:space="preserve"> </w:t>
      </w:r>
      <w:r w:rsidRPr="00D23384">
        <w:rPr>
          <w:rFonts w:ascii="Times New Roman" w:eastAsia="Times New Roman" w:hAnsi="Times New Roman" w:cs="Times New Roman"/>
        </w:rPr>
        <w:t>vartojimą po 3</w:t>
      </w:r>
      <w:r>
        <w:rPr>
          <w:rFonts w:ascii="Times New Roman" w:eastAsia="Times New Roman" w:hAnsi="Times New Roman" w:cs="Times New Roman"/>
        </w:rPr>
        <w:t> </w:t>
      </w:r>
      <w:r w:rsidRPr="00D23384">
        <w:rPr>
          <w:rFonts w:ascii="Times New Roman" w:eastAsia="Times New Roman" w:hAnsi="Times New Roman" w:cs="Times New Roman"/>
        </w:rPr>
        <w:t>mėn. gydymo dviem antiagregantais (tikagreloru ir ASR) ir toliau atitinkamai 9 ir 12</w:t>
      </w:r>
      <w:r>
        <w:rPr>
          <w:rFonts w:ascii="Times New Roman" w:eastAsia="Times New Roman" w:hAnsi="Times New Roman" w:cs="Times New Roman"/>
        </w:rPr>
        <w:t> </w:t>
      </w:r>
      <w:r w:rsidRPr="00D23384">
        <w:rPr>
          <w:rFonts w:ascii="Times New Roman" w:eastAsia="Times New Roman" w:hAnsi="Times New Roman" w:cs="Times New Roman"/>
        </w:rPr>
        <w:t>mėn. gydžius vienu antiagregantu tikagreloru</w:t>
      </w:r>
      <w:r>
        <w:rPr>
          <w:rFonts w:ascii="Times New Roman" w:eastAsia="Times New Roman" w:hAnsi="Times New Roman" w:cs="Times New Roman"/>
        </w:rPr>
        <w:t>,</w:t>
      </w:r>
      <w:r w:rsidRPr="00D23384">
        <w:rPr>
          <w:rFonts w:ascii="Times New Roman" w:eastAsia="Times New Roman" w:hAnsi="Times New Roman" w:cs="Times New Roman"/>
        </w:rPr>
        <w:t xml:space="preserve"> kraujavimo rizika sumažėjo, o didžiųjų kardiovaskulinių</w:t>
      </w:r>
      <w:r>
        <w:rPr>
          <w:rFonts w:ascii="Times New Roman" w:eastAsia="Times New Roman" w:hAnsi="Times New Roman" w:cs="Times New Roman"/>
        </w:rPr>
        <w:t xml:space="preserve"> </w:t>
      </w:r>
      <w:r w:rsidRPr="00D23384">
        <w:rPr>
          <w:rFonts w:ascii="Times New Roman" w:eastAsia="Times New Roman" w:hAnsi="Times New Roman" w:cs="Times New Roman"/>
        </w:rPr>
        <w:t xml:space="preserve">komplikacijų (angl. </w:t>
      </w:r>
      <w:r w:rsidRPr="00D23384">
        <w:rPr>
          <w:rFonts w:ascii="Times New Roman" w:eastAsia="Times New Roman" w:hAnsi="Times New Roman" w:cs="Times New Roman"/>
          <w:i/>
          <w:iCs/>
        </w:rPr>
        <w:t>major adverse cardiovascular events, MACE</w:t>
      </w:r>
      <w:r w:rsidRPr="00D23384">
        <w:rPr>
          <w:rFonts w:ascii="Times New Roman" w:eastAsia="Times New Roman" w:hAnsi="Times New Roman" w:cs="Times New Roman"/>
        </w:rPr>
        <w:t>) rizika nebuvo didesnė negu tęsiant</w:t>
      </w:r>
      <w:r>
        <w:rPr>
          <w:rFonts w:ascii="Times New Roman" w:eastAsia="Times New Roman" w:hAnsi="Times New Roman" w:cs="Times New Roman"/>
        </w:rPr>
        <w:t xml:space="preserve"> </w:t>
      </w:r>
      <w:r w:rsidRPr="00D23384">
        <w:rPr>
          <w:rFonts w:ascii="Times New Roman" w:eastAsia="Times New Roman" w:hAnsi="Times New Roman" w:cs="Times New Roman"/>
        </w:rPr>
        <w:t>gydymą dviem antiagregantais. Esant padidėjusiai kraujavimo rizikai, sprendimas nutraukti gydymą</w:t>
      </w:r>
      <w:r>
        <w:rPr>
          <w:rFonts w:ascii="Times New Roman" w:eastAsia="Times New Roman" w:hAnsi="Times New Roman" w:cs="Times New Roman"/>
        </w:rPr>
        <w:t xml:space="preserve"> </w:t>
      </w:r>
      <w:r w:rsidRPr="00D23384">
        <w:rPr>
          <w:rFonts w:ascii="Times New Roman" w:eastAsia="Times New Roman" w:hAnsi="Times New Roman" w:cs="Times New Roman"/>
        </w:rPr>
        <w:t>ASR po 3</w:t>
      </w:r>
      <w:r>
        <w:rPr>
          <w:rFonts w:ascii="Times New Roman" w:eastAsia="Times New Roman" w:hAnsi="Times New Roman" w:cs="Times New Roman"/>
        </w:rPr>
        <w:t> </w:t>
      </w:r>
      <w:r w:rsidRPr="00D23384">
        <w:rPr>
          <w:rFonts w:ascii="Times New Roman" w:eastAsia="Times New Roman" w:hAnsi="Times New Roman" w:cs="Times New Roman"/>
        </w:rPr>
        <w:t>mėn. ir toliau 9</w:t>
      </w:r>
      <w:r>
        <w:rPr>
          <w:rFonts w:ascii="Times New Roman" w:eastAsia="Times New Roman" w:hAnsi="Times New Roman" w:cs="Times New Roman"/>
        </w:rPr>
        <w:t> </w:t>
      </w:r>
      <w:r w:rsidRPr="00D23384">
        <w:rPr>
          <w:rFonts w:ascii="Times New Roman" w:eastAsia="Times New Roman" w:hAnsi="Times New Roman" w:cs="Times New Roman"/>
        </w:rPr>
        <w:t>mėn. vartoti vienintelį antiagregantą – tikagrelorą turi būti pagrįstas</w:t>
      </w:r>
      <w:r>
        <w:rPr>
          <w:rFonts w:ascii="Times New Roman" w:eastAsia="Times New Roman" w:hAnsi="Times New Roman" w:cs="Times New Roman"/>
        </w:rPr>
        <w:t xml:space="preserve"> </w:t>
      </w:r>
      <w:r w:rsidRPr="00D23384">
        <w:rPr>
          <w:rFonts w:ascii="Times New Roman" w:eastAsia="Times New Roman" w:hAnsi="Times New Roman" w:cs="Times New Roman"/>
        </w:rPr>
        <w:t>klinikiniu vertinimu, atsižvelgiant į kraujavimo ir trombozinių reiškinių riziką (žr.</w:t>
      </w:r>
      <w:r>
        <w:rPr>
          <w:rFonts w:ascii="Times New Roman" w:eastAsia="Times New Roman" w:hAnsi="Times New Roman" w:cs="Times New Roman"/>
        </w:rPr>
        <w:t> </w:t>
      </w:r>
      <w:r w:rsidRPr="00D23384">
        <w:rPr>
          <w:rFonts w:ascii="Times New Roman" w:eastAsia="Times New Roman" w:hAnsi="Times New Roman" w:cs="Times New Roman"/>
        </w:rPr>
        <w:t>4.2</w:t>
      </w:r>
      <w:r>
        <w:rPr>
          <w:rFonts w:ascii="Times New Roman" w:eastAsia="Times New Roman" w:hAnsi="Times New Roman" w:cs="Times New Roman"/>
        </w:rPr>
        <w:t> </w:t>
      </w:r>
      <w:r w:rsidRPr="00D23384">
        <w:rPr>
          <w:rFonts w:ascii="Times New Roman" w:eastAsia="Times New Roman" w:hAnsi="Times New Roman" w:cs="Times New Roman"/>
        </w:rPr>
        <w:t xml:space="preserve"> skyrių).</w:t>
      </w:r>
    </w:p>
    <w:p w14:paraId="2896782A" w14:textId="77777777" w:rsidR="005C7837" w:rsidRDefault="005C7837" w:rsidP="00F151B8">
      <w:pPr>
        <w:widowControl w:val="0"/>
        <w:autoSpaceDE w:val="0"/>
        <w:autoSpaceDN w:val="0"/>
        <w:spacing w:after="0" w:line="240" w:lineRule="auto"/>
        <w:rPr>
          <w:rFonts w:ascii="Times New Roman" w:eastAsia="Times New Roman" w:hAnsi="Times New Roman" w:cs="Times New Roman"/>
        </w:rPr>
      </w:pPr>
    </w:p>
    <w:p w14:paraId="5CB6F82B" w14:textId="719CD4A3"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Trombocitų transfuzija nepašalino antitrombocitinio tikagreloro poveikio sveikiems savanoriams ir </w:t>
      </w:r>
      <w:r w:rsidR="008F1BE5" w:rsidRPr="00DF20DE">
        <w:rPr>
          <w:rFonts w:ascii="Times New Roman" w:eastAsia="Times New Roman" w:hAnsi="Times New Roman" w:cs="Times New Roman"/>
        </w:rPr>
        <w:t xml:space="preserve">mažai tikėtina, kad </w:t>
      </w:r>
      <w:r w:rsidRPr="00DF20DE">
        <w:rPr>
          <w:rFonts w:ascii="Times New Roman" w:eastAsia="Times New Roman" w:hAnsi="Times New Roman" w:cs="Times New Roman"/>
        </w:rPr>
        <w:t>būt</w:t>
      </w:r>
      <w:r w:rsidR="008F1BE5" w:rsidRPr="00DF20DE">
        <w:rPr>
          <w:rFonts w:ascii="Times New Roman" w:eastAsia="Times New Roman" w:hAnsi="Times New Roman" w:cs="Times New Roman"/>
        </w:rPr>
        <w:t>ų</w:t>
      </w:r>
      <w:r w:rsidRPr="00DF20DE">
        <w:rPr>
          <w:rFonts w:ascii="Times New Roman" w:eastAsia="Times New Roman" w:hAnsi="Times New Roman" w:cs="Times New Roman"/>
        </w:rPr>
        <w:t xml:space="preserve"> kliniškai nauding</w:t>
      </w:r>
      <w:r w:rsidR="008F1BE5" w:rsidRPr="00DF20DE">
        <w:rPr>
          <w:rFonts w:ascii="Times New Roman" w:eastAsia="Times New Roman" w:hAnsi="Times New Roman" w:cs="Times New Roman"/>
        </w:rPr>
        <w:t>a</w:t>
      </w:r>
      <w:r w:rsidRPr="00DF20DE">
        <w:rPr>
          <w:rFonts w:ascii="Times New Roman" w:eastAsia="Times New Roman" w:hAnsi="Times New Roman" w:cs="Times New Roman"/>
        </w:rPr>
        <w:t xml:space="preserve"> pacientams kraujavimo metu. Kartu su tikagreloru vartojamas desmopresinas nesutrumpino kraujavimo </w:t>
      </w:r>
      <w:r w:rsidR="008F1BE5" w:rsidRPr="00DF20DE">
        <w:rPr>
          <w:rFonts w:ascii="Times New Roman" w:eastAsia="Times New Roman" w:hAnsi="Times New Roman" w:cs="Times New Roman"/>
        </w:rPr>
        <w:t>laiko</w:t>
      </w:r>
      <w:r w:rsidRPr="00DF20DE">
        <w:rPr>
          <w:rFonts w:ascii="Times New Roman" w:eastAsia="Times New Roman" w:hAnsi="Times New Roman" w:cs="Times New Roman"/>
        </w:rPr>
        <w:t>, todėl desmopresinas klinikiniams kraujavimo reiškiniams gydyti netur</w:t>
      </w:r>
      <w:r w:rsidR="008F1BE5" w:rsidRPr="00DF20DE">
        <w:rPr>
          <w:rFonts w:ascii="Times New Roman" w:eastAsia="Times New Roman" w:hAnsi="Times New Roman" w:cs="Times New Roman"/>
        </w:rPr>
        <w:t>ėtų</w:t>
      </w:r>
      <w:r w:rsidRPr="00DF20DE">
        <w:rPr>
          <w:rFonts w:ascii="Times New Roman" w:eastAsia="Times New Roman" w:hAnsi="Times New Roman" w:cs="Times New Roman"/>
        </w:rPr>
        <w:t xml:space="preserve"> būti veiksmingas (žr. 4.5 skyrių).</w:t>
      </w:r>
    </w:p>
    <w:p w14:paraId="725B631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36F51830" w14:textId="46DE69F2"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Hemostazę gali skatinti antifibrinoliziniai vaistiniai preparatai (aminokaprono rūgštis ar traneksamo rūgštis) ir (arba) rekombinantinis VIIa faktorius. Tikagrelor</w:t>
      </w:r>
      <w:r w:rsidR="008F1BE5" w:rsidRPr="00DF20DE">
        <w:rPr>
          <w:rFonts w:ascii="Times New Roman" w:eastAsia="Times New Roman" w:hAnsi="Times New Roman" w:cs="Times New Roman"/>
        </w:rPr>
        <w:t>o</w:t>
      </w:r>
      <w:r w:rsidRPr="00DF20DE">
        <w:rPr>
          <w:rFonts w:ascii="Times New Roman" w:eastAsia="Times New Roman" w:hAnsi="Times New Roman" w:cs="Times New Roman"/>
        </w:rPr>
        <w:t xml:space="preserve"> galima vėl pradėti vartoti nustačius kraujavimo priežastį ir jį sustabdžius.</w:t>
      </w:r>
    </w:p>
    <w:p w14:paraId="73ADB12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971ABC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Operacijos</w:t>
      </w:r>
    </w:p>
    <w:p w14:paraId="48D7311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Pacientams reikia pasakyti, kad informuotų gydytoją ar odontologą apie tikagreloro vartojimą prieš atliekant bet kokią operaciją ir prieš pradedant kokio nors kito vaistinio preparato vartojimą.</w:t>
      </w:r>
    </w:p>
    <w:p w14:paraId="0282B2E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B16B55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PLATO tyrimo metu nutraukus tikagreloro vartojimą paskutinę parą prieš šuntuojant koronarines arterijas, didysis kraujavimas prasidėdavo dažniau negu nutraukus klopidogrelį, o nutraukus jį likus 2 paroms ar daugiau – tokiu pačiu dažnumu, kaip nutraukus klopidogrelio vartojimą (žr. 4.8 skyrių). Jeigu pacientas rengiamas planinei operacijai ir antitrombocitinis poveikis yra nepageidaujamas, tikagreloro vartojimą reikia nutraukti likus 5 paroms iki jos (žr. 5.1 skyrių).</w:t>
      </w:r>
    </w:p>
    <w:p w14:paraId="6138A26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54BA3BE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Pacientams, anksčiau patyrusiems išeminį insultą</w:t>
      </w:r>
    </w:p>
    <w:p w14:paraId="0797FC0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PLATO tyrimo duomenimis, ŪKS sergantys pacientai, anksčiau patyrę išeminį insultą, tikagreloru gali būti gydomi iki 12 mėn.</w:t>
      </w:r>
    </w:p>
    <w:p w14:paraId="6CABA75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03F09C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Į PEGASUS tyrimą nebuvo įtraukta pacientų, anksčiau patyrusių ne tik MI, bet ir išeminį insultą, todėl nesant duomenų, tokiems pacientams taikyti gydymą ilgiau kaip 1 metus nerekomenduojama.</w:t>
      </w:r>
    </w:p>
    <w:p w14:paraId="5D65C21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3D50205" w14:textId="77777777" w:rsidR="00F151B8" w:rsidRPr="00DF20DE" w:rsidRDefault="00F151B8" w:rsidP="00F151B8">
      <w:pPr>
        <w:widowControl w:val="0"/>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u w:val="single"/>
        </w:rPr>
        <w:t>Sutrikusi kepenų funkcija</w:t>
      </w:r>
    </w:p>
    <w:p w14:paraId="3DBB3CBA" w14:textId="5D934C91" w:rsidR="00F151B8" w:rsidRPr="00DF20DE" w:rsidRDefault="00F151B8" w:rsidP="00F151B8">
      <w:pPr>
        <w:widowControl w:val="0"/>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 xml:space="preserve">Pacientams, kuriems yra sunkus kepenų funkcijos sutrikimas, tikagreloro vartoti </w:t>
      </w:r>
      <w:r w:rsidR="008F1BE5" w:rsidRPr="00DF20DE">
        <w:rPr>
          <w:rFonts w:ascii="Times New Roman" w:eastAsia="Times New Roman" w:hAnsi="Times New Roman" w:cs="Times New Roman"/>
        </w:rPr>
        <w:t xml:space="preserve">draudžiama </w:t>
      </w:r>
      <w:r w:rsidRPr="00DF20DE">
        <w:rPr>
          <w:rFonts w:ascii="Times New Roman" w:eastAsia="Times New Roman" w:hAnsi="Times New Roman" w:cs="Times New Roman"/>
        </w:rPr>
        <w:t>(žr. 4.2 ir 4.3 skyrius). Tikagreloro vartojimo pacientams, kuriems yra vidutinio sunkumo kepenų funkcijos sutrikimas, duomenų yra nedaug, todėl jiems patartinos atsargumo priemonės (žr. 4.2 ir 5.2 skyrius).</w:t>
      </w:r>
    </w:p>
    <w:p w14:paraId="53158D4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7CD9B13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Pacientai, kuriems yra bradikardijos reiškinių rizika</w:t>
      </w:r>
    </w:p>
    <w:p w14:paraId="46713FD6" w14:textId="07C3A31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Vartojant tikagrelorą, Holter</w:t>
      </w:r>
      <w:r w:rsidR="008F1BE5"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prietaisu skilvelių veiklos pauzių EKG (dauguma atvejų be simptomų) užregistruota dažniau negu vartojant klopidogrel</w:t>
      </w:r>
      <w:r w:rsidR="008F1BE5" w:rsidRPr="00DF20DE">
        <w:rPr>
          <w:rFonts w:ascii="Times New Roman" w:eastAsia="Times New Roman" w:hAnsi="Times New Roman" w:cs="Times New Roman"/>
        </w:rPr>
        <w:t>io</w:t>
      </w:r>
      <w:r w:rsidRPr="00DF20DE">
        <w:rPr>
          <w:rFonts w:ascii="Times New Roman" w:eastAsia="Times New Roman" w:hAnsi="Times New Roman" w:cs="Times New Roman"/>
        </w:rPr>
        <w:t>. Į pagrindinius tikagreloro saugumo ir veiksmingumo tyrimus nebuvo įtraukta pacientų, kuriems bradikardinių reiškinių rizika buvo didesnė (pvz., pacientai be širdies stimuliatoriaus, kuriems yra sinusinio mazgo silpnumo sindromas, antro ar trečio laipsnio atrioventrikulinė blokada arba būna su bradikardija susijusi</w:t>
      </w:r>
      <w:r w:rsidR="008F1BE5" w:rsidRPr="00DF20DE">
        <w:rPr>
          <w:rFonts w:ascii="Times New Roman" w:eastAsia="Times New Roman" w:hAnsi="Times New Roman" w:cs="Times New Roman"/>
        </w:rPr>
        <w:t>ų</w:t>
      </w:r>
      <w:r w:rsidRPr="00DF20DE">
        <w:rPr>
          <w:rFonts w:ascii="Times New Roman" w:eastAsia="Times New Roman" w:hAnsi="Times New Roman" w:cs="Times New Roman"/>
        </w:rPr>
        <w:t xml:space="preserve"> sinkop</w:t>
      </w:r>
      <w:r w:rsidR="008F1BE5" w:rsidRPr="00DF20DE">
        <w:rPr>
          <w:rFonts w:ascii="Times New Roman" w:eastAsia="Times New Roman" w:hAnsi="Times New Roman" w:cs="Times New Roman"/>
        </w:rPr>
        <w:t>ių</w:t>
      </w:r>
      <w:r w:rsidRPr="00DF20DE">
        <w:rPr>
          <w:rFonts w:ascii="Times New Roman" w:eastAsia="Times New Roman" w:hAnsi="Times New Roman" w:cs="Times New Roman"/>
        </w:rPr>
        <w:t>). Atsižvelgiant į tai, dėl ribotos klinikinės patirties tokiems pacientams tikagreloro turi būti skiriama atsargiai (žr. 5.1 skyrių).</w:t>
      </w:r>
    </w:p>
    <w:p w14:paraId="01AAC41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F318DE9" w14:textId="16BCAF3A"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Be to, tikagreloro atsargiai skiriama kartu su bradikardiją sukeliančiais vaistiniais preparatais. Vis dėlto PLATO tyrimo metu kartu vartojus vieną ar kelis bradikardiją sukeliančius vaistinius preparatus (pvz., 96 % pacientų vartojo beta adrenoblokatorių, 33 % – kalcio kanalų blokatorių diltiazemo ar verapamilio ir 4 % – digoksino) klini</w:t>
      </w:r>
      <w:r w:rsidR="008F1BE5" w:rsidRPr="00DF20DE">
        <w:rPr>
          <w:rFonts w:ascii="Times New Roman" w:eastAsia="Times New Roman" w:hAnsi="Times New Roman" w:cs="Times New Roman"/>
        </w:rPr>
        <w:t>š</w:t>
      </w:r>
      <w:r w:rsidRPr="00DF20DE">
        <w:rPr>
          <w:rFonts w:ascii="Times New Roman" w:eastAsia="Times New Roman" w:hAnsi="Times New Roman" w:cs="Times New Roman"/>
        </w:rPr>
        <w:t>kai reikšmingų nepageidaujamų reakcijų požymių nenustatyta (žr. 4.5 skyrių).</w:t>
      </w:r>
    </w:p>
    <w:p w14:paraId="7B1DD82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42FAE720" w14:textId="147CE074"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PLATO tyrimo metu Holter prietaisu ūminės koronarinių sindromų fazės metu 3 sek. ar ilgesnės trukmės skilvelių veiklos pauzių nustatyta daugiau tikagrelor</w:t>
      </w:r>
      <w:r w:rsidR="008F1BE5" w:rsidRPr="00DF20DE">
        <w:rPr>
          <w:rFonts w:ascii="Times New Roman" w:eastAsia="Times New Roman" w:hAnsi="Times New Roman" w:cs="Times New Roman"/>
        </w:rPr>
        <w:t>o</w:t>
      </w:r>
      <w:r w:rsidRPr="00DF20DE">
        <w:rPr>
          <w:rFonts w:ascii="Times New Roman" w:eastAsia="Times New Roman" w:hAnsi="Times New Roman" w:cs="Times New Roman"/>
        </w:rPr>
        <w:t>, negu klopidogrel</w:t>
      </w:r>
      <w:r w:rsidR="008F1BE5" w:rsidRPr="00DF20DE">
        <w:rPr>
          <w:rFonts w:ascii="Times New Roman" w:eastAsia="Times New Roman" w:hAnsi="Times New Roman" w:cs="Times New Roman"/>
        </w:rPr>
        <w:t>io</w:t>
      </w:r>
      <w:r w:rsidRPr="00DF20DE">
        <w:rPr>
          <w:rFonts w:ascii="Times New Roman" w:eastAsia="Times New Roman" w:hAnsi="Times New Roman" w:cs="Times New Roman"/>
        </w:rPr>
        <w:t>, vartojusių pacientų. Holter pagalba tokių skilvelių veiklos pauzių ūminės koronarinių sindromų fazės metu vartojant tikagrelor</w:t>
      </w:r>
      <w:r w:rsidR="008F1BE5" w:rsidRPr="00DF20DE">
        <w:rPr>
          <w:rFonts w:ascii="Times New Roman" w:eastAsia="Times New Roman" w:hAnsi="Times New Roman" w:cs="Times New Roman"/>
        </w:rPr>
        <w:t>o</w:t>
      </w:r>
      <w:r w:rsidRPr="00DF20DE">
        <w:rPr>
          <w:rFonts w:ascii="Times New Roman" w:eastAsia="Times New Roman" w:hAnsi="Times New Roman" w:cs="Times New Roman"/>
        </w:rPr>
        <w:t xml:space="preserve"> dažniau nustatyta lėtiniu širdies nepakankamumu sirgusiems pacientams negu visai tirtai populiacijai, tačiau praėjus mėnesiui jų padažnėjimo nenustatyta nei tikagrelor</w:t>
      </w:r>
      <w:r w:rsidR="008F1BE5"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vartojusiems pacientams, nei lyginant tikagreloro ir klopidogrelio grupes. Neigiamų klinikinių pasekmių (sinkopės ar būtinybės dėti stimuliatorių), susijusių su šiuo skirtumu, šioje pacientų populiacijoje nebuvo (žr. 5.1 skyrių).</w:t>
      </w:r>
    </w:p>
    <w:p w14:paraId="15BB7F4A" w14:textId="4BDFF23F" w:rsidR="00CF0204" w:rsidRPr="00DF20DE" w:rsidRDefault="00CF0204" w:rsidP="00CF0204">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Po vaistinio preparato pateikimo į rinką gauta pranešimų apie tikagrelorą vartojantiems pacientams pasireiškusius bradiaritmijos atvejus ir atrioventrikulinę (AV) blokadą (žr. 4.8 skyrių), visų pirma ŪKS sergantiems pacientams, kuriems gali atsirasti sutrikimų dėl širdies išemijos ir kartu vartojamų vaistinių preparatų, retinančių širdies susitraukimų dažnį arba veikiančių širdies laidumą. Prieš koreguojant gydymą, reikia atsižvelgti į tai, kad sutrikimų priežastimi galėjo būti paciento klinikinė būklė ir kartu vartoji vaistiniai preparatai.</w:t>
      </w:r>
    </w:p>
    <w:p w14:paraId="2E819A0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CFFE65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Dusulys</w:t>
      </w:r>
    </w:p>
    <w:p w14:paraId="4034C750" w14:textId="087C39C5"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Pranešta apie tikagrelor</w:t>
      </w:r>
      <w:r w:rsidR="008F1BE5"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vartojantiems pacientams pasireiškusį dusulį. Dusulys paprastai būna lengvo arba vidutinio intensyvumo ir dažnai praeina, nesukeldamas būtinybės nutraukti šio vaistinio preparato vartojimą. Astma ar lėtine obstrukcine plaučių liga (LOPL) sergantiems pacientams dusulio pasireiškimo absoliuti rizika vartojant tikagrelor</w:t>
      </w:r>
      <w:r w:rsidR="008F1BE5" w:rsidRPr="00DF20DE">
        <w:rPr>
          <w:rFonts w:ascii="Times New Roman" w:eastAsia="Times New Roman" w:hAnsi="Times New Roman" w:cs="Times New Roman"/>
        </w:rPr>
        <w:t>o</w:t>
      </w:r>
      <w:r w:rsidRPr="00DF20DE">
        <w:rPr>
          <w:rFonts w:ascii="Times New Roman" w:eastAsia="Times New Roman" w:hAnsi="Times New Roman" w:cs="Times New Roman"/>
        </w:rPr>
        <w:t xml:space="preserve"> gali būti didesnė, todėl jiems tikagreloro turi būti skiriama atsargiai. Dusulio mechanizmas neištirtas. Jeigu tikagreloro vartojančiam pacientui dusulys pasireiškia naujai, trunka ilgai arba sunkėja, tai reikia jį pilnai ištirti, o jeigu dusulio pacientas netoleruoja – nutraukti gydymą tikagreloru. Išsamesnė informacija pateikiama 4.8 skyriuje.</w:t>
      </w:r>
    </w:p>
    <w:p w14:paraId="43CF1FE1" w14:textId="6A165803"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6065109F" w14:textId="77777777" w:rsidR="00CD14E9" w:rsidRPr="00DF20DE" w:rsidRDefault="00CD14E9" w:rsidP="00CD14E9">
      <w:pPr>
        <w:widowControl w:val="0"/>
        <w:autoSpaceDE w:val="0"/>
        <w:autoSpaceDN w:val="0"/>
        <w:spacing w:after="0" w:line="240" w:lineRule="auto"/>
        <w:rPr>
          <w:rFonts w:ascii="Times New Roman" w:eastAsia="Times New Roman" w:hAnsi="Times New Roman" w:cs="Times New Roman"/>
          <w:sz w:val="21"/>
          <w:u w:val="single"/>
        </w:rPr>
      </w:pPr>
      <w:r w:rsidRPr="00DF20DE">
        <w:rPr>
          <w:rFonts w:ascii="Times New Roman" w:eastAsia="Times New Roman" w:hAnsi="Times New Roman" w:cs="Times New Roman"/>
          <w:sz w:val="21"/>
          <w:u w:val="single"/>
        </w:rPr>
        <w:t>Centrinė miego apnėja</w:t>
      </w:r>
    </w:p>
    <w:p w14:paraId="203B9535" w14:textId="233F9BC4" w:rsidR="00CD14E9" w:rsidRPr="00DF20DE" w:rsidRDefault="008F1BE5" w:rsidP="00CD14E9">
      <w:pPr>
        <w:widowControl w:val="0"/>
        <w:autoSpaceDE w:val="0"/>
        <w:autoSpaceDN w:val="0"/>
        <w:spacing w:after="0" w:line="240" w:lineRule="auto"/>
        <w:rPr>
          <w:rFonts w:ascii="Times New Roman" w:eastAsia="Times New Roman" w:hAnsi="Times New Roman" w:cs="Times New Roman"/>
          <w:sz w:val="21"/>
        </w:rPr>
      </w:pPr>
      <w:r w:rsidRPr="00DF20DE">
        <w:rPr>
          <w:rFonts w:ascii="Times New Roman" w:eastAsia="Times New Roman" w:hAnsi="Times New Roman" w:cs="Times New Roman"/>
          <w:sz w:val="21"/>
        </w:rPr>
        <w:t>Poregistraciniu laikotarpiu</w:t>
      </w:r>
      <w:r w:rsidR="00CD14E9" w:rsidRPr="00DF20DE">
        <w:rPr>
          <w:rFonts w:ascii="Times New Roman" w:eastAsia="Times New Roman" w:hAnsi="Times New Roman" w:cs="Times New Roman"/>
          <w:sz w:val="21"/>
        </w:rPr>
        <w:t xml:space="preserve"> užfiksuota centrinės miego apnėjos, įskaitant Cheyne-Stokes</w:t>
      </w:r>
    </w:p>
    <w:p w14:paraId="763B50FD" w14:textId="1A7DAEF0" w:rsidR="00CD14E9" w:rsidRPr="00DF20DE" w:rsidRDefault="00CD14E9" w:rsidP="00CD14E9">
      <w:pPr>
        <w:widowControl w:val="0"/>
        <w:autoSpaceDE w:val="0"/>
        <w:autoSpaceDN w:val="0"/>
        <w:spacing w:after="0" w:line="240" w:lineRule="auto"/>
        <w:rPr>
          <w:rFonts w:ascii="Times New Roman" w:eastAsia="Times New Roman" w:hAnsi="Times New Roman" w:cs="Times New Roman"/>
          <w:sz w:val="21"/>
        </w:rPr>
      </w:pPr>
      <w:r w:rsidRPr="00DF20DE">
        <w:rPr>
          <w:rFonts w:ascii="Times New Roman" w:eastAsia="Times New Roman" w:hAnsi="Times New Roman" w:cs="Times New Roman"/>
          <w:sz w:val="21"/>
        </w:rPr>
        <w:t>kvėpavimą, atvejų. Įtarus centrinę miego apnėją, reikia įvertinti tolesnio klinikinio ištyrimo poreikį.</w:t>
      </w:r>
    </w:p>
    <w:p w14:paraId="62ACEA07" w14:textId="77777777" w:rsidR="00CD14E9" w:rsidRPr="00DF20DE" w:rsidRDefault="00CD14E9" w:rsidP="00CD14E9">
      <w:pPr>
        <w:widowControl w:val="0"/>
        <w:autoSpaceDE w:val="0"/>
        <w:autoSpaceDN w:val="0"/>
        <w:spacing w:after="0" w:line="240" w:lineRule="auto"/>
        <w:rPr>
          <w:rFonts w:ascii="Times New Roman" w:eastAsia="Times New Roman" w:hAnsi="Times New Roman" w:cs="Times New Roman"/>
          <w:sz w:val="21"/>
        </w:rPr>
      </w:pPr>
    </w:p>
    <w:p w14:paraId="7C06D014" w14:textId="7A015F74" w:rsidR="00F151B8" w:rsidRPr="00DF20DE" w:rsidRDefault="008F1BE5"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Kreatinino koncentracijos p</w:t>
      </w:r>
      <w:r w:rsidR="00F151B8" w:rsidRPr="00DF20DE">
        <w:rPr>
          <w:rFonts w:ascii="Times New Roman" w:eastAsia="Times New Roman" w:hAnsi="Times New Roman" w:cs="Times New Roman"/>
          <w:u w:val="single"/>
        </w:rPr>
        <w:t>adidėj</w:t>
      </w:r>
      <w:r w:rsidRPr="00DF20DE">
        <w:rPr>
          <w:rFonts w:ascii="Times New Roman" w:eastAsia="Times New Roman" w:hAnsi="Times New Roman" w:cs="Times New Roman"/>
          <w:u w:val="single"/>
        </w:rPr>
        <w:t>imas</w:t>
      </w:r>
    </w:p>
    <w:p w14:paraId="2C698B33" w14:textId="21B7EC63"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Vartojant tikagrelor</w:t>
      </w:r>
      <w:r w:rsidR="008F1BE5" w:rsidRPr="00DF20DE">
        <w:rPr>
          <w:rFonts w:ascii="Times New Roman" w:eastAsia="Times New Roman" w:hAnsi="Times New Roman" w:cs="Times New Roman"/>
        </w:rPr>
        <w:t>o</w:t>
      </w:r>
      <w:r w:rsidRPr="00DF20DE">
        <w:rPr>
          <w:rFonts w:ascii="Times New Roman" w:eastAsia="Times New Roman" w:hAnsi="Times New Roman" w:cs="Times New Roman"/>
        </w:rPr>
        <w:t xml:space="preserve"> gali padidėti kreatinino koncentracija. Šio padidėjimo mechanizmas neištirtas. Reikia patikrinti inkstų funkciją kaip numato įprasta medicininė praktika. ŪKS sergančių pacientų inkstų funkciją taip pat rekomenduojama ištirti praėjus vienam mėnesiui po tikagreloro vartojimo pradžios, ypatingą dėmesį skiriant pacientams, kurie yra 75 metų ar vyresni, kuriems yra vidutinio sunkumo ar sunkus inkstų funkcijos sutrikimas arba kurie kartu vartoja angiotenzino receptorių blokatorių (ARB).</w:t>
      </w:r>
    </w:p>
    <w:p w14:paraId="680DE7C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7881F610" w14:textId="75C55344" w:rsidR="00F151B8" w:rsidRPr="00DF20DE" w:rsidRDefault="008F1BE5"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Š</w:t>
      </w:r>
      <w:r w:rsidR="00F151B8" w:rsidRPr="00DF20DE">
        <w:rPr>
          <w:rFonts w:ascii="Times New Roman" w:eastAsia="Times New Roman" w:hAnsi="Times New Roman" w:cs="Times New Roman"/>
          <w:u w:val="single"/>
        </w:rPr>
        <w:t>lapimo rūgšties koncentracij</w:t>
      </w:r>
      <w:r w:rsidRPr="00DF20DE">
        <w:rPr>
          <w:rFonts w:ascii="Times New Roman" w:eastAsia="Times New Roman" w:hAnsi="Times New Roman" w:cs="Times New Roman"/>
          <w:u w:val="single"/>
        </w:rPr>
        <w:t>os padidėjimas</w:t>
      </w:r>
    </w:p>
    <w:p w14:paraId="2CC9C12B" w14:textId="2E18586E"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Vartojant tikagrelor</w:t>
      </w:r>
      <w:r w:rsidR="008F1BE5" w:rsidRPr="00DF20DE">
        <w:rPr>
          <w:rFonts w:ascii="Times New Roman" w:eastAsia="Times New Roman" w:hAnsi="Times New Roman" w:cs="Times New Roman"/>
        </w:rPr>
        <w:t>o</w:t>
      </w:r>
      <w:r w:rsidRPr="00DF20DE">
        <w:rPr>
          <w:rFonts w:ascii="Times New Roman" w:eastAsia="Times New Roman" w:hAnsi="Times New Roman" w:cs="Times New Roman"/>
        </w:rPr>
        <w:t>, gali pasireikšti hiperurikemija (žr. 4.8 skyrių). Pacientams, kuriems anksčiau buvo pasireiškusi hiperurikemija arba podagrinis artritas, rekomenduojamos atsargumo priemonės. Kaip atsargumo priemonė, pacientams, kuriems yra šlapimo rūgšties sukelta nefropatija, tikagreloro vartojimas turi būti ribojamas.</w:t>
      </w:r>
    </w:p>
    <w:p w14:paraId="5304641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6A81900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Trombinė trombocitopeninė purpura (TTP)</w:t>
      </w:r>
    </w:p>
    <w:p w14:paraId="077FB1DE" w14:textId="77055032"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Vartojant tikagrelor</w:t>
      </w:r>
      <w:r w:rsidR="00920D54" w:rsidRPr="00DF20DE">
        <w:rPr>
          <w:rFonts w:ascii="Times New Roman" w:eastAsia="Times New Roman" w:hAnsi="Times New Roman" w:cs="Times New Roman"/>
        </w:rPr>
        <w:t>o</w:t>
      </w:r>
      <w:r w:rsidRPr="00DF20DE">
        <w:rPr>
          <w:rFonts w:ascii="Times New Roman" w:eastAsia="Times New Roman" w:hAnsi="Times New Roman" w:cs="Times New Roman"/>
        </w:rPr>
        <w:t>, labai retai gauta pranešimų apie trombinės trombocitopeninės purpuros (TTP) atvejus. Jai būdinga trombocitopenija ir mikroangiopatinė hemolizinė anemija, su jomis susiję neurologiniai pokyčiai, sutrikusi inkstų funkcija arba karščiavimas. TTP yra potencialiai mirtina liga, kurią reikia skubiai gydyti, įskaitant plazmaferezės atlikimą.</w:t>
      </w:r>
    </w:p>
    <w:p w14:paraId="48D74A2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064445A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Įtaka trombocitų funkcijos mėginiams, skirtiems diagnozuoti heparino sukeltą trombocitopeniją (angl.</w:t>
      </w:r>
    </w:p>
    <w:p w14:paraId="043029A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i/>
          <w:u w:val="single"/>
        </w:rPr>
        <w:t>heparin-induced thrombocytopenia, HIT</w:t>
      </w:r>
      <w:r w:rsidRPr="00DF20DE">
        <w:rPr>
          <w:rFonts w:ascii="Times New Roman" w:eastAsia="Times New Roman" w:hAnsi="Times New Roman" w:cs="Times New Roman"/>
          <w:u w:val="single"/>
        </w:rPr>
        <w:t>)</w:t>
      </w:r>
    </w:p>
    <w:p w14:paraId="46BB92C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Atliekant heparino sukeliamo trombocitų aktyvinimo (angl. </w:t>
      </w:r>
      <w:r w:rsidRPr="00DF20DE">
        <w:rPr>
          <w:rFonts w:ascii="Times New Roman" w:eastAsia="Times New Roman" w:hAnsi="Times New Roman" w:cs="Times New Roman"/>
          <w:i/>
        </w:rPr>
        <w:t>heparin induced platelet activation, HIPA</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rPr>
        <w:lastRenderedPageBreak/>
        <w:t xml:space="preserve">mėginį, naudojamą diagnozuoti </w:t>
      </w:r>
      <w:r w:rsidRPr="00DF20DE">
        <w:rPr>
          <w:rFonts w:ascii="Times New Roman" w:eastAsia="Times New Roman" w:hAnsi="Times New Roman" w:cs="Times New Roman"/>
          <w:i/>
        </w:rPr>
        <w:t>HIT</w:t>
      </w:r>
      <w:r w:rsidRPr="00DF20DE">
        <w:rPr>
          <w:rFonts w:ascii="Times New Roman" w:eastAsia="Times New Roman" w:hAnsi="Times New Roman" w:cs="Times New Roman"/>
        </w:rPr>
        <w:t>, paciento serume esantys antikūnai prieš trombocitų IV faktoriaus  ir heparino kompleksą aktyvina sveikų donorų trombocitus, kai aplinkoje yra heparino.</w:t>
      </w:r>
    </w:p>
    <w:p w14:paraId="24FBFB8C" w14:textId="7396AED5"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Gauta pranešimų apie tikagrelor</w:t>
      </w:r>
      <w:r w:rsidR="00920D54"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vartojantiems pacientams nustatytus klaidingai neigiamus trombocitų funkcijos aktyvinimo mėginių, skirtų diagnozuoti </w:t>
      </w:r>
      <w:r w:rsidRPr="00DF20DE">
        <w:rPr>
          <w:rFonts w:ascii="Times New Roman" w:eastAsia="Times New Roman" w:hAnsi="Times New Roman" w:cs="Times New Roman"/>
          <w:i/>
        </w:rPr>
        <w:t xml:space="preserve">HIT </w:t>
      </w:r>
      <w:r w:rsidRPr="00DF20DE">
        <w:rPr>
          <w:rFonts w:ascii="Times New Roman" w:eastAsia="Times New Roman" w:hAnsi="Times New Roman" w:cs="Times New Roman"/>
        </w:rPr>
        <w:t>(</w:t>
      </w:r>
      <w:r w:rsidRPr="00DF20DE">
        <w:rPr>
          <w:rFonts w:ascii="Times New Roman" w:eastAsia="Times New Roman" w:hAnsi="Times New Roman" w:cs="Times New Roman"/>
          <w:i/>
        </w:rPr>
        <w:t xml:space="preserve">HIPA </w:t>
      </w:r>
      <w:r w:rsidRPr="00DF20DE">
        <w:rPr>
          <w:rFonts w:ascii="Times New Roman" w:eastAsia="Times New Roman" w:hAnsi="Times New Roman" w:cs="Times New Roman"/>
        </w:rPr>
        <w:t xml:space="preserve">ir galimai kitų), rezultatus. </w:t>
      </w:r>
      <w:r w:rsidRPr="00DF20DE">
        <w:rPr>
          <w:rFonts w:ascii="Times New Roman" w:eastAsia="Times New Roman" w:hAnsi="Times New Roman" w:cs="Times New Roman"/>
          <w:position w:val="2"/>
        </w:rPr>
        <w:t>Tai susiję su tikagreloro sukeliamu sveikų donorų trombocitų P2Y</w:t>
      </w:r>
      <w:r w:rsidRPr="00DF20DE">
        <w:rPr>
          <w:rFonts w:ascii="Times New Roman" w:eastAsia="Times New Roman" w:hAnsi="Times New Roman" w:cs="Times New Roman"/>
          <w:sz w:val="14"/>
        </w:rPr>
        <w:t xml:space="preserve">12 </w:t>
      </w:r>
      <w:r w:rsidRPr="00DF20DE">
        <w:rPr>
          <w:rFonts w:ascii="Times New Roman" w:eastAsia="Times New Roman" w:hAnsi="Times New Roman" w:cs="Times New Roman"/>
          <w:position w:val="2"/>
        </w:rPr>
        <w:t xml:space="preserve">receptorių slopinimu pacientų </w:t>
      </w:r>
      <w:r w:rsidRPr="00DF20DE">
        <w:rPr>
          <w:rFonts w:ascii="Times New Roman" w:eastAsia="Times New Roman" w:hAnsi="Times New Roman" w:cs="Times New Roman"/>
        </w:rPr>
        <w:t xml:space="preserve">serume ar plazmoje atliekant šį mėginį. Norint tinkamai įvertinti </w:t>
      </w:r>
      <w:r w:rsidRPr="00DF20DE">
        <w:rPr>
          <w:rFonts w:ascii="Times New Roman" w:eastAsia="Times New Roman" w:hAnsi="Times New Roman" w:cs="Times New Roman"/>
          <w:i/>
        </w:rPr>
        <w:t xml:space="preserve">HIT </w:t>
      </w:r>
      <w:r w:rsidRPr="00DF20DE">
        <w:rPr>
          <w:rFonts w:ascii="Times New Roman" w:eastAsia="Times New Roman" w:hAnsi="Times New Roman" w:cs="Times New Roman"/>
        </w:rPr>
        <w:t>trombocitų funkcijos mėginių duomenis, būtina žinoti, kad kartu vartojama tikagrelor</w:t>
      </w:r>
      <w:r w:rsidR="00920D54" w:rsidRPr="00DF20DE">
        <w:rPr>
          <w:rFonts w:ascii="Times New Roman" w:eastAsia="Times New Roman" w:hAnsi="Times New Roman" w:cs="Times New Roman"/>
        </w:rPr>
        <w:t>o</w:t>
      </w:r>
      <w:r w:rsidRPr="00DF20DE">
        <w:rPr>
          <w:rFonts w:ascii="Times New Roman" w:eastAsia="Times New Roman" w:hAnsi="Times New Roman" w:cs="Times New Roman"/>
        </w:rPr>
        <w:t>.</w:t>
      </w:r>
    </w:p>
    <w:p w14:paraId="71EDF65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Pasireiškus </w:t>
      </w:r>
      <w:r w:rsidRPr="00DF20DE">
        <w:rPr>
          <w:rFonts w:ascii="Times New Roman" w:eastAsia="Times New Roman" w:hAnsi="Times New Roman" w:cs="Times New Roman"/>
          <w:i/>
        </w:rPr>
        <w:t>HIT</w:t>
      </w:r>
      <w:r w:rsidRPr="00DF20DE">
        <w:rPr>
          <w:rFonts w:ascii="Times New Roman" w:eastAsia="Times New Roman" w:hAnsi="Times New Roman" w:cs="Times New Roman"/>
        </w:rPr>
        <w:t xml:space="preserve">, reikia įvertinti tolesnio tikagreloro vartojimo naudos ir rizikos santykį atsižvelgiant į </w:t>
      </w:r>
      <w:r w:rsidRPr="00DF20DE">
        <w:rPr>
          <w:rFonts w:ascii="Times New Roman" w:eastAsia="Times New Roman" w:hAnsi="Times New Roman" w:cs="Times New Roman"/>
          <w:i/>
        </w:rPr>
        <w:t xml:space="preserve">HIT </w:t>
      </w:r>
      <w:r w:rsidRPr="00DF20DE">
        <w:rPr>
          <w:rFonts w:ascii="Times New Roman" w:eastAsia="Times New Roman" w:hAnsi="Times New Roman" w:cs="Times New Roman"/>
        </w:rPr>
        <w:t>sukeliamą trombozę skatinančią būklę ir padidėjusią kraujavimo riziką kartu vartojant antikoaguliantų ir tikagrelorą.</w:t>
      </w:r>
    </w:p>
    <w:p w14:paraId="511112B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1707FAE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Kiti</w:t>
      </w:r>
    </w:p>
    <w:p w14:paraId="2830620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Atsižvelgiant į PLATO tyrimo metu nustatytą ryšį tarp ASR palaikomosios dozės ir tikagreloro santykinio veiksmingumo, lyginant su klopidogreliu, didelių (&gt; 300 mg) ASR palaikomųjų dozių kartu su tikagreloru vartoti nerekomenduojama (žr. 5.1 skyrių).</w:t>
      </w:r>
    </w:p>
    <w:p w14:paraId="632C992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0FC506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Priešlaikinis gydymo nutraukimas</w:t>
      </w:r>
    </w:p>
    <w:p w14:paraId="2AA4393C" w14:textId="5F7476CF"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Per anksti nutraukus bet kurio trombocitų agregacijos inhibitoriaus, įskaitant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vartojimą, gali padidėti kardiovaskulinės (KV) mirties, MI ar insulto dėl pagrindinės ligos rizika. Dėl to per anksti nutraukti gydymą šiuo vaistiniu preparatu turi būti vengiama.</w:t>
      </w:r>
    </w:p>
    <w:p w14:paraId="79347BC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D7D57F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Natris</w:t>
      </w:r>
    </w:p>
    <w:p w14:paraId="7CA53E87" w14:textId="2B8AAB02"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Šio vaistinio preparato vienoje tabletėje yra mažiau kaip 1 mmol (23 mg) natrio, t.</w:t>
      </w:r>
      <w:r w:rsidR="00CD14E9" w:rsidRPr="00DF20DE">
        <w:rPr>
          <w:rFonts w:ascii="Times New Roman" w:eastAsia="Times New Roman" w:hAnsi="Times New Roman" w:cs="Times New Roman"/>
        </w:rPr>
        <w:t xml:space="preserve"> </w:t>
      </w:r>
      <w:r w:rsidRPr="00DF20DE">
        <w:rPr>
          <w:rFonts w:ascii="Times New Roman" w:eastAsia="Times New Roman" w:hAnsi="Times New Roman" w:cs="Times New Roman"/>
        </w:rPr>
        <w:t>y. jis beveik neturi reikšmės.</w:t>
      </w:r>
    </w:p>
    <w:p w14:paraId="6A5CB51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19CB497"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4.5</w:t>
      </w:r>
      <w:r w:rsidRPr="00DF20DE">
        <w:rPr>
          <w:rFonts w:ascii="Times New Roman" w:eastAsia="Times New Roman" w:hAnsi="Times New Roman" w:cs="Times New Roman"/>
          <w:b/>
          <w:bCs/>
        </w:rPr>
        <w:tab/>
        <w:t>Sąveika su kitais vaistiniais preparatais ir kitokia sąveika</w:t>
      </w:r>
    </w:p>
    <w:p w14:paraId="73C8A7E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73DEE2DF" w14:textId="741E8546"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Tikagreloras visų pirma yra CYP3A4 substratas ir taip pat silpnai slopina CYP3A4. Be to, tikagreloras yra P-glikoproteino (P-g</w:t>
      </w:r>
      <w:r w:rsidR="00920D54" w:rsidRPr="00DF20DE">
        <w:rPr>
          <w:rFonts w:ascii="Times New Roman" w:eastAsia="Times New Roman" w:hAnsi="Times New Roman" w:cs="Times New Roman"/>
        </w:rPr>
        <w:t>p</w:t>
      </w:r>
      <w:r w:rsidRPr="00DF20DE">
        <w:rPr>
          <w:rFonts w:ascii="Times New Roman" w:eastAsia="Times New Roman" w:hAnsi="Times New Roman" w:cs="Times New Roman"/>
        </w:rPr>
        <w:t>) substratas ir silpnas jo inhibitorius, todėl gali didinti P-g</w:t>
      </w:r>
      <w:r w:rsidR="00920D54" w:rsidRPr="00DF20DE">
        <w:rPr>
          <w:rFonts w:ascii="Times New Roman" w:eastAsia="Times New Roman" w:hAnsi="Times New Roman" w:cs="Times New Roman"/>
        </w:rPr>
        <w:t>p</w:t>
      </w:r>
      <w:r w:rsidRPr="00DF20DE">
        <w:rPr>
          <w:rFonts w:ascii="Times New Roman" w:eastAsia="Times New Roman" w:hAnsi="Times New Roman" w:cs="Times New Roman"/>
        </w:rPr>
        <w:t xml:space="preserve"> substratų ekspoziciją.</w:t>
      </w:r>
    </w:p>
    <w:p w14:paraId="48B27E2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29F2CE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Kitų vaistinių preparatų ir kitokių medžiagų įtaka tikagreloro poveikiui</w:t>
      </w:r>
    </w:p>
    <w:p w14:paraId="2F89BE3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13"/>
        </w:rPr>
      </w:pPr>
    </w:p>
    <w:p w14:paraId="5252C48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CYP3A4 inhibitoriai</w:t>
      </w:r>
    </w:p>
    <w:p w14:paraId="4C49841F" w14:textId="14A67E28"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i/>
          <w:position w:val="2"/>
        </w:rPr>
        <w:t>Stipr</w:t>
      </w:r>
      <w:r w:rsidR="00920D54" w:rsidRPr="00DF20DE">
        <w:rPr>
          <w:rFonts w:ascii="Times New Roman" w:eastAsia="Times New Roman" w:hAnsi="Times New Roman" w:cs="Times New Roman"/>
          <w:i/>
          <w:position w:val="2"/>
        </w:rPr>
        <w:t>ūs</w:t>
      </w:r>
      <w:r w:rsidRPr="00DF20DE">
        <w:rPr>
          <w:rFonts w:ascii="Times New Roman" w:eastAsia="Times New Roman" w:hAnsi="Times New Roman" w:cs="Times New Roman"/>
          <w:i/>
          <w:position w:val="2"/>
        </w:rPr>
        <w:t xml:space="preserve"> CYP3A4 inhibitoriai</w:t>
      </w:r>
      <w:r w:rsidRPr="00DF20DE">
        <w:rPr>
          <w:rFonts w:ascii="Times New Roman" w:eastAsia="Times New Roman" w:hAnsi="Times New Roman" w:cs="Times New Roman"/>
          <w:position w:val="2"/>
        </w:rPr>
        <w:t>. Kartu vartojant ketokonazol</w:t>
      </w:r>
      <w:r w:rsidR="00920D54" w:rsidRPr="00DF20DE">
        <w:rPr>
          <w:rFonts w:ascii="Times New Roman" w:eastAsia="Times New Roman" w:hAnsi="Times New Roman" w:cs="Times New Roman"/>
          <w:position w:val="2"/>
        </w:rPr>
        <w:t>o</w:t>
      </w:r>
      <w:r w:rsidRPr="00DF20DE">
        <w:rPr>
          <w:rFonts w:ascii="Times New Roman" w:eastAsia="Times New Roman" w:hAnsi="Times New Roman" w:cs="Times New Roman"/>
          <w:position w:val="2"/>
        </w:rPr>
        <w:t>,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padidėjo 2,4 karto ir AUC – 7,3 karto, o jo aktyvaus metabolito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sumažėjo 89 %, AUC – 56 %.</w:t>
      </w:r>
    </w:p>
    <w:p w14:paraId="3B5E6B62" w14:textId="49E56396" w:rsidR="00F151B8" w:rsidRPr="00DF20DE" w:rsidRDefault="00F151B8" w:rsidP="00F151B8">
      <w:pPr>
        <w:widowControl w:val="0"/>
        <w:autoSpaceDE w:val="0"/>
        <w:autoSpaceDN w:val="0"/>
        <w:spacing w:after="0" w:line="240" w:lineRule="auto"/>
        <w:ind w:left="540"/>
        <w:rPr>
          <w:rFonts w:ascii="Times New Roman" w:eastAsia="Times New Roman" w:hAnsi="Times New Roman" w:cs="Times New Roman"/>
        </w:rPr>
      </w:pPr>
      <w:r w:rsidRPr="00DF20DE">
        <w:rPr>
          <w:rFonts w:ascii="Times New Roman" w:eastAsia="Times New Roman" w:hAnsi="Times New Roman" w:cs="Times New Roman"/>
        </w:rPr>
        <w:t>Tikėtina, kad panašiai turi veikti ir kiti stipri</w:t>
      </w:r>
      <w:r w:rsidR="00920D54" w:rsidRPr="00DF20DE">
        <w:rPr>
          <w:rFonts w:ascii="Times New Roman" w:eastAsia="Times New Roman" w:hAnsi="Times New Roman" w:cs="Times New Roman"/>
        </w:rPr>
        <w:t>ūs</w:t>
      </w:r>
      <w:r w:rsidRPr="00DF20DE">
        <w:rPr>
          <w:rFonts w:ascii="Times New Roman" w:eastAsia="Times New Roman" w:hAnsi="Times New Roman" w:cs="Times New Roman"/>
        </w:rPr>
        <w:t xml:space="preserve"> CYP3A4 inhibitoriai (klaritromicinas, nefazodonas, ritonaviras ir atazanaviras), todėl stipri</w:t>
      </w:r>
      <w:r w:rsidR="00920D54" w:rsidRPr="00DF20DE">
        <w:rPr>
          <w:rFonts w:ascii="Times New Roman" w:eastAsia="Times New Roman" w:hAnsi="Times New Roman" w:cs="Times New Roman"/>
        </w:rPr>
        <w:t>ų</w:t>
      </w:r>
      <w:r w:rsidRPr="00DF20DE">
        <w:rPr>
          <w:rFonts w:ascii="Times New Roman" w:eastAsia="Times New Roman" w:hAnsi="Times New Roman" w:cs="Times New Roman"/>
        </w:rPr>
        <w:t xml:space="preserve"> CYP3A4 inhibitorių kartu su tikagreloru vartoti </w:t>
      </w:r>
      <w:r w:rsidR="00920D54" w:rsidRPr="00DF20DE">
        <w:rPr>
          <w:rFonts w:ascii="Times New Roman" w:eastAsia="Times New Roman" w:hAnsi="Times New Roman" w:cs="Times New Roman"/>
        </w:rPr>
        <w:t xml:space="preserve">draudžiama </w:t>
      </w:r>
      <w:r w:rsidRPr="00DF20DE">
        <w:rPr>
          <w:rFonts w:ascii="Times New Roman" w:eastAsia="Times New Roman" w:hAnsi="Times New Roman" w:cs="Times New Roman"/>
        </w:rPr>
        <w:t>(žr. 4.3 skyrių).</w:t>
      </w:r>
    </w:p>
    <w:p w14:paraId="304A6B70"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i/>
          <w:position w:val="2"/>
        </w:rPr>
        <w:t xml:space="preserve">Vidutinio stiprumo CYP3A4 inhibitoriai. </w:t>
      </w:r>
      <w:r w:rsidRPr="00DF20DE">
        <w:rPr>
          <w:rFonts w:ascii="Times New Roman" w:eastAsia="Times New Roman" w:hAnsi="Times New Roman" w:cs="Times New Roman"/>
          <w:position w:val="2"/>
        </w:rPr>
        <w:t>Kartu vartojant diltiazemą,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padidėjo 69 % ir AUC – 2,7 karto, o jo aktyvaus metabolito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sumažėjo 38 %, o AUC </w:t>
      </w:r>
      <w:r w:rsidRPr="00DF20DE">
        <w:rPr>
          <w:rFonts w:ascii="Times New Roman" w:eastAsia="Times New Roman" w:hAnsi="Times New Roman" w:cs="Times New Roman"/>
        </w:rPr>
        <w:t>nepakito. Tikagreloras diltiazemo koncentracijos plazmoje neveikė. Kitų vidutinio stiprumo CYP3A4 inhibitorių (pvz., amprenaviro, aprepitanto, eritromicino, flukonazolo) poveikis turi būti panašus, juos galima vartoti kartu su tikagreloru.</w:t>
      </w:r>
    </w:p>
    <w:p w14:paraId="3208838D"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Kasdien geriant daug (3 kartus po 200 ml) greipfrutų sulčių, nustatyta 2 kartus padidėjusi tikagreloro ekspozicija. Vis dėlto daugumai pacientų toks padidėjimas neturėtų būti kliniškai reikšmingas.</w:t>
      </w:r>
    </w:p>
    <w:p w14:paraId="0BAB863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4E4915E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CYP3A4 induktoriai</w:t>
      </w:r>
    </w:p>
    <w:p w14:paraId="64DAB0B6" w14:textId="002A59B9"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Kartu vartojant rifampicin</w:t>
      </w:r>
      <w:r w:rsidR="00920D54" w:rsidRPr="00DF20DE">
        <w:rPr>
          <w:rFonts w:ascii="Times New Roman" w:eastAsia="Times New Roman" w:hAnsi="Times New Roman" w:cs="Times New Roman"/>
          <w:position w:val="2"/>
        </w:rPr>
        <w:t>o</w:t>
      </w:r>
      <w:r w:rsidRPr="00DF20DE">
        <w:rPr>
          <w:rFonts w:ascii="Times New Roman" w:eastAsia="Times New Roman" w:hAnsi="Times New Roman" w:cs="Times New Roman"/>
          <w:position w:val="2"/>
        </w:rPr>
        <w:t>,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sumažėjo 73 % ir AUC – 86 %, jo aktyvaus metabolito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nepakito, o AUC sumažėjo 46 %. Manoma, kad kiti CYP3A induktoriai (pvz., fenitoinas, </w:t>
      </w:r>
      <w:r w:rsidRPr="00DF20DE">
        <w:rPr>
          <w:rFonts w:ascii="Times New Roman" w:eastAsia="Times New Roman" w:hAnsi="Times New Roman" w:cs="Times New Roman"/>
        </w:rPr>
        <w:t>karbamazepinas ir fenobarbitalis) taip pat turi mažinti tikagreloro ekspoziciją. Kartu vartojant vaistinių preparatų, kurie stipriai indukuoja CYP3A, gali sumažėti tikagreloro ekspozicija ir veiksmingumas, todėl kartu su tikagreloru jų vartoti nepatartina.</w:t>
      </w:r>
    </w:p>
    <w:p w14:paraId="34BA15E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1E6117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Ciklosporinas (P-gp ir CYP3A inhibitorius)</w:t>
      </w:r>
    </w:p>
    <w:p w14:paraId="5238A29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Kartu vartojant 600 mg ciklosporino,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padidėjo 2,3, o AUC – 2,8 karto. Organizme </w:t>
      </w:r>
      <w:r w:rsidRPr="00DF20DE">
        <w:rPr>
          <w:rFonts w:ascii="Times New Roman" w:eastAsia="Times New Roman" w:hAnsi="Times New Roman" w:cs="Times New Roman"/>
          <w:position w:val="2"/>
        </w:rPr>
        <w:lastRenderedPageBreak/>
        <w:t>esant ciklosporino, tikagreloro aktyvaus metabolito AUC padidėjo 32 %, 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sumažėjo 15 %.</w:t>
      </w:r>
    </w:p>
    <w:p w14:paraId="61C2B36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5695EDF" w14:textId="6A8F5201"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Nėra duomenų apie tikagreloro vartojimą kartu su kitomis veikliosiomis medžiagomis, kurios gali padidinti tikagreloro ekspoziciją, stipriai slopindamos P-gp ir vidutiniškai – CYP3A4 (pvz., verapamil</w:t>
      </w:r>
      <w:r w:rsidR="00955FC5" w:rsidRPr="00DF20DE">
        <w:rPr>
          <w:rFonts w:ascii="Times New Roman" w:eastAsia="Times New Roman" w:hAnsi="Times New Roman" w:cs="Times New Roman"/>
        </w:rPr>
        <w:t>i</w:t>
      </w:r>
      <w:r w:rsidRPr="00DF20DE">
        <w:rPr>
          <w:rFonts w:ascii="Times New Roman" w:eastAsia="Times New Roman" w:hAnsi="Times New Roman" w:cs="Times New Roman"/>
        </w:rPr>
        <w:t>u, chinidinu). Jeigu jų vartojimas kartu neišvengiamas, rekomenduojama imtis atsargumo priemonių.</w:t>
      </w:r>
    </w:p>
    <w:p w14:paraId="36694C6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00A5F36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Kiti</w:t>
      </w:r>
    </w:p>
    <w:p w14:paraId="7976746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Klinikiniai farmakologiniai sąveikos tyrimai parodė, kad kartu su tikagreloru vartojami heparinas, enoksaparinas, ASR ir desmopresinas neturi įtakos tikagreloro ir jo aktyvaus metabolito farmakokinetikai bei ADF sukeltai trombocitų agregacijai, palyginus su atskirai vartojamu tikagreloru. Esant terapinei indikacijai, hemostazę veikiančių vaistinių preparatų kartu su tikagreloru skiriama atsargiai.</w:t>
      </w:r>
    </w:p>
    <w:p w14:paraId="505D6F8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2B8CBC67" w14:textId="73C0B4B8"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ŪKS sergančius pacientus gydant morfinu, geriamųjų P2Y</w:t>
      </w:r>
      <w:r w:rsidRPr="00DF20DE">
        <w:rPr>
          <w:rFonts w:ascii="Times New Roman" w:eastAsia="Times New Roman" w:hAnsi="Times New Roman" w:cs="Times New Roman"/>
          <w:sz w:val="14"/>
        </w:rPr>
        <w:t xml:space="preserve">12 </w:t>
      </w:r>
      <w:r w:rsidRPr="00DF20DE">
        <w:rPr>
          <w:rFonts w:ascii="Times New Roman" w:eastAsia="Times New Roman" w:hAnsi="Times New Roman" w:cs="Times New Roman"/>
          <w:position w:val="2"/>
        </w:rPr>
        <w:t xml:space="preserve">inhibitorių, įskaitant tikagrelorą ir jo aktyvų </w:t>
      </w:r>
      <w:r w:rsidRPr="00DF20DE">
        <w:rPr>
          <w:rFonts w:ascii="Times New Roman" w:eastAsia="Times New Roman" w:hAnsi="Times New Roman" w:cs="Times New Roman"/>
        </w:rPr>
        <w:t>metabolitą, ekspozicija susidarė vėliau ir buvo mažesnė (tikagreloro ekspozicija – 35 % mažesnė). Ši sąveika gali būti susijusi su sulėtėjusia virškinimo trakto peristaltika ir taip pat pasireikšti vartojant kitų opioidų. Klinikinė reikšmė neaiški, bet turimi duomenys rodo mažesnio tikagreloro veiksmingumo galimybę j</w:t>
      </w:r>
      <w:r w:rsidR="00920D54"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vartojant kartu su morfinu. Jei ŪKS sergančiam pacientui morfino vartojimo </w:t>
      </w:r>
      <w:r w:rsidRPr="00DF20DE">
        <w:rPr>
          <w:rFonts w:ascii="Times New Roman" w:eastAsia="Times New Roman" w:hAnsi="Times New Roman" w:cs="Times New Roman"/>
          <w:position w:val="2"/>
        </w:rPr>
        <w:t>atidėti negalima, o skubiai slopinti P2Y</w:t>
      </w:r>
      <w:r w:rsidRPr="00DF20DE">
        <w:rPr>
          <w:rFonts w:ascii="Times New Roman" w:eastAsia="Times New Roman" w:hAnsi="Times New Roman" w:cs="Times New Roman"/>
          <w:sz w:val="14"/>
        </w:rPr>
        <w:t xml:space="preserve">12 </w:t>
      </w:r>
      <w:r w:rsidRPr="00DF20DE">
        <w:rPr>
          <w:rFonts w:ascii="Times New Roman" w:eastAsia="Times New Roman" w:hAnsi="Times New Roman" w:cs="Times New Roman"/>
          <w:position w:val="2"/>
        </w:rPr>
        <w:t>yra gyvybiškai svarbu, galima svarstyti galimybę skirti P2Y</w:t>
      </w:r>
      <w:r w:rsidRPr="00DF20DE">
        <w:rPr>
          <w:rFonts w:ascii="Times New Roman" w:eastAsia="Times New Roman" w:hAnsi="Times New Roman" w:cs="Times New Roman"/>
          <w:sz w:val="14"/>
        </w:rPr>
        <w:t xml:space="preserve">12 </w:t>
      </w:r>
      <w:r w:rsidRPr="00DF20DE">
        <w:rPr>
          <w:rFonts w:ascii="Times New Roman" w:eastAsia="Times New Roman" w:hAnsi="Times New Roman" w:cs="Times New Roman"/>
          <w:position w:val="2"/>
        </w:rPr>
        <w:t>inhibitorių parenteriniu būdu.</w:t>
      </w:r>
    </w:p>
    <w:p w14:paraId="512488E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01A48BF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Tikagreloro įtaka kitų vaistinių preparatų poveikiui</w:t>
      </w:r>
    </w:p>
    <w:p w14:paraId="209B37B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14"/>
        </w:rPr>
      </w:pPr>
    </w:p>
    <w:p w14:paraId="7DB6046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Vaistiniai preparatai, kuriuos metabolizuoja CYP3A4</w:t>
      </w:r>
    </w:p>
    <w:p w14:paraId="4AD4F333" w14:textId="6E2651A6"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i/>
          <w:position w:val="2"/>
        </w:rPr>
        <w:t xml:space="preserve">Simvastatinas. </w:t>
      </w:r>
      <w:r w:rsidRPr="00DF20DE">
        <w:rPr>
          <w:rFonts w:ascii="Times New Roman" w:eastAsia="Times New Roman" w:hAnsi="Times New Roman" w:cs="Times New Roman"/>
          <w:position w:val="2"/>
        </w:rPr>
        <w:t>Kartu vartojant tikagrelor</w:t>
      </w:r>
      <w:r w:rsidR="00920D54" w:rsidRPr="00DF20DE">
        <w:rPr>
          <w:rFonts w:ascii="Times New Roman" w:eastAsia="Times New Roman" w:hAnsi="Times New Roman" w:cs="Times New Roman"/>
          <w:position w:val="2"/>
        </w:rPr>
        <w:t>o</w:t>
      </w:r>
      <w:r w:rsidRPr="00DF20DE">
        <w:rPr>
          <w:rFonts w:ascii="Times New Roman" w:eastAsia="Times New Roman" w:hAnsi="Times New Roman" w:cs="Times New Roman"/>
          <w:position w:val="2"/>
        </w:rPr>
        <w:t>, simvastatino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padidėjo 81 % ir AUC – 56 %, simvastatino rūgšties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padidėjo 64 % ir AUC – 52 %, tačiau atskiriems individams </w:t>
      </w:r>
      <w:r w:rsidRPr="00DF20DE">
        <w:rPr>
          <w:rFonts w:ascii="Times New Roman" w:eastAsia="Times New Roman" w:hAnsi="Times New Roman" w:cs="Times New Roman"/>
        </w:rPr>
        <w:t>užfiksuota padidėjimo 2–3 kartus atvejų. Kartu su didesnėmis kaip 40 mg simvastatino paros dozėmis vartojant tikagrelor</w:t>
      </w:r>
      <w:r w:rsidR="00920D54" w:rsidRPr="00DF20DE">
        <w:rPr>
          <w:rFonts w:ascii="Times New Roman" w:eastAsia="Times New Roman" w:hAnsi="Times New Roman" w:cs="Times New Roman"/>
        </w:rPr>
        <w:t>o</w:t>
      </w:r>
      <w:r w:rsidRPr="00DF20DE">
        <w:rPr>
          <w:rFonts w:ascii="Times New Roman" w:eastAsia="Times New Roman" w:hAnsi="Times New Roman" w:cs="Times New Roman"/>
        </w:rPr>
        <w:t>, gali pasireikšti simvastatino nepageidaujamų reakcijų, kurių riziką reikia palyginti su galima šio derinio nauda. Simvastatinas tikagreloro koncentracijos plazmoje neveikė. Tikagreloras gali turėti panašios įtakos ir lovastatino koncentracijai. Kartu su tikagreloru nerekomenduojama vartoti didesnių kaip 40 mg simvastatino ir lovastatino dozių.</w:t>
      </w:r>
    </w:p>
    <w:p w14:paraId="6682B7BA" w14:textId="4F174FFB"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i/>
          <w:position w:val="2"/>
        </w:rPr>
        <w:t xml:space="preserve">Atorvastatinas. </w:t>
      </w:r>
      <w:r w:rsidRPr="00DF20DE">
        <w:rPr>
          <w:rFonts w:ascii="Times New Roman" w:eastAsia="Times New Roman" w:hAnsi="Times New Roman" w:cs="Times New Roman"/>
          <w:position w:val="2"/>
        </w:rPr>
        <w:t>Kartu vartojant tikagrelor</w:t>
      </w:r>
      <w:r w:rsidR="00920D54" w:rsidRPr="00DF20DE">
        <w:rPr>
          <w:rFonts w:ascii="Times New Roman" w:eastAsia="Times New Roman" w:hAnsi="Times New Roman" w:cs="Times New Roman"/>
          <w:position w:val="2"/>
        </w:rPr>
        <w:t>o</w:t>
      </w:r>
      <w:r w:rsidRPr="00DF20DE">
        <w:rPr>
          <w:rFonts w:ascii="Times New Roman" w:eastAsia="Times New Roman" w:hAnsi="Times New Roman" w:cs="Times New Roman"/>
          <w:position w:val="2"/>
        </w:rPr>
        <w:t>, atorvastatino rūgšties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padidėjo 23 % ir AUC – 36 %. Taip pat nustatytas panašus visų atorvastatino rūgšties metabolitų AUC ir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rPr>
        <w:t>padidėjimas. Šie padidėjimai klini</w:t>
      </w:r>
      <w:r w:rsidR="00920D54" w:rsidRPr="00DF20DE">
        <w:rPr>
          <w:rFonts w:ascii="Times New Roman" w:eastAsia="Times New Roman" w:hAnsi="Times New Roman" w:cs="Times New Roman"/>
        </w:rPr>
        <w:t>š</w:t>
      </w:r>
      <w:r w:rsidRPr="00DF20DE">
        <w:rPr>
          <w:rFonts w:ascii="Times New Roman" w:eastAsia="Times New Roman" w:hAnsi="Times New Roman" w:cs="Times New Roman"/>
        </w:rPr>
        <w:t>kai reikšmingais nelaikomi.</w:t>
      </w:r>
    </w:p>
    <w:p w14:paraId="3FCF505C"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Negalima atmesti panašaus poveikio kitiems statinams, kuriuos metabolizuoja CYP3A4, galimybės. PLATO tyrimo metu pacientams kartu su tikagreloru vartojus įvairių kitų statinų (statinų vartojusių pacientų kohorta sudarė 93 %), abejonių dėl statinų saugumo nekilo.</w:t>
      </w:r>
    </w:p>
    <w:p w14:paraId="0F4AA19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D25818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Tikagreloras silpnai slopina CYP3A4. Tikagreloro nerekomenduojama vartoti kartu su CYP3A4 substratais, kurių terapinis indeksas siauras (pvz., cisapridu ir skalsių alkaloidais), kadangi dėl tikagreloro poveikio gali padidėti šių vaistinių preparatų ekspozicija.</w:t>
      </w:r>
    </w:p>
    <w:p w14:paraId="62E7254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88E240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P-gp substratai, įskaitant digoksiną ir ciklosporiną</w:t>
      </w:r>
    </w:p>
    <w:p w14:paraId="600A1250" w14:textId="386B0856"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Kartu vartojant tikagrelor</w:t>
      </w:r>
      <w:r w:rsidR="00920D54" w:rsidRPr="00DF20DE">
        <w:rPr>
          <w:rFonts w:ascii="Times New Roman" w:eastAsia="Times New Roman" w:hAnsi="Times New Roman" w:cs="Times New Roman"/>
          <w:position w:val="2"/>
        </w:rPr>
        <w:t>o</w:t>
      </w:r>
      <w:r w:rsidRPr="00DF20DE">
        <w:rPr>
          <w:rFonts w:ascii="Times New Roman" w:eastAsia="Times New Roman" w:hAnsi="Times New Roman" w:cs="Times New Roman"/>
          <w:position w:val="2"/>
        </w:rPr>
        <w:t>, digoksino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padidėjo 75 %, o AUC – 28 %. Vidutinė minimali </w:t>
      </w:r>
      <w:r w:rsidRPr="00DF20DE">
        <w:rPr>
          <w:rFonts w:ascii="Times New Roman" w:eastAsia="Times New Roman" w:hAnsi="Times New Roman" w:cs="Times New Roman"/>
        </w:rPr>
        <w:t>digoksino koncentracija kartu vartojant tikagrelor</w:t>
      </w:r>
      <w:r w:rsidR="00920D54" w:rsidRPr="00DF20DE">
        <w:rPr>
          <w:rFonts w:ascii="Times New Roman" w:eastAsia="Times New Roman" w:hAnsi="Times New Roman" w:cs="Times New Roman"/>
        </w:rPr>
        <w:t>o</w:t>
      </w:r>
      <w:r w:rsidRPr="00DF20DE">
        <w:rPr>
          <w:rFonts w:ascii="Times New Roman" w:eastAsia="Times New Roman" w:hAnsi="Times New Roman" w:cs="Times New Roman"/>
        </w:rPr>
        <w:t xml:space="preserve"> padidėjo maždaug 30 %, o kai kuriems asmenims didžiausias jos padidėjimas buvo dvigubas. Digoksinas įtakos tikagreloro ir jo aktyvaus metabolito </w:t>
      </w:r>
      <w:r w:rsidRPr="00DF20DE">
        <w:rPr>
          <w:rFonts w:ascii="Times New Roman" w:eastAsia="Times New Roman" w:hAnsi="Times New Roman" w:cs="Times New Roman"/>
          <w:position w:val="2"/>
        </w:rPr>
        <w:t>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bei AUC neturėjo. Dėl to kartu su tikagreloru vartojant siauro terapinio indekso vaistinių </w:t>
      </w:r>
      <w:r w:rsidRPr="00DF20DE">
        <w:rPr>
          <w:rFonts w:ascii="Times New Roman" w:eastAsia="Times New Roman" w:hAnsi="Times New Roman" w:cs="Times New Roman"/>
        </w:rPr>
        <w:t>preparatų, kurių koncentracija priklauso nuo P-gp (pvz., digoksino), rekomenduojamas atitinkamas klinikinis ir (arba) laboratorinis stebėjimas.</w:t>
      </w:r>
    </w:p>
    <w:p w14:paraId="7D6D701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Įtakos ciklosporino koncentracijai kraujyje tikagreloras nedaro. Tikagreloro poveikis kitų P-gp substratų koncentracijai netirtas.</w:t>
      </w:r>
    </w:p>
    <w:p w14:paraId="6A72D55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526F2520" w14:textId="77777777" w:rsidR="00F151B8" w:rsidRPr="00DF20DE" w:rsidRDefault="00F151B8" w:rsidP="00F151B8">
      <w:pPr>
        <w:widowControl w:val="0"/>
        <w:autoSpaceDE w:val="0"/>
        <w:autoSpaceDN w:val="0"/>
        <w:spacing w:after="0" w:line="240" w:lineRule="auto"/>
        <w:jc w:val="both"/>
        <w:rPr>
          <w:rFonts w:ascii="Times New Roman" w:eastAsia="Times New Roman" w:hAnsi="Times New Roman" w:cs="Times New Roman"/>
          <w:i/>
        </w:rPr>
      </w:pPr>
      <w:r w:rsidRPr="00DF20DE">
        <w:rPr>
          <w:rFonts w:ascii="Times New Roman" w:eastAsia="Times New Roman" w:hAnsi="Times New Roman" w:cs="Times New Roman"/>
          <w:i/>
          <w:u w:val="single"/>
        </w:rPr>
        <w:t>Vaistiniai preparatai, kuriuos metabolizuoja CYP2C9</w:t>
      </w:r>
    </w:p>
    <w:p w14:paraId="0CF01126" w14:textId="0E85A703"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Kartu vartojant tikagrelor</w:t>
      </w:r>
      <w:r w:rsidR="00920D54"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tolbutamid</w:t>
      </w:r>
      <w:r w:rsidR="00920D54" w:rsidRPr="00DF20DE">
        <w:rPr>
          <w:rFonts w:ascii="Times New Roman" w:eastAsia="Times New Roman" w:hAnsi="Times New Roman" w:cs="Times New Roman"/>
        </w:rPr>
        <w:t>o</w:t>
      </w:r>
      <w:r w:rsidRPr="00DF20DE">
        <w:rPr>
          <w:rFonts w:ascii="Times New Roman" w:eastAsia="Times New Roman" w:hAnsi="Times New Roman" w:cs="Times New Roman"/>
        </w:rPr>
        <w:t>, nė vieno iš jų koncentracija plazmoje nepakito. Dėl to reikia manyti, kad tikagreloras neslopina CYP2C9 ir neturi veikti nuo CYP2C9 priklausomo vaistinių preparatų (pvz., varfarino ir tolbutamido) metabolizmo.</w:t>
      </w:r>
    </w:p>
    <w:p w14:paraId="70CE8E15" w14:textId="7E1F4E42"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1D2204D2" w14:textId="77777777" w:rsidR="007A4CA5" w:rsidRPr="00DF20DE" w:rsidRDefault="007A4CA5" w:rsidP="007A4CA5">
      <w:pPr>
        <w:widowControl w:val="0"/>
        <w:autoSpaceDE w:val="0"/>
        <w:autoSpaceDN w:val="0"/>
        <w:spacing w:after="0" w:line="240" w:lineRule="auto"/>
        <w:rPr>
          <w:rFonts w:ascii="Times New Roman" w:eastAsia="Times New Roman" w:hAnsi="Times New Roman" w:cs="Times New Roman"/>
          <w:sz w:val="21"/>
          <w:u w:val="single"/>
        </w:rPr>
      </w:pPr>
      <w:r w:rsidRPr="00DF20DE">
        <w:rPr>
          <w:rFonts w:ascii="Times New Roman" w:eastAsia="Times New Roman" w:hAnsi="Times New Roman" w:cs="Times New Roman"/>
          <w:sz w:val="21"/>
          <w:u w:val="single"/>
        </w:rPr>
        <w:t>Rozuvastatinas</w:t>
      </w:r>
    </w:p>
    <w:p w14:paraId="3D1FA768" w14:textId="77777777" w:rsidR="007A4CA5" w:rsidRPr="00DF20DE" w:rsidRDefault="007A4CA5" w:rsidP="007A4CA5">
      <w:pPr>
        <w:widowControl w:val="0"/>
        <w:autoSpaceDE w:val="0"/>
        <w:autoSpaceDN w:val="0"/>
        <w:spacing w:after="0" w:line="240" w:lineRule="auto"/>
        <w:rPr>
          <w:rFonts w:ascii="Times New Roman" w:eastAsia="Times New Roman" w:hAnsi="Times New Roman" w:cs="Times New Roman"/>
          <w:sz w:val="21"/>
        </w:rPr>
      </w:pPr>
      <w:r w:rsidRPr="00DF20DE">
        <w:rPr>
          <w:rFonts w:ascii="Times New Roman" w:eastAsia="Times New Roman" w:hAnsi="Times New Roman" w:cs="Times New Roman"/>
          <w:sz w:val="21"/>
        </w:rPr>
        <w:t>Tikagreloras gali turėti įtakos rozuvastatino išsiskyrimui per inkstus ir padidinti rozuvastatino</w:t>
      </w:r>
    </w:p>
    <w:p w14:paraId="026626B0" w14:textId="77777777" w:rsidR="007A4CA5" w:rsidRPr="00DF20DE" w:rsidRDefault="007A4CA5" w:rsidP="007A4CA5">
      <w:pPr>
        <w:widowControl w:val="0"/>
        <w:autoSpaceDE w:val="0"/>
        <w:autoSpaceDN w:val="0"/>
        <w:spacing w:after="0" w:line="240" w:lineRule="auto"/>
        <w:rPr>
          <w:rFonts w:ascii="Times New Roman" w:eastAsia="Times New Roman" w:hAnsi="Times New Roman" w:cs="Times New Roman"/>
          <w:sz w:val="21"/>
        </w:rPr>
      </w:pPr>
      <w:r w:rsidRPr="00DF20DE">
        <w:rPr>
          <w:rFonts w:ascii="Times New Roman" w:eastAsia="Times New Roman" w:hAnsi="Times New Roman" w:cs="Times New Roman"/>
          <w:sz w:val="21"/>
        </w:rPr>
        <w:t>akumuliacijos riziką. Tikslus mechanizmas nežinomas, tačiau kartu vartojant tikagreloro ir</w:t>
      </w:r>
    </w:p>
    <w:p w14:paraId="120A2919" w14:textId="0E49FF0B" w:rsidR="007A4CA5" w:rsidRPr="00DF20DE" w:rsidRDefault="007A4CA5" w:rsidP="007A4CA5">
      <w:pPr>
        <w:widowControl w:val="0"/>
        <w:autoSpaceDE w:val="0"/>
        <w:autoSpaceDN w:val="0"/>
        <w:spacing w:after="0" w:line="240" w:lineRule="auto"/>
        <w:rPr>
          <w:rFonts w:ascii="Times New Roman" w:eastAsia="Times New Roman" w:hAnsi="Times New Roman" w:cs="Times New Roman"/>
          <w:sz w:val="21"/>
        </w:rPr>
      </w:pPr>
      <w:r w:rsidRPr="00DF20DE">
        <w:rPr>
          <w:rFonts w:ascii="Times New Roman" w:eastAsia="Times New Roman" w:hAnsi="Times New Roman" w:cs="Times New Roman"/>
          <w:sz w:val="21"/>
        </w:rPr>
        <w:t xml:space="preserve">rozuvastatino užfiksuota atvejų, kai susilpnėjo inkstų funkcija, padidėjo </w:t>
      </w:r>
      <w:r w:rsidR="00920D54" w:rsidRPr="00DF20DE">
        <w:rPr>
          <w:rFonts w:ascii="Times New Roman" w:eastAsia="Times New Roman" w:hAnsi="Times New Roman" w:cs="Times New Roman"/>
          <w:sz w:val="21"/>
        </w:rPr>
        <w:t xml:space="preserve">kreatinfosfokinazės </w:t>
      </w:r>
      <w:r w:rsidRPr="00DF20DE">
        <w:rPr>
          <w:rFonts w:ascii="Times New Roman" w:eastAsia="Times New Roman" w:hAnsi="Times New Roman" w:cs="Times New Roman"/>
          <w:sz w:val="21"/>
        </w:rPr>
        <w:t>koncentracija ir</w:t>
      </w:r>
      <w:r w:rsidR="00920D54" w:rsidRPr="00DF20DE">
        <w:rPr>
          <w:rFonts w:ascii="Times New Roman" w:eastAsia="Times New Roman" w:hAnsi="Times New Roman" w:cs="Times New Roman"/>
          <w:sz w:val="21"/>
        </w:rPr>
        <w:t xml:space="preserve"> </w:t>
      </w:r>
      <w:r w:rsidRPr="00DF20DE">
        <w:rPr>
          <w:rFonts w:ascii="Times New Roman" w:eastAsia="Times New Roman" w:hAnsi="Times New Roman" w:cs="Times New Roman"/>
          <w:sz w:val="21"/>
        </w:rPr>
        <w:t>pasireiškė rabdomiolizė.</w:t>
      </w:r>
    </w:p>
    <w:p w14:paraId="34D95B2C" w14:textId="77777777" w:rsidR="007A4CA5" w:rsidRPr="00DF20DE" w:rsidRDefault="007A4CA5" w:rsidP="007A4CA5">
      <w:pPr>
        <w:widowControl w:val="0"/>
        <w:autoSpaceDE w:val="0"/>
        <w:autoSpaceDN w:val="0"/>
        <w:spacing w:after="0" w:line="240" w:lineRule="auto"/>
        <w:rPr>
          <w:rFonts w:ascii="Times New Roman" w:eastAsia="Times New Roman" w:hAnsi="Times New Roman" w:cs="Times New Roman"/>
          <w:sz w:val="21"/>
        </w:rPr>
      </w:pPr>
    </w:p>
    <w:p w14:paraId="3F2DAD1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Geriamieji kontraceptikai</w:t>
      </w:r>
    </w:p>
    <w:p w14:paraId="565565AD" w14:textId="6C92F45B"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Kartu vartojant tikagrelor</w:t>
      </w:r>
      <w:r w:rsidR="00920D54" w:rsidRPr="00DF20DE">
        <w:rPr>
          <w:rFonts w:ascii="Times New Roman" w:eastAsia="Times New Roman" w:hAnsi="Times New Roman" w:cs="Times New Roman"/>
        </w:rPr>
        <w:t>o</w:t>
      </w:r>
      <w:r w:rsidRPr="00DF20DE">
        <w:rPr>
          <w:rFonts w:ascii="Times New Roman" w:eastAsia="Times New Roman" w:hAnsi="Times New Roman" w:cs="Times New Roman"/>
        </w:rPr>
        <w:t>, levonorgestrel</w:t>
      </w:r>
      <w:r w:rsidR="00920D54"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ir etinilestradiol</w:t>
      </w:r>
      <w:r w:rsidR="00920D54" w:rsidRPr="00DF20DE">
        <w:rPr>
          <w:rFonts w:ascii="Times New Roman" w:eastAsia="Times New Roman" w:hAnsi="Times New Roman" w:cs="Times New Roman"/>
        </w:rPr>
        <w:t>io</w:t>
      </w:r>
      <w:r w:rsidRPr="00DF20DE">
        <w:rPr>
          <w:rFonts w:ascii="Times New Roman" w:eastAsia="Times New Roman" w:hAnsi="Times New Roman" w:cs="Times New Roman"/>
        </w:rPr>
        <w:t>, maždaug 20 % padidėjo etinilestradiolio ekspozicija, bet levonorgestrelio farmakokinetika nepakito. Kartu su levonorgestreliu ir etinilestradioliu vartojant tikagrelor</w:t>
      </w:r>
      <w:r w:rsidR="00920D54" w:rsidRPr="00DF20DE">
        <w:rPr>
          <w:rFonts w:ascii="Times New Roman" w:eastAsia="Times New Roman" w:hAnsi="Times New Roman" w:cs="Times New Roman"/>
        </w:rPr>
        <w:t>o</w:t>
      </w:r>
      <w:r w:rsidRPr="00DF20DE">
        <w:rPr>
          <w:rFonts w:ascii="Times New Roman" w:eastAsia="Times New Roman" w:hAnsi="Times New Roman" w:cs="Times New Roman"/>
        </w:rPr>
        <w:t>, kliniškai reikšmingo poveikio geriamojo kontraceptiko veiksmingumui nereikia tikėtis.</w:t>
      </w:r>
    </w:p>
    <w:p w14:paraId="252A8B6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C326A9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Bradikardiją sukeliantys vaistiniai preparatai</w:t>
      </w:r>
    </w:p>
    <w:p w14:paraId="65303F4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Užfiksuota skilvelių veiklos pauzių ir bradikardijos atvejų (dauguma atvejų simptomų nepasireiškė), todėl kartu su bradikardiją sukeliančiais vaistiniais preparatais tikagreloro skiriama atsargiai</w:t>
      </w:r>
    </w:p>
    <w:p w14:paraId="06F9775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(žr. 4.4 skyrių). Vis dėlto PLATO tyrimo metu kartu vartojus vieną ar kelis bradikardiją sukeliančius vaistinius preparatus (pvz., 96 % pacientų vartojo beta adrenoblokatorių, 33 % – kalcio kanalų blokatorių diltiazemo ar verapamilo ir 4 % – digoksino) klinikai reikšmingų nepageidaujamų reakcijų požymių nenustatyta.</w:t>
      </w:r>
    </w:p>
    <w:p w14:paraId="2B65176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6040BF5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Kiti kartu vartojami vaistiniai preparatai</w:t>
      </w:r>
    </w:p>
    <w:p w14:paraId="2EF9210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Klinikinių tyrimų metu tikagreloras pagal poreikį (atsižvelgiant į pacientų ligas) dažnai būdavo ilgai vartojamas kartu su ASR, protonų siurblio inhibitoriais, statinais, beta blokatoriais, angiotenziną konvertuojančio fermento inhibitoriais (AKF) ir angiotenzino receptorių blokatoriais bei trumpai – kartu su heparinu, mažo molekulinio svorio heparinu ir intraveniniais GpIIb/IIIa inhibitoriais (žr. 5.1 skyrių). Duomenų apie kliniškai reikšmingą nepageidaujamą sąveiką su šiais vaistiniais preparatais negauta.</w:t>
      </w:r>
    </w:p>
    <w:p w14:paraId="2675F59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165C9EF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Kartu su heparinu, enoksaparinu ar desmopresinu vartotas tikagreloras neturėjo įtakos dalinio aktyvinto tromboplastino laiko (DATL), aktyvintos koaguliacijos laiko (AKL) ir Xa faktoriaus tyrimų duomenims. Vis dėlto, dėl galimos farmakodinaminės sąveikos kartu su hemostazę veikiančiais vaistiniais preparatais tikagreloro skiriama atsargiai.</w:t>
      </w:r>
    </w:p>
    <w:p w14:paraId="7A4A56A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10EAE2A4" w14:textId="76368889" w:rsidR="00F151B8" w:rsidRPr="00DF20DE" w:rsidRDefault="00F151B8" w:rsidP="00F151B8">
      <w:pPr>
        <w:widowControl w:val="0"/>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 xml:space="preserve">Gauta pranešimų apie kraujavimą odoje kartu vartojant </w:t>
      </w:r>
      <w:r w:rsidR="00920D54" w:rsidRPr="00DF20DE">
        <w:rPr>
          <w:rFonts w:ascii="Times New Roman" w:eastAsia="Times New Roman" w:hAnsi="Times New Roman" w:cs="Times New Roman"/>
        </w:rPr>
        <w:t>selektyvių serotonino reabsorbcijos inhibitorių (</w:t>
      </w:r>
      <w:r w:rsidRPr="00DF20DE">
        <w:rPr>
          <w:rFonts w:ascii="Times New Roman" w:eastAsia="Times New Roman" w:hAnsi="Times New Roman" w:cs="Times New Roman"/>
        </w:rPr>
        <w:t>SSRI</w:t>
      </w:r>
      <w:r w:rsidR="00920D54" w:rsidRPr="00DF20DE">
        <w:rPr>
          <w:rFonts w:ascii="Times New Roman" w:eastAsia="Times New Roman" w:hAnsi="Times New Roman" w:cs="Times New Roman"/>
        </w:rPr>
        <w:t>)</w:t>
      </w:r>
      <w:r w:rsidRPr="00DF20DE">
        <w:rPr>
          <w:rFonts w:ascii="Times New Roman" w:eastAsia="Times New Roman" w:hAnsi="Times New Roman" w:cs="Times New Roman"/>
        </w:rPr>
        <w:t xml:space="preserve"> (pvz., paroksetino, sertralino ir citalopramo), todėl SSRI kartu su tikagreloru skiriama atsargiai (gali padidėti kraujavimo pavojus).</w:t>
      </w:r>
    </w:p>
    <w:p w14:paraId="1E057A3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32EFC4E"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4.6</w:t>
      </w:r>
      <w:r w:rsidRPr="00DF20DE">
        <w:rPr>
          <w:rFonts w:ascii="Times New Roman" w:eastAsia="Times New Roman" w:hAnsi="Times New Roman" w:cs="Times New Roman"/>
          <w:b/>
          <w:bCs/>
        </w:rPr>
        <w:tab/>
        <w:t>Vaisingumas, nėštumo ir žindymo laikotarpis</w:t>
      </w:r>
    </w:p>
    <w:p w14:paraId="4C92122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1ACE5501" w14:textId="77777777" w:rsidR="00F151B8" w:rsidRPr="00DF20DE" w:rsidRDefault="00F151B8" w:rsidP="00F151B8">
      <w:pPr>
        <w:widowControl w:val="0"/>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u w:val="single"/>
        </w:rPr>
        <w:t>Vaisingos moterys</w:t>
      </w:r>
    </w:p>
    <w:p w14:paraId="789FD91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Tikagrelorą vartojančios vaisingos moterys turi naudoti veiksmingą kontracepcijos metodą, kad nepastotų.</w:t>
      </w:r>
    </w:p>
    <w:p w14:paraId="2758E78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18B716A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Nėštumas</w:t>
      </w:r>
    </w:p>
    <w:p w14:paraId="42ED2B7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Duomenų apie tikagreloro vartojimą nėščioms moterims nėra arba yra nedaug.</w:t>
      </w:r>
    </w:p>
    <w:p w14:paraId="1FA90E1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Su gyvūnais atlikti tyrimai parodė toksinį poveikį reprodukcijai (žr. 5.3 skyrių). Nėštumo laikotarpiu tikagreloro vartoti nerekomenduojama.</w:t>
      </w:r>
    </w:p>
    <w:p w14:paraId="338E08A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AEEE46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Žindymas</w:t>
      </w:r>
    </w:p>
    <w:p w14:paraId="69BC44C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Turimi su gyvūnais atliktų farmakodinamikos ir toksikologijos tyrimų duomenys rodo, kad tikagreloro ir jo aktyvių metabolitų išskiriama į pieną (žr. 5.3 skyrių). Rizikos žindomiems naujagimiui ar kūdikiui galimybės paneigti negalima. Atsižvelgiant į žindymo naudą kūdikiui ir tikagreloro vartojimo naudą moteriai reikia nuspręsti, ar atsisakyti žindymo (nutraukti žindymą), ar nevartoti tikagreloro.</w:t>
      </w:r>
    </w:p>
    <w:p w14:paraId="76A7D46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F8D015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Vaisingumas</w:t>
      </w:r>
    </w:p>
    <w:p w14:paraId="7F78180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Tikagreloras gyvūnų patinų ir patelių vaisingumo neveikia (žr. 5.3 skyrių).</w:t>
      </w:r>
    </w:p>
    <w:p w14:paraId="3D3EA6B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78DF912"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lastRenderedPageBreak/>
        <w:t>4.7</w:t>
      </w:r>
      <w:r w:rsidRPr="00DF20DE">
        <w:rPr>
          <w:rFonts w:ascii="Times New Roman" w:eastAsia="Times New Roman" w:hAnsi="Times New Roman" w:cs="Times New Roman"/>
          <w:b/>
          <w:bCs/>
        </w:rPr>
        <w:tab/>
        <w:t>Poveikis gebėjimui vairuoti ir valdyti mechanizmus</w:t>
      </w:r>
    </w:p>
    <w:p w14:paraId="0C98EB6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618C7DC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Tikagreloras gebėjimo vairuoti ir valdyti mechanizmus neveikia arba veikia nereikšmingai. Vis dėlto užfiksuota galvos svaigimo ir sumišimo atvejų vartojant tikagrelorą. Jeigu pasireikštų tokių simptomų, vairuoti ir valdyti mechanizmus reikia atsargiai.</w:t>
      </w:r>
    </w:p>
    <w:p w14:paraId="65C30D1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6D93F17" w14:textId="77777777" w:rsidR="00F151B8" w:rsidRPr="00DF20DE" w:rsidRDefault="00F151B8" w:rsidP="00F151B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4.8</w:t>
      </w:r>
      <w:r w:rsidRPr="00DF20DE">
        <w:rPr>
          <w:rFonts w:ascii="Times New Roman" w:eastAsia="Times New Roman" w:hAnsi="Times New Roman" w:cs="Times New Roman"/>
          <w:b/>
          <w:bCs/>
        </w:rPr>
        <w:tab/>
        <w:t>Nepageidaujamas poveikis</w:t>
      </w:r>
    </w:p>
    <w:p w14:paraId="5755F6C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17E8E43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Saugumo duomenų santrauka</w:t>
      </w:r>
    </w:p>
    <w:p w14:paraId="5C880D7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Tikagreloro saugumas vertintas atliekant 2 didelius 3 fazės vertinamųjų baigčių (PLATO ir PEGASUS) tyrimus, kuriuose dalyvavo daugiau kaip 39 000 pacientų (žr. 5.1 skyrių).</w:t>
      </w:r>
    </w:p>
    <w:p w14:paraId="6A794EE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4AD477AA" w14:textId="5CB5489C"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PLATO tyrimo metu tikagreloro vartojimą dėl nepageidaujamų reiškinių nutraukė daugiau pacientų, negu klopidogrelio (7,4 %, palyginti su 5,4 %). PEGASUS tyrimo metu tikagreloro vartojimą dėl nepageidaujamų reiškinių nutraukė daugiau pacientų negu </w:t>
      </w:r>
      <w:r w:rsidR="00920D54" w:rsidRPr="00DF20DE">
        <w:rPr>
          <w:rFonts w:ascii="Times New Roman" w:eastAsia="Times New Roman" w:hAnsi="Times New Roman" w:cs="Times New Roman"/>
        </w:rPr>
        <w:t xml:space="preserve">vartojusių </w:t>
      </w:r>
      <w:r w:rsidRPr="00DF20DE">
        <w:rPr>
          <w:rFonts w:ascii="Times New Roman" w:eastAsia="Times New Roman" w:hAnsi="Times New Roman" w:cs="Times New Roman"/>
        </w:rPr>
        <w:t>vien ASR (16,1 % vartojusių 60 mg tikagreloro kartu su ASR, palyginti su 8,5 % vartojusių vien ASR). Tikagrelor</w:t>
      </w:r>
      <w:r w:rsidR="00920D54"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vartojusiems pacientams dažniausiai pranešamos nepageidaujamos reakcijos buvo kraujavimas ir dusulys (žr. 4.4 skyrių).</w:t>
      </w:r>
    </w:p>
    <w:p w14:paraId="53FF91B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E870FD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Nepageidaujamų reakcijų santrauka lentelėje</w:t>
      </w:r>
    </w:p>
    <w:p w14:paraId="6E76D76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Toliau (1 lentelėje) išvardytos nepageidaujamos reakcijos, nustatytos tikagreloro tyrimų metu arba iš pranešimų, gautų tikagrelorą pateikus į rinką.</w:t>
      </w:r>
    </w:p>
    <w:p w14:paraId="6032B51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145A9E42" w14:textId="610D219A"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Nepageidaujamos reakcijos yra išvardytos pagal MedDRA organų sistemų klases. Kiekvienos organų sistemų klasės nepageidaujamų reakcijų atvejai suklasifikuoti į dažnio kategorijas. </w:t>
      </w:r>
      <w:r w:rsidR="007A4CA5" w:rsidRPr="00DF20DE">
        <w:rPr>
          <w:rFonts w:ascii="Times New Roman" w:eastAsia="Times New Roman" w:hAnsi="Times New Roman" w:cs="Times New Roman"/>
        </w:rPr>
        <w:t xml:space="preserve">Nepageidaujamo poveikio dažnis apibūdinamas taip: </w:t>
      </w:r>
      <w:r w:rsidRPr="00DF20DE">
        <w:rPr>
          <w:rFonts w:ascii="Times New Roman" w:eastAsia="Times New Roman" w:hAnsi="Times New Roman" w:cs="Times New Roman"/>
        </w:rPr>
        <w:t>labai dažnas (≥ 1/10), dažnas nuo (≥ 1/100 iki &lt; 1/10), nedažnas (nuo ≥ 1/1</w:t>
      </w:r>
      <w:r w:rsidR="007A4CA5" w:rsidRPr="00DF20DE">
        <w:rPr>
          <w:rFonts w:ascii="Times New Roman" w:eastAsia="Times New Roman" w:hAnsi="Times New Roman" w:cs="Times New Roman"/>
        </w:rPr>
        <w:t> </w:t>
      </w:r>
      <w:r w:rsidRPr="00DF20DE">
        <w:rPr>
          <w:rFonts w:ascii="Times New Roman" w:eastAsia="Times New Roman" w:hAnsi="Times New Roman" w:cs="Times New Roman"/>
        </w:rPr>
        <w:t>000 iki &lt; 1/100), retas (nuo ≥ 1/10</w:t>
      </w:r>
      <w:r w:rsidR="007A4CA5" w:rsidRPr="00DF20DE">
        <w:rPr>
          <w:rFonts w:ascii="Times New Roman" w:eastAsia="Times New Roman" w:hAnsi="Times New Roman" w:cs="Times New Roman"/>
        </w:rPr>
        <w:t> </w:t>
      </w:r>
      <w:r w:rsidRPr="00DF20DE">
        <w:rPr>
          <w:rFonts w:ascii="Times New Roman" w:eastAsia="Times New Roman" w:hAnsi="Times New Roman" w:cs="Times New Roman"/>
        </w:rPr>
        <w:t>000 iki &lt; 1/1</w:t>
      </w:r>
      <w:r w:rsidR="007A4CA5" w:rsidRPr="00DF20DE">
        <w:rPr>
          <w:rFonts w:ascii="Times New Roman" w:eastAsia="Times New Roman" w:hAnsi="Times New Roman" w:cs="Times New Roman"/>
        </w:rPr>
        <w:t> </w:t>
      </w:r>
      <w:r w:rsidRPr="00DF20DE">
        <w:rPr>
          <w:rFonts w:ascii="Times New Roman" w:eastAsia="Times New Roman" w:hAnsi="Times New Roman" w:cs="Times New Roman"/>
        </w:rPr>
        <w:t>000), labai retas (&lt;1/10</w:t>
      </w:r>
      <w:r w:rsidR="007A4CA5" w:rsidRPr="00DF20DE">
        <w:rPr>
          <w:rFonts w:ascii="Times New Roman" w:eastAsia="Times New Roman" w:hAnsi="Times New Roman" w:cs="Times New Roman"/>
        </w:rPr>
        <w:t> </w:t>
      </w:r>
      <w:r w:rsidRPr="00DF20DE">
        <w:rPr>
          <w:rFonts w:ascii="Times New Roman" w:eastAsia="Times New Roman" w:hAnsi="Times New Roman" w:cs="Times New Roman"/>
        </w:rPr>
        <w:t>000), nežinomas (negali būti apskaičiuotas pagal turimus duomenis).</w:t>
      </w:r>
    </w:p>
    <w:p w14:paraId="73760E7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3159F75" w14:textId="7847562F" w:rsidR="00F151B8" w:rsidRPr="00DF20DE" w:rsidRDefault="00F151B8" w:rsidP="00F151B8">
      <w:pPr>
        <w:widowControl w:val="0"/>
        <w:tabs>
          <w:tab w:val="left" w:pos="382"/>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1 lentelė. Nepageidaujamos reakcijos pagal dažnį ir organų sistemų klases</w:t>
      </w:r>
      <w:r w:rsidR="007A4CA5" w:rsidRPr="00DF20DE">
        <w:rPr>
          <w:rFonts w:ascii="Times New Roman" w:eastAsia="Times New Roman" w:hAnsi="Times New Roman" w:cs="Times New Roman"/>
          <w:b/>
          <w:bCs/>
        </w:rPr>
        <w:t xml:space="preserve"> (OSK)</w:t>
      </w:r>
    </w:p>
    <w:p w14:paraId="3F93163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p>
    <w:tbl>
      <w:tblPr>
        <w:tblW w:w="90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31"/>
        <w:gridCol w:w="1659"/>
        <w:gridCol w:w="1710"/>
        <w:gridCol w:w="1620"/>
        <w:gridCol w:w="1890"/>
      </w:tblGrid>
      <w:tr w:rsidR="00F151B8" w:rsidRPr="00DF20DE" w14:paraId="346E626C" w14:textId="77777777" w:rsidTr="00864478">
        <w:trPr>
          <w:trHeight w:val="508"/>
        </w:trPr>
        <w:tc>
          <w:tcPr>
            <w:tcW w:w="2131" w:type="dxa"/>
          </w:tcPr>
          <w:p w14:paraId="08C7CCC5" w14:textId="2A38DF62" w:rsidR="00F151B8" w:rsidRPr="00DF20DE" w:rsidRDefault="007A4CA5" w:rsidP="00F151B8">
            <w:pPr>
              <w:widowControl w:val="0"/>
              <w:autoSpaceDE w:val="0"/>
              <w:autoSpaceDN w:val="0"/>
              <w:spacing w:after="0" w:line="240" w:lineRule="auto"/>
              <w:ind w:left="75" w:right="51"/>
              <w:rPr>
                <w:rFonts w:ascii="Times New Roman" w:eastAsia="Times New Roman" w:hAnsi="Times New Roman" w:cs="Times New Roman"/>
                <w:b/>
              </w:rPr>
            </w:pPr>
            <w:r w:rsidRPr="00DF20DE">
              <w:rPr>
                <w:rFonts w:ascii="Times New Roman" w:eastAsia="Times New Roman" w:hAnsi="Times New Roman" w:cs="Times New Roman"/>
                <w:b/>
              </w:rPr>
              <w:t>OSK</w:t>
            </w:r>
          </w:p>
        </w:tc>
        <w:tc>
          <w:tcPr>
            <w:tcW w:w="1659" w:type="dxa"/>
          </w:tcPr>
          <w:p w14:paraId="7407490D" w14:textId="77777777" w:rsidR="00F151B8" w:rsidRPr="00DF20DE" w:rsidRDefault="00F151B8" w:rsidP="00F151B8">
            <w:pPr>
              <w:widowControl w:val="0"/>
              <w:autoSpaceDE w:val="0"/>
              <w:autoSpaceDN w:val="0"/>
              <w:spacing w:after="0" w:line="240" w:lineRule="auto"/>
              <w:ind w:left="129"/>
              <w:jc w:val="center"/>
              <w:rPr>
                <w:rFonts w:ascii="Times New Roman" w:eastAsia="Times New Roman" w:hAnsi="Times New Roman" w:cs="Times New Roman"/>
                <w:b/>
              </w:rPr>
            </w:pPr>
            <w:r w:rsidRPr="00DF20DE">
              <w:rPr>
                <w:rFonts w:ascii="Times New Roman" w:eastAsia="Times New Roman" w:hAnsi="Times New Roman" w:cs="Times New Roman"/>
                <w:b/>
              </w:rPr>
              <w:t>Labai dažnas</w:t>
            </w:r>
          </w:p>
        </w:tc>
        <w:tc>
          <w:tcPr>
            <w:tcW w:w="1710" w:type="dxa"/>
          </w:tcPr>
          <w:p w14:paraId="568A6D5C" w14:textId="77777777" w:rsidR="00F151B8" w:rsidRPr="00DF20DE" w:rsidRDefault="00F151B8" w:rsidP="00F151B8">
            <w:pPr>
              <w:widowControl w:val="0"/>
              <w:autoSpaceDE w:val="0"/>
              <w:autoSpaceDN w:val="0"/>
              <w:spacing w:after="0" w:line="240" w:lineRule="auto"/>
              <w:ind w:left="90" w:right="90"/>
              <w:jc w:val="center"/>
              <w:rPr>
                <w:rFonts w:ascii="Times New Roman" w:eastAsia="Times New Roman" w:hAnsi="Times New Roman" w:cs="Times New Roman"/>
                <w:b/>
              </w:rPr>
            </w:pPr>
            <w:r w:rsidRPr="00DF20DE">
              <w:rPr>
                <w:rFonts w:ascii="Times New Roman" w:eastAsia="Times New Roman" w:hAnsi="Times New Roman" w:cs="Times New Roman"/>
                <w:b/>
              </w:rPr>
              <w:t>Dažnas</w:t>
            </w:r>
          </w:p>
        </w:tc>
        <w:tc>
          <w:tcPr>
            <w:tcW w:w="1620" w:type="dxa"/>
          </w:tcPr>
          <w:p w14:paraId="17924328" w14:textId="77777777" w:rsidR="00F151B8" w:rsidRPr="00DF20DE" w:rsidRDefault="00F151B8" w:rsidP="00F151B8">
            <w:pPr>
              <w:widowControl w:val="0"/>
              <w:autoSpaceDE w:val="0"/>
              <w:autoSpaceDN w:val="0"/>
              <w:spacing w:after="0" w:line="240" w:lineRule="auto"/>
              <w:ind w:left="90" w:right="90"/>
              <w:jc w:val="center"/>
              <w:rPr>
                <w:rFonts w:ascii="Times New Roman" w:eastAsia="Times New Roman" w:hAnsi="Times New Roman" w:cs="Times New Roman"/>
                <w:b/>
              </w:rPr>
            </w:pPr>
            <w:r w:rsidRPr="00DF20DE">
              <w:rPr>
                <w:rFonts w:ascii="Times New Roman" w:eastAsia="Times New Roman" w:hAnsi="Times New Roman" w:cs="Times New Roman"/>
                <w:b/>
              </w:rPr>
              <w:t>Nedažnas</w:t>
            </w:r>
          </w:p>
        </w:tc>
        <w:tc>
          <w:tcPr>
            <w:tcW w:w="1890" w:type="dxa"/>
          </w:tcPr>
          <w:p w14:paraId="61271C1D" w14:textId="77777777" w:rsidR="00F151B8" w:rsidRPr="00DF20DE" w:rsidRDefault="00F151B8" w:rsidP="00F151B8">
            <w:pPr>
              <w:widowControl w:val="0"/>
              <w:autoSpaceDE w:val="0"/>
              <w:autoSpaceDN w:val="0"/>
              <w:spacing w:after="0" w:line="240" w:lineRule="auto"/>
              <w:ind w:left="90" w:right="90"/>
              <w:jc w:val="center"/>
              <w:rPr>
                <w:rFonts w:ascii="Times New Roman" w:eastAsia="Times New Roman" w:hAnsi="Times New Roman" w:cs="Times New Roman"/>
                <w:b/>
              </w:rPr>
            </w:pPr>
            <w:r w:rsidRPr="00DF20DE">
              <w:rPr>
                <w:rFonts w:ascii="Times New Roman" w:eastAsia="Times New Roman" w:hAnsi="Times New Roman" w:cs="Times New Roman"/>
                <w:b/>
              </w:rPr>
              <w:t>Dažnis nežinomas</w:t>
            </w:r>
          </w:p>
        </w:tc>
      </w:tr>
      <w:tr w:rsidR="00F151B8" w:rsidRPr="00DF20DE" w14:paraId="7588C7F5" w14:textId="77777777" w:rsidTr="00864478">
        <w:trPr>
          <w:trHeight w:val="1282"/>
        </w:trPr>
        <w:tc>
          <w:tcPr>
            <w:tcW w:w="2131" w:type="dxa"/>
          </w:tcPr>
          <w:p w14:paraId="09C29391"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Gerybiniai, piktybiniai ir nepatikslinti navikai (tarp jų cistos ir polipai)</w:t>
            </w:r>
          </w:p>
        </w:tc>
        <w:tc>
          <w:tcPr>
            <w:tcW w:w="1659" w:type="dxa"/>
          </w:tcPr>
          <w:p w14:paraId="08A3DC59"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rPr>
            </w:pPr>
          </w:p>
        </w:tc>
        <w:tc>
          <w:tcPr>
            <w:tcW w:w="1710" w:type="dxa"/>
          </w:tcPr>
          <w:p w14:paraId="1148FE6D"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p>
        </w:tc>
        <w:tc>
          <w:tcPr>
            <w:tcW w:w="1620" w:type="dxa"/>
          </w:tcPr>
          <w:p w14:paraId="38556900" w14:textId="27952FC3"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Kraujavimai iš naviko</w:t>
            </w:r>
            <w:r w:rsidRPr="00DF20DE">
              <w:rPr>
                <w:rFonts w:ascii="Times New Roman" w:eastAsia="Times New Roman" w:hAnsi="Times New Roman" w:cs="Times New Roman"/>
                <w:vertAlign w:val="superscript"/>
              </w:rPr>
              <w:t>a</w:t>
            </w:r>
          </w:p>
        </w:tc>
        <w:tc>
          <w:tcPr>
            <w:tcW w:w="1890" w:type="dxa"/>
          </w:tcPr>
          <w:p w14:paraId="3FA9F0D4"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p>
        </w:tc>
      </w:tr>
      <w:tr w:rsidR="00F151B8" w:rsidRPr="00DF20DE" w14:paraId="1BD4CC2A" w14:textId="77777777" w:rsidTr="00864478">
        <w:trPr>
          <w:trHeight w:val="757"/>
        </w:trPr>
        <w:tc>
          <w:tcPr>
            <w:tcW w:w="2131" w:type="dxa"/>
          </w:tcPr>
          <w:p w14:paraId="1B6C0522"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Kraujo ir limfinės sistemos sutrikimai</w:t>
            </w:r>
          </w:p>
        </w:tc>
        <w:tc>
          <w:tcPr>
            <w:tcW w:w="1659" w:type="dxa"/>
          </w:tcPr>
          <w:p w14:paraId="1A0D9809" w14:textId="6F5D09D0"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rPr>
            </w:pPr>
            <w:r w:rsidRPr="00DF20DE">
              <w:rPr>
                <w:rFonts w:ascii="Times New Roman" w:eastAsia="Times New Roman" w:hAnsi="Times New Roman" w:cs="Times New Roman"/>
              </w:rPr>
              <w:t>Kraujo sutrikimai, kraujavimas</w:t>
            </w:r>
            <w:r w:rsidRPr="00DF20DE">
              <w:rPr>
                <w:rFonts w:ascii="Times New Roman" w:eastAsia="Times New Roman" w:hAnsi="Times New Roman" w:cs="Times New Roman"/>
                <w:vertAlign w:val="superscript"/>
              </w:rPr>
              <w:t>b</w:t>
            </w:r>
          </w:p>
        </w:tc>
        <w:tc>
          <w:tcPr>
            <w:tcW w:w="1710" w:type="dxa"/>
          </w:tcPr>
          <w:p w14:paraId="168E4AF8"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620" w:type="dxa"/>
          </w:tcPr>
          <w:p w14:paraId="6BDEBA52"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890" w:type="dxa"/>
          </w:tcPr>
          <w:p w14:paraId="5A9EDEC3" w14:textId="3BF70B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Trombinė trombocitopeninė purpura</w:t>
            </w:r>
            <w:r w:rsidRPr="00DF20DE">
              <w:rPr>
                <w:rFonts w:ascii="Times New Roman" w:eastAsia="Times New Roman" w:hAnsi="Times New Roman" w:cs="Times New Roman"/>
                <w:vertAlign w:val="superscript"/>
              </w:rPr>
              <w:t>c</w:t>
            </w:r>
          </w:p>
        </w:tc>
      </w:tr>
      <w:tr w:rsidR="00F151B8" w:rsidRPr="00DF20DE" w14:paraId="551F9965" w14:textId="77777777" w:rsidTr="00864478">
        <w:trPr>
          <w:trHeight w:val="757"/>
        </w:trPr>
        <w:tc>
          <w:tcPr>
            <w:tcW w:w="2131" w:type="dxa"/>
          </w:tcPr>
          <w:p w14:paraId="4DA91B42"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Imuninės sistemos sutrikimai</w:t>
            </w:r>
          </w:p>
        </w:tc>
        <w:tc>
          <w:tcPr>
            <w:tcW w:w="1659" w:type="dxa"/>
          </w:tcPr>
          <w:p w14:paraId="6B878F10"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10" w:type="dxa"/>
          </w:tcPr>
          <w:p w14:paraId="4A883BB8"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620" w:type="dxa"/>
          </w:tcPr>
          <w:p w14:paraId="6767D2B0" w14:textId="62F39DBD"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Padidėjęs jautrumas, įskaitant angioneurozinę edemą</w:t>
            </w:r>
            <w:r w:rsidRPr="00DF20DE">
              <w:rPr>
                <w:rFonts w:ascii="Times New Roman" w:eastAsia="Times New Roman" w:hAnsi="Times New Roman" w:cs="Times New Roman"/>
                <w:vertAlign w:val="superscript"/>
              </w:rPr>
              <w:t>c</w:t>
            </w:r>
          </w:p>
        </w:tc>
        <w:tc>
          <w:tcPr>
            <w:tcW w:w="1890" w:type="dxa"/>
          </w:tcPr>
          <w:p w14:paraId="150AA9C5"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198FB187" w14:textId="77777777" w:rsidTr="00864478">
        <w:trPr>
          <w:trHeight w:val="681"/>
        </w:trPr>
        <w:tc>
          <w:tcPr>
            <w:tcW w:w="2131" w:type="dxa"/>
          </w:tcPr>
          <w:p w14:paraId="384CA5B0"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Metabolizmo ir mitybos sutrikimai</w:t>
            </w:r>
          </w:p>
        </w:tc>
        <w:tc>
          <w:tcPr>
            <w:tcW w:w="1659" w:type="dxa"/>
          </w:tcPr>
          <w:p w14:paraId="6F7D1D49" w14:textId="10E20465"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rPr>
            </w:pPr>
            <w:r w:rsidRPr="00DF20DE">
              <w:rPr>
                <w:rFonts w:ascii="Times New Roman" w:eastAsia="Times New Roman" w:hAnsi="Times New Roman" w:cs="Times New Roman"/>
              </w:rPr>
              <w:t>Hiperurikemija</w:t>
            </w:r>
            <w:r w:rsidRPr="00DF20DE">
              <w:rPr>
                <w:rFonts w:ascii="Times New Roman" w:eastAsia="Times New Roman" w:hAnsi="Times New Roman" w:cs="Times New Roman"/>
                <w:vertAlign w:val="superscript"/>
              </w:rPr>
              <w:t>d</w:t>
            </w:r>
          </w:p>
        </w:tc>
        <w:tc>
          <w:tcPr>
            <w:tcW w:w="1710" w:type="dxa"/>
          </w:tcPr>
          <w:p w14:paraId="2DD97D3F"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Podagra ar podagrinis artritas</w:t>
            </w:r>
          </w:p>
        </w:tc>
        <w:tc>
          <w:tcPr>
            <w:tcW w:w="1620" w:type="dxa"/>
          </w:tcPr>
          <w:p w14:paraId="0BA699F4"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890" w:type="dxa"/>
          </w:tcPr>
          <w:p w14:paraId="116CE4BC"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2E5BF1F3" w14:textId="77777777" w:rsidTr="00864478">
        <w:trPr>
          <w:trHeight w:val="681"/>
        </w:trPr>
        <w:tc>
          <w:tcPr>
            <w:tcW w:w="2131" w:type="dxa"/>
          </w:tcPr>
          <w:p w14:paraId="389A487B"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Psichikos sutrikimai</w:t>
            </w:r>
          </w:p>
        </w:tc>
        <w:tc>
          <w:tcPr>
            <w:tcW w:w="1659" w:type="dxa"/>
          </w:tcPr>
          <w:p w14:paraId="11DB789E"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10" w:type="dxa"/>
          </w:tcPr>
          <w:p w14:paraId="2BAF0863"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620" w:type="dxa"/>
          </w:tcPr>
          <w:p w14:paraId="74E18046"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Sumišimas</w:t>
            </w:r>
          </w:p>
        </w:tc>
        <w:tc>
          <w:tcPr>
            <w:tcW w:w="1890" w:type="dxa"/>
          </w:tcPr>
          <w:p w14:paraId="0A02F41F"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1EB01069" w14:textId="77777777" w:rsidTr="00864478">
        <w:trPr>
          <w:trHeight w:val="758"/>
        </w:trPr>
        <w:tc>
          <w:tcPr>
            <w:tcW w:w="2131" w:type="dxa"/>
          </w:tcPr>
          <w:p w14:paraId="185DC2F5"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Nervų sistemos sutrikimai</w:t>
            </w:r>
          </w:p>
        </w:tc>
        <w:tc>
          <w:tcPr>
            <w:tcW w:w="1659" w:type="dxa"/>
          </w:tcPr>
          <w:p w14:paraId="600CF603"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10" w:type="dxa"/>
          </w:tcPr>
          <w:p w14:paraId="6C46B617"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Svaigulys, sinkopė, galvos skausmas</w:t>
            </w:r>
          </w:p>
        </w:tc>
        <w:tc>
          <w:tcPr>
            <w:tcW w:w="1620" w:type="dxa"/>
          </w:tcPr>
          <w:p w14:paraId="6FC48ADC" w14:textId="03FF2F7E"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Intrakranijinis kraujavimas</w:t>
            </w:r>
            <w:r w:rsidR="007A4CA5" w:rsidRPr="00DF20DE">
              <w:rPr>
                <w:rFonts w:ascii="Times New Roman" w:eastAsia="Times New Roman" w:hAnsi="Times New Roman" w:cs="Times New Roman"/>
                <w:vertAlign w:val="superscript"/>
              </w:rPr>
              <w:t>m</w:t>
            </w:r>
          </w:p>
        </w:tc>
        <w:tc>
          <w:tcPr>
            <w:tcW w:w="1890" w:type="dxa"/>
          </w:tcPr>
          <w:p w14:paraId="62101986"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2FE98ACD" w14:textId="77777777" w:rsidTr="00864478">
        <w:trPr>
          <w:trHeight w:val="681"/>
        </w:trPr>
        <w:tc>
          <w:tcPr>
            <w:tcW w:w="2131" w:type="dxa"/>
          </w:tcPr>
          <w:p w14:paraId="637240BE"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lastRenderedPageBreak/>
              <w:t>Akių sutrikimai</w:t>
            </w:r>
          </w:p>
        </w:tc>
        <w:tc>
          <w:tcPr>
            <w:tcW w:w="1659" w:type="dxa"/>
          </w:tcPr>
          <w:p w14:paraId="312AA67F"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10" w:type="dxa"/>
          </w:tcPr>
          <w:p w14:paraId="4C421813"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620" w:type="dxa"/>
          </w:tcPr>
          <w:p w14:paraId="1EA264C0" w14:textId="599BDDF8"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Kraujosruva akyje</w:t>
            </w:r>
            <w:r w:rsidRPr="00DF20DE">
              <w:rPr>
                <w:rFonts w:ascii="Times New Roman" w:eastAsia="Times New Roman" w:hAnsi="Times New Roman" w:cs="Times New Roman"/>
                <w:vertAlign w:val="superscript"/>
              </w:rPr>
              <w:t>e</w:t>
            </w:r>
          </w:p>
        </w:tc>
        <w:tc>
          <w:tcPr>
            <w:tcW w:w="1890" w:type="dxa"/>
          </w:tcPr>
          <w:p w14:paraId="56FFD70A"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19D339E0" w14:textId="77777777" w:rsidTr="00864478">
        <w:trPr>
          <w:trHeight w:val="676"/>
        </w:trPr>
        <w:tc>
          <w:tcPr>
            <w:tcW w:w="2131" w:type="dxa"/>
          </w:tcPr>
          <w:p w14:paraId="2D7EB117"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Ausų ir labirintų sutrikimai</w:t>
            </w:r>
          </w:p>
        </w:tc>
        <w:tc>
          <w:tcPr>
            <w:tcW w:w="1659" w:type="dxa"/>
          </w:tcPr>
          <w:p w14:paraId="705C984B"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10" w:type="dxa"/>
          </w:tcPr>
          <w:p w14:paraId="2B4B6664"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Svaigimas (</w:t>
            </w:r>
            <w:r w:rsidRPr="00DF20DE">
              <w:rPr>
                <w:rFonts w:ascii="Times New Roman" w:eastAsia="Times New Roman" w:hAnsi="Times New Roman" w:cs="Times New Roman"/>
                <w:i/>
                <w:iCs/>
              </w:rPr>
              <w:t>vertigo</w:t>
            </w:r>
            <w:r w:rsidRPr="00DF20DE">
              <w:rPr>
                <w:rFonts w:ascii="Times New Roman" w:eastAsia="Times New Roman" w:hAnsi="Times New Roman" w:cs="Times New Roman"/>
              </w:rPr>
              <w:t>)</w:t>
            </w:r>
          </w:p>
        </w:tc>
        <w:tc>
          <w:tcPr>
            <w:tcW w:w="1620" w:type="dxa"/>
          </w:tcPr>
          <w:p w14:paraId="06A3C899"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Kraujavimas iš ausies</w:t>
            </w:r>
          </w:p>
        </w:tc>
        <w:tc>
          <w:tcPr>
            <w:tcW w:w="1890" w:type="dxa"/>
          </w:tcPr>
          <w:p w14:paraId="545346E2"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CF0204" w:rsidRPr="00DF20DE" w14:paraId="111B4088" w14:textId="77777777" w:rsidTr="00864478">
        <w:trPr>
          <w:trHeight w:val="681"/>
        </w:trPr>
        <w:tc>
          <w:tcPr>
            <w:tcW w:w="2131" w:type="dxa"/>
          </w:tcPr>
          <w:p w14:paraId="72241DD2" w14:textId="728180A3" w:rsidR="00CF0204" w:rsidRPr="00DF20DE" w:rsidRDefault="00CF0204"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Širdies susitraukimai</w:t>
            </w:r>
          </w:p>
        </w:tc>
        <w:tc>
          <w:tcPr>
            <w:tcW w:w="1659" w:type="dxa"/>
          </w:tcPr>
          <w:p w14:paraId="6E990589" w14:textId="77777777" w:rsidR="00CF0204" w:rsidRPr="00DF20DE" w:rsidRDefault="00CF0204"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10" w:type="dxa"/>
          </w:tcPr>
          <w:p w14:paraId="7F764988" w14:textId="77777777" w:rsidR="00CF0204" w:rsidRPr="00DF20DE" w:rsidRDefault="00CF0204" w:rsidP="00F151B8">
            <w:pPr>
              <w:widowControl w:val="0"/>
              <w:autoSpaceDE w:val="0"/>
              <w:autoSpaceDN w:val="0"/>
              <w:spacing w:after="0" w:line="240" w:lineRule="auto"/>
              <w:ind w:left="90" w:right="90"/>
              <w:rPr>
                <w:rFonts w:ascii="Times New Roman" w:eastAsia="Times New Roman" w:hAnsi="Times New Roman" w:cs="Times New Roman"/>
              </w:rPr>
            </w:pPr>
          </w:p>
        </w:tc>
        <w:tc>
          <w:tcPr>
            <w:tcW w:w="1620" w:type="dxa"/>
          </w:tcPr>
          <w:p w14:paraId="77EFF4D8" w14:textId="77777777" w:rsidR="00CF0204" w:rsidRPr="00DF20DE" w:rsidRDefault="00CF0204"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890" w:type="dxa"/>
          </w:tcPr>
          <w:p w14:paraId="4B90E7D9" w14:textId="22E26D6E" w:rsidR="00CF0204" w:rsidRPr="00DF20DE" w:rsidRDefault="00CF0204" w:rsidP="00F151B8">
            <w:pPr>
              <w:widowControl w:val="0"/>
              <w:autoSpaceDE w:val="0"/>
              <w:autoSpaceDN w:val="0"/>
              <w:spacing w:after="0" w:line="240" w:lineRule="auto"/>
              <w:ind w:left="90" w:right="90"/>
              <w:rPr>
                <w:rFonts w:ascii="Times New Roman" w:eastAsia="Times New Roman" w:hAnsi="Times New Roman" w:cs="Times New Roman"/>
                <w:sz w:val="20"/>
              </w:rPr>
            </w:pPr>
            <w:r w:rsidRPr="00DF20DE">
              <w:rPr>
                <w:rFonts w:ascii="Times New Roman" w:eastAsia="Times New Roman" w:hAnsi="Times New Roman" w:cs="Times New Roman"/>
                <w:sz w:val="20"/>
              </w:rPr>
              <w:t>Bradiaritmija, AV blokada</w:t>
            </w:r>
            <w:r w:rsidRPr="006A7DC7">
              <w:rPr>
                <w:rFonts w:ascii="Times New Roman" w:eastAsia="Times New Roman" w:hAnsi="Times New Roman" w:cs="Times New Roman"/>
                <w:sz w:val="20"/>
                <w:vertAlign w:val="superscript"/>
              </w:rPr>
              <w:t>c</w:t>
            </w:r>
          </w:p>
        </w:tc>
      </w:tr>
      <w:tr w:rsidR="00F151B8" w:rsidRPr="00DF20DE" w14:paraId="660A35DD" w14:textId="77777777" w:rsidTr="00864478">
        <w:trPr>
          <w:trHeight w:val="681"/>
        </w:trPr>
        <w:tc>
          <w:tcPr>
            <w:tcW w:w="2131" w:type="dxa"/>
          </w:tcPr>
          <w:p w14:paraId="575FFDD2"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Kraujagyslių sutrikimai</w:t>
            </w:r>
          </w:p>
        </w:tc>
        <w:tc>
          <w:tcPr>
            <w:tcW w:w="1659" w:type="dxa"/>
          </w:tcPr>
          <w:p w14:paraId="18994B04"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10" w:type="dxa"/>
          </w:tcPr>
          <w:p w14:paraId="4BDF973E"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Hipotenzija</w:t>
            </w:r>
          </w:p>
        </w:tc>
        <w:tc>
          <w:tcPr>
            <w:tcW w:w="1620" w:type="dxa"/>
          </w:tcPr>
          <w:p w14:paraId="5BBA079A"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890" w:type="dxa"/>
          </w:tcPr>
          <w:p w14:paraId="0AC2963C"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03C01963" w14:textId="77777777" w:rsidTr="00864478">
        <w:trPr>
          <w:trHeight w:val="1266"/>
        </w:trPr>
        <w:tc>
          <w:tcPr>
            <w:tcW w:w="2131" w:type="dxa"/>
          </w:tcPr>
          <w:p w14:paraId="30C156B9"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Kvėpavimo sistemos, krūtinės ląstos ir tarpuplaučio</w:t>
            </w:r>
          </w:p>
          <w:p w14:paraId="0428BF38"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sutrikimai</w:t>
            </w:r>
          </w:p>
        </w:tc>
        <w:tc>
          <w:tcPr>
            <w:tcW w:w="1659" w:type="dxa"/>
          </w:tcPr>
          <w:p w14:paraId="2A3C69D0"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rPr>
            </w:pPr>
            <w:r w:rsidRPr="00DF20DE">
              <w:rPr>
                <w:rFonts w:ascii="Times New Roman" w:eastAsia="Times New Roman" w:hAnsi="Times New Roman" w:cs="Times New Roman"/>
              </w:rPr>
              <w:t>Dusulys</w:t>
            </w:r>
          </w:p>
        </w:tc>
        <w:tc>
          <w:tcPr>
            <w:tcW w:w="1710" w:type="dxa"/>
          </w:tcPr>
          <w:p w14:paraId="6AB41951" w14:textId="6BC6DD53"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Kraujavimai kvėpavimo sistemoje</w:t>
            </w:r>
            <w:r w:rsidRPr="00DF20DE">
              <w:rPr>
                <w:rFonts w:ascii="Times New Roman" w:eastAsia="Times New Roman" w:hAnsi="Times New Roman" w:cs="Times New Roman"/>
                <w:vertAlign w:val="superscript"/>
              </w:rPr>
              <w:t>f</w:t>
            </w:r>
          </w:p>
        </w:tc>
        <w:tc>
          <w:tcPr>
            <w:tcW w:w="1620" w:type="dxa"/>
          </w:tcPr>
          <w:p w14:paraId="1A3C2094"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890" w:type="dxa"/>
          </w:tcPr>
          <w:p w14:paraId="0FBA93AD"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080997AB" w14:textId="77777777" w:rsidTr="00864478">
        <w:trPr>
          <w:trHeight w:val="1770"/>
        </w:trPr>
        <w:tc>
          <w:tcPr>
            <w:tcW w:w="2131" w:type="dxa"/>
          </w:tcPr>
          <w:p w14:paraId="7B9A8DA7"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Virškinimo trakto sutrikimai</w:t>
            </w:r>
          </w:p>
        </w:tc>
        <w:tc>
          <w:tcPr>
            <w:tcW w:w="1659" w:type="dxa"/>
          </w:tcPr>
          <w:p w14:paraId="733943B0"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10" w:type="dxa"/>
          </w:tcPr>
          <w:p w14:paraId="0C5D2E35" w14:textId="30D4EDF3" w:rsidR="00F151B8" w:rsidRPr="00DF20DE" w:rsidRDefault="00F151B8" w:rsidP="007A4CA5">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Kraujavimas iš virškinimo trakto</w:t>
            </w:r>
            <w:r w:rsidRPr="00DF20DE">
              <w:rPr>
                <w:rFonts w:ascii="Times New Roman" w:eastAsia="Times New Roman" w:hAnsi="Times New Roman" w:cs="Times New Roman"/>
                <w:vertAlign w:val="superscript"/>
              </w:rPr>
              <w:t>g</w:t>
            </w:r>
            <w:r w:rsidRPr="00DF20DE">
              <w:rPr>
                <w:rFonts w:ascii="Times New Roman" w:eastAsia="Times New Roman" w:hAnsi="Times New Roman" w:cs="Times New Roman"/>
              </w:rPr>
              <w:t>, viduriavimas, pykinimas, nevirškinimas, vidurių</w:t>
            </w:r>
            <w:r w:rsidR="007A4CA5" w:rsidRPr="00DF20DE">
              <w:rPr>
                <w:rFonts w:ascii="Times New Roman" w:eastAsia="Times New Roman" w:hAnsi="Times New Roman" w:cs="Times New Roman"/>
              </w:rPr>
              <w:t xml:space="preserve"> </w:t>
            </w:r>
            <w:r w:rsidRPr="00DF20DE">
              <w:rPr>
                <w:rFonts w:ascii="Times New Roman" w:eastAsia="Times New Roman" w:hAnsi="Times New Roman" w:cs="Times New Roman"/>
              </w:rPr>
              <w:t>užkietėjimas</w:t>
            </w:r>
          </w:p>
        </w:tc>
        <w:tc>
          <w:tcPr>
            <w:tcW w:w="1620" w:type="dxa"/>
          </w:tcPr>
          <w:p w14:paraId="6DC26105"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Retroperitoninis kraujavimas</w:t>
            </w:r>
          </w:p>
        </w:tc>
        <w:tc>
          <w:tcPr>
            <w:tcW w:w="1890" w:type="dxa"/>
          </w:tcPr>
          <w:p w14:paraId="5510FEBE"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220BF323" w14:textId="77777777" w:rsidTr="00864478">
        <w:trPr>
          <w:trHeight w:val="1012"/>
        </w:trPr>
        <w:tc>
          <w:tcPr>
            <w:tcW w:w="2131" w:type="dxa"/>
          </w:tcPr>
          <w:p w14:paraId="730C2A06"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Odos ir poodinio audinio sutrikimai</w:t>
            </w:r>
          </w:p>
        </w:tc>
        <w:tc>
          <w:tcPr>
            <w:tcW w:w="1659" w:type="dxa"/>
          </w:tcPr>
          <w:p w14:paraId="34B51D25"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10" w:type="dxa"/>
          </w:tcPr>
          <w:p w14:paraId="64C07017" w14:textId="297EAC2F" w:rsidR="00F151B8" w:rsidRPr="00DF20DE" w:rsidRDefault="00F151B8" w:rsidP="0086447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Poodinis arba dermos kraujavimas</w:t>
            </w:r>
            <w:r w:rsidRPr="00DF20DE">
              <w:rPr>
                <w:rFonts w:ascii="Times New Roman" w:eastAsia="Times New Roman" w:hAnsi="Times New Roman" w:cs="Times New Roman"/>
                <w:vertAlign w:val="superscript"/>
              </w:rPr>
              <w:t>h</w:t>
            </w:r>
            <w:r w:rsidRPr="00DF20DE">
              <w:rPr>
                <w:rFonts w:ascii="Times New Roman" w:eastAsia="Times New Roman" w:hAnsi="Times New Roman" w:cs="Times New Roman"/>
              </w:rPr>
              <w:t>,</w:t>
            </w:r>
            <w:r w:rsidR="00864478" w:rsidRPr="00DF20DE">
              <w:rPr>
                <w:rFonts w:ascii="Times New Roman" w:eastAsia="Times New Roman" w:hAnsi="Times New Roman" w:cs="Times New Roman"/>
              </w:rPr>
              <w:t xml:space="preserve"> </w:t>
            </w:r>
            <w:r w:rsidRPr="00DF20DE">
              <w:rPr>
                <w:rFonts w:ascii="Times New Roman" w:eastAsia="Times New Roman" w:hAnsi="Times New Roman" w:cs="Times New Roman"/>
              </w:rPr>
              <w:t>išbėrimas, niežėjimas</w:t>
            </w:r>
          </w:p>
        </w:tc>
        <w:tc>
          <w:tcPr>
            <w:tcW w:w="1620" w:type="dxa"/>
          </w:tcPr>
          <w:p w14:paraId="459900FD"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890" w:type="dxa"/>
          </w:tcPr>
          <w:p w14:paraId="19C7D390"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1AC0E7ED" w14:textId="77777777" w:rsidTr="00864478">
        <w:trPr>
          <w:trHeight w:val="757"/>
        </w:trPr>
        <w:tc>
          <w:tcPr>
            <w:tcW w:w="2131" w:type="dxa"/>
          </w:tcPr>
          <w:p w14:paraId="3F7B458E"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Skeleto, raumenų ir jungiamojo audinio</w:t>
            </w:r>
          </w:p>
          <w:p w14:paraId="77282921"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sutrikimai</w:t>
            </w:r>
          </w:p>
        </w:tc>
        <w:tc>
          <w:tcPr>
            <w:tcW w:w="1659" w:type="dxa"/>
          </w:tcPr>
          <w:p w14:paraId="5ABEE14E"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10" w:type="dxa"/>
          </w:tcPr>
          <w:p w14:paraId="67D65329"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620" w:type="dxa"/>
          </w:tcPr>
          <w:p w14:paraId="24414654" w14:textId="69BA0B92"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Kraujavimai į raumenis</w:t>
            </w:r>
            <w:r w:rsidRPr="00DF20DE">
              <w:rPr>
                <w:rFonts w:ascii="Times New Roman" w:eastAsia="Times New Roman" w:hAnsi="Times New Roman" w:cs="Times New Roman"/>
                <w:vertAlign w:val="superscript"/>
              </w:rPr>
              <w:t>i</w:t>
            </w:r>
          </w:p>
        </w:tc>
        <w:tc>
          <w:tcPr>
            <w:tcW w:w="1890" w:type="dxa"/>
          </w:tcPr>
          <w:p w14:paraId="7733D6B5"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01A93A20" w14:textId="77777777" w:rsidTr="00864478">
        <w:trPr>
          <w:trHeight w:val="681"/>
        </w:trPr>
        <w:tc>
          <w:tcPr>
            <w:tcW w:w="2131" w:type="dxa"/>
          </w:tcPr>
          <w:p w14:paraId="758E2079"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Inkstų ir šlapimo takų sutrikimai</w:t>
            </w:r>
          </w:p>
        </w:tc>
        <w:tc>
          <w:tcPr>
            <w:tcW w:w="1659" w:type="dxa"/>
          </w:tcPr>
          <w:p w14:paraId="6880B6B1"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10" w:type="dxa"/>
          </w:tcPr>
          <w:p w14:paraId="2CEDA481"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 xml:space="preserve">Kraujavimas iš šlapimo takų </w:t>
            </w:r>
            <w:r w:rsidRPr="00DF20DE">
              <w:rPr>
                <w:rFonts w:ascii="Times New Roman" w:eastAsia="Times New Roman" w:hAnsi="Times New Roman" w:cs="Times New Roman"/>
                <w:vertAlign w:val="superscript"/>
              </w:rPr>
              <w:t>j</w:t>
            </w:r>
          </w:p>
        </w:tc>
        <w:tc>
          <w:tcPr>
            <w:tcW w:w="1620" w:type="dxa"/>
          </w:tcPr>
          <w:p w14:paraId="33CCBA89"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890" w:type="dxa"/>
          </w:tcPr>
          <w:p w14:paraId="501CF329"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5BBB2EB0" w14:textId="77777777" w:rsidTr="00864478">
        <w:trPr>
          <w:trHeight w:val="676"/>
        </w:trPr>
        <w:tc>
          <w:tcPr>
            <w:tcW w:w="2131" w:type="dxa"/>
          </w:tcPr>
          <w:p w14:paraId="54278303"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Lytinės sistemos ir krūties sutrikimai</w:t>
            </w:r>
          </w:p>
        </w:tc>
        <w:tc>
          <w:tcPr>
            <w:tcW w:w="1659" w:type="dxa"/>
          </w:tcPr>
          <w:p w14:paraId="0AD9FC6F"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10" w:type="dxa"/>
          </w:tcPr>
          <w:p w14:paraId="67B5F44E"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620" w:type="dxa"/>
          </w:tcPr>
          <w:p w14:paraId="4A6A4733"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 xml:space="preserve">Kraujavimai iš lytinių organų </w:t>
            </w:r>
            <w:r w:rsidRPr="00DF20DE">
              <w:rPr>
                <w:rFonts w:ascii="Times New Roman" w:eastAsia="Times New Roman" w:hAnsi="Times New Roman" w:cs="Times New Roman"/>
                <w:vertAlign w:val="superscript"/>
              </w:rPr>
              <w:t>k</w:t>
            </w:r>
          </w:p>
        </w:tc>
        <w:tc>
          <w:tcPr>
            <w:tcW w:w="1890" w:type="dxa"/>
          </w:tcPr>
          <w:p w14:paraId="6A3A5AD3"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7C8E9BB1" w14:textId="77777777" w:rsidTr="00864478">
        <w:trPr>
          <w:trHeight w:val="1012"/>
        </w:trPr>
        <w:tc>
          <w:tcPr>
            <w:tcW w:w="2131" w:type="dxa"/>
          </w:tcPr>
          <w:p w14:paraId="36FAEE34"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Tyrimai</w:t>
            </w:r>
          </w:p>
        </w:tc>
        <w:tc>
          <w:tcPr>
            <w:tcW w:w="1659" w:type="dxa"/>
          </w:tcPr>
          <w:p w14:paraId="539119AE"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10" w:type="dxa"/>
          </w:tcPr>
          <w:p w14:paraId="00930B6C"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Padidėjusi kreatinino koncentracija</w:t>
            </w:r>
          </w:p>
          <w:p w14:paraId="2429CE3B" w14:textId="2E784B2E"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kraujyje</w:t>
            </w:r>
            <w:r w:rsidRPr="00DF20DE">
              <w:rPr>
                <w:rFonts w:ascii="Times New Roman" w:eastAsia="Times New Roman" w:hAnsi="Times New Roman" w:cs="Times New Roman"/>
                <w:vertAlign w:val="superscript"/>
              </w:rPr>
              <w:t>d</w:t>
            </w:r>
          </w:p>
        </w:tc>
        <w:tc>
          <w:tcPr>
            <w:tcW w:w="1620" w:type="dxa"/>
          </w:tcPr>
          <w:p w14:paraId="72D9766A"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890" w:type="dxa"/>
          </w:tcPr>
          <w:p w14:paraId="1BA0A2B4"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r w:rsidR="00F151B8" w:rsidRPr="00DF20DE" w14:paraId="3F888039" w14:textId="77777777" w:rsidTr="00864478">
        <w:trPr>
          <w:trHeight w:val="1012"/>
        </w:trPr>
        <w:tc>
          <w:tcPr>
            <w:tcW w:w="2131" w:type="dxa"/>
          </w:tcPr>
          <w:p w14:paraId="05F7E05F"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Sužalojimai, apsinuodijimai ir procedūrų</w:t>
            </w:r>
          </w:p>
          <w:p w14:paraId="116754C9" w14:textId="77777777" w:rsidR="00F151B8" w:rsidRPr="00DF20DE" w:rsidRDefault="00F151B8" w:rsidP="00F151B8">
            <w:pPr>
              <w:widowControl w:val="0"/>
              <w:autoSpaceDE w:val="0"/>
              <w:autoSpaceDN w:val="0"/>
              <w:spacing w:after="0" w:line="240" w:lineRule="auto"/>
              <w:ind w:left="75" w:right="51"/>
              <w:rPr>
                <w:rFonts w:ascii="Times New Roman" w:eastAsia="Times New Roman" w:hAnsi="Times New Roman" w:cs="Times New Roman"/>
                <w:i/>
              </w:rPr>
            </w:pPr>
            <w:r w:rsidRPr="00DF20DE">
              <w:rPr>
                <w:rFonts w:ascii="Times New Roman" w:eastAsia="Times New Roman" w:hAnsi="Times New Roman" w:cs="Times New Roman"/>
                <w:i/>
              </w:rPr>
              <w:t>komplikacijos</w:t>
            </w:r>
          </w:p>
        </w:tc>
        <w:tc>
          <w:tcPr>
            <w:tcW w:w="1659" w:type="dxa"/>
          </w:tcPr>
          <w:p w14:paraId="442C664E" w14:textId="77777777" w:rsidR="00F151B8" w:rsidRPr="00DF20DE" w:rsidRDefault="00F151B8" w:rsidP="00F151B8">
            <w:pPr>
              <w:widowControl w:val="0"/>
              <w:autoSpaceDE w:val="0"/>
              <w:autoSpaceDN w:val="0"/>
              <w:spacing w:after="0" w:line="240" w:lineRule="auto"/>
              <w:ind w:left="129"/>
              <w:rPr>
                <w:rFonts w:ascii="Times New Roman" w:eastAsia="Times New Roman" w:hAnsi="Times New Roman" w:cs="Times New Roman"/>
                <w:sz w:val="20"/>
              </w:rPr>
            </w:pPr>
          </w:p>
        </w:tc>
        <w:tc>
          <w:tcPr>
            <w:tcW w:w="1710" w:type="dxa"/>
          </w:tcPr>
          <w:p w14:paraId="765D9C85"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Kraujosruva po procedūros, kraujavimas po</w:t>
            </w:r>
          </w:p>
          <w:p w14:paraId="004A8086" w14:textId="3EAF000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rPr>
            </w:pPr>
            <w:r w:rsidRPr="00DF20DE">
              <w:rPr>
                <w:rFonts w:ascii="Times New Roman" w:eastAsia="Times New Roman" w:hAnsi="Times New Roman" w:cs="Times New Roman"/>
              </w:rPr>
              <w:t>traumos</w:t>
            </w:r>
            <w:r w:rsidRPr="00DF20DE">
              <w:rPr>
                <w:rFonts w:ascii="Times New Roman" w:eastAsia="Times New Roman" w:hAnsi="Times New Roman" w:cs="Times New Roman"/>
                <w:vertAlign w:val="superscript"/>
              </w:rPr>
              <w:t>l</w:t>
            </w:r>
          </w:p>
        </w:tc>
        <w:tc>
          <w:tcPr>
            <w:tcW w:w="1620" w:type="dxa"/>
          </w:tcPr>
          <w:p w14:paraId="45313EDD"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c>
          <w:tcPr>
            <w:tcW w:w="1890" w:type="dxa"/>
          </w:tcPr>
          <w:p w14:paraId="0D45883F" w14:textId="77777777" w:rsidR="00F151B8" w:rsidRPr="00DF20DE" w:rsidRDefault="00F151B8" w:rsidP="00F151B8">
            <w:pPr>
              <w:widowControl w:val="0"/>
              <w:autoSpaceDE w:val="0"/>
              <w:autoSpaceDN w:val="0"/>
              <w:spacing w:after="0" w:line="240" w:lineRule="auto"/>
              <w:ind w:left="90" w:right="90"/>
              <w:rPr>
                <w:rFonts w:ascii="Times New Roman" w:eastAsia="Times New Roman" w:hAnsi="Times New Roman" w:cs="Times New Roman"/>
                <w:sz w:val="20"/>
              </w:rPr>
            </w:pPr>
          </w:p>
        </w:tc>
      </w:tr>
    </w:tbl>
    <w:p w14:paraId="72ABF26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a</w:t>
      </w:r>
      <w:r w:rsidRPr="00DF20DE">
        <w:rPr>
          <w:rFonts w:ascii="Times New Roman" w:eastAsia="Times New Roman" w:hAnsi="Times New Roman" w:cs="Times New Roman"/>
          <w:sz w:val="20"/>
          <w:szCs w:val="20"/>
        </w:rPr>
        <w:t xml:space="preserve"> Pvz., kraujavimas iš šlapimo pūslės vėžio, skrandžio vėžio, storosios žarnos vėžio.</w:t>
      </w:r>
    </w:p>
    <w:p w14:paraId="497F689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b</w:t>
      </w:r>
      <w:r w:rsidRPr="00DF20DE">
        <w:rPr>
          <w:rFonts w:ascii="Times New Roman" w:eastAsia="Times New Roman" w:hAnsi="Times New Roman" w:cs="Times New Roman"/>
          <w:sz w:val="20"/>
          <w:szCs w:val="20"/>
        </w:rPr>
        <w:t xml:space="preserve"> Pvz., padidėjęs polinkis kraujosruvoms, savaiminės hematomos, hemoraginė diatezė.</w:t>
      </w:r>
    </w:p>
    <w:p w14:paraId="37DCE0A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c</w:t>
      </w:r>
      <w:r w:rsidRPr="00DF20DE">
        <w:rPr>
          <w:rFonts w:ascii="Times New Roman" w:eastAsia="Times New Roman" w:hAnsi="Times New Roman" w:cs="Times New Roman"/>
          <w:sz w:val="20"/>
          <w:szCs w:val="20"/>
        </w:rPr>
        <w:t xml:space="preserve"> Nustatyta pateikus vaistinį preparatą į rinką.</w:t>
      </w:r>
    </w:p>
    <w:p w14:paraId="2FA2E7B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d</w:t>
      </w:r>
      <w:r w:rsidRPr="00DF20DE">
        <w:rPr>
          <w:rFonts w:ascii="Times New Roman" w:eastAsia="Times New Roman" w:hAnsi="Times New Roman" w:cs="Times New Roman"/>
          <w:sz w:val="20"/>
          <w:szCs w:val="20"/>
        </w:rPr>
        <w:t xml:space="preserve"> Dažnis nustatytas remiantis laboratorinių tyrimų duomenimis (šlapimo rūgšties koncentracijos padidėjimas iki viršijančios viršutinę normos ribą, kai pradinė jos koncentracija buvo normos ribose arba mažesnė; kreatinino koncentracijos padidėjimas &gt; 50 % palyginus su pradine) ir nėra apytikris pranešto nepageidaujamo reiškinio dažnis.</w:t>
      </w:r>
    </w:p>
    <w:p w14:paraId="17A0462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e</w:t>
      </w:r>
      <w:r w:rsidRPr="00DF20DE">
        <w:rPr>
          <w:rFonts w:ascii="Times New Roman" w:eastAsia="Times New Roman" w:hAnsi="Times New Roman" w:cs="Times New Roman"/>
          <w:sz w:val="20"/>
          <w:szCs w:val="20"/>
        </w:rPr>
        <w:t xml:space="preserve"> Pvz., junginės, tinklainės arba vidinis akies kraujavimas.</w:t>
      </w:r>
    </w:p>
    <w:p w14:paraId="7AB0048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f</w:t>
      </w:r>
      <w:r w:rsidRPr="00DF20DE">
        <w:rPr>
          <w:rFonts w:ascii="Times New Roman" w:eastAsia="Times New Roman" w:hAnsi="Times New Roman" w:cs="Times New Roman"/>
          <w:sz w:val="20"/>
          <w:szCs w:val="20"/>
        </w:rPr>
        <w:t xml:space="preserve"> Pvz., kraujavimas iš nosies, hemoptozė (atsikosėjimas krauju).</w:t>
      </w:r>
    </w:p>
    <w:p w14:paraId="4DA9CDD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g</w:t>
      </w:r>
      <w:r w:rsidRPr="00DF20DE">
        <w:rPr>
          <w:rFonts w:ascii="Times New Roman" w:eastAsia="Times New Roman" w:hAnsi="Times New Roman" w:cs="Times New Roman"/>
          <w:sz w:val="20"/>
          <w:szCs w:val="20"/>
        </w:rPr>
        <w:t xml:space="preserve"> Pvz., kraujavimas iš dantenų, kraujavimas iš tiesiosios žarnos, kraujavimas iš skrandžio opos.</w:t>
      </w:r>
    </w:p>
    <w:p w14:paraId="064B5AA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h</w:t>
      </w:r>
      <w:r w:rsidRPr="00DF20DE">
        <w:rPr>
          <w:rFonts w:ascii="Times New Roman" w:eastAsia="Times New Roman" w:hAnsi="Times New Roman" w:cs="Times New Roman"/>
          <w:sz w:val="20"/>
          <w:szCs w:val="20"/>
        </w:rPr>
        <w:t xml:space="preserve"> Pvz., ekchimozės, kraujavimas iš odos, petechijos.</w:t>
      </w:r>
    </w:p>
    <w:p w14:paraId="13E1511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i</w:t>
      </w:r>
      <w:r w:rsidRPr="00DF20DE">
        <w:rPr>
          <w:rFonts w:ascii="Times New Roman" w:eastAsia="Times New Roman" w:hAnsi="Times New Roman" w:cs="Times New Roman"/>
          <w:sz w:val="20"/>
          <w:szCs w:val="20"/>
        </w:rPr>
        <w:t xml:space="preserve"> Pvz., hemartrozės, kraujavimas į raumenis.</w:t>
      </w:r>
    </w:p>
    <w:p w14:paraId="45F0E7C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j</w:t>
      </w:r>
      <w:r w:rsidRPr="00DF20DE">
        <w:rPr>
          <w:rFonts w:ascii="Times New Roman" w:eastAsia="Times New Roman" w:hAnsi="Times New Roman" w:cs="Times New Roman"/>
          <w:sz w:val="20"/>
          <w:szCs w:val="20"/>
        </w:rPr>
        <w:t xml:space="preserve"> Pvz., hematurija, hemoraginis cistitas.</w:t>
      </w:r>
    </w:p>
    <w:p w14:paraId="45F9746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lastRenderedPageBreak/>
        <w:t>k</w:t>
      </w:r>
      <w:r w:rsidRPr="00DF20DE">
        <w:rPr>
          <w:rFonts w:ascii="Times New Roman" w:eastAsia="Times New Roman" w:hAnsi="Times New Roman" w:cs="Times New Roman"/>
          <w:sz w:val="20"/>
          <w:szCs w:val="20"/>
        </w:rPr>
        <w:t xml:space="preserve"> Pvz., kraujavimas iš makšties, hematospermija, kraujavimas po menopauzės.</w:t>
      </w:r>
    </w:p>
    <w:p w14:paraId="0DF3272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l</w:t>
      </w:r>
      <w:r w:rsidRPr="00DF20DE">
        <w:rPr>
          <w:rFonts w:ascii="Times New Roman" w:eastAsia="Times New Roman" w:hAnsi="Times New Roman" w:cs="Times New Roman"/>
          <w:sz w:val="20"/>
          <w:szCs w:val="20"/>
        </w:rPr>
        <w:t xml:space="preserve"> Pvz., sumušimas, trauminė hematoma, trauminis kraujavimas.</w:t>
      </w:r>
    </w:p>
    <w:p w14:paraId="4430C7B3" w14:textId="2D109E00" w:rsidR="00F151B8" w:rsidRPr="00DF20DE" w:rsidRDefault="00864478" w:rsidP="00F151B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m</w:t>
      </w:r>
      <w:r w:rsidRPr="00DF20DE">
        <w:rPr>
          <w:rFonts w:ascii="Times New Roman" w:eastAsia="Times New Roman" w:hAnsi="Times New Roman" w:cs="Times New Roman"/>
          <w:sz w:val="20"/>
          <w:szCs w:val="20"/>
        </w:rPr>
        <w:t xml:space="preserve"> Pvz., spontaninis, susijęs su procedūra arba intrakranijinis kraujavimas po traumos.</w:t>
      </w:r>
    </w:p>
    <w:p w14:paraId="718A399E" w14:textId="77777777" w:rsidR="00864478" w:rsidRPr="00DF20DE" w:rsidRDefault="00864478" w:rsidP="00F151B8">
      <w:pPr>
        <w:widowControl w:val="0"/>
        <w:autoSpaceDE w:val="0"/>
        <w:autoSpaceDN w:val="0"/>
        <w:spacing w:after="0" w:line="240" w:lineRule="auto"/>
        <w:rPr>
          <w:rFonts w:ascii="Times New Roman" w:eastAsia="Times New Roman" w:hAnsi="Times New Roman" w:cs="Times New Roman"/>
          <w:sz w:val="20"/>
          <w:szCs w:val="20"/>
        </w:rPr>
      </w:pPr>
    </w:p>
    <w:p w14:paraId="1E69E60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Atrinktų nepageidaujamų reakcijų apibūdinimas</w:t>
      </w:r>
    </w:p>
    <w:p w14:paraId="5FAAB01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u w:val="single"/>
        </w:rPr>
      </w:pPr>
    </w:p>
    <w:p w14:paraId="32329E3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Kraujavimas</w:t>
      </w:r>
    </w:p>
    <w:p w14:paraId="5AEBF2A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Kraujavimas PLATO tyrimo metu</w:t>
      </w:r>
    </w:p>
    <w:p w14:paraId="28C9C31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Bendri kraujavimo dažnių duomenys, gauti PLATO tyrimo metu, pateikiami 2 lentelėje.</w:t>
      </w:r>
    </w:p>
    <w:p w14:paraId="7CA49607"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511C95E9" w14:textId="77777777" w:rsidR="00864478" w:rsidRPr="00DF20DE" w:rsidRDefault="00864478" w:rsidP="00864478">
      <w:pPr>
        <w:widowControl w:val="0"/>
        <w:tabs>
          <w:tab w:val="left" w:pos="384"/>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2 lentelė. Bendra kraujavimo reiškinių analizė </w:t>
      </w:r>
      <w:r w:rsidRPr="00DF20DE">
        <w:rPr>
          <w:rFonts w:ascii="Times New Roman" w:eastAsia="Times New Roman" w:hAnsi="Times New Roman" w:cs="Times New Roman"/>
          <w:b/>
          <w:bCs/>
          <w:i/>
        </w:rPr>
        <w:t>Kaplan-Meier</w:t>
      </w:r>
      <w:r w:rsidRPr="00DF20DE">
        <w:rPr>
          <w:rFonts w:ascii="Times New Roman" w:eastAsia="Times New Roman" w:hAnsi="Times New Roman" w:cs="Times New Roman"/>
          <w:b/>
          <w:bCs/>
        </w:rPr>
        <w:t xml:space="preserve"> metodu po 12 mėn. (PLATO tyrimas)</w:t>
      </w:r>
    </w:p>
    <w:p w14:paraId="50AFDFCA"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57"/>
        <w:gridCol w:w="1426"/>
        <w:gridCol w:w="1488"/>
        <w:gridCol w:w="1128"/>
      </w:tblGrid>
      <w:tr w:rsidR="00864478" w:rsidRPr="00DF20DE" w14:paraId="74564E17" w14:textId="77777777" w:rsidTr="00C536DB">
        <w:trPr>
          <w:trHeight w:val="1262"/>
        </w:trPr>
        <w:tc>
          <w:tcPr>
            <w:tcW w:w="4757" w:type="dxa"/>
          </w:tcPr>
          <w:p w14:paraId="0629218D"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sz w:val="20"/>
              </w:rPr>
            </w:pPr>
          </w:p>
        </w:tc>
        <w:tc>
          <w:tcPr>
            <w:tcW w:w="1426" w:type="dxa"/>
          </w:tcPr>
          <w:p w14:paraId="72F8D78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Tikagreloras 90 mg</w:t>
            </w:r>
          </w:p>
          <w:p w14:paraId="4F71C79C"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2 kartus per parą</w:t>
            </w:r>
          </w:p>
          <w:p w14:paraId="5B039CE3" w14:textId="58AC30DD"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N</w:t>
            </w:r>
            <w:r w:rsidR="00D638FC" w:rsidRPr="00DF20DE">
              <w:rPr>
                <w:rFonts w:ascii="Times New Roman" w:eastAsia="Times New Roman" w:hAnsi="Times New Roman" w:cs="Times New Roman"/>
                <w:b/>
              </w:rPr>
              <w:t> </w:t>
            </w:r>
            <w:r w:rsidRPr="00DF20DE">
              <w:rPr>
                <w:rFonts w:ascii="Times New Roman" w:eastAsia="Times New Roman" w:hAnsi="Times New Roman" w:cs="Times New Roman"/>
                <w:b/>
              </w:rPr>
              <w:t>=</w:t>
            </w:r>
            <w:r w:rsidR="00D638FC" w:rsidRPr="00DF20DE">
              <w:rPr>
                <w:rFonts w:ascii="Times New Roman" w:eastAsia="Times New Roman" w:hAnsi="Times New Roman" w:cs="Times New Roman"/>
                <w:b/>
              </w:rPr>
              <w:t> </w:t>
            </w:r>
            <w:r w:rsidRPr="00DF20DE">
              <w:rPr>
                <w:rFonts w:ascii="Times New Roman" w:eastAsia="Times New Roman" w:hAnsi="Times New Roman" w:cs="Times New Roman"/>
                <w:b/>
              </w:rPr>
              <w:t>9235</w:t>
            </w:r>
          </w:p>
        </w:tc>
        <w:tc>
          <w:tcPr>
            <w:tcW w:w="1488" w:type="dxa"/>
          </w:tcPr>
          <w:p w14:paraId="34A69BEA" w14:textId="2F7E7116"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Klopidogrelis N</w:t>
            </w:r>
            <w:r w:rsidR="00D638FC" w:rsidRPr="00DF20DE">
              <w:rPr>
                <w:rFonts w:ascii="Times New Roman" w:eastAsia="Times New Roman" w:hAnsi="Times New Roman" w:cs="Times New Roman"/>
                <w:b/>
              </w:rPr>
              <w:t> </w:t>
            </w:r>
            <w:r w:rsidRPr="00DF20DE">
              <w:rPr>
                <w:rFonts w:ascii="Times New Roman" w:eastAsia="Times New Roman" w:hAnsi="Times New Roman" w:cs="Times New Roman"/>
                <w:b/>
              </w:rPr>
              <w:t>=</w:t>
            </w:r>
            <w:r w:rsidR="00D638FC" w:rsidRPr="00DF20DE">
              <w:rPr>
                <w:rFonts w:ascii="Times New Roman" w:eastAsia="Times New Roman" w:hAnsi="Times New Roman" w:cs="Times New Roman"/>
                <w:b/>
              </w:rPr>
              <w:t> </w:t>
            </w:r>
            <w:r w:rsidRPr="00DF20DE">
              <w:rPr>
                <w:rFonts w:ascii="Times New Roman" w:eastAsia="Times New Roman" w:hAnsi="Times New Roman" w:cs="Times New Roman"/>
                <w:b/>
              </w:rPr>
              <w:t>9186</w:t>
            </w:r>
          </w:p>
        </w:tc>
        <w:tc>
          <w:tcPr>
            <w:tcW w:w="1128" w:type="dxa"/>
          </w:tcPr>
          <w:p w14:paraId="76B8259D"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b/>
                <w:sz w:val="21"/>
              </w:rPr>
            </w:pPr>
          </w:p>
          <w:p w14:paraId="1187EE6D"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i/>
              </w:rPr>
            </w:pPr>
            <w:r w:rsidRPr="00DF20DE">
              <w:rPr>
                <w:rFonts w:ascii="Times New Roman" w:eastAsia="Times New Roman" w:hAnsi="Times New Roman" w:cs="Times New Roman"/>
                <w:b/>
                <w:i/>
              </w:rPr>
              <w:t>p</w:t>
            </w:r>
          </w:p>
          <w:p w14:paraId="26D27EC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reikšmė*</w:t>
            </w:r>
          </w:p>
        </w:tc>
      </w:tr>
      <w:tr w:rsidR="00864478" w:rsidRPr="00DF20DE" w14:paraId="3D7930B0" w14:textId="77777777" w:rsidTr="00C536DB">
        <w:trPr>
          <w:trHeight w:val="253"/>
        </w:trPr>
        <w:tc>
          <w:tcPr>
            <w:tcW w:w="4757" w:type="dxa"/>
          </w:tcPr>
          <w:p w14:paraId="2DFEB23B" w14:textId="77777777" w:rsidR="00864478" w:rsidRPr="00DF20DE" w:rsidRDefault="00864478" w:rsidP="00C536DB">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PLATO didesnieji, iš viso</w:t>
            </w:r>
          </w:p>
        </w:tc>
        <w:tc>
          <w:tcPr>
            <w:tcW w:w="1426" w:type="dxa"/>
          </w:tcPr>
          <w:p w14:paraId="1F084E3D"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11,6</w:t>
            </w:r>
          </w:p>
        </w:tc>
        <w:tc>
          <w:tcPr>
            <w:tcW w:w="1488" w:type="dxa"/>
          </w:tcPr>
          <w:p w14:paraId="1CAE349B"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11,2</w:t>
            </w:r>
          </w:p>
        </w:tc>
        <w:tc>
          <w:tcPr>
            <w:tcW w:w="1128" w:type="dxa"/>
          </w:tcPr>
          <w:p w14:paraId="6224EBDC"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0,4336</w:t>
            </w:r>
          </w:p>
        </w:tc>
      </w:tr>
      <w:tr w:rsidR="00864478" w:rsidRPr="00DF20DE" w14:paraId="25810AA1" w14:textId="77777777" w:rsidTr="00C536DB">
        <w:trPr>
          <w:trHeight w:val="340"/>
        </w:trPr>
        <w:tc>
          <w:tcPr>
            <w:tcW w:w="4757" w:type="dxa"/>
          </w:tcPr>
          <w:p w14:paraId="6D4D9AA3" w14:textId="77777777" w:rsidR="00864478" w:rsidRPr="00DF20DE" w:rsidRDefault="00864478" w:rsidP="00C536DB">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PLATO didesnieji, mirtini arba pavojingi gyvybei</w:t>
            </w:r>
          </w:p>
        </w:tc>
        <w:tc>
          <w:tcPr>
            <w:tcW w:w="1426" w:type="dxa"/>
          </w:tcPr>
          <w:p w14:paraId="55326316"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5,8</w:t>
            </w:r>
          </w:p>
        </w:tc>
        <w:tc>
          <w:tcPr>
            <w:tcW w:w="1488" w:type="dxa"/>
          </w:tcPr>
          <w:p w14:paraId="09103736"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5,8</w:t>
            </w:r>
          </w:p>
        </w:tc>
        <w:tc>
          <w:tcPr>
            <w:tcW w:w="1128" w:type="dxa"/>
          </w:tcPr>
          <w:p w14:paraId="4E22BB8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0,6988</w:t>
            </w:r>
          </w:p>
        </w:tc>
      </w:tr>
      <w:tr w:rsidR="00864478" w:rsidRPr="00DF20DE" w14:paraId="0A499738" w14:textId="77777777" w:rsidTr="00C536DB">
        <w:trPr>
          <w:trHeight w:val="508"/>
        </w:trPr>
        <w:tc>
          <w:tcPr>
            <w:tcW w:w="4757" w:type="dxa"/>
          </w:tcPr>
          <w:p w14:paraId="62817B22" w14:textId="77777777" w:rsidR="00864478" w:rsidRPr="00DF20DE" w:rsidRDefault="00864478" w:rsidP="00C536DB">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PLATO didesnieji, nesusiję su koronarinių arterijų</w:t>
            </w:r>
          </w:p>
          <w:p w14:paraId="1C5DAD7B" w14:textId="77777777" w:rsidR="00864478" w:rsidRPr="00DF20DE" w:rsidRDefault="00864478" w:rsidP="00C536DB">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šuntavimu</w:t>
            </w:r>
          </w:p>
        </w:tc>
        <w:tc>
          <w:tcPr>
            <w:tcW w:w="1426" w:type="dxa"/>
          </w:tcPr>
          <w:p w14:paraId="50D51143"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4,5</w:t>
            </w:r>
          </w:p>
        </w:tc>
        <w:tc>
          <w:tcPr>
            <w:tcW w:w="1488" w:type="dxa"/>
          </w:tcPr>
          <w:p w14:paraId="19041F6B"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3,8</w:t>
            </w:r>
          </w:p>
        </w:tc>
        <w:tc>
          <w:tcPr>
            <w:tcW w:w="1128" w:type="dxa"/>
          </w:tcPr>
          <w:p w14:paraId="4E360AC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0,0264</w:t>
            </w:r>
          </w:p>
        </w:tc>
      </w:tr>
      <w:tr w:rsidR="00864478" w:rsidRPr="00DF20DE" w14:paraId="53351F91" w14:textId="77777777" w:rsidTr="00C536DB">
        <w:trPr>
          <w:trHeight w:val="249"/>
        </w:trPr>
        <w:tc>
          <w:tcPr>
            <w:tcW w:w="4757" w:type="dxa"/>
          </w:tcPr>
          <w:p w14:paraId="443B0806" w14:textId="77777777" w:rsidR="00864478" w:rsidRPr="00DF20DE" w:rsidRDefault="00864478" w:rsidP="00C536DB">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PLATO didesnieji, nesusiję su procedūra</w:t>
            </w:r>
          </w:p>
        </w:tc>
        <w:tc>
          <w:tcPr>
            <w:tcW w:w="1426" w:type="dxa"/>
          </w:tcPr>
          <w:p w14:paraId="27AFAF5D"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3,1</w:t>
            </w:r>
          </w:p>
        </w:tc>
        <w:tc>
          <w:tcPr>
            <w:tcW w:w="1488" w:type="dxa"/>
          </w:tcPr>
          <w:p w14:paraId="19E74CD1"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2,3</w:t>
            </w:r>
          </w:p>
        </w:tc>
        <w:tc>
          <w:tcPr>
            <w:tcW w:w="1128" w:type="dxa"/>
          </w:tcPr>
          <w:p w14:paraId="597AB315"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0,0058</w:t>
            </w:r>
          </w:p>
        </w:tc>
      </w:tr>
      <w:tr w:rsidR="00864478" w:rsidRPr="00DF20DE" w14:paraId="71949FC1" w14:textId="77777777" w:rsidTr="00C536DB">
        <w:trPr>
          <w:trHeight w:val="306"/>
        </w:trPr>
        <w:tc>
          <w:tcPr>
            <w:tcW w:w="4757" w:type="dxa"/>
          </w:tcPr>
          <w:p w14:paraId="3808EFF1" w14:textId="77777777" w:rsidR="00864478" w:rsidRPr="00DF20DE" w:rsidRDefault="00864478" w:rsidP="00C536DB">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PLATO didesnieji ir nedideli, iš viso</w:t>
            </w:r>
          </w:p>
        </w:tc>
        <w:tc>
          <w:tcPr>
            <w:tcW w:w="1426" w:type="dxa"/>
          </w:tcPr>
          <w:p w14:paraId="49E9CA7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16,1</w:t>
            </w:r>
          </w:p>
        </w:tc>
        <w:tc>
          <w:tcPr>
            <w:tcW w:w="1488" w:type="dxa"/>
          </w:tcPr>
          <w:p w14:paraId="29090FD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14,6</w:t>
            </w:r>
          </w:p>
        </w:tc>
        <w:tc>
          <w:tcPr>
            <w:tcW w:w="1128" w:type="dxa"/>
          </w:tcPr>
          <w:p w14:paraId="5BB2B34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0,0084</w:t>
            </w:r>
          </w:p>
        </w:tc>
      </w:tr>
      <w:tr w:rsidR="00864478" w:rsidRPr="00DF20DE" w14:paraId="2C3EBD01" w14:textId="77777777" w:rsidTr="00C536DB">
        <w:trPr>
          <w:trHeight w:val="503"/>
        </w:trPr>
        <w:tc>
          <w:tcPr>
            <w:tcW w:w="4757" w:type="dxa"/>
          </w:tcPr>
          <w:p w14:paraId="6DC19DB4" w14:textId="77777777" w:rsidR="00864478" w:rsidRPr="00DF20DE" w:rsidRDefault="00864478" w:rsidP="00C536DB">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PLATO didesnieji ir nedideli, nesusiję su procedūra</w:t>
            </w:r>
          </w:p>
        </w:tc>
        <w:tc>
          <w:tcPr>
            <w:tcW w:w="1426" w:type="dxa"/>
          </w:tcPr>
          <w:p w14:paraId="37CC067D"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5,9</w:t>
            </w:r>
          </w:p>
        </w:tc>
        <w:tc>
          <w:tcPr>
            <w:tcW w:w="1488" w:type="dxa"/>
          </w:tcPr>
          <w:p w14:paraId="2921CC3E"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4,3</w:t>
            </w:r>
          </w:p>
        </w:tc>
        <w:tc>
          <w:tcPr>
            <w:tcW w:w="1128" w:type="dxa"/>
          </w:tcPr>
          <w:p w14:paraId="10A53068"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 0,0001</w:t>
            </w:r>
          </w:p>
        </w:tc>
      </w:tr>
      <w:tr w:rsidR="00864478" w:rsidRPr="00DF20DE" w14:paraId="22984A31" w14:textId="77777777" w:rsidTr="00C536DB">
        <w:trPr>
          <w:trHeight w:val="350"/>
        </w:trPr>
        <w:tc>
          <w:tcPr>
            <w:tcW w:w="4757" w:type="dxa"/>
          </w:tcPr>
          <w:p w14:paraId="7DE5A42E" w14:textId="77777777" w:rsidR="00864478" w:rsidRPr="00DF20DE" w:rsidRDefault="00864478" w:rsidP="00C536DB">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Didesnieji pagal TIMI kriterijus</w:t>
            </w:r>
          </w:p>
        </w:tc>
        <w:tc>
          <w:tcPr>
            <w:tcW w:w="1426" w:type="dxa"/>
          </w:tcPr>
          <w:p w14:paraId="6DD86A3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7,9</w:t>
            </w:r>
          </w:p>
        </w:tc>
        <w:tc>
          <w:tcPr>
            <w:tcW w:w="1488" w:type="dxa"/>
          </w:tcPr>
          <w:p w14:paraId="2270141B"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7,7</w:t>
            </w:r>
          </w:p>
        </w:tc>
        <w:tc>
          <w:tcPr>
            <w:tcW w:w="1128" w:type="dxa"/>
          </w:tcPr>
          <w:p w14:paraId="40C00BF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0,5669</w:t>
            </w:r>
          </w:p>
        </w:tc>
      </w:tr>
      <w:tr w:rsidR="00864478" w:rsidRPr="00DF20DE" w14:paraId="2792BC4B" w14:textId="77777777" w:rsidTr="00C536DB">
        <w:trPr>
          <w:trHeight w:val="335"/>
        </w:trPr>
        <w:tc>
          <w:tcPr>
            <w:tcW w:w="4757" w:type="dxa"/>
          </w:tcPr>
          <w:p w14:paraId="47630182" w14:textId="77777777" w:rsidR="00864478" w:rsidRPr="00DF20DE" w:rsidRDefault="00864478" w:rsidP="00C536DB">
            <w:pPr>
              <w:widowControl w:val="0"/>
              <w:autoSpaceDE w:val="0"/>
              <w:autoSpaceDN w:val="0"/>
              <w:spacing w:after="0" w:line="240" w:lineRule="auto"/>
              <w:ind w:left="82"/>
              <w:rPr>
                <w:rFonts w:ascii="Times New Roman" w:eastAsia="Times New Roman" w:hAnsi="Times New Roman" w:cs="Times New Roman"/>
              </w:rPr>
            </w:pPr>
            <w:r w:rsidRPr="00DF20DE">
              <w:rPr>
                <w:rFonts w:ascii="Times New Roman" w:eastAsia="Times New Roman" w:hAnsi="Times New Roman" w:cs="Times New Roman"/>
              </w:rPr>
              <w:t>Didesnieji ir nedideli pagal TIMI kriterijus</w:t>
            </w:r>
          </w:p>
        </w:tc>
        <w:tc>
          <w:tcPr>
            <w:tcW w:w="1426" w:type="dxa"/>
          </w:tcPr>
          <w:p w14:paraId="3C3DAB8C"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11,4</w:t>
            </w:r>
          </w:p>
        </w:tc>
        <w:tc>
          <w:tcPr>
            <w:tcW w:w="1488" w:type="dxa"/>
          </w:tcPr>
          <w:p w14:paraId="24EAF31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10,9</w:t>
            </w:r>
          </w:p>
        </w:tc>
        <w:tc>
          <w:tcPr>
            <w:tcW w:w="1128" w:type="dxa"/>
          </w:tcPr>
          <w:p w14:paraId="647CECBB"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0,3272</w:t>
            </w:r>
          </w:p>
        </w:tc>
      </w:tr>
    </w:tbl>
    <w:p w14:paraId="434E5479"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
          <w:sz w:val="20"/>
          <w:szCs w:val="20"/>
        </w:rPr>
      </w:pPr>
      <w:r w:rsidRPr="00DF20DE">
        <w:rPr>
          <w:rFonts w:ascii="Times New Roman" w:eastAsia="Times New Roman" w:hAnsi="Times New Roman" w:cs="Times New Roman"/>
          <w:b/>
          <w:sz w:val="20"/>
          <w:szCs w:val="20"/>
        </w:rPr>
        <w:t>Kraujavimo kategorijų sąvokos:</w:t>
      </w:r>
    </w:p>
    <w:p w14:paraId="2F0B8DE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b/>
          <w:i/>
          <w:iCs/>
          <w:sz w:val="20"/>
          <w:szCs w:val="20"/>
        </w:rPr>
        <w:t>Didesnysis mirtinas ar pavojingas gyvybei kraujavimas</w:t>
      </w:r>
      <w:r w:rsidRPr="00DF20DE">
        <w:rPr>
          <w:rFonts w:ascii="Times New Roman" w:eastAsia="Times New Roman" w:hAnsi="Times New Roman" w:cs="Times New Roman"/>
          <w:bCs/>
          <w:i/>
          <w:iCs/>
          <w:sz w:val="20"/>
          <w:szCs w:val="20"/>
        </w:rPr>
        <w:t>:</w:t>
      </w:r>
      <w:r w:rsidRPr="00DF20DE">
        <w:rPr>
          <w:rFonts w:ascii="Times New Roman" w:eastAsia="Times New Roman" w:hAnsi="Times New Roman" w:cs="Times New Roman"/>
          <w:b/>
          <w:sz w:val="20"/>
          <w:szCs w:val="20"/>
        </w:rPr>
        <w:t xml:space="preserve"> </w:t>
      </w:r>
      <w:r w:rsidRPr="00DF20DE">
        <w:rPr>
          <w:rFonts w:ascii="Times New Roman" w:eastAsia="Times New Roman" w:hAnsi="Times New Roman" w:cs="Times New Roman"/>
          <w:sz w:val="20"/>
          <w:szCs w:val="20"/>
        </w:rPr>
        <w:t xml:space="preserve">kliniškai pastebimas kraujavimas, dėl kurio hemoglobino koncentracija sumažėjo &gt; 50 g/l ar buvo perpilti ≥ 4 eritrocitų masės vienetai; </w:t>
      </w:r>
      <w:r w:rsidRPr="00DF20DE">
        <w:rPr>
          <w:rFonts w:ascii="Times New Roman" w:eastAsia="Times New Roman" w:hAnsi="Times New Roman" w:cs="Times New Roman"/>
          <w:sz w:val="20"/>
          <w:szCs w:val="20"/>
          <w:u w:val="single"/>
        </w:rPr>
        <w:t>arba</w:t>
      </w:r>
      <w:r w:rsidRPr="00DF20DE">
        <w:rPr>
          <w:rFonts w:ascii="Times New Roman" w:eastAsia="Times New Roman" w:hAnsi="Times New Roman" w:cs="Times New Roman"/>
          <w:i/>
          <w:sz w:val="20"/>
          <w:szCs w:val="20"/>
        </w:rPr>
        <w:t xml:space="preserve"> </w:t>
      </w:r>
      <w:r w:rsidRPr="00DF20DE">
        <w:rPr>
          <w:rFonts w:ascii="Times New Roman" w:eastAsia="Times New Roman" w:hAnsi="Times New Roman" w:cs="Times New Roman"/>
          <w:sz w:val="20"/>
          <w:szCs w:val="20"/>
        </w:rPr>
        <w:t xml:space="preserve">mirtinas; </w:t>
      </w:r>
      <w:r w:rsidRPr="00DF20DE">
        <w:rPr>
          <w:rFonts w:ascii="Times New Roman" w:eastAsia="Times New Roman" w:hAnsi="Times New Roman" w:cs="Times New Roman"/>
          <w:sz w:val="20"/>
          <w:szCs w:val="20"/>
          <w:u w:val="single"/>
        </w:rPr>
        <w:t>arba</w:t>
      </w:r>
      <w:r w:rsidRPr="00DF20DE">
        <w:rPr>
          <w:rFonts w:ascii="Times New Roman" w:eastAsia="Times New Roman" w:hAnsi="Times New Roman" w:cs="Times New Roman"/>
          <w:i/>
          <w:sz w:val="20"/>
          <w:szCs w:val="20"/>
        </w:rPr>
        <w:t xml:space="preserve"> </w:t>
      </w:r>
      <w:r w:rsidRPr="00DF20DE">
        <w:rPr>
          <w:rFonts w:ascii="Times New Roman" w:eastAsia="Times New Roman" w:hAnsi="Times New Roman" w:cs="Times New Roman"/>
          <w:sz w:val="20"/>
          <w:szCs w:val="20"/>
        </w:rPr>
        <w:t xml:space="preserve">intrakranijinis; </w:t>
      </w:r>
      <w:r w:rsidRPr="00DF20DE">
        <w:rPr>
          <w:rFonts w:ascii="Times New Roman" w:eastAsia="Times New Roman" w:hAnsi="Times New Roman" w:cs="Times New Roman"/>
          <w:sz w:val="20"/>
          <w:szCs w:val="20"/>
          <w:u w:val="single"/>
        </w:rPr>
        <w:t>arba</w:t>
      </w:r>
      <w:r w:rsidRPr="00DF20DE">
        <w:rPr>
          <w:rFonts w:ascii="Times New Roman" w:eastAsia="Times New Roman" w:hAnsi="Times New Roman" w:cs="Times New Roman"/>
          <w:i/>
          <w:sz w:val="20"/>
          <w:szCs w:val="20"/>
        </w:rPr>
        <w:t xml:space="preserve"> </w:t>
      </w:r>
      <w:r w:rsidRPr="00DF20DE">
        <w:rPr>
          <w:rFonts w:ascii="Times New Roman" w:eastAsia="Times New Roman" w:hAnsi="Times New Roman" w:cs="Times New Roman"/>
          <w:sz w:val="20"/>
          <w:szCs w:val="20"/>
        </w:rPr>
        <w:t xml:space="preserve">vidinis perikardo su širdies tamponada; </w:t>
      </w:r>
      <w:r w:rsidRPr="00DF20DE">
        <w:rPr>
          <w:rFonts w:ascii="Times New Roman" w:eastAsia="Times New Roman" w:hAnsi="Times New Roman" w:cs="Times New Roman"/>
          <w:sz w:val="20"/>
          <w:szCs w:val="20"/>
          <w:u w:val="single"/>
        </w:rPr>
        <w:t>arba</w:t>
      </w:r>
      <w:r w:rsidRPr="00DF20DE">
        <w:rPr>
          <w:rFonts w:ascii="Times New Roman" w:eastAsia="Times New Roman" w:hAnsi="Times New Roman" w:cs="Times New Roman"/>
          <w:i/>
          <w:sz w:val="20"/>
          <w:szCs w:val="20"/>
        </w:rPr>
        <w:t xml:space="preserve"> </w:t>
      </w:r>
      <w:r w:rsidRPr="00DF20DE">
        <w:rPr>
          <w:rFonts w:ascii="Times New Roman" w:eastAsia="Times New Roman" w:hAnsi="Times New Roman" w:cs="Times New Roman"/>
          <w:sz w:val="20"/>
          <w:szCs w:val="20"/>
        </w:rPr>
        <w:t>su hipovoleminiu šoku ar sunkia hipotenzija, kuriems gydyti reikėjo kraujagysles siaurinančių vaistinių preparatų arba operacijos.</w:t>
      </w:r>
    </w:p>
    <w:p w14:paraId="694EEE77"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b/>
          <w:sz w:val="20"/>
          <w:szCs w:val="20"/>
        </w:rPr>
        <w:t xml:space="preserve">Didesnysis kitas: </w:t>
      </w:r>
      <w:r w:rsidRPr="00DF20DE">
        <w:rPr>
          <w:rFonts w:ascii="Times New Roman" w:eastAsia="Times New Roman" w:hAnsi="Times New Roman" w:cs="Times New Roman"/>
          <w:sz w:val="20"/>
          <w:szCs w:val="20"/>
        </w:rPr>
        <w:t xml:space="preserve">kliniškai pastebimas kraujavimas, dėl kurio hemoglobino koncentracija sumažėjo 30–50 g/l ar buvo perpilti 2–3 eritrocitų masės vienetai; </w:t>
      </w:r>
      <w:r w:rsidRPr="00DF20DE">
        <w:rPr>
          <w:rFonts w:ascii="Times New Roman" w:eastAsia="Times New Roman" w:hAnsi="Times New Roman" w:cs="Times New Roman"/>
          <w:i/>
          <w:sz w:val="20"/>
          <w:szCs w:val="20"/>
        </w:rPr>
        <w:t xml:space="preserve">arba </w:t>
      </w:r>
      <w:r w:rsidRPr="00DF20DE">
        <w:rPr>
          <w:rFonts w:ascii="Times New Roman" w:eastAsia="Times New Roman" w:hAnsi="Times New Roman" w:cs="Times New Roman"/>
          <w:sz w:val="20"/>
          <w:szCs w:val="20"/>
        </w:rPr>
        <w:t>sukėlęs reikšmingą negalią.</w:t>
      </w:r>
    </w:p>
    <w:p w14:paraId="141F437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b/>
          <w:sz w:val="20"/>
          <w:szCs w:val="20"/>
        </w:rPr>
        <w:t>Nedidelis kraujavimas</w:t>
      </w:r>
      <w:r w:rsidRPr="00DF20DE">
        <w:rPr>
          <w:rFonts w:ascii="Times New Roman" w:eastAsia="Times New Roman" w:hAnsi="Times New Roman" w:cs="Times New Roman"/>
          <w:bCs/>
          <w:i/>
          <w:iCs/>
          <w:sz w:val="20"/>
          <w:szCs w:val="20"/>
        </w:rPr>
        <w:t>:</w:t>
      </w:r>
      <w:r w:rsidRPr="00DF20DE">
        <w:rPr>
          <w:rFonts w:ascii="Times New Roman" w:eastAsia="Times New Roman" w:hAnsi="Times New Roman" w:cs="Times New Roman"/>
          <w:b/>
          <w:sz w:val="20"/>
          <w:szCs w:val="20"/>
        </w:rPr>
        <w:t xml:space="preserve"> </w:t>
      </w:r>
      <w:r w:rsidRPr="00DF20DE">
        <w:rPr>
          <w:rFonts w:ascii="Times New Roman" w:eastAsia="Times New Roman" w:hAnsi="Times New Roman" w:cs="Times New Roman"/>
          <w:sz w:val="20"/>
          <w:szCs w:val="20"/>
        </w:rPr>
        <w:t>kraujavimas, kuriam stabdyti ar gydyti reikėjo medicininės intervencijos.</w:t>
      </w:r>
    </w:p>
    <w:p w14:paraId="0E6D00B5"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b/>
          <w:sz w:val="20"/>
          <w:szCs w:val="20"/>
        </w:rPr>
        <w:t>TIMI didesnysis kraujavimas</w:t>
      </w:r>
      <w:r w:rsidRPr="00DF20DE">
        <w:rPr>
          <w:rFonts w:ascii="Times New Roman" w:eastAsia="Times New Roman" w:hAnsi="Times New Roman" w:cs="Times New Roman"/>
          <w:bCs/>
          <w:i/>
          <w:iCs/>
          <w:sz w:val="20"/>
          <w:szCs w:val="20"/>
        </w:rPr>
        <w:t>:</w:t>
      </w:r>
      <w:r w:rsidRPr="00DF20DE">
        <w:rPr>
          <w:rFonts w:ascii="Times New Roman" w:eastAsia="Times New Roman" w:hAnsi="Times New Roman" w:cs="Times New Roman"/>
          <w:b/>
          <w:sz w:val="20"/>
          <w:szCs w:val="20"/>
        </w:rPr>
        <w:t xml:space="preserve"> </w:t>
      </w:r>
      <w:r w:rsidRPr="00DF20DE">
        <w:rPr>
          <w:rFonts w:ascii="Times New Roman" w:eastAsia="Times New Roman" w:hAnsi="Times New Roman" w:cs="Times New Roman"/>
          <w:sz w:val="20"/>
          <w:szCs w:val="20"/>
        </w:rPr>
        <w:t xml:space="preserve">kliniškai pastebimas kraujavimas, dėl kurio hemoglobino koncentracija sumažėjo &gt; 50 g/l, </w:t>
      </w:r>
      <w:r w:rsidRPr="00DF20DE">
        <w:rPr>
          <w:rFonts w:ascii="Times New Roman" w:eastAsia="Times New Roman" w:hAnsi="Times New Roman" w:cs="Times New Roman"/>
          <w:i/>
          <w:sz w:val="20"/>
          <w:szCs w:val="20"/>
        </w:rPr>
        <w:t xml:space="preserve">arba </w:t>
      </w:r>
      <w:r w:rsidRPr="00DF20DE">
        <w:rPr>
          <w:rFonts w:ascii="Times New Roman" w:eastAsia="Times New Roman" w:hAnsi="Times New Roman" w:cs="Times New Roman"/>
          <w:iCs/>
          <w:sz w:val="20"/>
          <w:szCs w:val="20"/>
        </w:rPr>
        <w:t>intrakranijinis kraujavimas</w:t>
      </w:r>
    </w:p>
    <w:p w14:paraId="06C0E19F"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b/>
          <w:sz w:val="20"/>
          <w:szCs w:val="20"/>
        </w:rPr>
        <w:t xml:space="preserve">TIMI nedidelis kraujavimas: </w:t>
      </w:r>
      <w:r w:rsidRPr="00DF20DE">
        <w:rPr>
          <w:rFonts w:ascii="Times New Roman" w:eastAsia="Times New Roman" w:hAnsi="Times New Roman" w:cs="Times New Roman"/>
          <w:sz w:val="20"/>
          <w:szCs w:val="20"/>
        </w:rPr>
        <w:t>kliniškai pastebimas kraujavimas, dėl kurio hemoglobino koncentracija sumažėjo 30–50 g/l.</w:t>
      </w:r>
    </w:p>
    <w:p w14:paraId="309C3747"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sz w:val="20"/>
          <w:szCs w:val="20"/>
        </w:rPr>
        <w:t>*</w:t>
      </w:r>
      <w:r w:rsidRPr="00DF20DE">
        <w:rPr>
          <w:rFonts w:ascii="Times New Roman" w:eastAsia="Times New Roman" w:hAnsi="Times New Roman" w:cs="Times New Roman"/>
          <w:i/>
          <w:sz w:val="20"/>
          <w:szCs w:val="20"/>
        </w:rPr>
        <w:t xml:space="preserve">p </w:t>
      </w:r>
      <w:r w:rsidRPr="00DF20DE">
        <w:rPr>
          <w:rFonts w:ascii="Times New Roman" w:eastAsia="Times New Roman" w:hAnsi="Times New Roman" w:cs="Times New Roman"/>
          <w:sz w:val="20"/>
          <w:szCs w:val="20"/>
        </w:rPr>
        <w:t>reikšmė apskaičiuota naudojant Cox proporcinės rizikos modelį (vienintelis aiškinamasis kintamasis buvo gydymo grupė).</w:t>
      </w:r>
    </w:p>
    <w:p w14:paraId="74016034"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73D49AAE" w14:textId="0C7AE63F"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Didesniųjų mirtinų ar pavojingų gyvybei kraujavimų pagal PLATO kriterijus dažnis, bendras didesniųjų kraujavimų pagal PLATO kriterijus dažnis, didesniųjų kraujavimų pagal TIMI kriterijus dažnis ir nedidelių kraujavimų pagal TIMI kriterijus dažnis vartojant tikagrelor</w:t>
      </w:r>
      <w:r w:rsidR="00D638FC"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klopidogrel</w:t>
      </w:r>
      <w:r w:rsidR="00D638FC"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nesiskyrė (2 lentelė). Vis dėlto, bendras didesniųjų ir nedidelių kraujavimų pagal PLATO kriterijus skaičius tikagrelorą vartojusiems pacientams buvo didesnis, negu vartojusiems klopidogrelį. PLATO tyrimo metu nuo kraujavimo mirė nedaug pacientų: 20 (0,2 %) vartojusių tikagrelor</w:t>
      </w:r>
      <w:r w:rsidR="00D638FC"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23 (0,3 %) vartoję klopidogrel</w:t>
      </w:r>
      <w:r w:rsidR="00D638FC"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(žr. 4.4 skyrių).</w:t>
      </w:r>
    </w:p>
    <w:p w14:paraId="3E3F05B7"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12CB04B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Pagal amžių, lytį, svorį, rasę, geografinį regioną, gretutines ligas, kartu vartojamus vaistinius preparatus ir anamnezę (įskaitant anksčiau buvusius insultus ir trumpalaikius išemijos priepuolius) bendros ar su procedūromis nesusijusio didesnio kraujavimo pagal PLATO kriterijus rizikos numatyti negalima. Ypatingos rizikos grupių nei vienai kraujavimo rūšiai nenustatyta.</w:t>
      </w:r>
    </w:p>
    <w:p w14:paraId="11819689"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3378D160"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iCs/>
        </w:rPr>
      </w:pPr>
      <w:r w:rsidRPr="00DF20DE">
        <w:rPr>
          <w:rFonts w:ascii="Times New Roman" w:eastAsia="Times New Roman" w:hAnsi="Times New Roman" w:cs="Times New Roman"/>
          <w:i/>
          <w:iCs/>
        </w:rPr>
        <w:t>Su koronarinių arterijų šuntavimu susijęs kraujavimas</w:t>
      </w:r>
    </w:p>
    <w:p w14:paraId="3D050DEB"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lastRenderedPageBreak/>
        <w:t>PLATO tyrimo metu 42 % iš 1584 pacientų (12 % kohortos), kuriems buvo atlikta koronarinių arterijų šuntavimo operacija, pasireiškė didesnysis mirtinas ar pavojingas gyvybei kraujavimas pagal PLATO kriterijus (skirtumo tarp gydymo grupių nebuvo). Nuo su koronarinių arterijų šuntavimu susijusio kraujavimo mirė po 6 abiejų gydymo grupių pacientus (žr. 4.4 skyrių).</w:t>
      </w:r>
    </w:p>
    <w:p w14:paraId="05F3B323"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712BF31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iCs/>
        </w:rPr>
      </w:pPr>
      <w:r w:rsidRPr="00DF20DE">
        <w:rPr>
          <w:rFonts w:ascii="Times New Roman" w:eastAsia="Times New Roman" w:hAnsi="Times New Roman" w:cs="Times New Roman"/>
          <w:i/>
          <w:iCs/>
        </w:rPr>
        <w:t>Su koronarinių arterijų šuntavimu nesusijęs kraujavimas ir su procedūromis nesusijęs kraujavimas</w:t>
      </w:r>
    </w:p>
    <w:p w14:paraId="3E1AC8F3" w14:textId="047B9BAD"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Su koronarinių arterijų šuntavimu nesusijusių mirtinų ar pavojingų gyvybei kraujavimų pagal PLATO kriterijus dažnis tikagreloro ir klopidogrelio grupių pacientams nesiskyrė, tačiau bendras didesniųjų kraujavimų pagal PLATO kriterijus dažnis, didesniųjų kraujavimų pagal TIMI kriterijus dažnis bei suminis didesniųjų ir nedidelių kraujavimų pagal TIMI kriterijus skaičius vartojant tikagrelor</w:t>
      </w:r>
      <w:r w:rsidR="00D638FC" w:rsidRPr="00DF20DE">
        <w:rPr>
          <w:rFonts w:ascii="Times New Roman" w:eastAsia="Times New Roman" w:hAnsi="Times New Roman" w:cs="Times New Roman"/>
        </w:rPr>
        <w:t>o</w:t>
      </w:r>
      <w:r w:rsidRPr="00DF20DE">
        <w:rPr>
          <w:rFonts w:ascii="Times New Roman" w:eastAsia="Times New Roman" w:hAnsi="Times New Roman" w:cs="Times New Roman"/>
        </w:rPr>
        <w:t xml:space="preserve"> buvo didesni. Atmetus visus su procedūromis susijusius kraujavimus, gauti panašūs duomenys: vartojant tikagrelor</w:t>
      </w:r>
      <w:r w:rsidR="00D638FC" w:rsidRPr="00DF20DE">
        <w:rPr>
          <w:rFonts w:ascii="Times New Roman" w:eastAsia="Times New Roman" w:hAnsi="Times New Roman" w:cs="Times New Roman"/>
        </w:rPr>
        <w:t>o</w:t>
      </w:r>
      <w:r w:rsidRPr="00DF20DE">
        <w:rPr>
          <w:rFonts w:ascii="Times New Roman" w:eastAsia="Times New Roman" w:hAnsi="Times New Roman" w:cs="Times New Roman"/>
        </w:rPr>
        <w:t xml:space="preserve"> kraujavimas prasidėjo dažniau, negu vartojant klopidogrel</w:t>
      </w:r>
      <w:r w:rsidR="00D638FC"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(2 lentelė). Dėl su procedūra nesusijusių kraujavimų tikagreloro vartojimą tekdavo nutraukti dažniau (2,9 %), negu klopidogrelio (1,2 %) (p &lt; 0,001).</w:t>
      </w:r>
    </w:p>
    <w:p w14:paraId="249BE048"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0AF7E10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iCs/>
        </w:rPr>
      </w:pPr>
      <w:r w:rsidRPr="00DF20DE">
        <w:rPr>
          <w:rFonts w:ascii="Times New Roman" w:eastAsia="Times New Roman" w:hAnsi="Times New Roman" w:cs="Times New Roman"/>
          <w:i/>
          <w:iCs/>
        </w:rPr>
        <w:t>Intrakranijinis kraujavimas</w:t>
      </w:r>
    </w:p>
    <w:p w14:paraId="627FBBB4" w14:textId="1FE42EC0"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Intrakranijinių kraujavimų, nesusijusių su procedūromis, tikagrelor</w:t>
      </w:r>
      <w:r w:rsidR="00D638FC"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vartojusiems pacientams užfiksuota daugiau (27 kraujavimai 26 pacientams, 0,3 %), negu vartojusiems klopidogrel</w:t>
      </w:r>
      <w:r w:rsidR="00D638FC" w:rsidRPr="00DF20DE">
        <w:rPr>
          <w:rFonts w:ascii="Times New Roman" w:eastAsia="Times New Roman" w:hAnsi="Times New Roman" w:cs="Times New Roman"/>
        </w:rPr>
        <w:t>io</w:t>
      </w:r>
    </w:p>
    <w:p w14:paraId="5950C826" w14:textId="72E179C0"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(14 kraujavimų, 0,2 %). Mirė 11 tokį kraujavimą patyrusių tikagrelor</w:t>
      </w:r>
      <w:r w:rsidR="00D638FC"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vartojusių ir 1 klopidogrel</w:t>
      </w:r>
      <w:r w:rsidR="00D638FC"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vartojęs pacientas. Bendras mirtino kraujavimo pasireiškimo dažnis nesiskyrė.</w:t>
      </w:r>
    </w:p>
    <w:p w14:paraId="0B1B38E4"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2E624990"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Kraujavimas PEGASUS tyrimo metu</w:t>
      </w:r>
    </w:p>
    <w:p w14:paraId="0BACDEC6"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Bendri kraujavimo duomenys, gauti PEGASUS tyrimo metu, pateikiami 3 lentelėje.</w:t>
      </w:r>
    </w:p>
    <w:p w14:paraId="01EB1405"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326BBF3C" w14:textId="77777777" w:rsidR="00864478" w:rsidRPr="00DF20DE" w:rsidRDefault="00864478" w:rsidP="00864478">
      <w:pPr>
        <w:widowControl w:val="0"/>
        <w:tabs>
          <w:tab w:val="left" w:pos="381"/>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3 lentelė. Bendra kraujavimo reiškinių analizė </w:t>
      </w:r>
      <w:r w:rsidRPr="00DF20DE">
        <w:rPr>
          <w:rFonts w:ascii="Times New Roman" w:eastAsia="Times New Roman" w:hAnsi="Times New Roman" w:cs="Times New Roman"/>
          <w:b/>
          <w:bCs/>
          <w:i/>
        </w:rPr>
        <w:t>Kaplan-Meier</w:t>
      </w:r>
      <w:r w:rsidRPr="00DF20DE">
        <w:rPr>
          <w:rFonts w:ascii="Times New Roman" w:eastAsia="Times New Roman" w:hAnsi="Times New Roman" w:cs="Times New Roman"/>
          <w:b/>
          <w:bCs/>
        </w:rPr>
        <w:t xml:space="preserve"> metodu po 36 mėn. (PEGASUS tyrimas)</w:t>
      </w:r>
    </w:p>
    <w:p w14:paraId="6A943C36"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
        </w:rPr>
      </w:pPr>
    </w:p>
    <w:tbl>
      <w:tblPr>
        <w:tblW w:w="917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2"/>
        <w:gridCol w:w="1300"/>
        <w:gridCol w:w="1958"/>
        <w:gridCol w:w="1276"/>
        <w:gridCol w:w="1098"/>
      </w:tblGrid>
      <w:tr w:rsidR="00864478" w:rsidRPr="00DF20DE" w14:paraId="49F631AF" w14:textId="77777777" w:rsidTr="00D638FC">
        <w:trPr>
          <w:trHeight w:val="757"/>
        </w:trPr>
        <w:tc>
          <w:tcPr>
            <w:tcW w:w="3542" w:type="dxa"/>
          </w:tcPr>
          <w:p w14:paraId="53D6C52C"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rPr>
            </w:pPr>
          </w:p>
        </w:tc>
        <w:tc>
          <w:tcPr>
            <w:tcW w:w="3258" w:type="dxa"/>
            <w:gridSpan w:val="2"/>
          </w:tcPr>
          <w:p w14:paraId="715715D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Tikagreloras po 60 mg 2 kartus per parą kartu su ASR</w:t>
            </w:r>
          </w:p>
          <w:p w14:paraId="34EE497A" w14:textId="1AAAEF10"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N</w:t>
            </w:r>
            <w:r w:rsidR="00D638FC" w:rsidRPr="00DF20DE">
              <w:rPr>
                <w:rFonts w:ascii="Times New Roman" w:eastAsia="Times New Roman" w:hAnsi="Times New Roman" w:cs="Times New Roman"/>
                <w:b/>
              </w:rPr>
              <w:t> </w:t>
            </w:r>
            <w:r w:rsidRPr="00DF20DE">
              <w:rPr>
                <w:rFonts w:ascii="Times New Roman" w:eastAsia="Times New Roman" w:hAnsi="Times New Roman" w:cs="Times New Roman"/>
                <w:b/>
              </w:rPr>
              <w:t>=</w:t>
            </w:r>
            <w:r w:rsidR="00D638FC" w:rsidRPr="00DF20DE">
              <w:rPr>
                <w:rFonts w:ascii="Times New Roman" w:eastAsia="Times New Roman" w:hAnsi="Times New Roman" w:cs="Times New Roman"/>
                <w:b/>
              </w:rPr>
              <w:t> </w:t>
            </w:r>
            <w:r w:rsidRPr="00DF20DE">
              <w:rPr>
                <w:rFonts w:ascii="Times New Roman" w:eastAsia="Times New Roman" w:hAnsi="Times New Roman" w:cs="Times New Roman"/>
                <w:b/>
              </w:rPr>
              <w:t>6958</w:t>
            </w:r>
          </w:p>
        </w:tc>
        <w:tc>
          <w:tcPr>
            <w:tcW w:w="1276" w:type="dxa"/>
          </w:tcPr>
          <w:p w14:paraId="34859BC5" w14:textId="5C770F0C"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Vien ASR N</w:t>
            </w:r>
            <w:r w:rsidR="00D638FC" w:rsidRPr="00DF20DE">
              <w:rPr>
                <w:rFonts w:ascii="Times New Roman" w:eastAsia="Times New Roman" w:hAnsi="Times New Roman" w:cs="Times New Roman"/>
                <w:b/>
              </w:rPr>
              <w:t> </w:t>
            </w:r>
            <w:r w:rsidRPr="00DF20DE">
              <w:rPr>
                <w:rFonts w:ascii="Times New Roman" w:eastAsia="Times New Roman" w:hAnsi="Times New Roman" w:cs="Times New Roman"/>
                <w:b/>
              </w:rPr>
              <w:t>=</w:t>
            </w:r>
            <w:r w:rsidR="00D638FC" w:rsidRPr="00DF20DE">
              <w:rPr>
                <w:rFonts w:ascii="Times New Roman" w:eastAsia="Times New Roman" w:hAnsi="Times New Roman" w:cs="Times New Roman"/>
                <w:b/>
              </w:rPr>
              <w:t> </w:t>
            </w:r>
            <w:r w:rsidRPr="00DF20DE">
              <w:rPr>
                <w:rFonts w:ascii="Times New Roman" w:eastAsia="Times New Roman" w:hAnsi="Times New Roman" w:cs="Times New Roman"/>
                <w:b/>
              </w:rPr>
              <w:t>6996</w:t>
            </w:r>
          </w:p>
        </w:tc>
        <w:tc>
          <w:tcPr>
            <w:tcW w:w="1098" w:type="dxa"/>
          </w:tcPr>
          <w:p w14:paraId="04B5B53A"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b/>
              </w:rPr>
            </w:pPr>
          </w:p>
        </w:tc>
      </w:tr>
      <w:tr w:rsidR="00864478" w:rsidRPr="00DF20DE" w14:paraId="12A2E383" w14:textId="77777777" w:rsidTr="00D638FC">
        <w:trPr>
          <w:trHeight w:val="508"/>
        </w:trPr>
        <w:tc>
          <w:tcPr>
            <w:tcW w:w="3542" w:type="dxa"/>
          </w:tcPr>
          <w:p w14:paraId="04DCE896"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b/>
              </w:rPr>
            </w:pPr>
            <w:r w:rsidRPr="00DF20DE">
              <w:rPr>
                <w:rFonts w:ascii="Times New Roman" w:eastAsia="Times New Roman" w:hAnsi="Times New Roman" w:cs="Times New Roman"/>
                <w:b/>
              </w:rPr>
              <w:t>Saugumo vertinamosios baigtys</w:t>
            </w:r>
          </w:p>
        </w:tc>
        <w:tc>
          <w:tcPr>
            <w:tcW w:w="1300" w:type="dxa"/>
          </w:tcPr>
          <w:p w14:paraId="29D36616"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i/>
                <w:iCs/>
              </w:rPr>
              <w:t>KM</w:t>
            </w:r>
            <w:r w:rsidRPr="00DF20DE">
              <w:rPr>
                <w:rFonts w:ascii="Times New Roman" w:eastAsia="Times New Roman" w:hAnsi="Times New Roman" w:cs="Times New Roman"/>
                <w:b/>
              </w:rPr>
              <w:t> %</w:t>
            </w:r>
          </w:p>
        </w:tc>
        <w:tc>
          <w:tcPr>
            <w:tcW w:w="1958" w:type="dxa"/>
          </w:tcPr>
          <w:p w14:paraId="2E00182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Rizikos santykis (95 % PI)</w:t>
            </w:r>
          </w:p>
        </w:tc>
        <w:tc>
          <w:tcPr>
            <w:tcW w:w="1276" w:type="dxa"/>
          </w:tcPr>
          <w:p w14:paraId="54AC93C5"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i/>
                <w:iCs/>
              </w:rPr>
              <w:t>KM</w:t>
            </w:r>
            <w:r w:rsidRPr="00DF20DE">
              <w:rPr>
                <w:rFonts w:ascii="Times New Roman" w:eastAsia="Times New Roman" w:hAnsi="Times New Roman" w:cs="Times New Roman"/>
                <w:b/>
              </w:rPr>
              <w:t> %</w:t>
            </w:r>
          </w:p>
        </w:tc>
        <w:tc>
          <w:tcPr>
            <w:tcW w:w="1098" w:type="dxa"/>
          </w:tcPr>
          <w:p w14:paraId="7BADDE74"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i/>
              </w:rPr>
            </w:pPr>
            <w:r w:rsidRPr="00DF20DE">
              <w:rPr>
                <w:rFonts w:ascii="Times New Roman" w:eastAsia="Times New Roman" w:hAnsi="Times New Roman" w:cs="Times New Roman"/>
                <w:b/>
                <w:i/>
              </w:rPr>
              <w:t>p</w:t>
            </w:r>
          </w:p>
          <w:p w14:paraId="583C0BF0"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reikšmė</w:t>
            </w:r>
          </w:p>
        </w:tc>
      </w:tr>
      <w:tr w:rsidR="00864478" w:rsidRPr="00DF20DE" w14:paraId="02FB98F2" w14:textId="77777777" w:rsidTr="00D638FC">
        <w:trPr>
          <w:trHeight w:val="253"/>
        </w:trPr>
        <w:tc>
          <w:tcPr>
            <w:tcW w:w="9174" w:type="dxa"/>
            <w:gridSpan w:val="5"/>
          </w:tcPr>
          <w:p w14:paraId="0DFECC98"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Kraujavimo kategorijos pagal TIMI kriterijus</w:t>
            </w:r>
          </w:p>
        </w:tc>
      </w:tr>
      <w:tr w:rsidR="00864478" w:rsidRPr="00DF20DE" w14:paraId="03BF28DC" w14:textId="77777777" w:rsidTr="00D638FC">
        <w:trPr>
          <w:trHeight w:val="503"/>
        </w:trPr>
        <w:tc>
          <w:tcPr>
            <w:tcW w:w="3542" w:type="dxa"/>
          </w:tcPr>
          <w:p w14:paraId="09273876"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TIMI didesnieji</w:t>
            </w:r>
          </w:p>
        </w:tc>
        <w:tc>
          <w:tcPr>
            <w:tcW w:w="1300" w:type="dxa"/>
          </w:tcPr>
          <w:p w14:paraId="40ADB15B"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2,3</w:t>
            </w:r>
          </w:p>
        </w:tc>
        <w:tc>
          <w:tcPr>
            <w:tcW w:w="1958" w:type="dxa"/>
          </w:tcPr>
          <w:p w14:paraId="6279BA2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2,32</w:t>
            </w:r>
          </w:p>
          <w:p w14:paraId="72E74D5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1,68 iki 3,21)</w:t>
            </w:r>
          </w:p>
        </w:tc>
        <w:tc>
          <w:tcPr>
            <w:tcW w:w="1276" w:type="dxa"/>
          </w:tcPr>
          <w:p w14:paraId="2E90223C"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w:t>
            </w:r>
          </w:p>
        </w:tc>
        <w:tc>
          <w:tcPr>
            <w:tcW w:w="1098" w:type="dxa"/>
          </w:tcPr>
          <w:p w14:paraId="6A7E20D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r w:rsidR="00864478" w:rsidRPr="00DF20DE" w14:paraId="0EAB713A" w14:textId="77777777" w:rsidTr="00D638FC">
        <w:trPr>
          <w:trHeight w:val="508"/>
        </w:trPr>
        <w:tc>
          <w:tcPr>
            <w:tcW w:w="3542" w:type="dxa"/>
          </w:tcPr>
          <w:p w14:paraId="578F3558" w14:textId="77777777" w:rsidR="00864478" w:rsidRPr="00DF20DE" w:rsidRDefault="00864478" w:rsidP="00C536DB">
            <w:pPr>
              <w:widowControl w:val="0"/>
              <w:autoSpaceDE w:val="0"/>
              <w:autoSpaceDN w:val="0"/>
              <w:spacing w:after="0" w:line="240" w:lineRule="auto"/>
              <w:ind w:left="594"/>
              <w:rPr>
                <w:rFonts w:ascii="Times New Roman" w:eastAsia="Times New Roman" w:hAnsi="Times New Roman" w:cs="Times New Roman"/>
              </w:rPr>
            </w:pPr>
            <w:r w:rsidRPr="00DF20DE">
              <w:rPr>
                <w:rFonts w:ascii="Times New Roman" w:eastAsia="Times New Roman" w:hAnsi="Times New Roman" w:cs="Times New Roman"/>
              </w:rPr>
              <w:t>Mirtini</w:t>
            </w:r>
          </w:p>
        </w:tc>
        <w:tc>
          <w:tcPr>
            <w:tcW w:w="1300" w:type="dxa"/>
          </w:tcPr>
          <w:p w14:paraId="2BFE5E5E"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0,3</w:t>
            </w:r>
          </w:p>
        </w:tc>
        <w:tc>
          <w:tcPr>
            <w:tcW w:w="1958" w:type="dxa"/>
          </w:tcPr>
          <w:p w14:paraId="5876F71E"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1,00</w:t>
            </w:r>
          </w:p>
          <w:p w14:paraId="66F311DD"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0,44 iki 2,27)</w:t>
            </w:r>
          </w:p>
        </w:tc>
        <w:tc>
          <w:tcPr>
            <w:tcW w:w="1276" w:type="dxa"/>
          </w:tcPr>
          <w:p w14:paraId="16012E91"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0,3</w:t>
            </w:r>
          </w:p>
        </w:tc>
        <w:tc>
          <w:tcPr>
            <w:tcW w:w="1098" w:type="dxa"/>
          </w:tcPr>
          <w:p w14:paraId="46643E00"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1,0000</w:t>
            </w:r>
          </w:p>
        </w:tc>
      </w:tr>
      <w:tr w:rsidR="00864478" w:rsidRPr="00DF20DE" w14:paraId="51471934" w14:textId="77777777" w:rsidTr="00D638FC">
        <w:trPr>
          <w:trHeight w:val="503"/>
        </w:trPr>
        <w:tc>
          <w:tcPr>
            <w:tcW w:w="3542" w:type="dxa"/>
          </w:tcPr>
          <w:p w14:paraId="62236EC6" w14:textId="77777777" w:rsidR="00864478" w:rsidRPr="00DF20DE" w:rsidRDefault="00864478" w:rsidP="00C536DB">
            <w:pPr>
              <w:widowControl w:val="0"/>
              <w:autoSpaceDE w:val="0"/>
              <w:autoSpaceDN w:val="0"/>
              <w:spacing w:after="0" w:line="240" w:lineRule="auto"/>
              <w:ind w:left="594"/>
              <w:rPr>
                <w:rFonts w:ascii="Times New Roman" w:eastAsia="Times New Roman" w:hAnsi="Times New Roman" w:cs="Times New Roman"/>
              </w:rPr>
            </w:pPr>
            <w:r w:rsidRPr="00DF20DE">
              <w:rPr>
                <w:rFonts w:ascii="Times New Roman" w:eastAsia="Times New Roman" w:hAnsi="Times New Roman" w:cs="Times New Roman"/>
              </w:rPr>
              <w:t>IKK</w:t>
            </w:r>
          </w:p>
        </w:tc>
        <w:tc>
          <w:tcPr>
            <w:tcW w:w="1300" w:type="dxa"/>
          </w:tcPr>
          <w:p w14:paraId="045D7E52"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0,6</w:t>
            </w:r>
          </w:p>
        </w:tc>
        <w:tc>
          <w:tcPr>
            <w:tcW w:w="1958" w:type="dxa"/>
          </w:tcPr>
          <w:p w14:paraId="11C3C1D8"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1,33</w:t>
            </w:r>
          </w:p>
          <w:p w14:paraId="1DF03BD6"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0,77 iki 2,31)</w:t>
            </w:r>
          </w:p>
        </w:tc>
        <w:tc>
          <w:tcPr>
            <w:tcW w:w="1276" w:type="dxa"/>
          </w:tcPr>
          <w:p w14:paraId="24343558"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0,5</w:t>
            </w:r>
          </w:p>
        </w:tc>
        <w:tc>
          <w:tcPr>
            <w:tcW w:w="1098" w:type="dxa"/>
          </w:tcPr>
          <w:p w14:paraId="01EF3814"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0,3130</w:t>
            </w:r>
          </w:p>
        </w:tc>
      </w:tr>
      <w:tr w:rsidR="00864478" w:rsidRPr="00DF20DE" w14:paraId="27884B6E" w14:textId="77777777" w:rsidTr="00D638FC">
        <w:trPr>
          <w:trHeight w:val="508"/>
        </w:trPr>
        <w:tc>
          <w:tcPr>
            <w:tcW w:w="3542" w:type="dxa"/>
          </w:tcPr>
          <w:p w14:paraId="2F9EB3BD" w14:textId="77777777" w:rsidR="00864478" w:rsidRPr="00DF20DE" w:rsidRDefault="00864478" w:rsidP="00C536DB">
            <w:pPr>
              <w:widowControl w:val="0"/>
              <w:autoSpaceDE w:val="0"/>
              <w:autoSpaceDN w:val="0"/>
              <w:spacing w:after="0" w:line="240" w:lineRule="auto"/>
              <w:ind w:left="594"/>
              <w:rPr>
                <w:rFonts w:ascii="Times New Roman" w:eastAsia="Times New Roman" w:hAnsi="Times New Roman" w:cs="Times New Roman"/>
              </w:rPr>
            </w:pPr>
            <w:r w:rsidRPr="00DF20DE">
              <w:rPr>
                <w:rFonts w:ascii="Times New Roman" w:eastAsia="Times New Roman" w:hAnsi="Times New Roman" w:cs="Times New Roman"/>
              </w:rPr>
              <w:t>Kiti TIMI didesnieji</w:t>
            </w:r>
          </w:p>
        </w:tc>
        <w:tc>
          <w:tcPr>
            <w:tcW w:w="1300" w:type="dxa"/>
          </w:tcPr>
          <w:p w14:paraId="76622DF4"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1,6</w:t>
            </w:r>
          </w:p>
        </w:tc>
        <w:tc>
          <w:tcPr>
            <w:tcW w:w="1958" w:type="dxa"/>
          </w:tcPr>
          <w:p w14:paraId="2F89D0BE"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3,61</w:t>
            </w:r>
          </w:p>
          <w:p w14:paraId="5519E07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2,31 iki 5,65)</w:t>
            </w:r>
          </w:p>
        </w:tc>
        <w:tc>
          <w:tcPr>
            <w:tcW w:w="1276" w:type="dxa"/>
          </w:tcPr>
          <w:p w14:paraId="5CC50E18"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0,5</w:t>
            </w:r>
          </w:p>
        </w:tc>
        <w:tc>
          <w:tcPr>
            <w:tcW w:w="1098" w:type="dxa"/>
          </w:tcPr>
          <w:p w14:paraId="0EBA98E5"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r w:rsidR="00864478" w:rsidRPr="00DF20DE" w14:paraId="21B24E7D" w14:textId="77777777" w:rsidTr="00D638FC">
        <w:trPr>
          <w:trHeight w:val="503"/>
        </w:trPr>
        <w:tc>
          <w:tcPr>
            <w:tcW w:w="3542" w:type="dxa"/>
          </w:tcPr>
          <w:p w14:paraId="32C28451"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TIMI didesnieji ir nedideli</w:t>
            </w:r>
          </w:p>
        </w:tc>
        <w:tc>
          <w:tcPr>
            <w:tcW w:w="1300" w:type="dxa"/>
          </w:tcPr>
          <w:p w14:paraId="6B5AEA98"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3,4</w:t>
            </w:r>
          </w:p>
        </w:tc>
        <w:tc>
          <w:tcPr>
            <w:tcW w:w="1958" w:type="dxa"/>
          </w:tcPr>
          <w:p w14:paraId="19E6BAE3"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2,54</w:t>
            </w:r>
          </w:p>
          <w:p w14:paraId="439C5F12"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1,93 iki 3,35)</w:t>
            </w:r>
          </w:p>
        </w:tc>
        <w:tc>
          <w:tcPr>
            <w:tcW w:w="1276" w:type="dxa"/>
          </w:tcPr>
          <w:p w14:paraId="60F80FC0"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1,4</w:t>
            </w:r>
          </w:p>
        </w:tc>
        <w:tc>
          <w:tcPr>
            <w:tcW w:w="1098" w:type="dxa"/>
          </w:tcPr>
          <w:p w14:paraId="27812D44"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r w:rsidR="00864478" w:rsidRPr="00DF20DE" w14:paraId="5C344105" w14:textId="77777777" w:rsidTr="00D638FC">
        <w:trPr>
          <w:trHeight w:val="508"/>
        </w:trPr>
        <w:tc>
          <w:tcPr>
            <w:tcW w:w="3542" w:type="dxa"/>
          </w:tcPr>
          <w:p w14:paraId="5079E182"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TIMI didesnieji, nedideli ir</w:t>
            </w:r>
          </w:p>
          <w:p w14:paraId="6ECD18BB"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reikalaujantys gydytojo pagalbos</w:t>
            </w:r>
          </w:p>
        </w:tc>
        <w:tc>
          <w:tcPr>
            <w:tcW w:w="1300" w:type="dxa"/>
          </w:tcPr>
          <w:p w14:paraId="4D3ABC56"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16,6</w:t>
            </w:r>
          </w:p>
        </w:tc>
        <w:tc>
          <w:tcPr>
            <w:tcW w:w="1958" w:type="dxa"/>
          </w:tcPr>
          <w:p w14:paraId="61581990"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2,64</w:t>
            </w:r>
          </w:p>
          <w:p w14:paraId="0BD99FD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2,35 iki 2,97)</w:t>
            </w:r>
          </w:p>
        </w:tc>
        <w:tc>
          <w:tcPr>
            <w:tcW w:w="1276" w:type="dxa"/>
          </w:tcPr>
          <w:p w14:paraId="36D62F4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7,0</w:t>
            </w:r>
          </w:p>
        </w:tc>
        <w:tc>
          <w:tcPr>
            <w:tcW w:w="1098" w:type="dxa"/>
          </w:tcPr>
          <w:p w14:paraId="51E1BD9E"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r w:rsidR="00864478" w:rsidRPr="00DF20DE" w14:paraId="6E8B1D46" w14:textId="77777777" w:rsidTr="00D638FC">
        <w:trPr>
          <w:trHeight w:val="253"/>
        </w:trPr>
        <w:tc>
          <w:tcPr>
            <w:tcW w:w="9174" w:type="dxa"/>
            <w:gridSpan w:val="5"/>
          </w:tcPr>
          <w:p w14:paraId="5BAF48DD"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Kraujavimo kategorijos pagal PLATO kriterijus</w:t>
            </w:r>
          </w:p>
        </w:tc>
      </w:tr>
      <w:tr w:rsidR="00864478" w:rsidRPr="00DF20DE" w14:paraId="65F004F3" w14:textId="77777777" w:rsidTr="00D638FC">
        <w:trPr>
          <w:trHeight w:val="508"/>
        </w:trPr>
        <w:tc>
          <w:tcPr>
            <w:tcW w:w="3542" w:type="dxa"/>
          </w:tcPr>
          <w:p w14:paraId="69EF0236"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PLATO didesnieji</w:t>
            </w:r>
          </w:p>
        </w:tc>
        <w:tc>
          <w:tcPr>
            <w:tcW w:w="1300" w:type="dxa"/>
          </w:tcPr>
          <w:p w14:paraId="1134AE28"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3,5</w:t>
            </w:r>
          </w:p>
        </w:tc>
        <w:tc>
          <w:tcPr>
            <w:tcW w:w="1958" w:type="dxa"/>
          </w:tcPr>
          <w:p w14:paraId="2D09F486"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2,57</w:t>
            </w:r>
          </w:p>
          <w:p w14:paraId="71F670CC"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1,95 iki 3,37)</w:t>
            </w:r>
          </w:p>
        </w:tc>
        <w:tc>
          <w:tcPr>
            <w:tcW w:w="1276" w:type="dxa"/>
          </w:tcPr>
          <w:p w14:paraId="16524430"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1,4</w:t>
            </w:r>
          </w:p>
        </w:tc>
        <w:tc>
          <w:tcPr>
            <w:tcW w:w="1098" w:type="dxa"/>
          </w:tcPr>
          <w:p w14:paraId="6D0EA580"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r w:rsidR="00864478" w:rsidRPr="00DF20DE" w14:paraId="47BB8DE1" w14:textId="77777777" w:rsidTr="00D638FC">
        <w:trPr>
          <w:trHeight w:val="503"/>
        </w:trPr>
        <w:tc>
          <w:tcPr>
            <w:tcW w:w="3542" w:type="dxa"/>
          </w:tcPr>
          <w:p w14:paraId="43FADC62"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Mirtini ar pavojingi gyvybei</w:t>
            </w:r>
          </w:p>
        </w:tc>
        <w:tc>
          <w:tcPr>
            <w:tcW w:w="1300" w:type="dxa"/>
          </w:tcPr>
          <w:p w14:paraId="09E569FB"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2,4</w:t>
            </w:r>
          </w:p>
        </w:tc>
        <w:tc>
          <w:tcPr>
            <w:tcW w:w="1958" w:type="dxa"/>
          </w:tcPr>
          <w:p w14:paraId="411F7582"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2,38</w:t>
            </w:r>
          </w:p>
          <w:p w14:paraId="6EEBE653"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1,73 iki 3,26)</w:t>
            </w:r>
          </w:p>
        </w:tc>
        <w:tc>
          <w:tcPr>
            <w:tcW w:w="1276" w:type="dxa"/>
          </w:tcPr>
          <w:p w14:paraId="6AEFDFC8"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w:t>
            </w:r>
          </w:p>
        </w:tc>
        <w:tc>
          <w:tcPr>
            <w:tcW w:w="1098" w:type="dxa"/>
          </w:tcPr>
          <w:p w14:paraId="0F68EF93"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r w:rsidR="00864478" w:rsidRPr="00DF20DE" w14:paraId="0F3A0EC3" w14:textId="77777777" w:rsidTr="00D638FC">
        <w:trPr>
          <w:trHeight w:val="508"/>
        </w:trPr>
        <w:tc>
          <w:tcPr>
            <w:tcW w:w="3542" w:type="dxa"/>
          </w:tcPr>
          <w:p w14:paraId="013EC26A"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Kiti PLATO didesnieji</w:t>
            </w:r>
          </w:p>
        </w:tc>
        <w:tc>
          <w:tcPr>
            <w:tcW w:w="1300" w:type="dxa"/>
          </w:tcPr>
          <w:p w14:paraId="5FB50F88"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w:t>
            </w:r>
          </w:p>
        </w:tc>
        <w:tc>
          <w:tcPr>
            <w:tcW w:w="1958" w:type="dxa"/>
          </w:tcPr>
          <w:p w14:paraId="4021C8F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3,37</w:t>
            </w:r>
          </w:p>
          <w:p w14:paraId="6B28B5D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1,95 iki 5,83)</w:t>
            </w:r>
          </w:p>
        </w:tc>
        <w:tc>
          <w:tcPr>
            <w:tcW w:w="1276" w:type="dxa"/>
          </w:tcPr>
          <w:p w14:paraId="13D55686"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0,3</w:t>
            </w:r>
          </w:p>
        </w:tc>
        <w:tc>
          <w:tcPr>
            <w:tcW w:w="1098" w:type="dxa"/>
          </w:tcPr>
          <w:p w14:paraId="7A64FC90"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r w:rsidR="00864478" w:rsidRPr="00DF20DE" w14:paraId="6BB04DF8" w14:textId="77777777" w:rsidTr="00D638FC">
        <w:trPr>
          <w:trHeight w:val="503"/>
        </w:trPr>
        <w:tc>
          <w:tcPr>
            <w:tcW w:w="3542" w:type="dxa"/>
          </w:tcPr>
          <w:p w14:paraId="4154F86D"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PLATO didesnieji ir nedideli</w:t>
            </w:r>
          </w:p>
        </w:tc>
        <w:tc>
          <w:tcPr>
            <w:tcW w:w="1300" w:type="dxa"/>
          </w:tcPr>
          <w:p w14:paraId="73CB402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15,2</w:t>
            </w:r>
          </w:p>
        </w:tc>
        <w:tc>
          <w:tcPr>
            <w:tcW w:w="1958" w:type="dxa"/>
          </w:tcPr>
          <w:p w14:paraId="576991E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2,71</w:t>
            </w:r>
          </w:p>
          <w:p w14:paraId="080F347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(nuo 2,40 iki 3,08)</w:t>
            </w:r>
          </w:p>
        </w:tc>
        <w:tc>
          <w:tcPr>
            <w:tcW w:w="1276" w:type="dxa"/>
          </w:tcPr>
          <w:p w14:paraId="4A5D9CFD"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6,2</w:t>
            </w:r>
          </w:p>
        </w:tc>
        <w:tc>
          <w:tcPr>
            <w:tcW w:w="1098" w:type="dxa"/>
          </w:tcPr>
          <w:p w14:paraId="045C803D"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&lt;0,0001</w:t>
            </w:r>
          </w:p>
        </w:tc>
      </w:tr>
    </w:tbl>
    <w:p w14:paraId="1136BA30" w14:textId="411A48FA" w:rsidR="00D638FC" w:rsidRPr="00DF20DE" w:rsidRDefault="00D638FC" w:rsidP="00864478">
      <w:pPr>
        <w:widowControl w:val="0"/>
        <w:autoSpaceDE w:val="0"/>
        <w:autoSpaceDN w:val="0"/>
        <w:spacing w:after="0" w:line="240" w:lineRule="auto"/>
        <w:rPr>
          <w:rFonts w:ascii="Times New Roman" w:eastAsia="Times New Roman" w:hAnsi="Times New Roman" w:cs="Times New Roman"/>
          <w:b/>
          <w:sz w:val="20"/>
          <w:szCs w:val="20"/>
        </w:rPr>
      </w:pPr>
      <w:r w:rsidRPr="00DF20DE">
        <w:rPr>
          <w:rFonts w:ascii="Times New Roman" w:eastAsia="Times New Roman" w:hAnsi="Times New Roman" w:cs="Times New Roman"/>
          <w:b/>
          <w:i/>
          <w:iCs/>
          <w:sz w:val="20"/>
          <w:szCs w:val="20"/>
        </w:rPr>
        <w:t>KM</w:t>
      </w:r>
      <w:r w:rsidRPr="00DF20DE">
        <w:rPr>
          <w:rFonts w:ascii="Times New Roman" w:eastAsia="Times New Roman" w:hAnsi="Times New Roman" w:cs="Times New Roman"/>
          <w:b/>
          <w:sz w:val="20"/>
          <w:szCs w:val="20"/>
        </w:rPr>
        <w:t xml:space="preserve"> – </w:t>
      </w:r>
      <w:r w:rsidRPr="00DF20DE">
        <w:rPr>
          <w:rFonts w:ascii="Times New Roman" w:eastAsia="Times New Roman" w:hAnsi="Times New Roman" w:cs="Times New Roman"/>
          <w:b/>
          <w:i/>
          <w:iCs/>
          <w:sz w:val="20"/>
          <w:szCs w:val="20"/>
        </w:rPr>
        <w:t>Kaplan-Meier</w:t>
      </w:r>
    </w:p>
    <w:p w14:paraId="65AC0A91" w14:textId="0853C845" w:rsidR="00864478" w:rsidRPr="00DF20DE" w:rsidRDefault="00864478" w:rsidP="00864478">
      <w:pPr>
        <w:widowControl w:val="0"/>
        <w:autoSpaceDE w:val="0"/>
        <w:autoSpaceDN w:val="0"/>
        <w:spacing w:after="0" w:line="240" w:lineRule="auto"/>
        <w:rPr>
          <w:rFonts w:ascii="Times New Roman" w:eastAsia="Times New Roman" w:hAnsi="Times New Roman" w:cs="Times New Roman"/>
          <w:b/>
          <w:sz w:val="20"/>
          <w:szCs w:val="20"/>
        </w:rPr>
      </w:pPr>
      <w:r w:rsidRPr="00DF20DE">
        <w:rPr>
          <w:rFonts w:ascii="Times New Roman" w:eastAsia="Times New Roman" w:hAnsi="Times New Roman" w:cs="Times New Roman"/>
          <w:b/>
          <w:sz w:val="20"/>
          <w:szCs w:val="20"/>
        </w:rPr>
        <w:t>Kraujavimo kategorijų sąvokos:</w:t>
      </w:r>
    </w:p>
    <w:p w14:paraId="141E5709"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TIMI didesnieji</w:t>
      </w:r>
      <w:r w:rsidRPr="00DF20DE">
        <w:rPr>
          <w:rFonts w:ascii="Times New Roman" w:eastAsia="Times New Roman" w:hAnsi="Times New Roman" w:cs="Times New Roman"/>
          <w:bCs/>
          <w:sz w:val="20"/>
          <w:szCs w:val="20"/>
        </w:rPr>
        <w:t xml:space="preserve"> – mirtinas kraujavimas; </w:t>
      </w:r>
      <w:r w:rsidRPr="00DF20DE">
        <w:rPr>
          <w:rFonts w:ascii="Times New Roman" w:eastAsia="Times New Roman" w:hAnsi="Times New Roman" w:cs="Times New Roman"/>
          <w:bCs/>
          <w:i/>
          <w:sz w:val="20"/>
          <w:szCs w:val="20"/>
        </w:rPr>
        <w:t xml:space="preserve">arba </w:t>
      </w:r>
      <w:r w:rsidRPr="00DF20DE">
        <w:rPr>
          <w:rFonts w:ascii="Times New Roman" w:eastAsia="Times New Roman" w:hAnsi="Times New Roman" w:cs="Times New Roman"/>
          <w:bCs/>
          <w:sz w:val="20"/>
          <w:szCs w:val="20"/>
        </w:rPr>
        <w:t xml:space="preserve">bet kokie intrakranijiniai kraujavimai; </w:t>
      </w:r>
      <w:r w:rsidRPr="00DF20DE">
        <w:rPr>
          <w:rFonts w:ascii="Times New Roman" w:eastAsia="Times New Roman" w:hAnsi="Times New Roman" w:cs="Times New Roman"/>
          <w:bCs/>
          <w:i/>
          <w:sz w:val="20"/>
          <w:szCs w:val="20"/>
        </w:rPr>
        <w:t xml:space="preserve">arba </w:t>
      </w:r>
      <w:r w:rsidRPr="00DF20DE">
        <w:rPr>
          <w:rFonts w:ascii="Times New Roman" w:eastAsia="Times New Roman" w:hAnsi="Times New Roman" w:cs="Times New Roman"/>
          <w:bCs/>
          <w:sz w:val="20"/>
          <w:szCs w:val="20"/>
        </w:rPr>
        <w:t xml:space="preserve">klinikiniai kraujavimo </w:t>
      </w:r>
      <w:r w:rsidRPr="00DF20DE">
        <w:rPr>
          <w:rFonts w:ascii="Times New Roman" w:eastAsia="Times New Roman" w:hAnsi="Times New Roman" w:cs="Times New Roman"/>
          <w:bCs/>
          <w:sz w:val="20"/>
          <w:szCs w:val="20"/>
        </w:rPr>
        <w:lastRenderedPageBreak/>
        <w:t>požymiai, susiję su hemoglobino (Hgb) koncentracijos sumažėjimu ≥ 50 g/l ar (jei Hgb koncentracija nežinoma) hematokrito (Hct) sumažėjimu 15 %.</w:t>
      </w:r>
    </w:p>
    <w:p w14:paraId="6AFDBF7F"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 xml:space="preserve">Mirtini </w:t>
      </w:r>
      <w:r w:rsidRPr="00DF20DE">
        <w:rPr>
          <w:rFonts w:ascii="Times New Roman" w:eastAsia="Times New Roman" w:hAnsi="Times New Roman" w:cs="Times New Roman"/>
          <w:bCs/>
          <w:sz w:val="20"/>
          <w:szCs w:val="20"/>
        </w:rPr>
        <w:t>– kraujavimas, kuris tiesiogiai nulėmę mirtį per 7 dienas.</w:t>
      </w:r>
    </w:p>
    <w:p w14:paraId="23A85310"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IKK</w:t>
      </w:r>
      <w:r w:rsidRPr="00DF20DE">
        <w:rPr>
          <w:rFonts w:ascii="Times New Roman" w:eastAsia="Times New Roman" w:hAnsi="Times New Roman" w:cs="Times New Roman"/>
          <w:bCs/>
          <w:sz w:val="20"/>
          <w:szCs w:val="20"/>
        </w:rPr>
        <w:t xml:space="preserve"> – intrakranijiniai kraujavimai.</w:t>
      </w:r>
    </w:p>
    <w:p w14:paraId="0B87644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Kiti TIMI didesnieji</w:t>
      </w:r>
      <w:r w:rsidRPr="00DF20DE">
        <w:rPr>
          <w:rFonts w:ascii="Times New Roman" w:eastAsia="Times New Roman" w:hAnsi="Times New Roman" w:cs="Times New Roman"/>
          <w:bCs/>
          <w:sz w:val="20"/>
          <w:szCs w:val="20"/>
        </w:rPr>
        <w:t xml:space="preserve"> – TIMI didesnieji kraujavimai, išskyrus mirtinus ir intrakranijinius.</w:t>
      </w:r>
    </w:p>
    <w:p w14:paraId="641DEA7A"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TIMI nedideli</w:t>
      </w:r>
      <w:r w:rsidRPr="00DF20DE">
        <w:rPr>
          <w:rFonts w:ascii="Times New Roman" w:eastAsia="Times New Roman" w:hAnsi="Times New Roman" w:cs="Times New Roman"/>
          <w:bCs/>
          <w:sz w:val="20"/>
          <w:szCs w:val="20"/>
        </w:rPr>
        <w:t xml:space="preserve"> – kliniškai pastebimi, dėl kurių hemoglobino sumažėjo 30–50 g/l.</w:t>
      </w:r>
    </w:p>
    <w:p w14:paraId="6AB9347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TIMI, dėl kurio reikėjo gydytojo pagalbos</w:t>
      </w:r>
      <w:r w:rsidRPr="00DF20DE">
        <w:rPr>
          <w:rFonts w:ascii="Times New Roman" w:eastAsia="Times New Roman" w:hAnsi="Times New Roman" w:cs="Times New Roman"/>
          <w:bCs/>
          <w:sz w:val="20"/>
          <w:szCs w:val="20"/>
        </w:rPr>
        <w:t xml:space="preserve"> – reikėjo intervencijos; arba hospitalizacijos; arba skubaus ištyrimo. </w:t>
      </w:r>
    </w:p>
    <w:p w14:paraId="5E1FAE5F"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PLATO didesnieji mirtini ar pavojingi gyvybei</w:t>
      </w:r>
      <w:r w:rsidRPr="00DF20DE">
        <w:rPr>
          <w:rFonts w:ascii="Times New Roman" w:eastAsia="Times New Roman" w:hAnsi="Times New Roman" w:cs="Times New Roman"/>
          <w:bCs/>
          <w:sz w:val="20"/>
          <w:szCs w:val="20"/>
        </w:rPr>
        <w:t xml:space="preserve"> – mirtinas kraujavimas; arba bet kokie intrakranijiniai kraujavimai; arba vidiniai perikardo su širdies tamponada; arba su hipovoleminiu šoku ar sunkia hipotenzija, kai reikėjo kraujagysles siaurinančių ar inotropinių vaistinių preparatų arba operacijos; arba kliniškai pastebimi, dėl kurių hemoglobino sumažėjo &gt; 50 g/l ar teko perpilti ≥ 4 eritrocitų masės vienetus.</w:t>
      </w:r>
    </w:p>
    <w:p w14:paraId="0071623C"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PLATO didesnieji kiti</w:t>
      </w:r>
      <w:r w:rsidRPr="00DF20DE">
        <w:rPr>
          <w:rFonts w:ascii="Times New Roman" w:eastAsia="Times New Roman" w:hAnsi="Times New Roman" w:cs="Times New Roman"/>
          <w:bCs/>
          <w:sz w:val="20"/>
          <w:szCs w:val="20"/>
        </w:rPr>
        <w:t xml:space="preserve"> – sukėlę reikšmingą negalią; arba kliniškai pastebimi, kai hemoglobino sumažėjo 30–50 g/l ar teko perpilti 2–3 eritrocitų masės vienetus.</w:t>
      </w:r>
    </w:p>
    <w:p w14:paraId="18D2449B"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Cs/>
          <w:sz w:val="20"/>
          <w:szCs w:val="20"/>
        </w:rPr>
      </w:pPr>
      <w:r w:rsidRPr="00DF20DE">
        <w:rPr>
          <w:rFonts w:ascii="Times New Roman" w:eastAsia="Times New Roman" w:hAnsi="Times New Roman" w:cs="Times New Roman"/>
          <w:b/>
          <w:sz w:val="20"/>
          <w:szCs w:val="20"/>
        </w:rPr>
        <w:t>PLATO nedideli</w:t>
      </w:r>
      <w:r w:rsidRPr="00DF20DE">
        <w:rPr>
          <w:rFonts w:ascii="Times New Roman" w:eastAsia="Times New Roman" w:hAnsi="Times New Roman" w:cs="Times New Roman"/>
          <w:bCs/>
          <w:sz w:val="20"/>
          <w:szCs w:val="20"/>
        </w:rPr>
        <w:t xml:space="preserve"> – reikėjo medicininės intervencijos kraujavimui stabdyti ar gydyti.</w:t>
      </w:r>
    </w:p>
    <w:p w14:paraId="559EB99D"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45439011"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PEGASUS tyrimo metu TIMI didesnysis kraujavimas pasireiškė daugiau pacientų, vartojusių 60 mg tikagreloro 2 kartus per parą, negu vartojusių vien ASR. Vis dėlto, jiems didesnės mirtino kraujavimo rizikos nenustatyta, o IKK rizika buvo tik šiek tiek didesnė, negu vartojusiems vien ASR. Tyrimo metu nuo kraujavimo mirė 11 (0,3 %) 60 mg tikagreloro ir 12 (0,3 %) vien ASR vartojusių pacientų. Didesnę didesniųjų kraujavimų pagal TIMI kriterijus riziką vartojant 60 mg tikagreloro daugiausiai darė įtaką kitų kategorijų kraujavimai, ypač kraujavimas iš virškinimo trakto.</w:t>
      </w:r>
    </w:p>
    <w:p w14:paraId="4BFABE08"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6D591B49"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TIMI didesniųjų ir nedidelių, PLATO didesniųjų bei PLATO didesniųjų ir nedidelių kraujavimų padaugėjo panašiai kaip TIMI didesniųjų (žr. 3 lentelę). Dėl kraujavimo 60 mg tikagreloro vartojimas buvo nutrauktas dažniau, negu vien ASR (atitinkamai 6,2 % ir 1,5 %). Dauguma tokių kraujavimų buvo lengvesni, pvz., kraujavimas iš nosies, kraujosruvos ir hematomos (klasifikuoti kaip TIMI kraujavimai, dėl kurių reikėjo gydytojo pagalbos).</w:t>
      </w:r>
    </w:p>
    <w:p w14:paraId="0E78AC5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46776F60"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Įvairių iš anksto numatytų pogrupių (pvz., pagal amžių, lytį, kūno svorį, rasę, geografinį regioną, gretutines ligas, kartu vartojamus vaistinius preparatus ir ligos anamnezę) pacientams, vartojusiems 60 mg tikagreloro, kraujavimų (TIMI didesniųjų, TIMI didesniųjų ir nedidelių, PLATO didesniųjų) pobūdis buvo panašus.</w:t>
      </w:r>
    </w:p>
    <w:p w14:paraId="6EF8887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4F975DB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Intrakranijinis kraujavimas (IKK)</w:t>
      </w:r>
    </w:p>
    <w:p w14:paraId="7CF25F3C"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Savaiminių IKK užfiksuota maždaug vienodai 60 mg tikagreloro ir vien ASR vartojusių pacientų (abejose gydymo grupėse – n = 13, 0,2 %). IKK po traumų ar procedūrų 60 mg tikagreloro vartojusiems pacientams buvo šiek tiek dažniau (n = 15, 0,2 %), negu vartojusiems vien ASR (n = 10, 0,1 %). Užfiksuoti 6 mirtino IKK atvejai vartojant 60 mg tikagreloro ir 5 mirtino IKK atvejai vartojant vien ASR. Atsižvelgiant į reikšmingas tirtos populiacijos gretutines ligas ir kardiovaskulinės rizikos faktorius, IKK dažnis abejų grupių pacientams buvo mažas.</w:t>
      </w:r>
    </w:p>
    <w:p w14:paraId="793C7E60"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20C91333"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Dusulys</w:t>
      </w:r>
    </w:p>
    <w:p w14:paraId="5CF25BC6" w14:textId="51DA19FB"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vartojantiems pacientams užfiksuota dusulio (oro stokos pojūčio) atvejų. PLATO tyrimo metu dusulio nepageidaujamų reiškinių (dusulys, dusulys ramybėje, dusulys krūvio metu, paroksizminis dusulys naktį ir dusulys naktį) iš viso užfiksuota 13,8 % tikagrelor</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7,8 % klopidogrel</w:t>
      </w:r>
      <w:r w:rsidR="006B0A31"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vartojusių pacientų. 2,2 % tikagrelor</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0,6 % klopidogrel</w:t>
      </w:r>
      <w:r w:rsidR="006B0A31"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vartojusių pacientų pasireiškusį dusulį tyrėjai laikė susijusiu su PLATO tyrimo metu tirtais vaistiniais preparatais, nedaugeliu atvejų dusulys buvo sunkus (0,14 % vartojant tikagrelor</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0,02 % vartojant klopidogrel</w:t>
      </w:r>
      <w:r w:rsidR="006B0A31" w:rsidRPr="00DF20DE">
        <w:rPr>
          <w:rFonts w:ascii="Times New Roman" w:eastAsia="Times New Roman" w:hAnsi="Times New Roman" w:cs="Times New Roman"/>
        </w:rPr>
        <w:t>io</w:t>
      </w:r>
      <w:r w:rsidRPr="00DF20DE">
        <w:rPr>
          <w:rFonts w:ascii="Times New Roman" w:eastAsia="Times New Roman" w:hAnsi="Times New Roman" w:cs="Times New Roman"/>
        </w:rPr>
        <w:t>) (žr. 4.4 skyrių). Dauguma užfiksuotų dusulio simptomų buvo lengvo ar vidutinio intensyvumo, dažniausiai pasireiškė vienas epizodas pradedant vartoti vaistinį preparatą.</w:t>
      </w:r>
    </w:p>
    <w:p w14:paraId="58B7A95F"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18E997AD" w14:textId="23BC55A3"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Palyginti su klopidogreliu astma ar LOPL sergantiems pacientams, vartojantiems tikagrelor</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gali būti didesnė nesunkaus dusulio (3,29 % vartojant tikagrelor</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0,53 % vartojant klopidogrel</w:t>
      </w:r>
      <w:r w:rsidR="006B0A31" w:rsidRPr="00DF20DE">
        <w:rPr>
          <w:rFonts w:ascii="Times New Roman" w:eastAsia="Times New Roman" w:hAnsi="Times New Roman" w:cs="Times New Roman"/>
        </w:rPr>
        <w:t>io</w:t>
      </w:r>
      <w:r w:rsidRPr="00DF20DE">
        <w:rPr>
          <w:rFonts w:ascii="Times New Roman" w:eastAsia="Times New Roman" w:hAnsi="Times New Roman" w:cs="Times New Roman"/>
        </w:rPr>
        <w:t>) bei sunkaus dusulio rizika (0,38 % vartojant tikagrelor</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0,00 % vartojant klopidogrel</w:t>
      </w:r>
      <w:r w:rsidR="006B0A31" w:rsidRPr="00DF20DE">
        <w:rPr>
          <w:rFonts w:ascii="Times New Roman" w:eastAsia="Times New Roman" w:hAnsi="Times New Roman" w:cs="Times New Roman"/>
        </w:rPr>
        <w:t>io</w:t>
      </w:r>
      <w:r w:rsidRPr="00DF20DE">
        <w:rPr>
          <w:rFonts w:ascii="Times New Roman" w:eastAsia="Times New Roman" w:hAnsi="Times New Roman" w:cs="Times New Roman"/>
        </w:rPr>
        <w:t>). Absoliučia išraiška ši rizika buvo didesnė negu visoje PLATO tyrimo populiacijoje. Tikagrelor</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vartojantiems pacientams, kurių anamnezėje užfiksuota astma ir (arba) LOPL, būtinos atsargumo priemonės (žr. 4.4 skyrių).</w:t>
      </w:r>
    </w:p>
    <w:p w14:paraId="546C8C7B"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63563335" w14:textId="0B2E2044"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Maždaug 30 % dusulio epizodų praėjo per 7 dienas. Į PLATO tyrimą buvo įtraukiami ir pacientai, </w:t>
      </w:r>
      <w:r w:rsidRPr="00DF20DE">
        <w:rPr>
          <w:rFonts w:ascii="Times New Roman" w:eastAsia="Times New Roman" w:hAnsi="Times New Roman" w:cs="Times New Roman"/>
        </w:rPr>
        <w:lastRenderedPageBreak/>
        <w:t>kuriems pradedant tyrimą buvo stazinis širdies nepakankamumas, LOPL ar astma. Jiems ir taip pat senyviems pacientams dusulio pasireiškimo tikimybė buvo didesnė. Dėl dusulio tikagreloro vartojimą nutraukė 0,9 %, klopidogrelio – 0,1 % pacientų. Dažnesnis dusulio atsiradimas vartojant tikagrelor</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nėra susijęs su naujomis ar pasunkėjusiomis širdies arba plaučių ligomis (žr. 4.4 skyrių). Įtakos plaučių funkcijos rodikliams tikagreloras neturi.</w:t>
      </w:r>
    </w:p>
    <w:p w14:paraId="7CF76100"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rPr>
      </w:pPr>
    </w:p>
    <w:p w14:paraId="39513AA8"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PEGASUS tyrimo metu dusulys užfiksuotas 14,2 % 60 mg tikagreloro 2 kartus per parą ir 5,5 % vien ASR vartojusių pacientų. Kaip ir PLATO tyrimo metu, dusulys dažniausiai būdavo lengvo ar vidutinio intensyvumo (žr. 4.4 skyrių). Dusulio pasireiškimo tikimybė buvo didesnė senyviems pacientams ir taip pat tiems, kurie įtraukiant į tyrimą dažniau skundėsi dusuliu arba sirgo LOPL ar astma.</w:t>
      </w:r>
    </w:p>
    <w:p w14:paraId="7C440A08"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5941CE4A"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Tyrimai</w:t>
      </w:r>
    </w:p>
    <w:p w14:paraId="4C93D09D" w14:textId="725E446A"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Padidėjusi šlapimo rūgšties koncentracija. PLATO tyrimo metu šlapimo rūgšties koncentracija serume padidėjo virš viršutinės normos ribos 22 % tikagrelor</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13 % klopidogrel</w:t>
      </w:r>
      <w:r w:rsidR="006B0A31"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vartojusių pacientų, o PEGASUS tyrimo metu – 9,1 % 90 mg tikagreloro, 8,8 % 60 mg tikagreloro ir 5,5 % placeb</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vartojusių pacientų. Vidutinė šlapimo rūgšties koncentracija serume vartojant tikagrelor</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padidėjo maždaug 15 %, o vartojant klopidogrel</w:t>
      </w:r>
      <w:r w:rsidR="006B0A31"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 maždaug 7,5 %. Baigus vartoti tikagrelor</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ji sumažėdavo maždaug iki 7 %, o baigus vartoti klopidogrel</w:t>
      </w:r>
      <w:r w:rsidR="006B0A31"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jos sumažėjimo nepastebėta. PEGASUS tyrimo metu šlapimo rūgšties koncentracija 90 mg tikagreloro vartojusių pacientų serume laikinai padidėjo vidutiniškai 6,3 %, 90 mg tikagreloro vartojusių pacientų serume – vidutiniškai 5,6 %, o placebo grupės pacientų serume ji vidutiniškai 1,5 % sumažėjo. PLATO tyrimo metu podagrinis artritas užfiksuotas 0,2 % tikagrelor</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0,1 % klopidogrel</w:t>
      </w:r>
      <w:r w:rsidR="006B0A31"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vartojusių pacientų, PEGASUS tyrimo metu – 1,6 % 90 mg tikagreloro, 1,5 % 60 mg tikagreloro ir 1,1 % placeb</w:t>
      </w:r>
      <w:r w:rsidR="006B0A31"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vartojusių pacientų.</w:t>
      </w:r>
    </w:p>
    <w:p w14:paraId="5DB6E7C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4CE7C2B2" w14:textId="77777777" w:rsidR="00864478" w:rsidRPr="00DF20DE" w:rsidRDefault="00864478" w:rsidP="007E6752">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Pranešimas apie įtariamas nepageidaujamas reakcijas</w:t>
      </w:r>
    </w:p>
    <w:p w14:paraId="1834544D" w14:textId="14A45FA8" w:rsidR="007E6752" w:rsidRPr="005C7837" w:rsidRDefault="00864478" w:rsidP="005137EA">
      <w:pPr>
        <w:tabs>
          <w:tab w:val="left" w:pos="567"/>
        </w:tabs>
        <w:autoSpaceDE w:val="0"/>
        <w:autoSpaceDN w:val="0"/>
        <w:adjustRightInd w:val="0"/>
        <w:spacing w:after="0" w:line="240" w:lineRule="auto"/>
        <w:rPr>
          <w:rFonts w:ascii="Times New Roman" w:eastAsia="Times New Roman" w:hAnsi="Times New Roman" w:cs="Times New Roman"/>
          <w:noProof/>
          <w:snapToGrid w:val="0"/>
          <w:szCs w:val="24"/>
        </w:rPr>
      </w:pPr>
      <w:r w:rsidRPr="005C7837">
        <w:rPr>
          <w:rFonts w:ascii="Times New Roman" w:eastAsia="Times New Roman" w:hAnsi="Times New Roman" w:cs="Times New Roman"/>
        </w:rPr>
        <w:t xml:space="preserve">Svarbu pranešti apie įtariamas nepageidaujamas reakcijas, pastebėtas po vaistinio preparato registracijos, nes tai leidžia nuolat stebėti vaistinio preparato naudos ir rizikos santykį. </w:t>
      </w:r>
      <w:r w:rsidR="005C7837" w:rsidRPr="005C7837">
        <w:rPr>
          <w:rFonts w:ascii="Times New Roman" w:eastAsia="Times New Roman" w:hAnsi="Times New Roman" w:cs="Times New Roman"/>
          <w:noProof/>
          <w:snapToGrid w:val="0"/>
          <w:szCs w:val="24"/>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7" w:history="1">
        <w:r w:rsidR="005C7837" w:rsidRPr="005C7837">
          <w:rPr>
            <w:rStyle w:val="Hipersaitas"/>
            <w:rFonts w:ascii="Times New Roman" w:eastAsia="Times New Roman" w:hAnsi="Times New Roman" w:cs="Times New Roman"/>
            <w:noProof/>
            <w:snapToGrid w:val="0"/>
            <w:szCs w:val="24"/>
          </w:rPr>
          <w:t>https://vvkt.lrv.lt/lt</w:t>
        </w:r>
      </w:hyperlink>
      <w:r w:rsidR="005C7837" w:rsidRPr="005C7837">
        <w:rPr>
          <w:rFonts w:ascii="Times New Roman" w:eastAsia="Times New Roman" w:hAnsi="Times New Roman" w:cs="Times New Roman"/>
          <w:noProof/>
          <w:snapToGrid w:val="0"/>
          <w:szCs w:val="24"/>
          <w:u w:val="single"/>
        </w:rPr>
        <w:t>/</w:t>
      </w:r>
      <w:r w:rsidR="005C7837" w:rsidRPr="005C7837">
        <w:rPr>
          <w:rFonts w:ascii="Times New Roman" w:eastAsia="Times New Roman" w:hAnsi="Times New Roman" w:cs="Times New Roman"/>
          <w:noProof/>
          <w:snapToGrid w:val="0"/>
          <w:szCs w:val="24"/>
        </w:rPr>
        <w:t xml:space="preserve"> nurodytais būdais.</w:t>
      </w:r>
    </w:p>
    <w:p w14:paraId="107D0772" w14:textId="77777777" w:rsidR="00864478" w:rsidRPr="00DF20DE" w:rsidRDefault="00864478" w:rsidP="006A7DC7">
      <w:pPr>
        <w:tabs>
          <w:tab w:val="left" w:pos="567"/>
        </w:tabs>
        <w:autoSpaceDE w:val="0"/>
        <w:autoSpaceDN w:val="0"/>
        <w:adjustRightInd w:val="0"/>
        <w:spacing w:after="0" w:line="240" w:lineRule="auto"/>
        <w:jc w:val="both"/>
        <w:rPr>
          <w:rFonts w:ascii="Times New Roman" w:eastAsia="Times New Roman" w:hAnsi="Times New Roman" w:cs="Times New Roman"/>
        </w:rPr>
      </w:pPr>
    </w:p>
    <w:p w14:paraId="27934A00" w14:textId="77777777" w:rsidR="00864478" w:rsidRPr="00DF20DE" w:rsidRDefault="00864478" w:rsidP="006A7DC7">
      <w:pPr>
        <w:widowControl w:val="0"/>
        <w:tabs>
          <w:tab w:val="left" w:pos="782"/>
          <w:tab w:val="left" w:pos="783"/>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4.9</w:t>
      </w:r>
      <w:r w:rsidRPr="00DF20DE">
        <w:rPr>
          <w:rFonts w:ascii="Times New Roman" w:eastAsia="Times New Roman" w:hAnsi="Times New Roman" w:cs="Times New Roman"/>
          <w:b/>
          <w:bCs/>
        </w:rPr>
        <w:tab/>
        <w:t>Perdozavimas</w:t>
      </w:r>
    </w:p>
    <w:p w14:paraId="588AB492" w14:textId="77777777" w:rsidR="00864478" w:rsidRPr="00DF20DE" w:rsidRDefault="00864478" w:rsidP="007E6752">
      <w:pPr>
        <w:widowControl w:val="0"/>
        <w:autoSpaceDE w:val="0"/>
        <w:autoSpaceDN w:val="0"/>
        <w:spacing w:after="0" w:line="240" w:lineRule="auto"/>
        <w:rPr>
          <w:rFonts w:ascii="Times New Roman" w:eastAsia="Times New Roman" w:hAnsi="Times New Roman" w:cs="Times New Roman"/>
          <w:b/>
          <w:sz w:val="21"/>
        </w:rPr>
      </w:pPr>
    </w:p>
    <w:p w14:paraId="5C3E2552" w14:textId="77777777" w:rsidR="00864478" w:rsidRPr="00DF20DE" w:rsidRDefault="00864478" w:rsidP="007E6752">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Vienkartinės tikagreloro dozės iki 900 mg toleruojamos gerai. Tiriant vienkartinės dozės didinimą, jį ribojo toksinis poveikis virškinimo traktui. Kitos kliniškai reikšmingos nepageidaujamos reakcijos, kurių gali pasireikšti perdozavus, yra dusulys ir skilvelių veiklos pauzės (žr. 4.8 skyrių).</w:t>
      </w:r>
    </w:p>
    <w:p w14:paraId="572AA449" w14:textId="77777777" w:rsidR="00864478" w:rsidRPr="00DF20DE" w:rsidRDefault="00864478" w:rsidP="007E6752">
      <w:pPr>
        <w:widowControl w:val="0"/>
        <w:autoSpaceDE w:val="0"/>
        <w:autoSpaceDN w:val="0"/>
        <w:spacing w:after="0" w:line="240" w:lineRule="auto"/>
        <w:rPr>
          <w:rFonts w:ascii="Times New Roman" w:eastAsia="Times New Roman" w:hAnsi="Times New Roman" w:cs="Times New Roman"/>
          <w:sz w:val="21"/>
        </w:rPr>
      </w:pPr>
    </w:p>
    <w:p w14:paraId="19ED7B22" w14:textId="77777777" w:rsidR="00864478" w:rsidRPr="00DF20DE" w:rsidRDefault="00864478" w:rsidP="007E6752">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Perdozavus gali pasireikšti aukščiau išvardytų nepageidaujamų reakcijų. Svarstytinas EKG registravimo tikslingumas.</w:t>
      </w:r>
    </w:p>
    <w:p w14:paraId="46998F6F"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0C206520"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Šiuo metu priešnuodžio tikagreloro poveikiui pašalinti nėra. Dializės būdu tikagreloro nepašalinama (žr. 5.2 skyrių). Perdozavimas gydomas įprastinėmis priemonėmis. Tikėtinas tikagreloro perdozavimo poveikis yra kraujavimo rizikos laikotarpio pailgėjimas, susijęs su trombocitų funkcijos slopinimu. Perpilti trombocitai neturėtų būti kliniškai naudingi pacientams kraujavimo metu (žr. 4.4 skyrių). Prasidėjus kraujavimui reikia imtis kitokių atitinkamų palaikomųjų priemonių.</w:t>
      </w:r>
    </w:p>
    <w:p w14:paraId="51D4414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56D86980"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47543C40" w14:textId="77777777" w:rsidR="00864478" w:rsidRPr="00DF20DE" w:rsidRDefault="00864478" w:rsidP="00020879">
      <w:pPr>
        <w:widowControl w:val="0"/>
        <w:numPr>
          <w:ilvl w:val="0"/>
          <w:numId w:val="19"/>
        </w:numPr>
        <w:tabs>
          <w:tab w:val="left" w:pos="782"/>
          <w:tab w:val="left" w:pos="783"/>
        </w:tabs>
        <w:autoSpaceDE w:val="0"/>
        <w:autoSpaceDN w:val="0"/>
        <w:spacing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FARMAKOLOGINĖS SAVYBĖS</w:t>
      </w:r>
    </w:p>
    <w:p w14:paraId="05983A8C"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
          <w:sz w:val="21"/>
        </w:rPr>
      </w:pPr>
    </w:p>
    <w:p w14:paraId="3C0AB16D" w14:textId="77777777" w:rsidR="00864478" w:rsidRPr="00DF20DE" w:rsidRDefault="00864478" w:rsidP="0086447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5.1</w:t>
      </w:r>
      <w:r w:rsidRPr="00DF20DE">
        <w:rPr>
          <w:rFonts w:ascii="Times New Roman" w:eastAsia="Times New Roman" w:hAnsi="Times New Roman" w:cs="Times New Roman"/>
          <w:b/>
          <w:bCs/>
        </w:rPr>
        <w:tab/>
        <w:t>Farmakodinaminės savybės</w:t>
      </w:r>
    </w:p>
    <w:p w14:paraId="01456EA7"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
        </w:rPr>
      </w:pPr>
    </w:p>
    <w:p w14:paraId="5FB2BE27" w14:textId="1B0CC161"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Farmakoterapinė grupė –antitrombocitiniai vaistiniai preparatai, trombocitų agregacijos inhibitoriai, išskyrus hepariną, ATC kodas – B01AC24</w:t>
      </w:r>
      <w:r w:rsidR="00CF0204" w:rsidRPr="00DF20DE">
        <w:rPr>
          <w:rFonts w:ascii="Times New Roman" w:eastAsia="Times New Roman" w:hAnsi="Times New Roman" w:cs="Times New Roman"/>
        </w:rPr>
        <w:t>.</w:t>
      </w:r>
    </w:p>
    <w:p w14:paraId="6735D4E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17368FF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Veikimo mechanizmas</w:t>
      </w:r>
    </w:p>
    <w:p w14:paraId="233CF675" w14:textId="5EBA123E" w:rsidR="00864478" w:rsidRPr="00DF20DE" w:rsidRDefault="008B0463"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864478" w:rsidRPr="00DF20DE">
        <w:rPr>
          <w:rFonts w:ascii="Times New Roman" w:eastAsia="Times New Roman" w:hAnsi="Times New Roman" w:cs="Times New Roman"/>
        </w:rPr>
        <w:t xml:space="preserve"> sudėtyje yra tikagreloro – geriamojo cheminės ciklopentiltriazolpirimidinų (CPTP) grupės </w:t>
      </w:r>
      <w:r w:rsidR="00864478" w:rsidRPr="00DF20DE">
        <w:rPr>
          <w:rFonts w:ascii="Times New Roman" w:eastAsia="Times New Roman" w:hAnsi="Times New Roman" w:cs="Times New Roman"/>
          <w:position w:val="2"/>
        </w:rPr>
        <w:t>tiesioginio ir selektyvaus veikimo laikinai prisijungiančio P2Y</w:t>
      </w:r>
      <w:r w:rsidR="00864478" w:rsidRPr="00DF20DE">
        <w:rPr>
          <w:rFonts w:ascii="Times New Roman" w:eastAsia="Times New Roman" w:hAnsi="Times New Roman" w:cs="Times New Roman"/>
          <w:sz w:val="14"/>
        </w:rPr>
        <w:t xml:space="preserve">12 </w:t>
      </w:r>
      <w:r w:rsidR="00864478" w:rsidRPr="00DF20DE">
        <w:rPr>
          <w:rFonts w:ascii="Times New Roman" w:eastAsia="Times New Roman" w:hAnsi="Times New Roman" w:cs="Times New Roman"/>
          <w:position w:val="2"/>
        </w:rPr>
        <w:t xml:space="preserve">receptorių antagonisto, trikdančio </w:t>
      </w:r>
      <w:r w:rsidR="00864478" w:rsidRPr="00DF20DE">
        <w:rPr>
          <w:rFonts w:ascii="Times New Roman" w:eastAsia="Times New Roman" w:hAnsi="Times New Roman" w:cs="Times New Roman"/>
          <w:position w:val="2"/>
        </w:rPr>
        <w:lastRenderedPageBreak/>
        <w:t xml:space="preserve">ADF </w:t>
      </w:r>
      <w:r w:rsidR="006B0A31" w:rsidRPr="00DF20DE">
        <w:rPr>
          <w:rFonts w:ascii="Times New Roman" w:eastAsia="Times New Roman" w:hAnsi="Times New Roman" w:cs="Times New Roman"/>
          <w:position w:val="2"/>
        </w:rPr>
        <w:t xml:space="preserve">tarpininkaujamą, </w:t>
      </w:r>
      <w:r w:rsidR="00864478" w:rsidRPr="00DF20DE">
        <w:rPr>
          <w:rFonts w:ascii="Times New Roman" w:eastAsia="Times New Roman" w:hAnsi="Times New Roman" w:cs="Times New Roman"/>
          <w:position w:val="2"/>
        </w:rPr>
        <w:t>nuo P2Y</w:t>
      </w:r>
      <w:r w:rsidR="00864478" w:rsidRPr="00DF20DE">
        <w:rPr>
          <w:rFonts w:ascii="Times New Roman" w:eastAsia="Times New Roman" w:hAnsi="Times New Roman" w:cs="Times New Roman"/>
          <w:sz w:val="14"/>
        </w:rPr>
        <w:t xml:space="preserve">12 </w:t>
      </w:r>
      <w:r w:rsidR="00864478" w:rsidRPr="00DF20DE">
        <w:rPr>
          <w:rFonts w:ascii="Times New Roman" w:eastAsia="Times New Roman" w:hAnsi="Times New Roman" w:cs="Times New Roman"/>
          <w:position w:val="2"/>
        </w:rPr>
        <w:t>priklausomą trombocitų aktyvinimą ir jų agregaciją. Tikagreloras nekliudo prisijungti ADF, tačiau pats prisijungęs prie P2Y</w:t>
      </w:r>
      <w:r w:rsidR="00864478" w:rsidRPr="00DF20DE">
        <w:rPr>
          <w:rFonts w:ascii="Times New Roman" w:eastAsia="Times New Roman" w:hAnsi="Times New Roman" w:cs="Times New Roman"/>
          <w:sz w:val="14"/>
        </w:rPr>
        <w:t xml:space="preserve">12 </w:t>
      </w:r>
      <w:r w:rsidR="00864478" w:rsidRPr="00DF20DE">
        <w:rPr>
          <w:rFonts w:ascii="Times New Roman" w:eastAsia="Times New Roman" w:hAnsi="Times New Roman" w:cs="Times New Roman"/>
          <w:position w:val="2"/>
        </w:rPr>
        <w:t xml:space="preserve">receptorių neleidžia ADF perduoti </w:t>
      </w:r>
      <w:r w:rsidR="00864478" w:rsidRPr="00DF20DE">
        <w:rPr>
          <w:rFonts w:ascii="Times New Roman" w:eastAsia="Times New Roman" w:hAnsi="Times New Roman" w:cs="Times New Roman"/>
        </w:rPr>
        <w:t>signalo. Trombocitai dalyvauja prasidedant ir (arba) progresuojant aterosklerozės trombozinėms komplikacijoms, todėl jų funkcijos slopinimas mažina KV komplikacijų (mirties, MI ir insulto) riziką.</w:t>
      </w:r>
    </w:p>
    <w:p w14:paraId="74C79B2D"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289901CA"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Be to, tikagreloras didina lokalią endogeninio adenozino koncentraciją, nes slopina pusiausvyrinį nukleozidų nešiklį 1 (angl. </w:t>
      </w:r>
      <w:r w:rsidRPr="00DF20DE">
        <w:rPr>
          <w:rFonts w:ascii="Times New Roman" w:eastAsia="Times New Roman" w:hAnsi="Times New Roman" w:cs="Times New Roman"/>
          <w:i/>
        </w:rPr>
        <w:t>equilibrative nucleoside transporter-1</w:t>
      </w:r>
      <w:r w:rsidRPr="00DF20DE">
        <w:rPr>
          <w:rFonts w:ascii="Times New Roman" w:eastAsia="Times New Roman" w:hAnsi="Times New Roman" w:cs="Times New Roman"/>
        </w:rPr>
        <w:t>, ENT-1).</w:t>
      </w:r>
    </w:p>
    <w:p w14:paraId="10E6605A"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710B187C" w14:textId="69CE8CB9"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Nustatyta, kad tikagreloras sustiprina šį adenozino poveikį sveikiems žmonėms ir </w:t>
      </w:r>
      <w:r w:rsidR="006B0A31" w:rsidRPr="00DF20DE">
        <w:rPr>
          <w:rFonts w:ascii="Times New Roman" w:eastAsia="Times New Roman" w:hAnsi="Times New Roman" w:cs="Times New Roman"/>
        </w:rPr>
        <w:t>ŪK</w:t>
      </w:r>
      <w:r w:rsidRPr="00DF20DE">
        <w:rPr>
          <w:rFonts w:ascii="Times New Roman" w:eastAsia="Times New Roman" w:hAnsi="Times New Roman" w:cs="Times New Roman"/>
        </w:rPr>
        <w:t xml:space="preserve">S ištiktiems pacientams: kraujagyslių išsiplėtimą (matuojamas pagal sveikų žmonių ir </w:t>
      </w:r>
      <w:r w:rsidR="006B0A31" w:rsidRPr="00DF20DE">
        <w:rPr>
          <w:rFonts w:ascii="Times New Roman" w:eastAsia="Times New Roman" w:hAnsi="Times New Roman" w:cs="Times New Roman"/>
        </w:rPr>
        <w:t>ŪK</w:t>
      </w:r>
      <w:r w:rsidRPr="00DF20DE">
        <w:rPr>
          <w:rFonts w:ascii="Times New Roman" w:eastAsia="Times New Roman" w:hAnsi="Times New Roman" w:cs="Times New Roman"/>
        </w:rPr>
        <w:t xml:space="preserve">S ištiktų pacientų koronarinės kraujotakos padidėjimą, galvos skausmą), trombocitų funkcijos slopinimą (neskaidytame žmogaus kraujyje </w:t>
      </w:r>
      <w:r w:rsidRPr="00DF20DE">
        <w:rPr>
          <w:rFonts w:ascii="Times New Roman" w:eastAsia="Times New Roman" w:hAnsi="Times New Roman" w:cs="Times New Roman"/>
          <w:i/>
        </w:rPr>
        <w:t>in vitro</w:t>
      </w:r>
      <w:r w:rsidRPr="00DF20DE">
        <w:rPr>
          <w:rFonts w:ascii="Times New Roman" w:eastAsia="Times New Roman" w:hAnsi="Times New Roman" w:cs="Times New Roman"/>
        </w:rPr>
        <w:t>) ir dusulį. Vis dėlto ryšys tarp nustatyto adenozino koncentracijos padidėjimo ir klinikinių rezultatų (pvz., sergamumo ir mirštamumo) tiksliai neišaiškintas.</w:t>
      </w:r>
    </w:p>
    <w:p w14:paraId="51B74B4D"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7FD0A55B"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Farmakodinaminis poveikis</w:t>
      </w:r>
    </w:p>
    <w:p w14:paraId="026492D7"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Veikimo pradžia</w:t>
      </w:r>
    </w:p>
    <w:p w14:paraId="67620277" w14:textId="33F971D2"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Stabilia išemine širdies liga (IŠL) sergantiems pacientams, vartojantiems acetilsalicilo rūgšt</w:t>
      </w:r>
      <w:r w:rsidR="006B0A31" w:rsidRPr="00DF20DE">
        <w:rPr>
          <w:rFonts w:ascii="Times New Roman" w:eastAsia="Times New Roman" w:hAnsi="Times New Roman" w:cs="Times New Roman"/>
        </w:rPr>
        <w:t>ies</w:t>
      </w:r>
      <w:r w:rsidRPr="00DF20DE">
        <w:rPr>
          <w:rFonts w:ascii="Times New Roman" w:eastAsia="Times New Roman" w:hAnsi="Times New Roman" w:cs="Times New Roman"/>
        </w:rPr>
        <w:t>, tikagreloras greitai sukelia farmakologinį poveikį: jo sukeliamas vidutinis trombocitų agregacijos slopinimas praėjus 30 min. po 180 mg įsotinimo dozės siekia apie 41 %, stipriausias (89 %) pasidaro praėjus 2–4 val. ir išlieka 2–8 val. po jos. 90 % pacientų, pavartojusių tikagreloro, galutinis trombocitų agregacijos slopinimas pasiekdavo &gt; 70 % per 2 val.</w:t>
      </w:r>
    </w:p>
    <w:p w14:paraId="3605908F"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0E879C10"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Veikimo pabaiga</w:t>
      </w:r>
    </w:p>
    <w:p w14:paraId="037ACAB0"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Planuojant koronarinių arterijų šuntavimo procedūrą reikia atsižvelgti į tai, kad su tikagreloru susijusio kraujavimo rizika būna didesnė negu susijusio su klopidogreliu jo vartojimą nutraukus iki procedūros likus mažiau kaip 96 val.</w:t>
      </w:r>
    </w:p>
    <w:p w14:paraId="18BE703F"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5CE4DE1A"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Keitimo duomenys</w:t>
      </w:r>
    </w:p>
    <w:p w14:paraId="532974A5"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75 mg klopidogrelio pakeitus į 90 mg tikagreloro 2 kartus per parą, absoliutus trombocitų agregacijos slopinimas sustiprėja 26,4 %, o tikagrelorą pakeitus klopidogreliu – susilpnėja 24,5 %. Klopidogrelį galima pakeisti tikagreloru be antitrombocitinio poveikio pertraukos (žr. 4.2 skyrių).</w:t>
      </w:r>
    </w:p>
    <w:p w14:paraId="786CB8AD"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7DF5C3C6"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Klinikinis veiksmingumas ir saugumas</w:t>
      </w:r>
    </w:p>
    <w:p w14:paraId="586477B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Tikagreloro veiksmingumo ir saugumo klinikiniai duomenys gauti dviejų 3 fazės tyrimų metu:</w:t>
      </w:r>
    </w:p>
    <w:p w14:paraId="215294C2" w14:textId="77777777" w:rsidR="00864478" w:rsidRPr="00DF20DE" w:rsidRDefault="0086447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PLATO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u w:val="single"/>
        </w:rPr>
        <w:t>PLAT</w:t>
      </w:r>
      <w:r w:rsidRPr="00DF20DE">
        <w:rPr>
          <w:rFonts w:ascii="Times New Roman" w:eastAsia="Times New Roman" w:hAnsi="Times New Roman" w:cs="Times New Roman"/>
          <w:i/>
        </w:rPr>
        <w:t xml:space="preserve">elet Inhibition and Patient </w:t>
      </w:r>
      <w:r w:rsidRPr="00DF20DE">
        <w:rPr>
          <w:rFonts w:ascii="Times New Roman" w:eastAsia="Times New Roman" w:hAnsi="Times New Roman" w:cs="Times New Roman"/>
          <w:i/>
          <w:u w:val="single"/>
        </w:rPr>
        <w:t>O</w:t>
      </w:r>
      <w:r w:rsidRPr="00DF20DE">
        <w:rPr>
          <w:rFonts w:ascii="Times New Roman" w:eastAsia="Times New Roman" w:hAnsi="Times New Roman" w:cs="Times New Roman"/>
          <w:i/>
        </w:rPr>
        <w:t>utcomes</w:t>
      </w:r>
      <w:r w:rsidRPr="00DF20DE">
        <w:rPr>
          <w:rFonts w:ascii="Times New Roman" w:eastAsia="Times New Roman" w:hAnsi="Times New Roman" w:cs="Times New Roman"/>
        </w:rPr>
        <w:t xml:space="preserve"> – trombocitų funkcijos slopinimo ir pacientų vertinamųjų baigčių) tyrimo, kurio metu lygintas tikagreloro ir klopidogrelio poveikis kiekvieną iš jų derinant su ASR ir kiti įprastiniu gydymu;</w:t>
      </w:r>
    </w:p>
    <w:p w14:paraId="78219D0E" w14:textId="77777777" w:rsidR="00864478" w:rsidRPr="00DF20DE" w:rsidRDefault="0086447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PEGASUS TIMI-54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u w:val="single"/>
        </w:rPr>
        <w:t>P</w:t>
      </w:r>
      <w:r w:rsidRPr="00DF20DE">
        <w:rPr>
          <w:rFonts w:ascii="Times New Roman" w:eastAsia="Times New Roman" w:hAnsi="Times New Roman" w:cs="Times New Roman"/>
          <w:i/>
        </w:rPr>
        <w:t>r</w:t>
      </w:r>
      <w:r w:rsidRPr="00DF20DE">
        <w:rPr>
          <w:rFonts w:ascii="Times New Roman" w:eastAsia="Times New Roman" w:hAnsi="Times New Roman" w:cs="Times New Roman"/>
          <w:i/>
          <w:u w:val="single"/>
        </w:rPr>
        <w:t>E</w:t>
      </w:r>
      <w:r w:rsidRPr="00DF20DE">
        <w:rPr>
          <w:rFonts w:ascii="Times New Roman" w:eastAsia="Times New Roman" w:hAnsi="Times New Roman" w:cs="Times New Roman"/>
          <w:i/>
        </w:rPr>
        <w:t>vention with Tica</w:t>
      </w:r>
      <w:r w:rsidRPr="00DF20DE">
        <w:rPr>
          <w:rFonts w:ascii="Times New Roman" w:eastAsia="Times New Roman" w:hAnsi="Times New Roman" w:cs="Times New Roman"/>
          <w:i/>
          <w:u w:val="single"/>
        </w:rPr>
        <w:t>G</w:t>
      </w:r>
      <w:r w:rsidRPr="00DF20DE">
        <w:rPr>
          <w:rFonts w:ascii="Times New Roman" w:eastAsia="Times New Roman" w:hAnsi="Times New Roman" w:cs="Times New Roman"/>
          <w:i/>
        </w:rPr>
        <w:t>relor of Second</w:t>
      </w:r>
      <w:r w:rsidRPr="00DF20DE">
        <w:rPr>
          <w:rFonts w:ascii="Times New Roman" w:eastAsia="Times New Roman" w:hAnsi="Times New Roman" w:cs="Times New Roman"/>
          <w:i/>
          <w:u w:val="single"/>
        </w:rPr>
        <w:t>A</w:t>
      </w:r>
      <w:r w:rsidRPr="00DF20DE">
        <w:rPr>
          <w:rFonts w:ascii="Times New Roman" w:eastAsia="Times New Roman" w:hAnsi="Times New Roman" w:cs="Times New Roman"/>
          <w:i/>
        </w:rPr>
        <w:t>ry Thrombotic Events in High-Ri</w:t>
      </w:r>
      <w:r w:rsidRPr="00DF20DE">
        <w:rPr>
          <w:rFonts w:ascii="Times New Roman" w:eastAsia="Times New Roman" w:hAnsi="Times New Roman" w:cs="Times New Roman"/>
          <w:i/>
          <w:u w:val="single"/>
        </w:rPr>
        <w:t>S</w:t>
      </w:r>
      <w:r w:rsidRPr="00DF20DE">
        <w:rPr>
          <w:rFonts w:ascii="Times New Roman" w:eastAsia="Times New Roman" w:hAnsi="Times New Roman" w:cs="Times New Roman"/>
          <w:i/>
        </w:rPr>
        <w:t>k Ac</w:t>
      </w:r>
      <w:r w:rsidRPr="00DF20DE">
        <w:rPr>
          <w:rFonts w:ascii="Times New Roman" w:eastAsia="Times New Roman" w:hAnsi="Times New Roman" w:cs="Times New Roman"/>
          <w:i/>
          <w:u w:val="single"/>
        </w:rPr>
        <w:t>U</w:t>
      </w:r>
      <w:r w:rsidRPr="00DF20DE">
        <w:rPr>
          <w:rFonts w:ascii="Times New Roman" w:eastAsia="Times New Roman" w:hAnsi="Times New Roman" w:cs="Times New Roman"/>
          <w:i/>
        </w:rPr>
        <w:t xml:space="preserve">te Coronary </w:t>
      </w:r>
      <w:r w:rsidRPr="00DF20DE">
        <w:rPr>
          <w:rFonts w:ascii="Times New Roman" w:eastAsia="Times New Roman" w:hAnsi="Times New Roman" w:cs="Times New Roman"/>
          <w:i/>
          <w:u w:val="single"/>
        </w:rPr>
        <w:t>S</w:t>
      </w:r>
      <w:r w:rsidRPr="00DF20DE">
        <w:rPr>
          <w:rFonts w:ascii="Times New Roman" w:eastAsia="Times New Roman" w:hAnsi="Times New Roman" w:cs="Times New Roman"/>
          <w:i/>
        </w:rPr>
        <w:t>yndrome Patients</w:t>
      </w:r>
      <w:r w:rsidRPr="00DF20DE">
        <w:rPr>
          <w:rFonts w:ascii="Times New Roman" w:eastAsia="Times New Roman" w:hAnsi="Times New Roman" w:cs="Times New Roman"/>
        </w:rPr>
        <w:t xml:space="preserve"> – antrinių trombozės reiškinių profilaktika tikagreloru ūminių koronarinių sindromų ištiktiems pacientams, turintiems didelę riziką) tyrimo, kurio metu lygintas tikagreloro derinio su ASR ir vien ASR poveikis.</w:t>
      </w:r>
    </w:p>
    <w:p w14:paraId="3C932656"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3"/>
        </w:rPr>
      </w:pPr>
    </w:p>
    <w:p w14:paraId="74327BA5"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PLATO tyrimas (ūminiai koronariniai sindromai)</w:t>
      </w:r>
    </w:p>
    <w:p w14:paraId="4FBE50F1"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sz w:val="13"/>
        </w:rPr>
      </w:pPr>
    </w:p>
    <w:p w14:paraId="53340BE2" w14:textId="03904C40"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PLATO tyrime dalyvavo 18624 pacientai, kurie kreip</w:t>
      </w:r>
      <w:r w:rsidR="006B0A31" w:rsidRPr="00DF20DE">
        <w:rPr>
          <w:rFonts w:ascii="Times New Roman" w:eastAsia="Times New Roman" w:hAnsi="Times New Roman" w:cs="Times New Roman"/>
        </w:rPr>
        <w:t>ė</w:t>
      </w:r>
      <w:r w:rsidRPr="00DF20DE">
        <w:rPr>
          <w:rFonts w:ascii="Times New Roman" w:eastAsia="Times New Roman" w:hAnsi="Times New Roman" w:cs="Times New Roman"/>
        </w:rPr>
        <w:t>si per 24 val. nuo nestabilios krūtinės anginos, miokardo infarkto be ST pakilimo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rPr>
        <w:t>non ST elevation myocardial infarction</w:t>
      </w:r>
      <w:r w:rsidRPr="00DF20DE">
        <w:rPr>
          <w:rFonts w:ascii="Times New Roman" w:eastAsia="Times New Roman" w:hAnsi="Times New Roman" w:cs="Times New Roman"/>
        </w:rPr>
        <w:t>, NSTEMI) arba miokardo infarkto su ST pakilimu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rPr>
        <w:t>ST elevation myocardial infarction</w:t>
      </w:r>
      <w:r w:rsidRPr="00DF20DE">
        <w:rPr>
          <w:rFonts w:ascii="Times New Roman" w:eastAsia="Times New Roman" w:hAnsi="Times New Roman" w:cs="Times New Roman"/>
        </w:rPr>
        <w:t>, STEMI) simptomų pasireiškimo. Jie iš pradžių buvo gydomi vaistiniais preparatais arba taikant perkutaninę koronarinę intervenciją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rPr>
        <w:t>percutaneous coronary intervention</w:t>
      </w:r>
      <w:r w:rsidRPr="00DF20DE">
        <w:rPr>
          <w:rFonts w:ascii="Times New Roman" w:eastAsia="Times New Roman" w:hAnsi="Times New Roman" w:cs="Times New Roman"/>
        </w:rPr>
        <w:t>, PCI) arba koronarinių arterijų šuntavimą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rPr>
        <w:t>coronary artery bypass grafting</w:t>
      </w:r>
      <w:r w:rsidRPr="00DF20DE">
        <w:rPr>
          <w:rFonts w:ascii="Times New Roman" w:eastAsia="Times New Roman" w:hAnsi="Times New Roman" w:cs="Times New Roman"/>
        </w:rPr>
        <w:t>, CABG).</w:t>
      </w:r>
    </w:p>
    <w:p w14:paraId="0EB8D13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633FFFD4"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Klinikinis veiksmingumas</w:t>
      </w:r>
    </w:p>
    <w:p w14:paraId="29464CB9"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Kartu kasdien vartojus ASR, 90 mg tikagreloro 2 kartus per parą poveikis pagal suminį rodiklį (KV mirtys, MI ir insultai) buvo palankesnis negu 75 mg klopidogrelio per parą (skirtumą nulėmė kardiovaskulinės mirtys ir miokardo infarktai). Pacientai vartojo 300 mg klopidogrelio įsotinimo dozę (prieš numatomą perkutaninę koronarinę intervenciją buvo leidžiama vartoti 600 mg dozę) arba</w:t>
      </w:r>
    </w:p>
    <w:p w14:paraId="08FA0D7B"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180 mg tikagreloro įsotinimo dozę.</w:t>
      </w:r>
    </w:p>
    <w:p w14:paraId="7BE3EAF7"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71BA0A47" w14:textId="5C7F5506"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Šie duomenys nustatyti anksti (absoliu</w:t>
      </w:r>
      <w:r w:rsidR="006B0A31" w:rsidRPr="00DF20DE">
        <w:rPr>
          <w:rFonts w:ascii="Times New Roman" w:eastAsia="Times New Roman" w:hAnsi="Times New Roman" w:cs="Times New Roman"/>
        </w:rPr>
        <w:t>tu</w:t>
      </w:r>
      <w:r w:rsidRPr="00DF20DE">
        <w:rPr>
          <w:rFonts w:ascii="Times New Roman" w:eastAsia="Times New Roman" w:hAnsi="Times New Roman" w:cs="Times New Roman"/>
        </w:rPr>
        <w:t>s rizikos sumažėjimas [</w:t>
      </w:r>
      <w:r w:rsidRPr="00DF20DE">
        <w:rPr>
          <w:rFonts w:ascii="Times New Roman" w:eastAsia="Times New Roman" w:hAnsi="Times New Roman" w:cs="Times New Roman"/>
          <w:i/>
        </w:rPr>
        <w:t>absolute risk reduction</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iCs/>
        </w:rPr>
        <w:t>ARR</w:t>
      </w:r>
      <w:r w:rsidRPr="00DF20DE">
        <w:rPr>
          <w:rFonts w:ascii="Times New Roman" w:eastAsia="Times New Roman" w:hAnsi="Times New Roman" w:cs="Times New Roman"/>
        </w:rPr>
        <w:t>] 0,6 % ir santykin</w:t>
      </w:r>
      <w:r w:rsidR="006B0A31" w:rsidRPr="00DF20DE">
        <w:rPr>
          <w:rFonts w:ascii="Times New Roman" w:eastAsia="Times New Roman" w:hAnsi="Times New Roman" w:cs="Times New Roman"/>
        </w:rPr>
        <w:t>i</w:t>
      </w:r>
      <w:r w:rsidRPr="00DF20DE">
        <w:rPr>
          <w:rFonts w:ascii="Times New Roman" w:eastAsia="Times New Roman" w:hAnsi="Times New Roman" w:cs="Times New Roman"/>
        </w:rPr>
        <w:t>s rizikos sumažėjimas [</w:t>
      </w:r>
      <w:r w:rsidRPr="00DF20DE">
        <w:rPr>
          <w:rFonts w:ascii="Times New Roman" w:eastAsia="Times New Roman" w:hAnsi="Times New Roman" w:cs="Times New Roman"/>
          <w:i/>
        </w:rPr>
        <w:t>Relative Risk Reduction</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iCs/>
        </w:rPr>
        <w:t>RRR</w:t>
      </w:r>
      <w:r w:rsidRPr="00DF20DE">
        <w:rPr>
          <w:rFonts w:ascii="Times New Roman" w:eastAsia="Times New Roman" w:hAnsi="Times New Roman" w:cs="Times New Roman"/>
        </w:rPr>
        <w:t>] 12 % 30–ąją parą) ir buvo stabilūs gydant 12 mėn.: absoliut</w:t>
      </w:r>
      <w:r w:rsidR="006B0A31" w:rsidRPr="00DF20DE">
        <w:rPr>
          <w:rFonts w:ascii="Times New Roman" w:eastAsia="Times New Roman" w:hAnsi="Times New Roman" w:cs="Times New Roman"/>
        </w:rPr>
        <w:t>us</w:t>
      </w:r>
      <w:r w:rsidRPr="00DF20DE">
        <w:rPr>
          <w:rFonts w:ascii="Times New Roman" w:eastAsia="Times New Roman" w:hAnsi="Times New Roman" w:cs="Times New Roman"/>
        </w:rPr>
        <w:t xml:space="preserve"> rizik</w:t>
      </w:r>
      <w:r w:rsidR="006B0A31" w:rsidRPr="00DF20DE">
        <w:rPr>
          <w:rFonts w:ascii="Times New Roman" w:eastAsia="Times New Roman" w:hAnsi="Times New Roman" w:cs="Times New Roman"/>
        </w:rPr>
        <w:t>os</w:t>
      </w:r>
      <w:r w:rsidRPr="00DF20DE">
        <w:rPr>
          <w:rFonts w:ascii="Times New Roman" w:eastAsia="Times New Roman" w:hAnsi="Times New Roman" w:cs="Times New Roman"/>
        </w:rPr>
        <w:t xml:space="preserve"> sumažėj</w:t>
      </w:r>
      <w:r w:rsidR="006B0A31" w:rsidRPr="00DF20DE">
        <w:rPr>
          <w:rFonts w:ascii="Times New Roman" w:eastAsia="Times New Roman" w:hAnsi="Times New Roman" w:cs="Times New Roman"/>
        </w:rPr>
        <w:t>imas</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iCs/>
        </w:rPr>
        <w:t>ARR</w:t>
      </w:r>
      <w:r w:rsidRPr="00DF20DE">
        <w:rPr>
          <w:rFonts w:ascii="Times New Roman" w:eastAsia="Times New Roman" w:hAnsi="Times New Roman" w:cs="Times New Roman"/>
        </w:rPr>
        <w:t>] 1,9 % per metus, santykinė</w:t>
      </w:r>
      <w:r w:rsidR="004B0B9E" w:rsidRPr="00DF20DE">
        <w:rPr>
          <w:rFonts w:ascii="Times New Roman" w:eastAsia="Times New Roman" w:hAnsi="Times New Roman" w:cs="Times New Roman"/>
        </w:rPr>
        <w:t xml:space="preserve">s </w:t>
      </w:r>
      <w:r w:rsidRPr="00DF20DE">
        <w:rPr>
          <w:rFonts w:ascii="Times New Roman" w:eastAsia="Times New Roman" w:hAnsi="Times New Roman" w:cs="Times New Roman"/>
        </w:rPr>
        <w:t>rizik</w:t>
      </w:r>
      <w:r w:rsidR="004B0B9E" w:rsidRPr="00DF20DE">
        <w:rPr>
          <w:rFonts w:ascii="Times New Roman" w:eastAsia="Times New Roman" w:hAnsi="Times New Roman" w:cs="Times New Roman"/>
        </w:rPr>
        <w:t>os sumažėjimas</w:t>
      </w:r>
      <w:r w:rsidRPr="00DF20DE">
        <w:rPr>
          <w:rFonts w:ascii="Times New Roman" w:eastAsia="Times New Roman" w:hAnsi="Times New Roman" w:cs="Times New Roman"/>
        </w:rPr>
        <w:t xml:space="preserve"> [RRR] – 16 %. Tai leidžia manyti, kad 90 mg tikagreloro 2 kartus per parą tikslinga vartoti 12 mėn. (žr. 4.2 skyrių). 54 ūminių koronarinių sindromų ištiktiems pacientams vartojant tikagrelor</w:t>
      </w:r>
      <w:r w:rsidR="004B0B9E"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vietoje klopidogrelio būtų išvengta vieno arterijų trombozės reiškinio, 91 pacientui vartojant tikagrelor</w:t>
      </w:r>
      <w:r w:rsidR="004B0B9E"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vietoje klopidogrelio – vienos kardiovaskulinės mirties (žr. 1 pav. ir 4 lentelę).</w:t>
      </w:r>
    </w:p>
    <w:p w14:paraId="09292C13"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0B8C862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Tikagreloro poveikis, palankesnis negu klopidogrelio, nustatytas daugeliui pacientų pogrupių, sudarytų pagal svorį, lytį, cukrinio diabeto, trumpalaikių išemijos atakų, nehemoraginio insulto ar revaskuliarizacijos anamnezę, kartu vartojamus vaistinius preparatus, įskaitant heparinus, GpIIb/IIIa inhibitorius ir protonų siurblio inhibitorius (žr. 4.5 skyrių), galutinės diagnozės įvykį (miokardo infarktas su ST pakilimu, miokardo infarktas be ST pakilimo, nestabilioji krūtinės angina) ir atrankos į tyrimą metu planuotą gydymą (invazinis ar gydymas vaistiniais preparatais).</w:t>
      </w:r>
    </w:p>
    <w:p w14:paraId="290286CB"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60F9D550" w14:textId="1BEDC18A"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Pastebėta nestipri, bet reikšminga regiono įtaka gydomajam poveikiui: rizikos santykis (</w:t>
      </w:r>
      <w:r w:rsidRPr="00DF20DE">
        <w:rPr>
          <w:rFonts w:ascii="Times New Roman" w:eastAsia="Times New Roman" w:hAnsi="Times New Roman" w:cs="Times New Roman"/>
          <w:i/>
          <w:iCs/>
        </w:rPr>
        <w:t>angl. hazard ratio, HR</w:t>
      </w:r>
      <w:r w:rsidRPr="00DF20DE">
        <w:rPr>
          <w:rFonts w:ascii="Times New Roman" w:eastAsia="Times New Roman" w:hAnsi="Times New Roman" w:cs="Times New Roman"/>
        </w:rPr>
        <w:t>) pagal pirminės vertinamosios baigties rodiklį tikagrelor</w:t>
      </w:r>
      <w:r w:rsidR="004B0B9E" w:rsidRPr="00DF20DE">
        <w:rPr>
          <w:rFonts w:ascii="Times New Roman" w:eastAsia="Times New Roman" w:hAnsi="Times New Roman" w:cs="Times New Roman"/>
        </w:rPr>
        <w:t>o</w:t>
      </w:r>
      <w:r w:rsidRPr="00DF20DE">
        <w:rPr>
          <w:rFonts w:ascii="Times New Roman" w:eastAsia="Times New Roman" w:hAnsi="Times New Roman" w:cs="Times New Roman"/>
        </w:rPr>
        <w:t xml:space="preserve"> vartojusiems pacientams buvo palankesnis visame pasaulyje, išskyrus Šiaurės Ameriką, kurioje nustatytas palankesnis klopidogrelio poveikis (joje tirti pacientai sudarė apie 10 % visos tirtos populiacijos) (įtakos p = 0,045). Papildoma analizė leidžia įtarti didesnės acetilsalicilo rūgšties dozės ryšį su mažesniu tikagreloro veiksmingumu. Ilgalaikiam gydymui kartu su tikagreloru reikia vartoti 75-150 mg ASR (žr. 4.2 ir 4.4 skyrius).</w:t>
      </w:r>
    </w:p>
    <w:p w14:paraId="6B794769"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26B56FD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1 pav. pavaizduota apskaičiuotoji bendra visų pirmųjų įvykių, įtrauktų į sudėtinį rodiklį, rizika.</w:t>
      </w:r>
    </w:p>
    <w:p w14:paraId="198F9BB1"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355484F5" w14:textId="77777777" w:rsidR="00864478" w:rsidRPr="00DF20DE" w:rsidRDefault="00864478" w:rsidP="0086447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1 pav. Pagrindinės klinikinės sudėtinės PLATO tyrimo vertinamosios baigties (KV mirties, MI, insulto) analizė</w:t>
      </w:r>
    </w:p>
    <w:p w14:paraId="067D7290" w14:textId="77777777" w:rsidR="00864478" w:rsidRPr="00DF20DE" w:rsidRDefault="00864478" w:rsidP="00864478">
      <w:pPr>
        <w:widowControl w:val="0"/>
        <w:autoSpaceDE w:val="0"/>
        <w:autoSpaceDN w:val="0"/>
        <w:spacing w:after="0" w:line="240" w:lineRule="auto"/>
        <w:outlineLvl w:val="1"/>
        <w:rPr>
          <w:rFonts w:ascii="Times New Roman" w:eastAsia="Times New Roman" w:hAnsi="Times New Roman" w:cs="Times New Roman"/>
          <w:b/>
          <w:bCs/>
        </w:rPr>
      </w:pPr>
    </w:p>
    <w:p w14:paraId="15A0C3B3" w14:textId="77777777" w:rsidR="00864478" w:rsidRPr="00DF20DE" w:rsidRDefault="00864478" w:rsidP="0086447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noProof/>
          <w:lang w:eastAsia="lt-LT"/>
        </w:rPr>
        <w:drawing>
          <wp:inline distT="0" distB="0" distL="0" distR="0" wp14:anchorId="54E8FA97" wp14:editId="08E25F0E">
            <wp:extent cx="5073650" cy="307472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73650" cy="3074724"/>
                    </a:xfrm>
                    <a:prstGeom prst="rect">
                      <a:avLst/>
                    </a:prstGeom>
                    <a:noFill/>
                    <a:ln>
                      <a:noFill/>
                    </a:ln>
                  </pic:spPr>
                </pic:pic>
              </a:graphicData>
            </a:graphic>
          </wp:inline>
        </w:drawing>
      </w:r>
    </w:p>
    <w:p w14:paraId="53806525" w14:textId="77777777" w:rsidR="00864478" w:rsidRPr="00DF20DE" w:rsidRDefault="00864478" w:rsidP="00864478">
      <w:pPr>
        <w:widowControl w:val="0"/>
        <w:autoSpaceDE w:val="0"/>
        <w:autoSpaceDN w:val="0"/>
        <w:spacing w:after="0" w:line="240" w:lineRule="auto"/>
        <w:outlineLvl w:val="1"/>
        <w:rPr>
          <w:rFonts w:ascii="Times New Roman" w:eastAsia="Times New Roman" w:hAnsi="Times New Roman" w:cs="Times New Roman"/>
          <w:b/>
          <w:bCs/>
        </w:rPr>
      </w:pPr>
    </w:p>
    <w:p w14:paraId="7FB52257" w14:textId="724777F0"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Tikagreloras, palyginus su klopidogreliu, sumažino pirminės </w:t>
      </w:r>
      <w:r w:rsidR="004B0B9E" w:rsidRPr="00DF20DE">
        <w:rPr>
          <w:rFonts w:ascii="Times New Roman" w:eastAsia="Times New Roman" w:hAnsi="Times New Roman" w:cs="Times New Roman"/>
        </w:rPr>
        <w:t xml:space="preserve">sudėtinės </w:t>
      </w:r>
      <w:r w:rsidRPr="00DF20DE">
        <w:rPr>
          <w:rFonts w:ascii="Times New Roman" w:eastAsia="Times New Roman" w:hAnsi="Times New Roman" w:cs="Times New Roman"/>
        </w:rPr>
        <w:t xml:space="preserve">vertinamosios baigties pasireiškimo riziką tiek nestabilią krūtinės anginą ar miokardo infarktą be ST pakilimo, tiek miokardo infarktą su ST pakilimu patyrusių pacientų populiacijoje (4 lentelė). Taigi, 90 mg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2 kartus per parą kartu su maža ASR doze tinka ŪKS (nestabilios krūtinės anginos, miokardo infarkto be ST pakilimo [</w:t>
      </w:r>
      <w:r w:rsidRPr="00DF20DE">
        <w:rPr>
          <w:rFonts w:ascii="Times New Roman" w:eastAsia="Times New Roman" w:hAnsi="Times New Roman" w:cs="Times New Roman"/>
          <w:i/>
          <w:iCs/>
        </w:rPr>
        <w:t>NSTEMI</w:t>
      </w:r>
      <w:r w:rsidRPr="00DF20DE">
        <w:rPr>
          <w:rFonts w:ascii="Times New Roman" w:eastAsia="Times New Roman" w:hAnsi="Times New Roman" w:cs="Times New Roman"/>
        </w:rPr>
        <w:t>] ir miokardo infarkto su ST pakilimu [</w:t>
      </w:r>
      <w:r w:rsidRPr="00DF20DE">
        <w:rPr>
          <w:rFonts w:ascii="Times New Roman" w:eastAsia="Times New Roman" w:hAnsi="Times New Roman" w:cs="Times New Roman"/>
          <w:i/>
          <w:iCs/>
        </w:rPr>
        <w:t>STEMI</w:t>
      </w:r>
      <w:r w:rsidRPr="00DF20DE">
        <w:rPr>
          <w:rFonts w:ascii="Times New Roman" w:eastAsia="Times New Roman" w:hAnsi="Times New Roman" w:cs="Times New Roman"/>
        </w:rPr>
        <w:t>]) ištiktiems pacientams, įskaitant gydomus vaistiniais preparatais, taikant perkutaninę koronarinę intervenciją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rPr>
        <w:t>percutaneous coronary intervention</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iCs/>
        </w:rPr>
        <w:t>PCI</w:t>
      </w:r>
      <w:r w:rsidRPr="00DF20DE">
        <w:rPr>
          <w:rFonts w:ascii="Times New Roman" w:eastAsia="Times New Roman" w:hAnsi="Times New Roman" w:cs="Times New Roman"/>
        </w:rPr>
        <w:t>) ir koronarinių arterijų šuntavimą (</w:t>
      </w:r>
      <w:r w:rsidRPr="00DF20DE">
        <w:rPr>
          <w:rFonts w:ascii="Times New Roman" w:eastAsia="Times New Roman" w:hAnsi="Times New Roman" w:cs="Times New Roman"/>
          <w:i/>
          <w:iCs/>
        </w:rPr>
        <w:t>angl</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rPr>
        <w:t>coronary artery by-pass grafting</w:t>
      </w:r>
      <w:r w:rsidRPr="00DF20DE">
        <w:rPr>
          <w:rFonts w:ascii="Times New Roman" w:eastAsia="Times New Roman" w:hAnsi="Times New Roman" w:cs="Times New Roman"/>
        </w:rPr>
        <w:t xml:space="preserve">, </w:t>
      </w:r>
      <w:r w:rsidRPr="00DF20DE">
        <w:rPr>
          <w:rFonts w:ascii="Times New Roman" w:eastAsia="Times New Roman" w:hAnsi="Times New Roman" w:cs="Times New Roman"/>
          <w:i/>
          <w:iCs/>
        </w:rPr>
        <w:t>CABG</w:t>
      </w:r>
      <w:r w:rsidRPr="00DF20DE">
        <w:rPr>
          <w:rFonts w:ascii="Times New Roman" w:eastAsia="Times New Roman" w:hAnsi="Times New Roman" w:cs="Times New Roman"/>
        </w:rPr>
        <w:t>).</w:t>
      </w:r>
    </w:p>
    <w:p w14:paraId="62F36501"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2E76CBE1" w14:textId="77777777" w:rsidR="00864478" w:rsidRPr="00DF20DE" w:rsidRDefault="00864478" w:rsidP="00864478">
      <w:pPr>
        <w:keepNext/>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lastRenderedPageBreak/>
        <w:t>4 lentelė. Pirminių ir antrinių PLATO tyrimo vertinamųjų baigčių analizė</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0"/>
        <w:gridCol w:w="1361"/>
        <w:gridCol w:w="1417"/>
        <w:gridCol w:w="684"/>
        <w:gridCol w:w="1442"/>
        <w:gridCol w:w="1125"/>
        <w:gridCol w:w="10"/>
      </w:tblGrid>
      <w:tr w:rsidR="00864478" w:rsidRPr="00DF20DE" w14:paraId="5103B8F8" w14:textId="77777777" w:rsidTr="005D637C">
        <w:trPr>
          <w:trHeight w:val="2279"/>
        </w:trPr>
        <w:tc>
          <w:tcPr>
            <w:tcW w:w="1890" w:type="dxa"/>
          </w:tcPr>
          <w:p w14:paraId="1E783B86" w14:textId="77777777" w:rsidR="00864478" w:rsidRPr="00DF20DE" w:rsidRDefault="00864478" w:rsidP="00C536DB">
            <w:pPr>
              <w:keepNext/>
              <w:widowControl w:val="0"/>
              <w:autoSpaceDE w:val="0"/>
              <w:autoSpaceDN w:val="0"/>
              <w:spacing w:after="0" w:line="240" w:lineRule="auto"/>
              <w:rPr>
                <w:rFonts w:ascii="Times New Roman" w:eastAsia="Times New Roman" w:hAnsi="Times New Roman" w:cs="Times New Roman"/>
                <w:sz w:val="20"/>
              </w:rPr>
            </w:pPr>
          </w:p>
        </w:tc>
        <w:tc>
          <w:tcPr>
            <w:tcW w:w="1361" w:type="dxa"/>
          </w:tcPr>
          <w:p w14:paraId="059053C8" w14:textId="19D3EEE0"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bCs/>
              </w:rPr>
            </w:pPr>
            <w:r w:rsidRPr="00DF20DE">
              <w:rPr>
                <w:rFonts w:ascii="Times New Roman" w:eastAsia="Times New Roman" w:hAnsi="Times New Roman" w:cs="Times New Roman"/>
                <w:b/>
                <w:bCs/>
              </w:rPr>
              <w:t>Tikagreloras po 90 mg 2 kartus per parą (reiškinį patyrę pacientai, %)</w:t>
            </w:r>
          </w:p>
          <w:p w14:paraId="0CEAD9CE" w14:textId="40D63A2E"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bCs/>
              </w:rPr>
            </w:pPr>
            <w:r w:rsidRPr="00DF20DE">
              <w:rPr>
                <w:rFonts w:ascii="Times New Roman" w:eastAsia="Times New Roman" w:hAnsi="Times New Roman" w:cs="Times New Roman"/>
                <w:b/>
                <w:bCs/>
              </w:rPr>
              <w:t>N</w:t>
            </w:r>
            <w:r w:rsidR="004B0B9E" w:rsidRPr="00DF20DE">
              <w:rPr>
                <w:rFonts w:ascii="Times New Roman" w:eastAsia="Times New Roman" w:hAnsi="Times New Roman" w:cs="Times New Roman"/>
                <w:b/>
                <w:bCs/>
              </w:rPr>
              <w:t> </w:t>
            </w:r>
            <w:r w:rsidRPr="00DF20DE">
              <w:rPr>
                <w:rFonts w:ascii="Times New Roman" w:eastAsia="Times New Roman" w:hAnsi="Times New Roman" w:cs="Times New Roman"/>
                <w:b/>
                <w:bCs/>
              </w:rPr>
              <w:t>=</w:t>
            </w:r>
            <w:r w:rsidR="004B0B9E" w:rsidRPr="00DF20DE">
              <w:rPr>
                <w:rFonts w:ascii="Times New Roman" w:eastAsia="Times New Roman" w:hAnsi="Times New Roman" w:cs="Times New Roman"/>
                <w:b/>
                <w:bCs/>
              </w:rPr>
              <w:t> </w:t>
            </w:r>
            <w:r w:rsidRPr="00DF20DE">
              <w:rPr>
                <w:rFonts w:ascii="Times New Roman" w:eastAsia="Times New Roman" w:hAnsi="Times New Roman" w:cs="Times New Roman"/>
                <w:b/>
                <w:bCs/>
              </w:rPr>
              <w:t>9333</w:t>
            </w:r>
          </w:p>
        </w:tc>
        <w:tc>
          <w:tcPr>
            <w:tcW w:w="1417" w:type="dxa"/>
          </w:tcPr>
          <w:p w14:paraId="28B26584" w14:textId="16353154"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bCs/>
              </w:rPr>
            </w:pPr>
            <w:r w:rsidRPr="00DF20DE">
              <w:rPr>
                <w:rFonts w:ascii="Times New Roman" w:eastAsia="Times New Roman" w:hAnsi="Times New Roman" w:cs="Times New Roman"/>
                <w:b/>
                <w:bCs/>
              </w:rPr>
              <w:t>Klopidogrelis 75 mg 1 kartą per parą (reiškinį patyrę pacientai,%) N</w:t>
            </w:r>
            <w:r w:rsidR="004B0B9E" w:rsidRPr="00DF20DE">
              <w:rPr>
                <w:rFonts w:ascii="Times New Roman" w:eastAsia="Times New Roman" w:hAnsi="Times New Roman" w:cs="Times New Roman"/>
                <w:b/>
                <w:bCs/>
              </w:rPr>
              <w:t> </w:t>
            </w:r>
            <w:r w:rsidRPr="00DF20DE">
              <w:rPr>
                <w:rFonts w:ascii="Times New Roman" w:eastAsia="Times New Roman" w:hAnsi="Times New Roman" w:cs="Times New Roman"/>
                <w:b/>
                <w:bCs/>
              </w:rPr>
              <w:t>=</w:t>
            </w:r>
            <w:r w:rsidR="004B0B9E" w:rsidRPr="00DF20DE">
              <w:rPr>
                <w:rFonts w:ascii="Times New Roman" w:eastAsia="Times New Roman" w:hAnsi="Times New Roman" w:cs="Times New Roman"/>
                <w:b/>
                <w:bCs/>
              </w:rPr>
              <w:t> </w:t>
            </w:r>
            <w:r w:rsidRPr="00DF20DE">
              <w:rPr>
                <w:rFonts w:ascii="Times New Roman" w:eastAsia="Times New Roman" w:hAnsi="Times New Roman" w:cs="Times New Roman"/>
                <w:b/>
                <w:bCs/>
              </w:rPr>
              <w:t>9291</w:t>
            </w:r>
          </w:p>
        </w:tc>
        <w:tc>
          <w:tcPr>
            <w:tcW w:w="684" w:type="dxa"/>
          </w:tcPr>
          <w:p w14:paraId="5EED3CD6"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bCs/>
                <w:sz w:val="26"/>
              </w:rPr>
            </w:pPr>
          </w:p>
          <w:p w14:paraId="4E43CD4F"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bCs/>
                <w:sz w:val="26"/>
              </w:rPr>
            </w:pPr>
          </w:p>
          <w:p w14:paraId="1A283B4D"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bCs/>
              </w:rPr>
            </w:pPr>
            <w:r w:rsidRPr="00DF20DE">
              <w:rPr>
                <w:rFonts w:ascii="Times New Roman" w:eastAsia="Times New Roman" w:hAnsi="Times New Roman" w:cs="Times New Roman"/>
                <w:b/>
                <w:bCs/>
                <w:i/>
                <w:iCs/>
              </w:rPr>
              <w:t>ARR</w:t>
            </w:r>
            <w:r w:rsidRPr="00DF20DE">
              <w:rPr>
                <w:rFonts w:ascii="Times New Roman" w:eastAsia="Times New Roman" w:hAnsi="Times New Roman" w:cs="Times New Roman"/>
                <w:b/>
                <w:bCs/>
              </w:rPr>
              <w:t xml:space="preserve"> </w:t>
            </w:r>
            <w:r w:rsidRPr="00DF20DE">
              <w:rPr>
                <w:rFonts w:ascii="Times New Roman" w:eastAsia="Times New Roman" w:hAnsi="Times New Roman" w:cs="Times New Roman"/>
                <w:b/>
                <w:bCs/>
                <w:vertAlign w:val="superscript"/>
              </w:rPr>
              <w:t>a</w:t>
            </w:r>
          </w:p>
          <w:p w14:paraId="1477A628"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bCs/>
              </w:rPr>
            </w:pPr>
            <w:r w:rsidRPr="00DF20DE">
              <w:rPr>
                <w:rFonts w:ascii="Times New Roman" w:eastAsia="Times New Roman" w:hAnsi="Times New Roman" w:cs="Times New Roman"/>
                <w:b/>
                <w:bCs/>
              </w:rPr>
              <w:t>(% per metus)</w:t>
            </w:r>
          </w:p>
        </w:tc>
        <w:tc>
          <w:tcPr>
            <w:tcW w:w="1442" w:type="dxa"/>
          </w:tcPr>
          <w:p w14:paraId="4D2E1450"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bCs/>
                <w:sz w:val="24"/>
              </w:rPr>
            </w:pPr>
          </w:p>
          <w:p w14:paraId="7BCE1B59"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bCs/>
                <w:sz w:val="24"/>
              </w:rPr>
            </w:pPr>
          </w:p>
          <w:p w14:paraId="2CFC20D1"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bCs/>
                <w:sz w:val="29"/>
              </w:rPr>
            </w:pPr>
          </w:p>
          <w:p w14:paraId="5F83B296"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bCs/>
              </w:rPr>
            </w:pPr>
            <w:r w:rsidRPr="00DF20DE">
              <w:rPr>
                <w:rFonts w:ascii="Times New Roman" w:eastAsia="Times New Roman" w:hAnsi="Times New Roman" w:cs="Times New Roman"/>
                <w:b/>
                <w:bCs/>
                <w:i/>
                <w:iCs/>
              </w:rPr>
              <w:t>RRR</w:t>
            </w:r>
            <w:r w:rsidRPr="00DF20DE">
              <w:rPr>
                <w:rFonts w:ascii="Times New Roman" w:eastAsia="Times New Roman" w:hAnsi="Times New Roman" w:cs="Times New Roman"/>
                <w:b/>
                <w:bCs/>
              </w:rPr>
              <w:t xml:space="preserve"> </w:t>
            </w:r>
            <w:r w:rsidRPr="00DF20DE">
              <w:rPr>
                <w:rFonts w:ascii="Times New Roman" w:eastAsia="Times New Roman" w:hAnsi="Times New Roman" w:cs="Times New Roman"/>
                <w:b/>
                <w:bCs/>
                <w:vertAlign w:val="superscript"/>
              </w:rPr>
              <w:t>a</w:t>
            </w:r>
            <w:r w:rsidRPr="00DF20DE">
              <w:rPr>
                <w:rFonts w:ascii="Times New Roman" w:eastAsia="Times New Roman" w:hAnsi="Times New Roman" w:cs="Times New Roman"/>
                <w:b/>
                <w:bCs/>
              </w:rPr>
              <w:t xml:space="preserve"> (%) (95 % PI)</w:t>
            </w:r>
          </w:p>
        </w:tc>
        <w:tc>
          <w:tcPr>
            <w:tcW w:w="1135" w:type="dxa"/>
            <w:gridSpan w:val="2"/>
          </w:tcPr>
          <w:p w14:paraId="5A671B54" w14:textId="77777777" w:rsidR="00864478" w:rsidRPr="00DF20DE" w:rsidRDefault="00864478" w:rsidP="00C536DB">
            <w:pPr>
              <w:keepNext/>
              <w:widowControl w:val="0"/>
              <w:autoSpaceDE w:val="0"/>
              <w:autoSpaceDN w:val="0"/>
              <w:spacing w:after="0" w:line="240" w:lineRule="auto"/>
              <w:rPr>
                <w:rFonts w:ascii="Times New Roman" w:eastAsia="Times New Roman" w:hAnsi="Times New Roman" w:cs="Times New Roman"/>
                <w:b/>
                <w:bCs/>
                <w:sz w:val="24"/>
              </w:rPr>
            </w:pPr>
          </w:p>
          <w:p w14:paraId="40904280" w14:textId="77777777" w:rsidR="00864478" w:rsidRPr="00DF20DE" w:rsidRDefault="00864478" w:rsidP="00C536DB">
            <w:pPr>
              <w:keepNext/>
              <w:widowControl w:val="0"/>
              <w:autoSpaceDE w:val="0"/>
              <w:autoSpaceDN w:val="0"/>
              <w:spacing w:after="0" w:line="240" w:lineRule="auto"/>
              <w:rPr>
                <w:rFonts w:ascii="Times New Roman" w:eastAsia="Times New Roman" w:hAnsi="Times New Roman" w:cs="Times New Roman"/>
                <w:b/>
                <w:bCs/>
                <w:sz w:val="24"/>
              </w:rPr>
            </w:pPr>
          </w:p>
          <w:p w14:paraId="7954124C" w14:textId="77777777" w:rsidR="00864478" w:rsidRPr="00DF20DE" w:rsidRDefault="00864478" w:rsidP="00C536DB">
            <w:pPr>
              <w:keepNext/>
              <w:widowControl w:val="0"/>
              <w:autoSpaceDE w:val="0"/>
              <w:autoSpaceDN w:val="0"/>
              <w:spacing w:after="0" w:line="240" w:lineRule="auto"/>
              <w:rPr>
                <w:rFonts w:ascii="Times New Roman" w:eastAsia="Times New Roman" w:hAnsi="Times New Roman" w:cs="Times New Roman"/>
                <w:b/>
                <w:bCs/>
                <w:sz w:val="29"/>
              </w:rPr>
            </w:pPr>
          </w:p>
          <w:p w14:paraId="294ED9BC" w14:textId="77777777" w:rsidR="00864478" w:rsidRPr="00DF20DE" w:rsidRDefault="00864478" w:rsidP="00C536DB">
            <w:pPr>
              <w:keepNext/>
              <w:widowControl w:val="0"/>
              <w:autoSpaceDE w:val="0"/>
              <w:autoSpaceDN w:val="0"/>
              <w:spacing w:after="0" w:line="240" w:lineRule="auto"/>
              <w:rPr>
                <w:rFonts w:ascii="Times New Roman" w:eastAsia="Times New Roman" w:hAnsi="Times New Roman" w:cs="Times New Roman"/>
                <w:b/>
                <w:bCs/>
              </w:rPr>
            </w:pPr>
            <w:r w:rsidRPr="00DF20DE">
              <w:rPr>
                <w:rFonts w:ascii="Times New Roman" w:eastAsia="Times New Roman" w:hAnsi="Times New Roman" w:cs="Times New Roman"/>
                <w:b/>
                <w:bCs/>
              </w:rPr>
              <w:t>p reikšmė</w:t>
            </w:r>
          </w:p>
        </w:tc>
      </w:tr>
      <w:tr w:rsidR="00864478" w:rsidRPr="00DF20DE" w14:paraId="60D3940B" w14:textId="77777777" w:rsidTr="005D637C">
        <w:trPr>
          <w:gridAfter w:val="1"/>
          <w:wAfter w:w="10" w:type="dxa"/>
          <w:trHeight w:val="1261"/>
        </w:trPr>
        <w:tc>
          <w:tcPr>
            <w:tcW w:w="1890" w:type="dxa"/>
          </w:tcPr>
          <w:p w14:paraId="16DBDA5D" w14:textId="77777777" w:rsidR="00864478" w:rsidRPr="00DF20DE" w:rsidRDefault="00864478" w:rsidP="00C536DB">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Kardiovaskulinės mirtys, miokardo infarktai (išskyrus besimptomius) ir insultai</w:t>
            </w:r>
          </w:p>
        </w:tc>
        <w:tc>
          <w:tcPr>
            <w:tcW w:w="1361" w:type="dxa"/>
          </w:tcPr>
          <w:p w14:paraId="0B54D437"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4"/>
              </w:rPr>
            </w:pPr>
          </w:p>
          <w:p w14:paraId="505DFED2"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19"/>
              </w:rPr>
            </w:pPr>
          </w:p>
          <w:p w14:paraId="4105AB03"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9,3</w:t>
            </w:r>
          </w:p>
        </w:tc>
        <w:tc>
          <w:tcPr>
            <w:tcW w:w="1417" w:type="dxa"/>
          </w:tcPr>
          <w:p w14:paraId="117E5B13"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4"/>
              </w:rPr>
            </w:pPr>
          </w:p>
          <w:p w14:paraId="3778983B"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19"/>
              </w:rPr>
            </w:pPr>
          </w:p>
          <w:p w14:paraId="2874EF58"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10,9</w:t>
            </w:r>
          </w:p>
        </w:tc>
        <w:tc>
          <w:tcPr>
            <w:tcW w:w="684" w:type="dxa"/>
          </w:tcPr>
          <w:p w14:paraId="290EC9A1"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4"/>
              </w:rPr>
            </w:pPr>
          </w:p>
          <w:p w14:paraId="3759E3FB"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19"/>
              </w:rPr>
            </w:pPr>
          </w:p>
          <w:p w14:paraId="0E8BDA65"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1,9</w:t>
            </w:r>
          </w:p>
        </w:tc>
        <w:tc>
          <w:tcPr>
            <w:tcW w:w="1442" w:type="dxa"/>
          </w:tcPr>
          <w:p w14:paraId="26460FBD"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rPr>
            </w:pPr>
          </w:p>
          <w:p w14:paraId="68D67E3B"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16</w:t>
            </w:r>
          </w:p>
          <w:p w14:paraId="07B57C99"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(8, 23)</w:t>
            </w:r>
          </w:p>
        </w:tc>
        <w:tc>
          <w:tcPr>
            <w:tcW w:w="1125" w:type="dxa"/>
          </w:tcPr>
          <w:p w14:paraId="5879A0EB"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4"/>
              </w:rPr>
            </w:pPr>
          </w:p>
          <w:p w14:paraId="4D1F3F12"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19"/>
              </w:rPr>
            </w:pPr>
          </w:p>
          <w:p w14:paraId="42C37E5D"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0,0003</w:t>
            </w:r>
          </w:p>
        </w:tc>
      </w:tr>
      <w:tr w:rsidR="00864478" w:rsidRPr="00DF20DE" w14:paraId="13D38629" w14:textId="77777777" w:rsidTr="005D637C">
        <w:trPr>
          <w:gridAfter w:val="1"/>
          <w:wAfter w:w="10" w:type="dxa"/>
          <w:trHeight w:val="762"/>
        </w:trPr>
        <w:tc>
          <w:tcPr>
            <w:tcW w:w="1890" w:type="dxa"/>
          </w:tcPr>
          <w:p w14:paraId="2FE3572B" w14:textId="77777777" w:rsidR="00864478" w:rsidRPr="00DF20DE" w:rsidRDefault="00864478" w:rsidP="00C536DB">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Numatytos invazinės procedūras</w:t>
            </w:r>
          </w:p>
        </w:tc>
        <w:tc>
          <w:tcPr>
            <w:tcW w:w="1361" w:type="dxa"/>
          </w:tcPr>
          <w:p w14:paraId="3F93D90C"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1"/>
              </w:rPr>
            </w:pPr>
          </w:p>
          <w:p w14:paraId="25FA85B1"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8,5</w:t>
            </w:r>
          </w:p>
        </w:tc>
        <w:tc>
          <w:tcPr>
            <w:tcW w:w="1417" w:type="dxa"/>
          </w:tcPr>
          <w:p w14:paraId="16E79319"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1"/>
              </w:rPr>
            </w:pPr>
          </w:p>
          <w:p w14:paraId="4D02D79C"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10,0</w:t>
            </w:r>
          </w:p>
        </w:tc>
        <w:tc>
          <w:tcPr>
            <w:tcW w:w="684" w:type="dxa"/>
          </w:tcPr>
          <w:p w14:paraId="011657FD"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1"/>
              </w:rPr>
            </w:pPr>
          </w:p>
          <w:p w14:paraId="513A2FFE"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1,7</w:t>
            </w:r>
          </w:p>
        </w:tc>
        <w:tc>
          <w:tcPr>
            <w:tcW w:w="1442" w:type="dxa"/>
          </w:tcPr>
          <w:p w14:paraId="40500E1F"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16</w:t>
            </w:r>
          </w:p>
          <w:p w14:paraId="5A3AA150"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(6, 25)</w:t>
            </w:r>
          </w:p>
        </w:tc>
        <w:tc>
          <w:tcPr>
            <w:tcW w:w="1125" w:type="dxa"/>
          </w:tcPr>
          <w:p w14:paraId="164B630A"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1"/>
              </w:rPr>
            </w:pPr>
          </w:p>
          <w:p w14:paraId="65233C77"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0,0025</w:t>
            </w:r>
          </w:p>
        </w:tc>
      </w:tr>
      <w:tr w:rsidR="00864478" w:rsidRPr="00DF20DE" w14:paraId="41D30FE8" w14:textId="77777777" w:rsidTr="005D637C">
        <w:trPr>
          <w:gridAfter w:val="1"/>
          <w:wAfter w:w="10" w:type="dxa"/>
          <w:trHeight w:val="758"/>
        </w:trPr>
        <w:tc>
          <w:tcPr>
            <w:tcW w:w="1890" w:type="dxa"/>
          </w:tcPr>
          <w:p w14:paraId="34CEA012" w14:textId="77777777" w:rsidR="00864478" w:rsidRPr="00DF20DE" w:rsidRDefault="00864478" w:rsidP="00C536DB">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Numatytas gydymas vaistiniais preparatais</w:t>
            </w:r>
          </w:p>
        </w:tc>
        <w:tc>
          <w:tcPr>
            <w:tcW w:w="1361" w:type="dxa"/>
          </w:tcPr>
          <w:p w14:paraId="75DFAFD2"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1"/>
              </w:rPr>
            </w:pPr>
          </w:p>
          <w:p w14:paraId="216910F7"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11,3</w:t>
            </w:r>
          </w:p>
        </w:tc>
        <w:tc>
          <w:tcPr>
            <w:tcW w:w="1417" w:type="dxa"/>
          </w:tcPr>
          <w:p w14:paraId="56BC8901"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1"/>
              </w:rPr>
            </w:pPr>
          </w:p>
          <w:p w14:paraId="19E0CAD3"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13,2</w:t>
            </w:r>
          </w:p>
        </w:tc>
        <w:tc>
          <w:tcPr>
            <w:tcW w:w="684" w:type="dxa"/>
          </w:tcPr>
          <w:p w14:paraId="5FD1C3DD"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1"/>
              </w:rPr>
            </w:pPr>
          </w:p>
          <w:p w14:paraId="0D53CC81"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2,3</w:t>
            </w:r>
          </w:p>
        </w:tc>
        <w:tc>
          <w:tcPr>
            <w:tcW w:w="1442" w:type="dxa"/>
          </w:tcPr>
          <w:p w14:paraId="62D934D2"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15</w:t>
            </w:r>
          </w:p>
          <w:p w14:paraId="41CC52D3"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(0,3, 27)</w:t>
            </w:r>
          </w:p>
        </w:tc>
        <w:tc>
          <w:tcPr>
            <w:tcW w:w="1125" w:type="dxa"/>
          </w:tcPr>
          <w:p w14:paraId="56925021"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1"/>
              </w:rPr>
            </w:pPr>
          </w:p>
          <w:p w14:paraId="4618D5E8"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0,0444</w:t>
            </w:r>
            <w:r w:rsidRPr="00DF20DE">
              <w:rPr>
                <w:rFonts w:ascii="Times New Roman" w:eastAsia="Times New Roman" w:hAnsi="Times New Roman" w:cs="Times New Roman"/>
                <w:vertAlign w:val="superscript"/>
              </w:rPr>
              <w:t>d</w:t>
            </w:r>
          </w:p>
        </w:tc>
      </w:tr>
      <w:tr w:rsidR="00864478" w:rsidRPr="00DF20DE" w14:paraId="1F0F71A3" w14:textId="77777777" w:rsidTr="005D637C">
        <w:trPr>
          <w:gridAfter w:val="1"/>
          <w:wAfter w:w="10" w:type="dxa"/>
          <w:trHeight w:val="503"/>
        </w:trPr>
        <w:tc>
          <w:tcPr>
            <w:tcW w:w="1890" w:type="dxa"/>
          </w:tcPr>
          <w:p w14:paraId="5915FCF7" w14:textId="77777777" w:rsidR="00864478" w:rsidRPr="00DF20DE" w:rsidRDefault="00864478" w:rsidP="00C536DB">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Kardiovaskulinės mirtys</w:t>
            </w:r>
          </w:p>
        </w:tc>
        <w:tc>
          <w:tcPr>
            <w:tcW w:w="1361" w:type="dxa"/>
          </w:tcPr>
          <w:p w14:paraId="3B9666B9"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3,8</w:t>
            </w:r>
          </w:p>
        </w:tc>
        <w:tc>
          <w:tcPr>
            <w:tcW w:w="1417" w:type="dxa"/>
          </w:tcPr>
          <w:p w14:paraId="13EF9CA1"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4,8</w:t>
            </w:r>
          </w:p>
        </w:tc>
        <w:tc>
          <w:tcPr>
            <w:tcW w:w="684" w:type="dxa"/>
          </w:tcPr>
          <w:p w14:paraId="6A5882A9"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w:t>
            </w:r>
          </w:p>
        </w:tc>
        <w:tc>
          <w:tcPr>
            <w:tcW w:w="1442" w:type="dxa"/>
          </w:tcPr>
          <w:p w14:paraId="609973BF"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21</w:t>
            </w:r>
          </w:p>
          <w:p w14:paraId="79FA44DE"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(9, 31)</w:t>
            </w:r>
          </w:p>
        </w:tc>
        <w:tc>
          <w:tcPr>
            <w:tcW w:w="1125" w:type="dxa"/>
          </w:tcPr>
          <w:p w14:paraId="1130FABA"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0,0013</w:t>
            </w:r>
          </w:p>
        </w:tc>
      </w:tr>
      <w:tr w:rsidR="00864478" w:rsidRPr="00DF20DE" w14:paraId="096A8F36" w14:textId="77777777" w:rsidTr="005D637C">
        <w:trPr>
          <w:gridAfter w:val="1"/>
          <w:wAfter w:w="10" w:type="dxa"/>
          <w:trHeight w:val="508"/>
        </w:trPr>
        <w:tc>
          <w:tcPr>
            <w:tcW w:w="1890" w:type="dxa"/>
          </w:tcPr>
          <w:p w14:paraId="2E87394E" w14:textId="2B9FD2CE" w:rsidR="00864478" w:rsidRPr="00DF20DE" w:rsidRDefault="00864478" w:rsidP="00C536DB">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MI (išskyrus besimptomius)</w:t>
            </w:r>
            <w:r w:rsidRPr="00DF20DE">
              <w:rPr>
                <w:rFonts w:ascii="Times New Roman" w:eastAsia="Times New Roman" w:hAnsi="Times New Roman" w:cs="Times New Roman"/>
                <w:vertAlign w:val="superscript"/>
              </w:rPr>
              <w:t>b</w:t>
            </w:r>
          </w:p>
        </w:tc>
        <w:tc>
          <w:tcPr>
            <w:tcW w:w="1361" w:type="dxa"/>
          </w:tcPr>
          <w:p w14:paraId="14AE3CEE"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5,4</w:t>
            </w:r>
          </w:p>
        </w:tc>
        <w:tc>
          <w:tcPr>
            <w:tcW w:w="1417" w:type="dxa"/>
          </w:tcPr>
          <w:p w14:paraId="7B6436E5"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6,4</w:t>
            </w:r>
          </w:p>
        </w:tc>
        <w:tc>
          <w:tcPr>
            <w:tcW w:w="684" w:type="dxa"/>
          </w:tcPr>
          <w:p w14:paraId="4E9AF77C"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w:t>
            </w:r>
          </w:p>
        </w:tc>
        <w:tc>
          <w:tcPr>
            <w:tcW w:w="1442" w:type="dxa"/>
          </w:tcPr>
          <w:p w14:paraId="2A153979"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16</w:t>
            </w:r>
          </w:p>
          <w:p w14:paraId="0B4AA03E"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(5, 25)</w:t>
            </w:r>
          </w:p>
        </w:tc>
        <w:tc>
          <w:tcPr>
            <w:tcW w:w="1125" w:type="dxa"/>
          </w:tcPr>
          <w:p w14:paraId="48F2105D"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0,0045</w:t>
            </w:r>
          </w:p>
        </w:tc>
      </w:tr>
      <w:tr w:rsidR="00864478" w:rsidRPr="00DF20DE" w14:paraId="59E39C26" w14:textId="77777777" w:rsidTr="005D637C">
        <w:trPr>
          <w:gridAfter w:val="1"/>
          <w:wAfter w:w="10" w:type="dxa"/>
          <w:trHeight w:val="503"/>
        </w:trPr>
        <w:tc>
          <w:tcPr>
            <w:tcW w:w="1890" w:type="dxa"/>
          </w:tcPr>
          <w:p w14:paraId="5804D2C6" w14:textId="77777777" w:rsidR="00864478" w:rsidRPr="00DF20DE" w:rsidRDefault="00864478" w:rsidP="00C536DB">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Insultai</w:t>
            </w:r>
          </w:p>
        </w:tc>
        <w:tc>
          <w:tcPr>
            <w:tcW w:w="1361" w:type="dxa"/>
          </w:tcPr>
          <w:p w14:paraId="4C16CCB2"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1,3</w:t>
            </w:r>
          </w:p>
        </w:tc>
        <w:tc>
          <w:tcPr>
            <w:tcW w:w="1417" w:type="dxa"/>
          </w:tcPr>
          <w:p w14:paraId="21B7AF8B"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w:t>
            </w:r>
          </w:p>
        </w:tc>
        <w:tc>
          <w:tcPr>
            <w:tcW w:w="684" w:type="dxa"/>
          </w:tcPr>
          <w:p w14:paraId="1ED62A09"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-0,2</w:t>
            </w:r>
          </w:p>
        </w:tc>
        <w:tc>
          <w:tcPr>
            <w:tcW w:w="1442" w:type="dxa"/>
          </w:tcPr>
          <w:p w14:paraId="19175A23"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-17</w:t>
            </w:r>
          </w:p>
          <w:p w14:paraId="2FE9B367"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(-52, 9)</w:t>
            </w:r>
          </w:p>
        </w:tc>
        <w:tc>
          <w:tcPr>
            <w:tcW w:w="1125" w:type="dxa"/>
          </w:tcPr>
          <w:p w14:paraId="33944338"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0,2249</w:t>
            </w:r>
          </w:p>
        </w:tc>
      </w:tr>
      <w:tr w:rsidR="00864478" w:rsidRPr="00DF20DE" w14:paraId="6AD8FC1F" w14:textId="77777777" w:rsidTr="005D637C">
        <w:trPr>
          <w:gridAfter w:val="1"/>
          <w:wAfter w:w="10" w:type="dxa"/>
          <w:trHeight w:val="1266"/>
        </w:trPr>
        <w:tc>
          <w:tcPr>
            <w:tcW w:w="1890" w:type="dxa"/>
          </w:tcPr>
          <w:p w14:paraId="0BEA51B9" w14:textId="77777777" w:rsidR="00864478" w:rsidRPr="00DF20DE" w:rsidRDefault="00864478" w:rsidP="00C536DB">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Mirtys dėl visų priežasčių, MI (išskyrus besimptomius) ir insultai</w:t>
            </w:r>
          </w:p>
        </w:tc>
        <w:tc>
          <w:tcPr>
            <w:tcW w:w="1361" w:type="dxa"/>
          </w:tcPr>
          <w:p w14:paraId="374DD99C"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4"/>
              </w:rPr>
            </w:pPr>
          </w:p>
          <w:p w14:paraId="40A20060"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0"/>
              </w:rPr>
            </w:pPr>
          </w:p>
          <w:p w14:paraId="21F54063"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9,7</w:t>
            </w:r>
          </w:p>
        </w:tc>
        <w:tc>
          <w:tcPr>
            <w:tcW w:w="1417" w:type="dxa"/>
          </w:tcPr>
          <w:p w14:paraId="58B3E3D0"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4"/>
              </w:rPr>
            </w:pPr>
          </w:p>
          <w:p w14:paraId="08379834"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0"/>
              </w:rPr>
            </w:pPr>
          </w:p>
          <w:p w14:paraId="57D6BD1C"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11,5</w:t>
            </w:r>
          </w:p>
        </w:tc>
        <w:tc>
          <w:tcPr>
            <w:tcW w:w="684" w:type="dxa"/>
          </w:tcPr>
          <w:p w14:paraId="6421BA2E"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4"/>
              </w:rPr>
            </w:pPr>
          </w:p>
          <w:p w14:paraId="7CF05CD6"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0"/>
              </w:rPr>
            </w:pPr>
          </w:p>
          <w:p w14:paraId="2C266DB0"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2,1</w:t>
            </w:r>
          </w:p>
        </w:tc>
        <w:tc>
          <w:tcPr>
            <w:tcW w:w="1442" w:type="dxa"/>
          </w:tcPr>
          <w:p w14:paraId="594ABACC"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rPr>
            </w:pPr>
          </w:p>
          <w:p w14:paraId="22ED175A"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16</w:t>
            </w:r>
          </w:p>
          <w:p w14:paraId="7CA5991B"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(8, 23)</w:t>
            </w:r>
          </w:p>
        </w:tc>
        <w:tc>
          <w:tcPr>
            <w:tcW w:w="1125" w:type="dxa"/>
          </w:tcPr>
          <w:p w14:paraId="77EF9099"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4"/>
              </w:rPr>
            </w:pPr>
          </w:p>
          <w:p w14:paraId="3C8B3E16"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0"/>
              </w:rPr>
            </w:pPr>
          </w:p>
          <w:p w14:paraId="44D99940"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0,0001</w:t>
            </w:r>
          </w:p>
        </w:tc>
      </w:tr>
      <w:tr w:rsidR="00864478" w:rsidRPr="00DF20DE" w14:paraId="083EADC0" w14:textId="77777777" w:rsidTr="005D637C">
        <w:trPr>
          <w:gridAfter w:val="1"/>
          <w:wAfter w:w="10" w:type="dxa"/>
          <w:trHeight w:val="1262"/>
        </w:trPr>
        <w:tc>
          <w:tcPr>
            <w:tcW w:w="1890" w:type="dxa"/>
          </w:tcPr>
          <w:p w14:paraId="214D233B" w14:textId="2D66F663" w:rsidR="00864478" w:rsidRPr="00DF20DE" w:rsidRDefault="00864478" w:rsidP="00C536DB">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 xml:space="preserve">Kardiovaskulinės mirtys, miokardo infarktai (iš viso), insultai, </w:t>
            </w:r>
            <w:r w:rsidRPr="00DF20DE">
              <w:rPr>
                <w:rFonts w:ascii="Times New Roman" w:eastAsia="Times New Roman" w:hAnsi="Times New Roman" w:cs="Times New Roman"/>
                <w:i/>
                <w:iCs/>
              </w:rPr>
              <w:t>SRI, RI, TIA</w:t>
            </w:r>
            <w:r w:rsidRPr="00DF20DE">
              <w:rPr>
                <w:rFonts w:ascii="Times New Roman" w:eastAsia="Times New Roman" w:hAnsi="Times New Roman" w:cs="Times New Roman"/>
              </w:rPr>
              <w:t xml:space="preserve"> ir kiti </w:t>
            </w:r>
            <w:r w:rsidRPr="00DF20DE">
              <w:rPr>
                <w:rFonts w:ascii="Times New Roman" w:eastAsia="Times New Roman" w:hAnsi="Times New Roman" w:cs="Times New Roman"/>
                <w:i/>
                <w:iCs/>
              </w:rPr>
              <w:t>ATE</w:t>
            </w:r>
            <w:r w:rsidRPr="00DF20DE">
              <w:rPr>
                <w:rFonts w:ascii="Times New Roman" w:eastAsia="Times New Roman" w:hAnsi="Times New Roman" w:cs="Times New Roman"/>
                <w:i/>
                <w:iCs/>
                <w:vertAlign w:val="superscript"/>
              </w:rPr>
              <w:t>c</w:t>
            </w:r>
          </w:p>
        </w:tc>
        <w:tc>
          <w:tcPr>
            <w:tcW w:w="1361" w:type="dxa"/>
          </w:tcPr>
          <w:p w14:paraId="274D4C8D"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4"/>
              </w:rPr>
            </w:pPr>
          </w:p>
          <w:p w14:paraId="5B7E86F3"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0"/>
              </w:rPr>
            </w:pPr>
          </w:p>
          <w:p w14:paraId="200C0E4B"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13,8</w:t>
            </w:r>
          </w:p>
        </w:tc>
        <w:tc>
          <w:tcPr>
            <w:tcW w:w="1417" w:type="dxa"/>
          </w:tcPr>
          <w:p w14:paraId="098D09F3"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4"/>
              </w:rPr>
            </w:pPr>
          </w:p>
          <w:p w14:paraId="02C35352"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0"/>
              </w:rPr>
            </w:pPr>
          </w:p>
          <w:p w14:paraId="1A60326E"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15,7</w:t>
            </w:r>
          </w:p>
        </w:tc>
        <w:tc>
          <w:tcPr>
            <w:tcW w:w="684" w:type="dxa"/>
          </w:tcPr>
          <w:p w14:paraId="777B5DEF"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4"/>
              </w:rPr>
            </w:pPr>
          </w:p>
          <w:p w14:paraId="52CF7E9A"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0"/>
              </w:rPr>
            </w:pPr>
          </w:p>
          <w:p w14:paraId="7D38BF9F"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2,1</w:t>
            </w:r>
          </w:p>
        </w:tc>
        <w:tc>
          <w:tcPr>
            <w:tcW w:w="1442" w:type="dxa"/>
          </w:tcPr>
          <w:p w14:paraId="051C2343"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rPr>
            </w:pPr>
          </w:p>
          <w:p w14:paraId="2381756B"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12</w:t>
            </w:r>
          </w:p>
          <w:p w14:paraId="38824690"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(5, 19)</w:t>
            </w:r>
          </w:p>
        </w:tc>
        <w:tc>
          <w:tcPr>
            <w:tcW w:w="1125" w:type="dxa"/>
          </w:tcPr>
          <w:p w14:paraId="78D9E118"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4"/>
              </w:rPr>
            </w:pPr>
          </w:p>
          <w:p w14:paraId="599D4D4E"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b/>
                <w:sz w:val="20"/>
              </w:rPr>
            </w:pPr>
          </w:p>
          <w:p w14:paraId="02AB7F48"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0,0006</w:t>
            </w:r>
          </w:p>
        </w:tc>
      </w:tr>
      <w:tr w:rsidR="00864478" w:rsidRPr="00DF20DE" w14:paraId="6F64BDF9" w14:textId="77777777" w:rsidTr="005D637C">
        <w:trPr>
          <w:gridAfter w:val="1"/>
          <w:wAfter w:w="10" w:type="dxa"/>
          <w:trHeight w:val="508"/>
        </w:trPr>
        <w:tc>
          <w:tcPr>
            <w:tcW w:w="1890" w:type="dxa"/>
          </w:tcPr>
          <w:p w14:paraId="679C41E4" w14:textId="77777777" w:rsidR="00864478" w:rsidRPr="00DF20DE" w:rsidRDefault="00864478" w:rsidP="00C536DB">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Mirtys dėl visų priežasčių</w:t>
            </w:r>
          </w:p>
        </w:tc>
        <w:tc>
          <w:tcPr>
            <w:tcW w:w="1361" w:type="dxa"/>
          </w:tcPr>
          <w:p w14:paraId="7098BFED"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4,3</w:t>
            </w:r>
          </w:p>
        </w:tc>
        <w:tc>
          <w:tcPr>
            <w:tcW w:w="1417" w:type="dxa"/>
          </w:tcPr>
          <w:p w14:paraId="2F07DE89"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5,4</w:t>
            </w:r>
          </w:p>
        </w:tc>
        <w:tc>
          <w:tcPr>
            <w:tcW w:w="684" w:type="dxa"/>
          </w:tcPr>
          <w:p w14:paraId="5BF0F5ED"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1,4</w:t>
            </w:r>
          </w:p>
        </w:tc>
        <w:tc>
          <w:tcPr>
            <w:tcW w:w="1442" w:type="dxa"/>
          </w:tcPr>
          <w:p w14:paraId="46175BDD"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22</w:t>
            </w:r>
          </w:p>
          <w:p w14:paraId="092C142A"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(11, 31)</w:t>
            </w:r>
          </w:p>
        </w:tc>
        <w:tc>
          <w:tcPr>
            <w:tcW w:w="1125" w:type="dxa"/>
          </w:tcPr>
          <w:p w14:paraId="7B0E51CA"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0,0003</w:t>
            </w:r>
            <w:r w:rsidRPr="00DF20DE">
              <w:rPr>
                <w:rFonts w:ascii="Times New Roman" w:eastAsia="Times New Roman" w:hAnsi="Times New Roman" w:cs="Times New Roman"/>
                <w:vertAlign w:val="superscript"/>
              </w:rPr>
              <w:t>d</w:t>
            </w:r>
          </w:p>
        </w:tc>
      </w:tr>
      <w:tr w:rsidR="00864478" w:rsidRPr="00DF20DE" w14:paraId="708362FA" w14:textId="77777777" w:rsidTr="005D637C">
        <w:trPr>
          <w:gridAfter w:val="1"/>
          <w:wAfter w:w="10" w:type="dxa"/>
          <w:trHeight w:val="508"/>
        </w:trPr>
        <w:tc>
          <w:tcPr>
            <w:tcW w:w="1890" w:type="dxa"/>
          </w:tcPr>
          <w:p w14:paraId="06D8E296" w14:textId="77777777" w:rsidR="00864478" w:rsidRPr="00DF20DE" w:rsidRDefault="00864478" w:rsidP="00C536DB">
            <w:pPr>
              <w:keepNext/>
              <w:widowControl w:val="0"/>
              <w:autoSpaceDE w:val="0"/>
              <w:autoSpaceDN w:val="0"/>
              <w:spacing w:after="0" w:line="240" w:lineRule="auto"/>
              <w:ind w:left="90"/>
              <w:rPr>
                <w:rFonts w:ascii="Times New Roman" w:eastAsia="Times New Roman" w:hAnsi="Times New Roman" w:cs="Times New Roman"/>
              </w:rPr>
            </w:pPr>
            <w:r w:rsidRPr="00DF20DE">
              <w:rPr>
                <w:rFonts w:ascii="Times New Roman" w:eastAsia="Times New Roman" w:hAnsi="Times New Roman" w:cs="Times New Roman"/>
              </w:rPr>
              <w:t>Nustatytos stento trombozės</w:t>
            </w:r>
          </w:p>
        </w:tc>
        <w:tc>
          <w:tcPr>
            <w:tcW w:w="1361" w:type="dxa"/>
          </w:tcPr>
          <w:p w14:paraId="497941F9"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1,2</w:t>
            </w:r>
          </w:p>
        </w:tc>
        <w:tc>
          <w:tcPr>
            <w:tcW w:w="1417" w:type="dxa"/>
          </w:tcPr>
          <w:p w14:paraId="4BE4D11C"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1,7</w:t>
            </w:r>
          </w:p>
        </w:tc>
        <w:tc>
          <w:tcPr>
            <w:tcW w:w="684" w:type="dxa"/>
          </w:tcPr>
          <w:p w14:paraId="24370F57"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0,6</w:t>
            </w:r>
          </w:p>
        </w:tc>
        <w:tc>
          <w:tcPr>
            <w:tcW w:w="1442" w:type="dxa"/>
          </w:tcPr>
          <w:p w14:paraId="6F545338"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32</w:t>
            </w:r>
          </w:p>
          <w:p w14:paraId="11098AA6"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(8, 49)</w:t>
            </w:r>
          </w:p>
        </w:tc>
        <w:tc>
          <w:tcPr>
            <w:tcW w:w="1125" w:type="dxa"/>
          </w:tcPr>
          <w:p w14:paraId="3618CD29" w14:textId="77777777" w:rsidR="00864478" w:rsidRPr="00DF20DE" w:rsidRDefault="00864478" w:rsidP="00C536DB">
            <w:pPr>
              <w:keepNext/>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0,0123</w:t>
            </w:r>
            <w:r w:rsidRPr="00DF20DE">
              <w:rPr>
                <w:rFonts w:ascii="Times New Roman" w:eastAsia="Times New Roman" w:hAnsi="Times New Roman" w:cs="Times New Roman"/>
                <w:vertAlign w:val="superscript"/>
              </w:rPr>
              <w:t>d</w:t>
            </w:r>
          </w:p>
        </w:tc>
      </w:tr>
    </w:tbl>
    <w:p w14:paraId="7B78FCCA" w14:textId="62632F58"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a</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iCs/>
          <w:sz w:val="20"/>
          <w:szCs w:val="20"/>
        </w:rPr>
        <w:t>ARR</w:t>
      </w:r>
      <w:r w:rsidRPr="00DF20DE">
        <w:rPr>
          <w:rFonts w:ascii="Times New Roman" w:eastAsia="Times New Roman" w:hAnsi="Times New Roman" w:cs="Times New Roman"/>
          <w:sz w:val="20"/>
          <w:szCs w:val="20"/>
        </w:rPr>
        <w:t xml:space="preserve"> – absoliu</w:t>
      </w:r>
      <w:r w:rsidR="004B0B9E" w:rsidRPr="00DF20DE">
        <w:rPr>
          <w:rFonts w:ascii="Times New Roman" w:eastAsia="Times New Roman" w:hAnsi="Times New Roman" w:cs="Times New Roman"/>
          <w:sz w:val="20"/>
          <w:szCs w:val="20"/>
        </w:rPr>
        <w:t>tu</w:t>
      </w:r>
      <w:r w:rsidRPr="00DF20DE">
        <w:rPr>
          <w:rFonts w:ascii="Times New Roman" w:eastAsia="Times New Roman" w:hAnsi="Times New Roman" w:cs="Times New Roman"/>
          <w:sz w:val="20"/>
          <w:szCs w:val="20"/>
        </w:rPr>
        <w:t xml:space="preserve">s rizikos sumažėjimas, </w:t>
      </w:r>
      <w:r w:rsidRPr="00DF20DE">
        <w:rPr>
          <w:rFonts w:ascii="Times New Roman" w:eastAsia="Times New Roman" w:hAnsi="Times New Roman" w:cs="Times New Roman"/>
          <w:i/>
          <w:iCs/>
          <w:sz w:val="20"/>
          <w:szCs w:val="20"/>
        </w:rPr>
        <w:t>RRR</w:t>
      </w:r>
      <w:r w:rsidRPr="00DF20DE">
        <w:rPr>
          <w:rFonts w:ascii="Times New Roman" w:eastAsia="Times New Roman" w:hAnsi="Times New Roman" w:cs="Times New Roman"/>
          <w:sz w:val="20"/>
          <w:szCs w:val="20"/>
        </w:rPr>
        <w:t xml:space="preserve"> – santykin</w:t>
      </w:r>
      <w:r w:rsidR="004B0B9E" w:rsidRPr="00DF20DE">
        <w:rPr>
          <w:rFonts w:ascii="Times New Roman" w:eastAsia="Times New Roman" w:hAnsi="Times New Roman" w:cs="Times New Roman"/>
          <w:sz w:val="20"/>
          <w:szCs w:val="20"/>
        </w:rPr>
        <w:t>i</w:t>
      </w:r>
      <w:r w:rsidRPr="00DF20DE">
        <w:rPr>
          <w:rFonts w:ascii="Times New Roman" w:eastAsia="Times New Roman" w:hAnsi="Times New Roman" w:cs="Times New Roman"/>
          <w:sz w:val="20"/>
          <w:szCs w:val="20"/>
        </w:rPr>
        <w:t xml:space="preserve">s rizikos sumažėjimas = (1 – santykinė rizika) x 100 %. Neigiamas </w:t>
      </w:r>
      <w:r w:rsidRPr="00DF20DE">
        <w:rPr>
          <w:rFonts w:ascii="Times New Roman" w:eastAsia="Times New Roman" w:hAnsi="Times New Roman" w:cs="Times New Roman"/>
          <w:i/>
          <w:iCs/>
          <w:sz w:val="20"/>
          <w:szCs w:val="20"/>
        </w:rPr>
        <w:t>RRR</w:t>
      </w:r>
      <w:r w:rsidRPr="00DF20DE">
        <w:rPr>
          <w:rFonts w:ascii="Times New Roman" w:eastAsia="Times New Roman" w:hAnsi="Times New Roman" w:cs="Times New Roman"/>
          <w:sz w:val="20"/>
          <w:szCs w:val="20"/>
        </w:rPr>
        <w:t xml:space="preserve"> rodo padidėjusią santykinę riziką.</w:t>
      </w:r>
    </w:p>
    <w:p w14:paraId="6B86C7D8"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b</w:t>
      </w:r>
      <w:r w:rsidRPr="00DF20DE">
        <w:rPr>
          <w:rFonts w:ascii="Times New Roman" w:eastAsia="Times New Roman" w:hAnsi="Times New Roman" w:cs="Times New Roman"/>
          <w:sz w:val="20"/>
          <w:szCs w:val="20"/>
        </w:rPr>
        <w:t xml:space="preserve"> Išskyrus besimptomį MI.</w:t>
      </w:r>
    </w:p>
    <w:p w14:paraId="2CAD8A0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c</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iCs/>
          <w:sz w:val="20"/>
          <w:szCs w:val="20"/>
        </w:rPr>
        <w:t>SRI</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iCs/>
          <w:sz w:val="20"/>
          <w:szCs w:val="20"/>
        </w:rPr>
        <w:t>angl.</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sz w:val="20"/>
          <w:szCs w:val="20"/>
        </w:rPr>
        <w:t>serious recurrent ischaemia</w:t>
      </w:r>
      <w:r w:rsidRPr="00DF20DE">
        <w:rPr>
          <w:rFonts w:ascii="Times New Roman" w:eastAsia="Times New Roman" w:hAnsi="Times New Roman" w:cs="Times New Roman"/>
          <w:sz w:val="20"/>
          <w:szCs w:val="20"/>
        </w:rPr>
        <w:t xml:space="preserve">) – sunki pasikartojanti išemija, </w:t>
      </w:r>
      <w:r w:rsidRPr="00DF20DE">
        <w:rPr>
          <w:rFonts w:ascii="Times New Roman" w:eastAsia="Times New Roman" w:hAnsi="Times New Roman" w:cs="Times New Roman"/>
          <w:i/>
          <w:iCs/>
          <w:sz w:val="20"/>
          <w:szCs w:val="20"/>
        </w:rPr>
        <w:t>RI</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iCs/>
          <w:sz w:val="20"/>
          <w:szCs w:val="20"/>
        </w:rPr>
        <w:t>angl.</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sz w:val="20"/>
          <w:szCs w:val="20"/>
        </w:rPr>
        <w:t>recurrent ischaemia</w:t>
      </w:r>
      <w:r w:rsidRPr="00DF20DE">
        <w:rPr>
          <w:rFonts w:ascii="Times New Roman" w:eastAsia="Times New Roman" w:hAnsi="Times New Roman" w:cs="Times New Roman"/>
          <w:sz w:val="20"/>
          <w:szCs w:val="20"/>
        </w:rPr>
        <w:t xml:space="preserve">) – pasikartojanti išemija, </w:t>
      </w:r>
      <w:r w:rsidRPr="00DF20DE">
        <w:rPr>
          <w:rFonts w:ascii="Times New Roman" w:eastAsia="Times New Roman" w:hAnsi="Times New Roman" w:cs="Times New Roman"/>
          <w:i/>
          <w:iCs/>
          <w:sz w:val="20"/>
          <w:szCs w:val="20"/>
        </w:rPr>
        <w:t>TIA</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iCs/>
          <w:sz w:val="20"/>
          <w:szCs w:val="20"/>
        </w:rPr>
        <w:t>angl.</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sz w:val="20"/>
          <w:szCs w:val="20"/>
        </w:rPr>
        <w:t>transient ischaemic attack</w:t>
      </w:r>
      <w:r w:rsidRPr="00DF20DE">
        <w:rPr>
          <w:rFonts w:ascii="Times New Roman" w:eastAsia="Times New Roman" w:hAnsi="Times New Roman" w:cs="Times New Roman"/>
          <w:sz w:val="20"/>
          <w:szCs w:val="20"/>
        </w:rPr>
        <w:t xml:space="preserve">) – trumpalaikė išemijos ataka, </w:t>
      </w:r>
      <w:r w:rsidRPr="00DF20DE">
        <w:rPr>
          <w:rFonts w:ascii="Times New Roman" w:eastAsia="Times New Roman" w:hAnsi="Times New Roman" w:cs="Times New Roman"/>
          <w:i/>
          <w:iCs/>
          <w:sz w:val="20"/>
          <w:szCs w:val="20"/>
        </w:rPr>
        <w:t>ATE</w:t>
      </w:r>
      <w:r w:rsidRPr="00DF20DE">
        <w:rPr>
          <w:rFonts w:ascii="Times New Roman" w:eastAsia="Times New Roman" w:hAnsi="Times New Roman" w:cs="Times New Roman"/>
          <w:sz w:val="20"/>
          <w:szCs w:val="20"/>
        </w:rPr>
        <w:t xml:space="preserve"> (</w:t>
      </w:r>
      <w:r w:rsidRPr="00DF20DE">
        <w:rPr>
          <w:rFonts w:ascii="Times New Roman" w:eastAsia="Times New Roman" w:hAnsi="Times New Roman" w:cs="Times New Roman"/>
          <w:i/>
          <w:iCs/>
          <w:sz w:val="20"/>
          <w:szCs w:val="20"/>
        </w:rPr>
        <w:t xml:space="preserve">angl. </w:t>
      </w:r>
      <w:r w:rsidRPr="00DF20DE">
        <w:rPr>
          <w:rFonts w:ascii="Times New Roman" w:eastAsia="Times New Roman" w:hAnsi="Times New Roman" w:cs="Times New Roman"/>
          <w:i/>
          <w:sz w:val="20"/>
          <w:szCs w:val="20"/>
        </w:rPr>
        <w:t>arterial thrombotic</w:t>
      </w:r>
      <w:r w:rsidRPr="00DF20DE">
        <w:rPr>
          <w:rFonts w:ascii="Times New Roman" w:eastAsia="Times New Roman" w:hAnsi="Times New Roman" w:cs="Times New Roman"/>
          <w:sz w:val="20"/>
          <w:szCs w:val="20"/>
        </w:rPr>
        <w:t>) – arterijų trombozės reiškiniai. Į bendrą miokardo infarktų skaičių įskaičiuoti ir besimptomiai, kurių nustatymo data laikyta jų pasireiškimo data.</w:t>
      </w:r>
    </w:p>
    <w:p w14:paraId="1895F3CF"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vertAlign w:val="superscript"/>
        </w:rPr>
        <w:t>d</w:t>
      </w:r>
      <w:r w:rsidRPr="00DF20DE">
        <w:rPr>
          <w:rFonts w:ascii="Times New Roman" w:eastAsia="Times New Roman" w:hAnsi="Times New Roman" w:cs="Times New Roman"/>
          <w:sz w:val="20"/>
          <w:szCs w:val="20"/>
        </w:rPr>
        <w:t xml:space="preserve"> Nominali reikšmingumo reikšmė. Visos kitos yra formaliai reikšmingos statistikai pagal iš anksto pasirinktą hierarchinį metodą.</w:t>
      </w:r>
    </w:p>
    <w:p w14:paraId="4BB712E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495E2048"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PLATO tyrimo genetinė dalis</w:t>
      </w:r>
    </w:p>
    <w:p w14:paraId="3B09529B" w14:textId="09321672"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PLATO tyrime dalyvavusių 10285 pacientų genotipų analizė pagal CYP2C19 ir ABCB1 genus suteikė informacijos apie ryšį tarp genotipo grupių ir PLATO tyrimo metų gautų rodiklių. Vertinant pagal didžiųjų kardiovaskulinių reiškinių rizikos sumažėjimą, pacientų genotipas pagal CYP2C19 ir ABCB1 reikšmingos įtakos palankesniam už klopidogrelio tikagreloro poveikiui neturėjo. Panašiai kaip bendrais PLATO tyrimo duomenimis, suminis didžiųjų kraujavimų pagal PLATO kriterijus skaičius </w:t>
      </w:r>
      <w:r w:rsidRPr="00DF20DE">
        <w:rPr>
          <w:rFonts w:ascii="Times New Roman" w:eastAsia="Times New Roman" w:hAnsi="Times New Roman" w:cs="Times New Roman"/>
        </w:rPr>
        <w:lastRenderedPageBreak/>
        <w:t>vartojant tikagrelor</w:t>
      </w:r>
      <w:r w:rsidR="00FE799B" w:rsidRPr="00DF20DE">
        <w:rPr>
          <w:rFonts w:ascii="Times New Roman" w:eastAsia="Times New Roman" w:hAnsi="Times New Roman" w:cs="Times New Roman"/>
        </w:rPr>
        <w:t>o</w:t>
      </w:r>
      <w:r w:rsidRPr="00DF20DE">
        <w:rPr>
          <w:rFonts w:ascii="Times New Roman" w:eastAsia="Times New Roman" w:hAnsi="Times New Roman" w:cs="Times New Roman"/>
        </w:rPr>
        <w:t xml:space="preserve"> ir klopidogrel</w:t>
      </w:r>
      <w:r w:rsidR="00FE799B"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CYP2C19 ar ABCB1 genotipų pacientams nesiskyrė. Pacientams, neturintiems vieno ar daugiau funkcionuojančių CYP2C19 alelių, vartojant tikagrelor</w:t>
      </w:r>
      <w:r w:rsidR="00FE799B" w:rsidRPr="00DF20DE">
        <w:rPr>
          <w:rFonts w:ascii="Times New Roman" w:eastAsia="Times New Roman" w:hAnsi="Times New Roman" w:cs="Times New Roman"/>
        </w:rPr>
        <w:t>o</w:t>
      </w:r>
      <w:r w:rsidRPr="00DF20DE">
        <w:rPr>
          <w:rFonts w:ascii="Times New Roman" w:eastAsia="Times New Roman" w:hAnsi="Times New Roman" w:cs="Times New Roman"/>
        </w:rPr>
        <w:t xml:space="preserve"> pasireiškė daugiau su koronarinių arterijų šuntavimu nesusijusių didesniųjų kraujavimų pagal PLATO kriterijus, negu vartojant klopidogrel</w:t>
      </w:r>
      <w:r w:rsidR="00FE799B" w:rsidRPr="00DF20DE">
        <w:rPr>
          <w:rFonts w:ascii="Times New Roman" w:eastAsia="Times New Roman" w:hAnsi="Times New Roman" w:cs="Times New Roman"/>
        </w:rPr>
        <w:t>io</w:t>
      </w:r>
      <w:r w:rsidRPr="00DF20DE">
        <w:rPr>
          <w:rFonts w:ascii="Times New Roman" w:eastAsia="Times New Roman" w:hAnsi="Times New Roman" w:cs="Times New Roman"/>
        </w:rPr>
        <w:t>, o neturintiems nefunkcionuojančių alelių tokių kraujavimų skaičius buvo panašus kaip vartojant klopidogrel</w:t>
      </w:r>
      <w:r w:rsidR="00FE799B" w:rsidRPr="00DF20DE">
        <w:rPr>
          <w:rFonts w:ascii="Times New Roman" w:eastAsia="Times New Roman" w:hAnsi="Times New Roman" w:cs="Times New Roman"/>
        </w:rPr>
        <w:t>io</w:t>
      </w:r>
      <w:r w:rsidRPr="00DF20DE">
        <w:rPr>
          <w:rFonts w:ascii="Times New Roman" w:eastAsia="Times New Roman" w:hAnsi="Times New Roman" w:cs="Times New Roman"/>
        </w:rPr>
        <w:t>.</w:t>
      </w:r>
    </w:p>
    <w:p w14:paraId="6FB2E616"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3D31DBC5"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Suminis saugumo ir veiksmingumo rodiklis</w:t>
      </w:r>
    </w:p>
    <w:p w14:paraId="3CC8DF1F"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Suminis saugumo ir veiksmingumo rodiklis, apimantis kardiovaskulines mirtis, miokardo infarktus, insultus ir didžiuosius kraujavimus pagal PLATO kriterijus, rodo, kad 12 mėn. laikotarpį po ūminių koronarinių sindromų pasireiškimo tikagreloro veiksmingumo, didesnio už klopidogrelio, naudos didesniųjų kraujavimo reiškinių rizika nenusveria (</w:t>
      </w:r>
      <w:r w:rsidRPr="00DF20DE">
        <w:rPr>
          <w:rFonts w:ascii="Times New Roman" w:eastAsia="Times New Roman" w:hAnsi="Times New Roman" w:cs="Times New Roman"/>
          <w:i/>
          <w:iCs/>
        </w:rPr>
        <w:t>ARR</w:t>
      </w:r>
      <w:r w:rsidRPr="00DF20DE">
        <w:rPr>
          <w:rFonts w:ascii="Times New Roman" w:eastAsia="Times New Roman" w:hAnsi="Times New Roman" w:cs="Times New Roman"/>
        </w:rPr>
        <w:t xml:space="preserve"> 1,4 %, </w:t>
      </w:r>
      <w:r w:rsidRPr="00DF20DE">
        <w:rPr>
          <w:rFonts w:ascii="Times New Roman" w:eastAsia="Times New Roman" w:hAnsi="Times New Roman" w:cs="Times New Roman"/>
          <w:i/>
          <w:iCs/>
        </w:rPr>
        <w:t>RRR</w:t>
      </w:r>
      <w:r w:rsidRPr="00DF20DE">
        <w:rPr>
          <w:rFonts w:ascii="Times New Roman" w:eastAsia="Times New Roman" w:hAnsi="Times New Roman" w:cs="Times New Roman"/>
        </w:rPr>
        <w:t xml:space="preserve"> 8 %, RS – 0,92; p = 0,0257).</w:t>
      </w:r>
    </w:p>
    <w:p w14:paraId="012477D7"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6F1622D5"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Klinikinis saugumas</w:t>
      </w:r>
    </w:p>
    <w:p w14:paraId="3F433A45"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p>
    <w:p w14:paraId="111F35DF" w14:textId="58CAB1AE"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Holter</w:t>
      </w:r>
      <w:r w:rsidR="00FE799B"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tyrimo dalis</w:t>
      </w:r>
    </w:p>
    <w:p w14:paraId="75626674" w14:textId="54C58C92"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PLATO tyrimo metu tirdami skilvelių veiklos pauzių ir kitokių aritmijos epizodų pasireiškimą, tyrėjai atliko Holter</w:t>
      </w:r>
      <w:r w:rsidR="00FE799B"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monitoringą beveik 3000 pacientų, iš kurių maždaug 2000 duomenys buvo užregistruoti ūminėje ŪKS fazėje ir po 1 mėn. Pagrindinis tirtas rodiklis buvo ≥ 3 sek. trukmės skilvelių veiklos pauzės. Ūminėje fazėje jų nustatyta daugiau tikagrelor</w:t>
      </w:r>
      <w:r w:rsidR="00FE799B" w:rsidRPr="00DF20DE">
        <w:rPr>
          <w:rFonts w:ascii="Times New Roman" w:eastAsia="Times New Roman" w:hAnsi="Times New Roman" w:cs="Times New Roman"/>
        </w:rPr>
        <w:t>o</w:t>
      </w:r>
      <w:r w:rsidRPr="00DF20DE">
        <w:rPr>
          <w:rFonts w:ascii="Times New Roman" w:eastAsia="Times New Roman" w:hAnsi="Times New Roman" w:cs="Times New Roman"/>
        </w:rPr>
        <w:t xml:space="preserve"> (6 %) negu klopidogrel</w:t>
      </w:r>
      <w:r w:rsidR="00FE799B"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(3,5 %) vartojusių pacientų, po 1 mėn. šie skaičiai buvo atitinkamai 2,2 % ir 1,6 % (žr. 4.4 skyrių). Skilvelių veiklos pauzių ūminėje ŪKS fazėje vartojant tikagrelor</w:t>
      </w:r>
      <w:r w:rsidR="00FE799B" w:rsidRPr="00DF20DE">
        <w:rPr>
          <w:rFonts w:ascii="Times New Roman" w:eastAsia="Times New Roman" w:hAnsi="Times New Roman" w:cs="Times New Roman"/>
        </w:rPr>
        <w:t>o</w:t>
      </w:r>
      <w:r w:rsidRPr="00DF20DE">
        <w:rPr>
          <w:rFonts w:ascii="Times New Roman" w:eastAsia="Times New Roman" w:hAnsi="Times New Roman" w:cs="Times New Roman"/>
        </w:rPr>
        <w:t xml:space="preserve"> labiau padaugėjo pacientams, kurių anamnezėje buvo stazinis širdies nepakankamumas (jų patyrė 9,2 % tokių pacientų palyginus su 5,4 % niekada staziniu širdies nepakankamumu nesirgusių; klopidogrel</w:t>
      </w:r>
      <w:r w:rsidR="00FE799B"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vartojusiems pacientams šie skaičiai buvo atitinkamai 4 % ir 3,6 %). Praėjus mėnesiui po ŪKS tokio skirtumo nenustatyta (vartojant tikagrelor</w:t>
      </w:r>
      <w:r w:rsidR="00FE799B" w:rsidRPr="00DF20DE">
        <w:rPr>
          <w:rFonts w:ascii="Times New Roman" w:eastAsia="Times New Roman" w:hAnsi="Times New Roman" w:cs="Times New Roman"/>
        </w:rPr>
        <w:t>o</w:t>
      </w:r>
      <w:r w:rsidRPr="00DF20DE">
        <w:rPr>
          <w:rFonts w:ascii="Times New Roman" w:eastAsia="Times New Roman" w:hAnsi="Times New Roman" w:cs="Times New Roman"/>
        </w:rPr>
        <w:t xml:space="preserve"> šie skaičiai buvo atitinkamai 2 % ir 2,1 %, vartojant klopidogrel</w:t>
      </w:r>
      <w:r w:rsidR="00FE799B"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 3,8 % ir 1,4 %). Su šiuo skirtumu susijusių neigiamų klinikinių pasekmių (įskaitant stimuliatorių implantavimą) šiai pacientų populiacijai nebuvo.</w:t>
      </w:r>
    </w:p>
    <w:p w14:paraId="5B01640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3"/>
        </w:rPr>
      </w:pPr>
    </w:p>
    <w:p w14:paraId="5F6846EC"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PEGASUS tyrimas (anksčiau miokardo infarktą patyrę pacientai)</w:t>
      </w:r>
    </w:p>
    <w:p w14:paraId="3E75C3C5"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sz w:val="15"/>
        </w:rPr>
      </w:pPr>
    </w:p>
    <w:p w14:paraId="46E435F5" w14:textId="39AEA172"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PEGASUS TIMI-54 tyrime dalyvavo 21 162 pacientai. Tai buvo randomizuotas, dvigubai koduotas, placebu kontroliuojamas, lygiagrečių grupių, tarptautinis daugelyje centrų atliktas įvyki</w:t>
      </w:r>
      <w:r w:rsidR="00FE799B" w:rsidRPr="00DF20DE">
        <w:rPr>
          <w:rFonts w:ascii="Times New Roman" w:eastAsia="Times New Roman" w:hAnsi="Times New Roman" w:cs="Times New Roman"/>
        </w:rPr>
        <w:t xml:space="preserve">ais pagrįstas </w:t>
      </w:r>
      <w:r w:rsidRPr="00DF20DE">
        <w:rPr>
          <w:rFonts w:ascii="Times New Roman" w:eastAsia="Times New Roman" w:hAnsi="Times New Roman" w:cs="Times New Roman"/>
        </w:rPr>
        <w:t xml:space="preserve">tyrimas siekiant palyginti aterotrombozės įvykių profilaktiką dviem tikagreloro dozėmis (90 mg 2 kartus per parą arba 60 mg 2 kartus per parą), vartojamomis kartu su maža ASR doze (75–150 mg), su vien ASR </w:t>
      </w:r>
      <w:r w:rsidR="00FE799B" w:rsidRPr="00DF20DE">
        <w:rPr>
          <w:rFonts w:ascii="Times New Roman" w:eastAsia="Times New Roman" w:hAnsi="Times New Roman" w:cs="Times New Roman"/>
        </w:rPr>
        <w:t xml:space="preserve">vartojimu </w:t>
      </w:r>
      <w:r w:rsidRPr="00DF20DE">
        <w:rPr>
          <w:rFonts w:ascii="Times New Roman" w:eastAsia="Times New Roman" w:hAnsi="Times New Roman" w:cs="Times New Roman"/>
        </w:rPr>
        <w:t>pacientams, anksčiau patyrusiems MI ir turintiems papildomų aterotrombozės rizikos faktorių.</w:t>
      </w:r>
    </w:p>
    <w:p w14:paraId="3BF6C63B"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051F9131"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Įtraukimo kriterijai buvo 50 metų arba vyresnis amžius, anksčiau (likus 1–3 metams iki randomizacijos) patirtas MI ir bent vienas iš šių aterotrombozės rizikos faktorių: 65 metų arba vyresnis amžius, cukrinis diabetas, kurį reikia gydyti vaistiniais preparatais, antras ankstesnis MI, kelias kraujagysles pažeidusios IŠL duomenys arba lėtinė neterminalinės stadijos inkstų disfunkcija.</w:t>
      </w:r>
    </w:p>
    <w:p w14:paraId="2711AA6B"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6BC38563" w14:textId="7B74552C"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Neįtraukimo kriterijai buvo tyrimo laikotarpiu numatomas P2Y</w:t>
      </w:r>
      <w:r w:rsidRPr="00DF20DE">
        <w:rPr>
          <w:rFonts w:ascii="Times New Roman" w:eastAsia="Times New Roman" w:hAnsi="Times New Roman" w:cs="Times New Roman"/>
          <w:sz w:val="14"/>
        </w:rPr>
        <w:t xml:space="preserve">12 </w:t>
      </w:r>
      <w:r w:rsidRPr="00DF20DE">
        <w:rPr>
          <w:rFonts w:ascii="Times New Roman" w:eastAsia="Times New Roman" w:hAnsi="Times New Roman" w:cs="Times New Roman"/>
          <w:position w:val="2"/>
        </w:rPr>
        <w:t xml:space="preserve">receptorių antagonistų </w:t>
      </w:r>
      <w:r w:rsidRPr="00DF20DE">
        <w:rPr>
          <w:rFonts w:ascii="Times New Roman" w:eastAsia="Times New Roman" w:hAnsi="Times New Roman" w:cs="Times New Roman"/>
        </w:rPr>
        <w:t xml:space="preserve">(dipiridamolio, cilostazolo) arba antikoaguliantų vartojimas; kraujavimu pasireiškiantys sutrikimai arba anksčiau buvęs išeminis insultas ar </w:t>
      </w:r>
      <w:r w:rsidR="00FE799B" w:rsidRPr="00DF20DE">
        <w:rPr>
          <w:rFonts w:ascii="Times New Roman" w:eastAsia="Times New Roman" w:hAnsi="Times New Roman" w:cs="Times New Roman"/>
        </w:rPr>
        <w:t>intrakranijinis</w:t>
      </w:r>
      <w:r w:rsidRPr="00DF20DE">
        <w:rPr>
          <w:rFonts w:ascii="Times New Roman" w:eastAsia="Times New Roman" w:hAnsi="Times New Roman" w:cs="Times New Roman"/>
        </w:rPr>
        <w:t xml:space="preserve"> kraujavimas, centrinės nervų sistemos navikas ar vidinių galvos kraujagyslių anomalija; kraujavimas virškinimo trakte per paskutinius 6 mėn. arba didelės apimties operacija per paskutines 30 dienų.</w:t>
      </w:r>
    </w:p>
    <w:p w14:paraId="46E121D9"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45DC577A" w14:textId="77777777" w:rsidR="00864478" w:rsidRPr="00DF20DE" w:rsidRDefault="00864478" w:rsidP="00864478">
      <w:pPr>
        <w:keepNext/>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Klinikinis veiksmingumas</w:t>
      </w:r>
    </w:p>
    <w:p w14:paraId="3114AE66" w14:textId="77777777" w:rsidR="00864478" w:rsidRPr="00DF20DE" w:rsidRDefault="00864478" w:rsidP="00864478">
      <w:pPr>
        <w:keepNext/>
        <w:widowControl w:val="0"/>
        <w:autoSpaceDE w:val="0"/>
        <w:autoSpaceDN w:val="0"/>
        <w:spacing w:after="0" w:line="240" w:lineRule="auto"/>
        <w:rPr>
          <w:rFonts w:ascii="Times New Roman" w:eastAsia="Times New Roman" w:hAnsi="Times New Roman" w:cs="Times New Roman"/>
          <w:i/>
          <w:sz w:val="23"/>
        </w:rPr>
      </w:pPr>
    </w:p>
    <w:p w14:paraId="0173590C" w14:textId="38F4731E" w:rsidR="00864478" w:rsidRPr="00DF20DE" w:rsidRDefault="00864478" w:rsidP="00864478">
      <w:pPr>
        <w:keepNext/>
        <w:widowControl w:val="0"/>
        <w:autoSpaceDE w:val="0"/>
        <w:autoSpaceDN w:val="0"/>
        <w:spacing w:after="0" w:line="240" w:lineRule="auto"/>
        <w:outlineLvl w:val="1"/>
        <w:rPr>
          <w:rFonts w:ascii="Times New Roman" w:eastAsia="Times New Roman" w:hAnsi="Times New Roman" w:cs="Times New Roman"/>
          <w:u w:val="single"/>
        </w:rPr>
      </w:pPr>
      <w:r w:rsidRPr="00DF20DE">
        <w:rPr>
          <w:rFonts w:ascii="Times New Roman" w:eastAsia="Times New Roman" w:hAnsi="Times New Roman" w:cs="Times New Roman"/>
          <w:b/>
          <w:bCs/>
        </w:rPr>
        <w:t xml:space="preserve">2 pav. </w:t>
      </w:r>
      <w:r w:rsidR="00FE799B" w:rsidRPr="00DF20DE">
        <w:rPr>
          <w:rFonts w:ascii="Times New Roman" w:eastAsia="Times New Roman" w:hAnsi="Times New Roman" w:cs="Times New Roman"/>
          <w:b/>
          <w:bCs/>
        </w:rPr>
        <w:t xml:space="preserve">Pirminės </w:t>
      </w:r>
      <w:r w:rsidRPr="00DF20DE">
        <w:rPr>
          <w:rFonts w:ascii="Times New Roman" w:eastAsia="Times New Roman" w:hAnsi="Times New Roman" w:cs="Times New Roman"/>
          <w:b/>
          <w:bCs/>
        </w:rPr>
        <w:t xml:space="preserve">klinikinės sudėtinės PEGASUS tyrimo vertinamosios baigties (KV mirties, MI ir </w:t>
      </w:r>
      <w:r w:rsidRPr="00DF20DE">
        <w:rPr>
          <w:rFonts w:ascii="Times New Roman" w:eastAsia="Times New Roman" w:hAnsi="Times New Roman" w:cs="Times New Roman"/>
          <w:b/>
          <w:bCs/>
        </w:rPr>
        <w:lastRenderedPageBreak/>
        <w:t>insulto) analizė</w:t>
      </w:r>
    </w:p>
    <w:p w14:paraId="412BDA9B" w14:textId="77777777" w:rsidR="00864478" w:rsidRPr="00DF20DE" w:rsidRDefault="00864478" w:rsidP="00864478">
      <w:pPr>
        <w:keepNext/>
        <w:widowControl w:val="0"/>
        <w:autoSpaceDE w:val="0"/>
        <w:autoSpaceDN w:val="0"/>
        <w:spacing w:after="0" w:line="240" w:lineRule="auto"/>
        <w:rPr>
          <w:rFonts w:ascii="Times New Roman" w:eastAsia="Times New Roman" w:hAnsi="Times New Roman" w:cs="Times New Roman"/>
          <w:b/>
          <w:sz w:val="21"/>
        </w:rPr>
      </w:pPr>
      <w:r w:rsidRPr="00DF20DE">
        <w:rPr>
          <w:rFonts w:ascii="Times New Roman" w:eastAsia="Times New Roman" w:hAnsi="Times New Roman" w:cs="Times New Roman"/>
          <w:noProof/>
          <w:lang w:eastAsia="lt-LT"/>
        </w:rPr>
        <w:drawing>
          <wp:anchor distT="0" distB="0" distL="0" distR="0" simplePos="0" relativeHeight="251661312" behindDoc="0" locked="0" layoutInCell="1" allowOverlap="1" wp14:anchorId="6F655AA6" wp14:editId="1E5385D9">
            <wp:simplePos x="0" y="0"/>
            <wp:positionH relativeFrom="page">
              <wp:posOffset>721995</wp:posOffset>
            </wp:positionH>
            <wp:positionV relativeFrom="paragraph">
              <wp:posOffset>169545</wp:posOffset>
            </wp:positionV>
            <wp:extent cx="5586730" cy="3268345"/>
            <wp:effectExtent l="0" t="0" r="0" b="8255"/>
            <wp:wrapTopAndBottom/>
            <wp:docPr id="6" name="image4.jpeg"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jpeg" descr="Chart, line chart&#10;&#10;Description automatically generated"/>
                    <pic:cNvPicPr/>
                  </pic:nvPicPr>
                  <pic:blipFill>
                    <a:blip r:embed="rId15" cstate="print"/>
                    <a:stretch>
                      <a:fillRect/>
                    </a:stretch>
                  </pic:blipFill>
                  <pic:spPr>
                    <a:xfrm>
                      <a:off x="0" y="0"/>
                      <a:ext cx="5586730" cy="3268345"/>
                    </a:xfrm>
                    <a:prstGeom prst="rect">
                      <a:avLst/>
                    </a:prstGeom>
                  </pic:spPr>
                </pic:pic>
              </a:graphicData>
            </a:graphic>
          </wp:anchor>
        </w:drawing>
      </w:r>
    </w:p>
    <w:p w14:paraId="4A6E3D75" w14:textId="77777777" w:rsidR="00864478" w:rsidRPr="00DF20DE" w:rsidRDefault="00864478" w:rsidP="00864478">
      <w:pPr>
        <w:keepNext/>
        <w:widowControl w:val="0"/>
        <w:autoSpaceDE w:val="0"/>
        <w:autoSpaceDN w:val="0"/>
        <w:spacing w:after="0" w:line="240" w:lineRule="auto"/>
        <w:rPr>
          <w:rFonts w:ascii="Times New Roman" w:eastAsia="Times New Roman" w:hAnsi="Times New Roman" w:cs="Times New Roman"/>
          <w:b/>
          <w:sz w:val="24"/>
        </w:rPr>
      </w:pPr>
    </w:p>
    <w:p w14:paraId="02388BF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
        </w:rPr>
      </w:pPr>
      <w:r w:rsidRPr="00DF20DE">
        <w:rPr>
          <w:rFonts w:ascii="Times New Roman" w:eastAsia="Times New Roman" w:hAnsi="Times New Roman" w:cs="Times New Roman"/>
          <w:b/>
        </w:rPr>
        <w:t>5 lentelė. PEGASUS tyrimo pirminės ir antrinės veiksmingumo vertinamųjų baigčių analizė</w:t>
      </w:r>
    </w:p>
    <w:tbl>
      <w:tblPr>
        <w:tblW w:w="0" w:type="auto"/>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291"/>
        <w:gridCol w:w="1128"/>
        <w:gridCol w:w="912"/>
        <w:gridCol w:w="2036"/>
        <w:gridCol w:w="1148"/>
        <w:gridCol w:w="1372"/>
        <w:gridCol w:w="1018"/>
      </w:tblGrid>
      <w:tr w:rsidR="00864478" w:rsidRPr="00DF20DE" w14:paraId="121D71CE" w14:textId="77777777" w:rsidTr="00C536DB">
        <w:trPr>
          <w:trHeight w:val="1012"/>
        </w:trPr>
        <w:tc>
          <w:tcPr>
            <w:tcW w:w="1291" w:type="dxa"/>
            <w:tcBorders>
              <w:bottom w:val="single" w:sz="6" w:space="0" w:color="000000"/>
              <w:right w:val="single" w:sz="6" w:space="0" w:color="000000"/>
            </w:tcBorders>
          </w:tcPr>
          <w:p w14:paraId="4E5D7F9B"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bCs/>
              </w:rPr>
            </w:pPr>
          </w:p>
        </w:tc>
        <w:tc>
          <w:tcPr>
            <w:tcW w:w="4076" w:type="dxa"/>
            <w:gridSpan w:val="3"/>
            <w:tcBorders>
              <w:left w:val="single" w:sz="6" w:space="0" w:color="000000"/>
              <w:bottom w:val="single" w:sz="6" w:space="0" w:color="000000"/>
              <w:right w:val="single" w:sz="6" w:space="0" w:color="000000"/>
            </w:tcBorders>
          </w:tcPr>
          <w:p w14:paraId="73F53C18"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Tikagreloras po 60 mg</w:t>
            </w:r>
          </w:p>
          <w:p w14:paraId="220F4CF2"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2 kartus per parą kartu su ASR</w:t>
            </w:r>
          </w:p>
          <w:p w14:paraId="4007ACDE" w14:textId="01CE622A"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N</w:t>
            </w:r>
            <w:r w:rsidR="00FE799B" w:rsidRPr="00DF20DE">
              <w:rPr>
                <w:rFonts w:ascii="Times New Roman" w:eastAsia="Times New Roman" w:hAnsi="Times New Roman" w:cs="Times New Roman"/>
                <w:b/>
              </w:rPr>
              <w:t> </w:t>
            </w:r>
            <w:r w:rsidRPr="00DF20DE">
              <w:rPr>
                <w:rFonts w:ascii="Times New Roman" w:eastAsia="Times New Roman" w:hAnsi="Times New Roman" w:cs="Times New Roman"/>
                <w:b/>
              </w:rPr>
              <w:t>=</w:t>
            </w:r>
            <w:r w:rsidR="00FE799B" w:rsidRPr="00DF20DE">
              <w:rPr>
                <w:rFonts w:ascii="Times New Roman" w:eastAsia="Times New Roman" w:hAnsi="Times New Roman" w:cs="Times New Roman"/>
                <w:b/>
              </w:rPr>
              <w:t> </w:t>
            </w:r>
            <w:r w:rsidRPr="00DF20DE">
              <w:rPr>
                <w:rFonts w:ascii="Times New Roman" w:eastAsia="Times New Roman" w:hAnsi="Times New Roman" w:cs="Times New Roman"/>
                <w:b/>
              </w:rPr>
              <w:t>7045</w:t>
            </w:r>
          </w:p>
        </w:tc>
        <w:tc>
          <w:tcPr>
            <w:tcW w:w="2520" w:type="dxa"/>
            <w:gridSpan w:val="2"/>
            <w:tcBorders>
              <w:left w:val="single" w:sz="6" w:space="0" w:color="000000"/>
              <w:bottom w:val="single" w:sz="6" w:space="0" w:color="000000"/>
              <w:right w:val="single" w:sz="6" w:space="0" w:color="000000"/>
            </w:tcBorders>
          </w:tcPr>
          <w:p w14:paraId="017F8909"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14B8BD38" w14:textId="28620A68"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Vien ASR N</w:t>
            </w:r>
            <w:r w:rsidR="00FE799B" w:rsidRPr="00DF20DE">
              <w:rPr>
                <w:rFonts w:ascii="Times New Roman" w:eastAsia="Times New Roman" w:hAnsi="Times New Roman" w:cs="Times New Roman"/>
                <w:b/>
              </w:rPr>
              <w:t> </w:t>
            </w:r>
            <w:r w:rsidRPr="00DF20DE">
              <w:rPr>
                <w:rFonts w:ascii="Times New Roman" w:eastAsia="Times New Roman" w:hAnsi="Times New Roman" w:cs="Times New Roman"/>
                <w:b/>
              </w:rPr>
              <w:t>=</w:t>
            </w:r>
            <w:r w:rsidR="00FE799B" w:rsidRPr="00DF20DE">
              <w:rPr>
                <w:rFonts w:ascii="Times New Roman" w:eastAsia="Times New Roman" w:hAnsi="Times New Roman" w:cs="Times New Roman"/>
                <w:b/>
              </w:rPr>
              <w:t> </w:t>
            </w:r>
            <w:r w:rsidRPr="00DF20DE">
              <w:rPr>
                <w:rFonts w:ascii="Times New Roman" w:eastAsia="Times New Roman" w:hAnsi="Times New Roman" w:cs="Times New Roman"/>
                <w:b/>
              </w:rPr>
              <w:t>7067</w:t>
            </w:r>
          </w:p>
        </w:tc>
        <w:tc>
          <w:tcPr>
            <w:tcW w:w="1018" w:type="dxa"/>
            <w:vMerge w:val="restart"/>
            <w:tcBorders>
              <w:left w:val="single" w:sz="6" w:space="0" w:color="000000"/>
              <w:bottom w:val="single" w:sz="6" w:space="0" w:color="000000"/>
            </w:tcBorders>
          </w:tcPr>
          <w:p w14:paraId="0E3FC180"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bCs/>
              </w:rPr>
            </w:pPr>
          </w:p>
          <w:p w14:paraId="3EEEF44D"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bCs/>
              </w:rPr>
            </w:pPr>
          </w:p>
          <w:p w14:paraId="701EF0EB"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i/>
              </w:rPr>
            </w:pPr>
            <w:r w:rsidRPr="00DF20DE">
              <w:rPr>
                <w:rFonts w:ascii="Times New Roman" w:eastAsia="Times New Roman" w:hAnsi="Times New Roman" w:cs="Times New Roman"/>
                <w:b/>
                <w:i/>
              </w:rPr>
              <w:t>p</w:t>
            </w:r>
          </w:p>
          <w:p w14:paraId="6E0D5FB4"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Cs/>
              </w:rPr>
            </w:pPr>
            <w:r w:rsidRPr="00DF20DE">
              <w:rPr>
                <w:rFonts w:ascii="Times New Roman" w:eastAsia="Times New Roman" w:hAnsi="Times New Roman" w:cs="Times New Roman"/>
                <w:b/>
              </w:rPr>
              <w:t>reikšmė</w:t>
            </w:r>
          </w:p>
        </w:tc>
      </w:tr>
      <w:tr w:rsidR="00864478" w:rsidRPr="00DF20DE" w14:paraId="53C373E2" w14:textId="77777777" w:rsidTr="00C536DB">
        <w:trPr>
          <w:trHeight w:val="757"/>
        </w:trPr>
        <w:tc>
          <w:tcPr>
            <w:tcW w:w="1291" w:type="dxa"/>
            <w:tcBorders>
              <w:top w:val="single" w:sz="6" w:space="0" w:color="000000"/>
              <w:bottom w:val="single" w:sz="6" w:space="0" w:color="000000"/>
              <w:right w:val="single" w:sz="6" w:space="0" w:color="000000"/>
            </w:tcBorders>
          </w:tcPr>
          <w:p w14:paraId="0EA3B797"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bCs/>
              </w:rPr>
            </w:pPr>
          </w:p>
          <w:p w14:paraId="39C6E7D5"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Rodiklis</w:t>
            </w:r>
          </w:p>
        </w:tc>
        <w:tc>
          <w:tcPr>
            <w:tcW w:w="1128" w:type="dxa"/>
            <w:tcBorders>
              <w:top w:val="single" w:sz="6" w:space="0" w:color="000000"/>
              <w:left w:val="single" w:sz="6" w:space="0" w:color="000000"/>
              <w:bottom w:val="single" w:sz="6" w:space="0" w:color="000000"/>
              <w:right w:val="single" w:sz="6" w:space="0" w:color="000000"/>
            </w:tcBorders>
          </w:tcPr>
          <w:p w14:paraId="1EB8B743"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Įvykių patyrę pacientai</w:t>
            </w:r>
          </w:p>
        </w:tc>
        <w:tc>
          <w:tcPr>
            <w:tcW w:w="912" w:type="dxa"/>
            <w:tcBorders>
              <w:top w:val="single" w:sz="6" w:space="0" w:color="000000"/>
              <w:left w:val="single" w:sz="6" w:space="0" w:color="000000"/>
              <w:bottom w:val="single" w:sz="6" w:space="0" w:color="000000"/>
              <w:right w:val="single" w:sz="6" w:space="0" w:color="000000"/>
            </w:tcBorders>
          </w:tcPr>
          <w:p w14:paraId="2F5B59DC"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5E932290"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i/>
                <w:iCs/>
              </w:rPr>
              <w:t>KM</w:t>
            </w:r>
            <w:r w:rsidRPr="00DF20DE">
              <w:rPr>
                <w:rFonts w:ascii="Times New Roman" w:eastAsia="Times New Roman" w:hAnsi="Times New Roman" w:cs="Times New Roman"/>
                <w:b/>
              </w:rPr>
              <w:t> %</w:t>
            </w:r>
          </w:p>
        </w:tc>
        <w:tc>
          <w:tcPr>
            <w:tcW w:w="2036" w:type="dxa"/>
            <w:tcBorders>
              <w:top w:val="single" w:sz="6" w:space="0" w:color="000000"/>
              <w:left w:val="single" w:sz="6" w:space="0" w:color="000000"/>
              <w:bottom w:val="single" w:sz="6" w:space="0" w:color="000000"/>
              <w:right w:val="single" w:sz="6" w:space="0" w:color="000000"/>
            </w:tcBorders>
          </w:tcPr>
          <w:p w14:paraId="4DA1DFC1"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RS</w:t>
            </w:r>
          </w:p>
          <w:p w14:paraId="5611C91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(95 % PI)</w:t>
            </w:r>
          </w:p>
        </w:tc>
        <w:tc>
          <w:tcPr>
            <w:tcW w:w="1148" w:type="dxa"/>
            <w:tcBorders>
              <w:top w:val="single" w:sz="6" w:space="0" w:color="000000"/>
              <w:left w:val="single" w:sz="6" w:space="0" w:color="000000"/>
              <w:bottom w:val="single" w:sz="6" w:space="0" w:color="000000"/>
              <w:right w:val="single" w:sz="6" w:space="0" w:color="000000"/>
            </w:tcBorders>
          </w:tcPr>
          <w:p w14:paraId="035CCA0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Įvykių</w:t>
            </w:r>
          </w:p>
          <w:p w14:paraId="19C04C3C"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patyrę pacientai</w:t>
            </w:r>
          </w:p>
        </w:tc>
        <w:tc>
          <w:tcPr>
            <w:tcW w:w="1372" w:type="dxa"/>
            <w:tcBorders>
              <w:top w:val="single" w:sz="6" w:space="0" w:color="000000"/>
              <w:left w:val="single" w:sz="6" w:space="0" w:color="000000"/>
              <w:bottom w:val="single" w:sz="6" w:space="0" w:color="000000"/>
              <w:right w:val="single" w:sz="6" w:space="0" w:color="000000"/>
            </w:tcBorders>
          </w:tcPr>
          <w:p w14:paraId="013968C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127538A4"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i/>
                <w:iCs/>
              </w:rPr>
              <w:t>KM</w:t>
            </w:r>
            <w:r w:rsidRPr="00DF20DE">
              <w:rPr>
                <w:rFonts w:ascii="Times New Roman" w:eastAsia="Times New Roman" w:hAnsi="Times New Roman" w:cs="Times New Roman"/>
                <w:b/>
              </w:rPr>
              <w:t> %</w:t>
            </w:r>
          </w:p>
        </w:tc>
        <w:tc>
          <w:tcPr>
            <w:tcW w:w="1018" w:type="dxa"/>
            <w:vMerge/>
            <w:tcBorders>
              <w:top w:val="nil"/>
              <w:left w:val="single" w:sz="6" w:space="0" w:color="000000"/>
              <w:bottom w:val="single" w:sz="6" w:space="0" w:color="000000"/>
            </w:tcBorders>
          </w:tcPr>
          <w:p w14:paraId="360AB4B6"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bCs/>
              </w:rPr>
            </w:pPr>
          </w:p>
        </w:tc>
      </w:tr>
      <w:tr w:rsidR="00864478" w:rsidRPr="00DF20DE" w14:paraId="498FBFA0" w14:textId="77777777" w:rsidTr="00C536DB">
        <w:trPr>
          <w:trHeight w:val="508"/>
        </w:trPr>
        <w:tc>
          <w:tcPr>
            <w:tcW w:w="8905" w:type="dxa"/>
            <w:gridSpan w:val="7"/>
            <w:tcBorders>
              <w:top w:val="single" w:sz="6" w:space="0" w:color="000000"/>
              <w:bottom w:val="single" w:sz="6" w:space="0" w:color="000000"/>
            </w:tcBorders>
          </w:tcPr>
          <w:p w14:paraId="0C418B75"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Pirminė vertinamoji baigtis</w:t>
            </w:r>
          </w:p>
        </w:tc>
      </w:tr>
      <w:tr w:rsidR="00864478" w:rsidRPr="00DF20DE" w14:paraId="53AA3DA9" w14:textId="77777777" w:rsidTr="00C536DB">
        <w:trPr>
          <w:trHeight w:val="1266"/>
        </w:trPr>
        <w:tc>
          <w:tcPr>
            <w:tcW w:w="1291" w:type="dxa"/>
            <w:tcBorders>
              <w:top w:val="single" w:sz="6" w:space="0" w:color="000000"/>
              <w:bottom w:val="single" w:sz="6" w:space="0" w:color="000000"/>
              <w:right w:val="single" w:sz="6" w:space="0" w:color="000000"/>
            </w:tcBorders>
          </w:tcPr>
          <w:p w14:paraId="2AB738D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Bendras KV mirčių, MI ir insultų</w:t>
            </w:r>
          </w:p>
          <w:p w14:paraId="520C502B"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skaičius</w:t>
            </w:r>
          </w:p>
        </w:tc>
        <w:tc>
          <w:tcPr>
            <w:tcW w:w="1128" w:type="dxa"/>
            <w:tcBorders>
              <w:top w:val="single" w:sz="6" w:space="0" w:color="000000"/>
              <w:left w:val="single" w:sz="6" w:space="0" w:color="000000"/>
              <w:bottom w:val="single" w:sz="6" w:space="0" w:color="000000"/>
              <w:right w:val="single" w:sz="6" w:space="0" w:color="000000"/>
            </w:tcBorders>
          </w:tcPr>
          <w:p w14:paraId="3D6C6713"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02BB1B7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487</w:t>
            </w:r>
          </w:p>
          <w:p w14:paraId="5F1A9793"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(6,9 %)</w:t>
            </w:r>
          </w:p>
        </w:tc>
        <w:tc>
          <w:tcPr>
            <w:tcW w:w="912" w:type="dxa"/>
            <w:tcBorders>
              <w:top w:val="single" w:sz="6" w:space="0" w:color="000000"/>
              <w:left w:val="single" w:sz="6" w:space="0" w:color="000000"/>
              <w:bottom w:val="single" w:sz="6" w:space="0" w:color="000000"/>
              <w:right w:val="single" w:sz="6" w:space="0" w:color="000000"/>
            </w:tcBorders>
          </w:tcPr>
          <w:p w14:paraId="1A35C45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1BB9F13C"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4768440B"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7,8 %</w:t>
            </w:r>
          </w:p>
        </w:tc>
        <w:tc>
          <w:tcPr>
            <w:tcW w:w="2036" w:type="dxa"/>
            <w:tcBorders>
              <w:top w:val="single" w:sz="6" w:space="0" w:color="000000"/>
              <w:left w:val="single" w:sz="6" w:space="0" w:color="000000"/>
              <w:bottom w:val="single" w:sz="6" w:space="0" w:color="000000"/>
              <w:right w:val="single" w:sz="6" w:space="0" w:color="000000"/>
            </w:tcBorders>
          </w:tcPr>
          <w:p w14:paraId="06072B26"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5C0EF96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0,84</w:t>
            </w:r>
          </w:p>
          <w:p w14:paraId="45834295"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(0,74, 0,95)</w:t>
            </w:r>
          </w:p>
        </w:tc>
        <w:tc>
          <w:tcPr>
            <w:tcW w:w="1148" w:type="dxa"/>
            <w:tcBorders>
              <w:top w:val="single" w:sz="6" w:space="0" w:color="000000"/>
              <w:left w:val="single" w:sz="6" w:space="0" w:color="000000"/>
              <w:bottom w:val="single" w:sz="6" w:space="0" w:color="000000"/>
              <w:right w:val="single" w:sz="6" w:space="0" w:color="000000"/>
            </w:tcBorders>
          </w:tcPr>
          <w:p w14:paraId="579E1742"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66EF239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578</w:t>
            </w:r>
          </w:p>
          <w:p w14:paraId="7F35C8F9"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(8,2 %)</w:t>
            </w:r>
          </w:p>
        </w:tc>
        <w:tc>
          <w:tcPr>
            <w:tcW w:w="1372" w:type="dxa"/>
            <w:tcBorders>
              <w:top w:val="single" w:sz="6" w:space="0" w:color="000000"/>
              <w:left w:val="single" w:sz="6" w:space="0" w:color="000000"/>
              <w:bottom w:val="single" w:sz="6" w:space="0" w:color="000000"/>
              <w:right w:val="single" w:sz="6" w:space="0" w:color="000000"/>
            </w:tcBorders>
          </w:tcPr>
          <w:p w14:paraId="4D6BE63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3F6C1CF5"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319FAD55"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9,0 %</w:t>
            </w:r>
          </w:p>
        </w:tc>
        <w:tc>
          <w:tcPr>
            <w:tcW w:w="1018" w:type="dxa"/>
            <w:tcBorders>
              <w:top w:val="single" w:sz="6" w:space="0" w:color="000000"/>
              <w:left w:val="single" w:sz="6" w:space="0" w:color="000000"/>
              <w:bottom w:val="single" w:sz="6" w:space="0" w:color="000000"/>
            </w:tcBorders>
          </w:tcPr>
          <w:p w14:paraId="55C976E9"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2CE3AB1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0,0043</w:t>
            </w:r>
          </w:p>
          <w:p w14:paraId="3527D1D9"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(r)</w:t>
            </w:r>
          </w:p>
        </w:tc>
      </w:tr>
      <w:tr w:rsidR="00864478" w:rsidRPr="00DF20DE" w14:paraId="3855D79A" w14:textId="77777777" w:rsidTr="00C536DB">
        <w:trPr>
          <w:trHeight w:val="757"/>
        </w:trPr>
        <w:tc>
          <w:tcPr>
            <w:tcW w:w="1291" w:type="dxa"/>
            <w:tcBorders>
              <w:top w:val="single" w:sz="6" w:space="0" w:color="000000"/>
              <w:bottom w:val="single" w:sz="6" w:space="0" w:color="000000"/>
              <w:right w:val="single" w:sz="6" w:space="0" w:color="000000"/>
            </w:tcBorders>
          </w:tcPr>
          <w:p w14:paraId="450C4F57"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b/>
                <w:sz w:val="21"/>
              </w:rPr>
            </w:pPr>
          </w:p>
          <w:p w14:paraId="044C995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KV mirtys</w:t>
            </w:r>
          </w:p>
        </w:tc>
        <w:tc>
          <w:tcPr>
            <w:tcW w:w="1128" w:type="dxa"/>
            <w:tcBorders>
              <w:top w:val="single" w:sz="6" w:space="0" w:color="000000"/>
              <w:left w:val="single" w:sz="6" w:space="0" w:color="000000"/>
              <w:bottom w:val="single" w:sz="6" w:space="0" w:color="000000"/>
              <w:right w:val="single" w:sz="6" w:space="0" w:color="000000"/>
            </w:tcBorders>
          </w:tcPr>
          <w:p w14:paraId="09A4800C"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174</w:t>
            </w:r>
          </w:p>
          <w:p w14:paraId="06D0F81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(2,5 %)</w:t>
            </w:r>
          </w:p>
        </w:tc>
        <w:tc>
          <w:tcPr>
            <w:tcW w:w="912" w:type="dxa"/>
            <w:tcBorders>
              <w:top w:val="single" w:sz="6" w:space="0" w:color="000000"/>
              <w:left w:val="single" w:sz="6" w:space="0" w:color="000000"/>
              <w:bottom w:val="single" w:sz="6" w:space="0" w:color="000000"/>
              <w:right w:val="single" w:sz="6" w:space="0" w:color="000000"/>
            </w:tcBorders>
          </w:tcPr>
          <w:p w14:paraId="19CB73BD"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2D23CF29"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2,9 %</w:t>
            </w:r>
          </w:p>
        </w:tc>
        <w:tc>
          <w:tcPr>
            <w:tcW w:w="2036" w:type="dxa"/>
            <w:tcBorders>
              <w:top w:val="single" w:sz="6" w:space="0" w:color="000000"/>
              <w:left w:val="single" w:sz="6" w:space="0" w:color="000000"/>
              <w:bottom w:val="single" w:sz="6" w:space="0" w:color="000000"/>
              <w:right w:val="single" w:sz="6" w:space="0" w:color="000000"/>
            </w:tcBorders>
          </w:tcPr>
          <w:p w14:paraId="51CF25E5"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0,83</w:t>
            </w:r>
          </w:p>
          <w:p w14:paraId="12ED9F68"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(0,68, 1,01)</w:t>
            </w:r>
          </w:p>
        </w:tc>
        <w:tc>
          <w:tcPr>
            <w:tcW w:w="1148" w:type="dxa"/>
            <w:tcBorders>
              <w:top w:val="single" w:sz="6" w:space="0" w:color="000000"/>
              <w:left w:val="single" w:sz="6" w:space="0" w:color="000000"/>
              <w:bottom w:val="single" w:sz="6" w:space="0" w:color="000000"/>
              <w:right w:val="single" w:sz="6" w:space="0" w:color="000000"/>
            </w:tcBorders>
          </w:tcPr>
          <w:p w14:paraId="41090AC2"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210</w:t>
            </w:r>
          </w:p>
          <w:p w14:paraId="12EE943D"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(3,0 %)</w:t>
            </w:r>
          </w:p>
        </w:tc>
        <w:tc>
          <w:tcPr>
            <w:tcW w:w="1372" w:type="dxa"/>
            <w:tcBorders>
              <w:top w:val="single" w:sz="6" w:space="0" w:color="000000"/>
              <w:left w:val="single" w:sz="6" w:space="0" w:color="000000"/>
              <w:bottom w:val="single" w:sz="6" w:space="0" w:color="000000"/>
              <w:right w:val="single" w:sz="6" w:space="0" w:color="000000"/>
            </w:tcBorders>
          </w:tcPr>
          <w:p w14:paraId="65B9A0E1"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1D5DC4D6"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3,4 %</w:t>
            </w:r>
          </w:p>
        </w:tc>
        <w:tc>
          <w:tcPr>
            <w:tcW w:w="1018" w:type="dxa"/>
            <w:tcBorders>
              <w:top w:val="single" w:sz="6" w:space="0" w:color="000000"/>
              <w:left w:val="single" w:sz="6" w:space="0" w:color="000000"/>
              <w:bottom w:val="single" w:sz="6" w:space="0" w:color="000000"/>
            </w:tcBorders>
          </w:tcPr>
          <w:p w14:paraId="31550B34"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269B8BFB"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0,0676</w:t>
            </w:r>
          </w:p>
        </w:tc>
      </w:tr>
      <w:tr w:rsidR="00864478" w:rsidRPr="00DF20DE" w14:paraId="29FC7927" w14:textId="77777777" w:rsidTr="00C536DB">
        <w:trPr>
          <w:trHeight w:val="757"/>
        </w:trPr>
        <w:tc>
          <w:tcPr>
            <w:tcW w:w="1291" w:type="dxa"/>
            <w:tcBorders>
              <w:top w:val="single" w:sz="6" w:space="0" w:color="000000"/>
              <w:bottom w:val="single" w:sz="6" w:space="0" w:color="000000"/>
              <w:right w:val="single" w:sz="6" w:space="0" w:color="000000"/>
            </w:tcBorders>
          </w:tcPr>
          <w:p w14:paraId="503D0A5B"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b/>
                <w:sz w:val="21"/>
              </w:rPr>
            </w:pPr>
          </w:p>
          <w:p w14:paraId="50C335F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MI</w:t>
            </w:r>
          </w:p>
        </w:tc>
        <w:tc>
          <w:tcPr>
            <w:tcW w:w="1128" w:type="dxa"/>
            <w:tcBorders>
              <w:top w:val="single" w:sz="6" w:space="0" w:color="000000"/>
              <w:left w:val="single" w:sz="6" w:space="0" w:color="000000"/>
              <w:bottom w:val="single" w:sz="6" w:space="0" w:color="000000"/>
              <w:right w:val="single" w:sz="6" w:space="0" w:color="000000"/>
            </w:tcBorders>
          </w:tcPr>
          <w:p w14:paraId="6BFA8764"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285</w:t>
            </w:r>
          </w:p>
          <w:p w14:paraId="052903C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(4,0 %)</w:t>
            </w:r>
          </w:p>
        </w:tc>
        <w:tc>
          <w:tcPr>
            <w:tcW w:w="912" w:type="dxa"/>
            <w:tcBorders>
              <w:top w:val="single" w:sz="6" w:space="0" w:color="000000"/>
              <w:left w:val="single" w:sz="6" w:space="0" w:color="000000"/>
              <w:bottom w:val="single" w:sz="6" w:space="0" w:color="000000"/>
              <w:right w:val="single" w:sz="6" w:space="0" w:color="000000"/>
            </w:tcBorders>
          </w:tcPr>
          <w:p w14:paraId="1183049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6A550FFE"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4,5 %</w:t>
            </w:r>
          </w:p>
        </w:tc>
        <w:tc>
          <w:tcPr>
            <w:tcW w:w="2036" w:type="dxa"/>
            <w:tcBorders>
              <w:top w:val="single" w:sz="6" w:space="0" w:color="000000"/>
              <w:left w:val="single" w:sz="6" w:space="0" w:color="000000"/>
              <w:bottom w:val="single" w:sz="6" w:space="0" w:color="000000"/>
              <w:right w:val="single" w:sz="6" w:space="0" w:color="000000"/>
            </w:tcBorders>
          </w:tcPr>
          <w:p w14:paraId="5C536102"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0,84</w:t>
            </w:r>
          </w:p>
          <w:p w14:paraId="05BD6C7C"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(0,72, 0,98)</w:t>
            </w:r>
          </w:p>
        </w:tc>
        <w:tc>
          <w:tcPr>
            <w:tcW w:w="1148" w:type="dxa"/>
            <w:tcBorders>
              <w:top w:val="single" w:sz="6" w:space="0" w:color="000000"/>
              <w:left w:val="single" w:sz="6" w:space="0" w:color="000000"/>
              <w:bottom w:val="single" w:sz="6" w:space="0" w:color="000000"/>
              <w:right w:val="single" w:sz="6" w:space="0" w:color="000000"/>
            </w:tcBorders>
          </w:tcPr>
          <w:p w14:paraId="4EF793F5"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338</w:t>
            </w:r>
          </w:p>
          <w:p w14:paraId="0AF3FFB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(4,8 %)</w:t>
            </w:r>
          </w:p>
        </w:tc>
        <w:tc>
          <w:tcPr>
            <w:tcW w:w="1372" w:type="dxa"/>
            <w:tcBorders>
              <w:top w:val="single" w:sz="6" w:space="0" w:color="000000"/>
              <w:left w:val="single" w:sz="6" w:space="0" w:color="000000"/>
              <w:bottom w:val="single" w:sz="6" w:space="0" w:color="000000"/>
              <w:right w:val="single" w:sz="6" w:space="0" w:color="000000"/>
            </w:tcBorders>
          </w:tcPr>
          <w:p w14:paraId="4DA5BD90"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6A660BFC"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5,2 %</w:t>
            </w:r>
          </w:p>
        </w:tc>
        <w:tc>
          <w:tcPr>
            <w:tcW w:w="1018" w:type="dxa"/>
            <w:tcBorders>
              <w:top w:val="single" w:sz="6" w:space="0" w:color="000000"/>
              <w:left w:val="single" w:sz="6" w:space="0" w:color="000000"/>
              <w:bottom w:val="single" w:sz="6" w:space="0" w:color="000000"/>
            </w:tcBorders>
          </w:tcPr>
          <w:p w14:paraId="67E6B81B"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1931E3C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0,0314</w:t>
            </w:r>
          </w:p>
        </w:tc>
      </w:tr>
      <w:tr w:rsidR="00864478" w:rsidRPr="00DF20DE" w14:paraId="35102945" w14:textId="77777777" w:rsidTr="00C536DB">
        <w:trPr>
          <w:trHeight w:val="762"/>
        </w:trPr>
        <w:tc>
          <w:tcPr>
            <w:tcW w:w="1291" w:type="dxa"/>
            <w:tcBorders>
              <w:top w:val="single" w:sz="6" w:space="0" w:color="000000"/>
              <w:bottom w:val="single" w:sz="6" w:space="0" w:color="000000"/>
              <w:right w:val="single" w:sz="6" w:space="0" w:color="000000"/>
            </w:tcBorders>
          </w:tcPr>
          <w:p w14:paraId="55C08C8E"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b/>
                <w:sz w:val="21"/>
              </w:rPr>
            </w:pPr>
          </w:p>
          <w:p w14:paraId="56DD170D"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Insultai</w:t>
            </w:r>
          </w:p>
        </w:tc>
        <w:tc>
          <w:tcPr>
            <w:tcW w:w="1128" w:type="dxa"/>
            <w:tcBorders>
              <w:top w:val="single" w:sz="6" w:space="0" w:color="000000"/>
              <w:left w:val="single" w:sz="6" w:space="0" w:color="000000"/>
              <w:bottom w:val="single" w:sz="6" w:space="0" w:color="000000"/>
              <w:right w:val="single" w:sz="6" w:space="0" w:color="000000"/>
            </w:tcBorders>
          </w:tcPr>
          <w:p w14:paraId="7ACA2409"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91</w:t>
            </w:r>
          </w:p>
          <w:p w14:paraId="37D57710"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(1,3 %)</w:t>
            </w:r>
          </w:p>
        </w:tc>
        <w:tc>
          <w:tcPr>
            <w:tcW w:w="912" w:type="dxa"/>
            <w:tcBorders>
              <w:top w:val="single" w:sz="6" w:space="0" w:color="000000"/>
              <w:left w:val="single" w:sz="6" w:space="0" w:color="000000"/>
              <w:bottom w:val="single" w:sz="6" w:space="0" w:color="000000"/>
              <w:right w:val="single" w:sz="6" w:space="0" w:color="000000"/>
            </w:tcBorders>
          </w:tcPr>
          <w:p w14:paraId="13457C2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6BB8A7C0"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1,5 %</w:t>
            </w:r>
          </w:p>
        </w:tc>
        <w:tc>
          <w:tcPr>
            <w:tcW w:w="2036" w:type="dxa"/>
            <w:tcBorders>
              <w:top w:val="single" w:sz="6" w:space="0" w:color="000000"/>
              <w:left w:val="single" w:sz="6" w:space="0" w:color="000000"/>
              <w:bottom w:val="single" w:sz="6" w:space="0" w:color="000000"/>
              <w:right w:val="single" w:sz="6" w:space="0" w:color="000000"/>
            </w:tcBorders>
          </w:tcPr>
          <w:p w14:paraId="26086AC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0,75</w:t>
            </w:r>
          </w:p>
          <w:p w14:paraId="2BF65CFE"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(0,57, 0,98)</w:t>
            </w:r>
          </w:p>
        </w:tc>
        <w:tc>
          <w:tcPr>
            <w:tcW w:w="1148" w:type="dxa"/>
            <w:tcBorders>
              <w:top w:val="single" w:sz="6" w:space="0" w:color="000000"/>
              <w:left w:val="single" w:sz="6" w:space="0" w:color="000000"/>
              <w:bottom w:val="single" w:sz="6" w:space="0" w:color="000000"/>
              <w:right w:val="single" w:sz="6" w:space="0" w:color="000000"/>
            </w:tcBorders>
          </w:tcPr>
          <w:p w14:paraId="255A554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122</w:t>
            </w:r>
          </w:p>
          <w:p w14:paraId="1586C9A2"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(1,7 %)</w:t>
            </w:r>
          </w:p>
        </w:tc>
        <w:tc>
          <w:tcPr>
            <w:tcW w:w="1372" w:type="dxa"/>
            <w:tcBorders>
              <w:top w:val="single" w:sz="6" w:space="0" w:color="000000"/>
              <w:left w:val="single" w:sz="6" w:space="0" w:color="000000"/>
              <w:bottom w:val="single" w:sz="6" w:space="0" w:color="000000"/>
              <w:right w:val="single" w:sz="6" w:space="0" w:color="000000"/>
            </w:tcBorders>
          </w:tcPr>
          <w:p w14:paraId="6EF205D8"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55D71FE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1,9 %</w:t>
            </w:r>
          </w:p>
        </w:tc>
        <w:tc>
          <w:tcPr>
            <w:tcW w:w="1018" w:type="dxa"/>
            <w:tcBorders>
              <w:top w:val="single" w:sz="6" w:space="0" w:color="000000"/>
              <w:left w:val="single" w:sz="6" w:space="0" w:color="000000"/>
              <w:bottom w:val="single" w:sz="6" w:space="0" w:color="000000"/>
            </w:tcBorders>
          </w:tcPr>
          <w:p w14:paraId="38F10664"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118EF9C1"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0,0337</w:t>
            </w:r>
          </w:p>
        </w:tc>
      </w:tr>
      <w:tr w:rsidR="00864478" w:rsidRPr="00DF20DE" w14:paraId="123B5C42" w14:textId="77777777" w:rsidTr="00C536DB">
        <w:trPr>
          <w:trHeight w:val="508"/>
        </w:trPr>
        <w:tc>
          <w:tcPr>
            <w:tcW w:w="8905" w:type="dxa"/>
            <w:gridSpan w:val="7"/>
            <w:tcBorders>
              <w:top w:val="single" w:sz="6" w:space="0" w:color="000000"/>
              <w:bottom w:val="single" w:sz="6" w:space="0" w:color="000000"/>
            </w:tcBorders>
          </w:tcPr>
          <w:p w14:paraId="480C12D5"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Antrinė vertinamoji baigtis</w:t>
            </w:r>
          </w:p>
        </w:tc>
      </w:tr>
      <w:tr w:rsidR="00864478" w:rsidRPr="00DF20DE" w14:paraId="7ED7D2E2" w14:textId="77777777" w:rsidTr="00C536DB">
        <w:trPr>
          <w:trHeight w:val="757"/>
        </w:trPr>
        <w:tc>
          <w:tcPr>
            <w:tcW w:w="1291" w:type="dxa"/>
            <w:tcBorders>
              <w:top w:val="single" w:sz="6" w:space="0" w:color="000000"/>
              <w:bottom w:val="single" w:sz="6" w:space="0" w:color="000000"/>
              <w:right w:val="single" w:sz="6" w:space="0" w:color="000000"/>
            </w:tcBorders>
          </w:tcPr>
          <w:p w14:paraId="0A4F1284"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b/>
                <w:sz w:val="21"/>
              </w:rPr>
            </w:pPr>
          </w:p>
          <w:p w14:paraId="168610D2"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KV mirtys</w:t>
            </w:r>
          </w:p>
        </w:tc>
        <w:tc>
          <w:tcPr>
            <w:tcW w:w="1128" w:type="dxa"/>
            <w:tcBorders>
              <w:top w:val="single" w:sz="6" w:space="0" w:color="000000"/>
              <w:left w:val="single" w:sz="6" w:space="0" w:color="000000"/>
              <w:bottom w:val="single" w:sz="6" w:space="0" w:color="000000"/>
              <w:right w:val="single" w:sz="6" w:space="0" w:color="000000"/>
            </w:tcBorders>
          </w:tcPr>
          <w:p w14:paraId="30400AF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174</w:t>
            </w:r>
          </w:p>
          <w:p w14:paraId="23F1E5A0"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(2,5 %)</w:t>
            </w:r>
          </w:p>
        </w:tc>
        <w:tc>
          <w:tcPr>
            <w:tcW w:w="912" w:type="dxa"/>
            <w:tcBorders>
              <w:top w:val="single" w:sz="6" w:space="0" w:color="000000"/>
              <w:left w:val="single" w:sz="6" w:space="0" w:color="000000"/>
              <w:bottom w:val="single" w:sz="6" w:space="0" w:color="000000"/>
              <w:right w:val="single" w:sz="6" w:space="0" w:color="000000"/>
            </w:tcBorders>
          </w:tcPr>
          <w:p w14:paraId="1202E592"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142DDF98"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2,9 %</w:t>
            </w:r>
          </w:p>
        </w:tc>
        <w:tc>
          <w:tcPr>
            <w:tcW w:w="2036" w:type="dxa"/>
            <w:tcBorders>
              <w:top w:val="single" w:sz="6" w:space="0" w:color="000000"/>
              <w:left w:val="single" w:sz="6" w:space="0" w:color="000000"/>
              <w:bottom w:val="single" w:sz="6" w:space="0" w:color="000000"/>
              <w:right w:val="single" w:sz="6" w:space="0" w:color="000000"/>
            </w:tcBorders>
          </w:tcPr>
          <w:p w14:paraId="3EE77D9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0,83</w:t>
            </w:r>
          </w:p>
          <w:p w14:paraId="51CB077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(0,68, 1,01)</w:t>
            </w:r>
          </w:p>
        </w:tc>
        <w:tc>
          <w:tcPr>
            <w:tcW w:w="1148" w:type="dxa"/>
            <w:tcBorders>
              <w:top w:val="single" w:sz="6" w:space="0" w:color="000000"/>
              <w:left w:val="single" w:sz="6" w:space="0" w:color="000000"/>
              <w:bottom w:val="single" w:sz="6" w:space="0" w:color="000000"/>
              <w:right w:val="single" w:sz="6" w:space="0" w:color="000000"/>
            </w:tcBorders>
          </w:tcPr>
          <w:p w14:paraId="74EA3DBD"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210</w:t>
            </w:r>
          </w:p>
          <w:p w14:paraId="594F6FD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(3,0 %)</w:t>
            </w:r>
          </w:p>
        </w:tc>
        <w:tc>
          <w:tcPr>
            <w:tcW w:w="1372" w:type="dxa"/>
            <w:tcBorders>
              <w:top w:val="single" w:sz="6" w:space="0" w:color="000000"/>
              <w:left w:val="single" w:sz="6" w:space="0" w:color="000000"/>
              <w:bottom w:val="single" w:sz="6" w:space="0" w:color="000000"/>
              <w:right w:val="single" w:sz="6" w:space="0" w:color="000000"/>
            </w:tcBorders>
          </w:tcPr>
          <w:p w14:paraId="5783B3B9"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7292A7C1"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3,4 %</w:t>
            </w:r>
          </w:p>
        </w:tc>
        <w:tc>
          <w:tcPr>
            <w:tcW w:w="1018" w:type="dxa"/>
            <w:tcBorders>
              <w:top w:val="single" w:sz="6" w:space="0" w:color="000000"/>
              <w:left w:val="single" w:sz="6" w:space="0" w:color="000000"/>
              <w:bottom w:val="single" w:sz="6" w:space="0" w:color="000000"/>
            </w:tcBorders>
          </w:tcPr>
          <w:p w14:paraId="7F3A985C"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05F40E5E"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w:t>
            </w:r>
          </w:p>
        </w:tc>
      </w:tr>
      <w:tr w:rsidR="00864478" w:rsidRPr="00DF20DE" w14:paraId="69BD2FF5" w14:textId="77777777" w:rsidTr="00C536DB">
        <w:trPr>
          <w:trHeight w:val="757"/>
        </w:trPr>
        <w:tc>
          <w:tcPr>
            <w:tcW w:w="1291" w:type="dxa"/>
            <w:tcBorders>
              <w:top w:val="single" w:sz="6" w:space="0" w:color="000000"/>
              <w:right w:val="single" w:sz="6" w:space="0" w:color="000000"/>
            </w:tcBorders>
          </w:tcPr>
          <w:p w14:paraId="38C224C8" w14:textId="77777777" w:rsidR="00864478" w:rsidRPr="00DF20DE" w:rsidRDefault="00864478" w:rsidP="00C536DB">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Mirtys dėl bet kurios priežasties</w:t>
            </w:r>
          </w:p>
        </w:tc>
        <w:tc>
          <w:tcPr>
            <w:tcW w:w="1128" w:type="dxa"/>
            <w:tcBorders>
              <w:top w:val="single" w:sz="6" w:space="0" w:color="000000"/>
              <w:left w:val="single" w:sz="6" w:space="0" w:color="000000"/>
              <w:right w:val="single" w:sz="6" w:space="0" w:color="000000"/>
            </w:tcBorders>
          </w:tcPr>
          <w:p w14:paraId="0B09F01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289</w:t>
            </w:r>
          </w:p>
          <w:p w14:paraId="174C5742"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(4,1 %)</w:t>
            </w:r>
          </w:p>
        </w:tc>
        <w:tc>
          <w:tcPr>
            <w:tcW w:w="912" w:type="dxa"/>
            <w:tcBorders>
              <w:top w:val="single" w:sz="6" w:space="0" w:color="000000"/>
              <w:left w:val="single" w:sz="6" w:space="0" w:color="000000"/>
              <w:right w:val="single" w:sz="6" w:space="0" w:color="000000"/>
            </w:tcBorders>
          </w:tcPr>
          <w:p w14:paraId="66BC3B97"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5E470E08"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4,7 %</w:t>
            </w:r>
          </w:p>
        </w:tc>
        <w:tc>
          <w:tcPr>
            <w:tcW w:w="2036" w:type="dxa"/>
            <w:tcBorders>
              <w:top w:val="single" w:sz="6" w:space="0" w:color="000000"/>
              <w:left w:val="single" w:sz="6" w:space="0" w:color="000000"/>
              <w:right w:val="single" w:sz="6" w:space="0" w:color="000000"/>
            </w:tcBorders>
          </w:tcPr>
          <w:p w14:paraId="66F2449C"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0,89</w:t>
            </w:r>
          </w:p>
          <w:p w14:paraId="773F109A"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(0,76, 1,04)</w:t>
            </w:r>
          </w:p>
        </w:tc>
        <w:tc>
          <w:tcPr>
            <w:tcW w:w="1148" w:type="dxa"/>
            <w:tcBorders>
              <w:top w:val="single" w:sz="6" w:space="0" w:color="000000"/>
              <w:left w:val="single" w:sz="6" w:space="0" w:color="000000"/>
              <w:right w:val="single" w:sz="6" w:space="0" w:color="000000"/>
            </w:tcBorders>
          </w:tcPr>
          <w:p w14:paraId="496CCE6B"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326</w:t>
            </w:r>
          </w:p>
          <w:p w14:paraId="6E37BD0E"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(4,6 %)</w:t>
            </w:r>
          </w:p>
        </w:tc>
        <w:tc>
          <w:tcPr>
            <w:tcW w:w="1372" w:type="dxa"/>
            <w:tcBorders>
              <w:top w:val="single" w:sz="6" w:space="0" w:color="000000"/>
              <w:left w:val="single" w:sz="6" w:space="0" w:color="000000"/>
              <w:right w:val="single" w:sz="6" w:space="0" w:color="000000"/>
            </w:tcBorders>
          </w:tcPr>
          <w:p w14:paraId="6B5CA849"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5CB0EF6E"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5,2 %</w:t>
            </w:r>
          </w:p>
        </w:tc>
        <w:tc>
          <w:tcPr>
            <w:tcW w:w="1018" w:type="dxa"/>
            <w:tcBorders>
              <w:top w:val="single" w:sz="6" w:space="0" w:color="000000"/>
              <w:left w:val="single" w:sz="6" w:space="0" w:color="000000"/>
            </w:tcBorders>
          </w:tcPr>
          <w:p w14:paraId="0ADE32FE"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b/>
              </w:rPr>
            </w:pPr>
          </w:p>
          <w:p w14:paraId="0957008F" w14:textId="77777777" w:rsidR="00864478" w:rsidRPr="00DF20DE" w:rsidRDefault="00864478" w:rsidP="00C536DB">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w:t>
            </w:r>
          </w:p>
        </w:tc>
      </w:tr>
    </w:tbl>
    <w:p w14:paraId="19E5CB2F" w14:textId="543600C3"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i/>
          <w:iCs/>
          <w:sz w:val="20"/>
          <w:szCs w:val="20"/>
        </w:rPr>
        <w:t>R</w:t>
      </w:r>
      <w:r w:rsidR="00FE799B" w:rsidRPr="00DF20DE">
        <w:rPr>
          <w:rFonts w:ascii="Times New Roman" w:eastAsia="Times New Roman" w:hAnsi="Times New Roman" w:cs="Times New Roman"/>
          <w:i/>
          <w:iCs/>
          <w:sz w:val="20"/>
          <w:szCs w:val="20"/>
        </w:rPr>
        <w:t>S</w:t>
      </w:r>
      <w:r w:rsidRPr="00DF20DE">
        <w:rPr>
          <w:rFonts w:ascii="Times New Roman" w:eastAsia="Times New Roman" w:hAnsi="Times New Roman" w:cs="Times New Roman"/>
          <w:sz w:val="20"/>
          <w:szCs w:val="20"/>
        </w:rPr>
        <w:t xml:space="preserve"> ir </w:t>
      </w:r>
      <w:r w:rsidRPr="00DF20DE">
        <w:rPr>
          <w:rFonts w:ascii="Times New Roman" w:eastAsia="Times New Roman" w:hAnsi="Times New Roman" w:cs="Times New Roman"/>
          <w:i/>
          <w:iCs/>
          <w:sz w:val="20"/>
          <w:szCs w:val="20"/>
        </w:rPr>
        <w:t>p</w:t>
      </w:r>
      <w:r w:rsidRPr="00DF20DE">
        <w:rPr>
          <w:rFonts w:ascii="Times New Roman" w:eastAsia="Times New Roman" w:hAnsi="Times New Roman" w:cs="Times New Roman"/>
          <w:sz w:val="20"/>
          <w:szCs w:val="20"/>
        </w:rPr>
        <w:t xml:space="preserve"> reikšmės apskaičiuoti atskirai tikagrelorui plg. su vien ASR naudojant Cox proporcinės rizikos modelį </w:t>
      </w:r>
      <w:r w:rsidRPr="00DF20DE">
        <w:rPr>
          <w:rFonts w:ascii="Times New Roman" w:eastAsia="Times New Roman" w:hAnsi="Times New Roman" w:cs="Times New Roman"/>
          <w:sz w:val="20"/>
          <w:szCs w:val="20"/>
        </w:rPr>
        <w:lastRenderedPageBreak/>
        <w:t>(vienintelis aiškinamasis kintamasis buvo gydymo grupė).</w:t>
      </w:r>
    </w:p>
    <w:p w14:paraId="1FB0833F"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i/>
          <w:iCs/>
          <w:sz w:val="20"/>
          <w:szCs w:val="20"/>
        </w:rPr>
        <w:t>KM</w:t>
      </w:r>
      <w:r w:rsidRPr="00DF20DE">
        <w:rPr>
          <w:rFonts w:ascii="Times New Roman" w:eastAsia="Times New Roman" w:hAnsi="Times New Roman" w:cs="Times New Roman"/>
          <w:sz w:val="20"/>
          <w:szCs w:val="20"/>
        </w:rPr>
        <w:t xml:space="preserve"> procentai apskaičiuoti po 36 mėn.</w:t>
      </w:r>
    </w:p>
    <w:p w14:paraId="51A7D211"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rPr>
        <w:t>Pastaba. Sudėtinėje vertinamojoje baigtyje nurodytas tik pirmųjų reiškinių – komponentų (KV mirčių, MI ir insultų) – skaičius, bet ne jų suma.</w:t>
      </w:r>
    </w:p>
    <w:p w14:paraId="2E32A946"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rPr>
        <w:t>(r) – rodo statistinį reikšmingumą.</w:t>
      </w:r>
    </w:p>
    <w:p w14:paraId="6894A6C3"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szCs w:val="20"/>
        </w:rPr>
      </w:pPr>
      <w:r w:rsidRPr="00DF20DE">
        <w:rPr>
          <w:rFonts w:ascii="Times New Roman" w:eastAsia="Times New Roman" w:hAnsi="Times New Roman" w:cs="Times New Roman"/>
          <w:sz w:val="20"/>
          <w:szCs w:val="20"/>
        </w:rPr>
        <w:t>PI – pasikliautinasis intervalas, KV – kardiovaskulinis, SR (</w:t>
      </w:r>
      <w:r w:rsidRPr="00DF20DE">
        <w:rPr>
          <w:rFonts w:ascii="Times New Roman" w:eastAsia="Times New Roman" w:hAnsi="Times New Roman" w:cs="Times New Roman"/>
          <w:i/>
          <w:iCs/>
          <w:sz w:val="20"/>
          <w:szCs w:val="20"/>
        </w:rPr>
        <w:t>angl. Hazard ratio)</w:t>
      </w:r>
      <w:r w:rsidRPr="00DF20DE">
        <w:rPr>
          <w:rFonts w:ascii="Times New Roman" w:eastAsia="Times New Roman" w:hAnsi="Times New Roman" w:cs="Times New Roman"/>
          <w:sz w:val="20"/>
          <w:szCs w:val="20"/>
        </w:rPr>
        <w:t xml:space="preserve"> – rizikos santykis; KM – </w:t>
      </w:r>
      <w:r w:rsidRPr="00DF20DE">
        <w:rPr>
          <w:rFonts w:ascii="Times New Roman" w:eastAsia="Times New Roman" w:hAnsi="Times New Roman" w:cs="Times New Roman"/>
          <w:i/>
          <w:iCs/>
          <w:sz w:val="20"/>
          <w:szCs w:val="20"/>
        </w:rPr>
        <w:t>Kaplan-Meier</w:t>
      </w:r>
      <w:r w:rsidRPr="00DF20DE">
        <w:rPr>
          <w:rFonts w:ascii="Times New Roman" w:eastAsia="Times New Roman" w:hAnsi="Times New Roman" w:cs="Times New Roman"/>
          <w:sz w:val="20"/>
          <w:szCs w:val="20"/>
        </w:rPr>
        <w:t>, MI – miokardo infarktas, N – pacientų skaičius.</w:t>
      </w:r>
    </w:p>
    <w:p w14:paraId="29CE79DB"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7125996D"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Tiek 60 mg, tiek 90 mg tikagreloro 2 kartus per parą kartu su ASR apsaugojo nuo aterotrombozės reiškinių (sudėtinė vertinamoji baigtis buvo KV mirtis, MI ir insultas) geriau negu vien ASR. Gydymo poveikis buvo nuoseklus visą vartojimo laikotarpį, 60 mg tikagreloro </w:t>
      </w:r>
      <w:r w:rsidRPr="00DF20DE">
        <w:rPr>
          <w:rFonts w:ascii="Times New Roman" w:eastAsia="Times New Roman" w:hAnsi="Times New Roman" w:cs="Times New Roman"/>
          <w:i/>
          <w:iCs/>
        </w:rPr>
        <w:t>RRR</w:t>
      </w:r>
      <w:r w:rsidRPr="00DF20DE">
        <w:rPr>
          <w:rFonts w:ascii="Times New Roman" w:eastAsia="Times New Roman" w:hAnsi="Times New Roman" w:cs="Times New Roman"/>
        </w:rPr>
        <w:t xml:space="preserve"> buvo 16 % ir </w:t>
      </w:r>
      <w:r w:rsidRPr="00DF20DE">
        <w:rPr>
          <w:rFonts w:ascii="Times New Roman" w:eastAsia="Times New Roman" w:hAnsi="Times New Roman" w:cs="Times New Roman"/>
          <w:i/>
          <w:iCs/>
        </w:rPr>
        <w:t>ARR</w:t>
      </w:r>
      <w:r w:rsidRPr="00DF20DE">
        <w:rPr>
          <w:rFonts w:ascii="Times New Roman" w:eastAsia="Times New Roman" w:hAnsi="Times New Roman" w:cs="Times New Roman"/>
        </w:rPr>
        <w:t xml:space="preserve"> –</w:t>
      </w:r>
    </w:p>
    <w:p w14:paraId="4A7BE6C1"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1,27 %, 90 mg tikagreloro </w:t>
      </w:r>
      <w:r w:rsidRPr="00DF20DE">
        <w:rPr>
          <w:rFonts w:ascii="Times New Roman" w:eastAsia="Times New Roman" w:hAnsi="Times New Roman" w:cs="Times New Roman"/>
          <w:i/>
          <w:iCs/>
        </w:rPr>
        <w:t>RRR</w:t>
      </w:r>
      <w:r w:rsidRPr="00DF20DE">
        <w:rPr>
          <w:rFonts w:ascii="Times New Roman" w:eastAsia="Times New Roman" w:hAnsi="Times New Roman" w:cs="Times New Roman"/>
        </w:rPr>
        <w:t xml:space="preserve"> –15 % ir </w:t>
      </w:r>
      <w:r w:rsidRPr="00DF20DE">
        <w:rPr>
          <w:rFonts w:ascii="Times New Roman" w:eastAsia="Times New Roman" w:hAnsi="Times New Roman" w:cs="Times New Roman"/>
          <w:i/>
          <w:iCs/>
        </w:rPr>
        <w:t>ARR</w:t>
      </w:r>
      <w:r w:rsidRPr="00DF20DE">
        <w:rPr>
          <w:rFonts w:ascii="Times New Roman" w:eastAsia="Times New Roman" w:hAnsi="Times New Roman" w:cs="Times New Roman"/>
        </w:rPr>
        <w:t xml:space="preserve"> – 1,19 %.</w:t>
      </w:r>
    </w:p>
    <w:p w14:paraId="0E505335"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3A94CA9B" w14:textId="4A755169"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Nors 90 mg ir 60 mg dozių saugumas buvo panašus, tačiau gauta duomenų, kad mažesnioji dozė yra geriau toleruojama bei saugesnė kraujavimo ir dusulio požiūriu. Dėl to aterotrombozės įvykių (KV mirties, MI ir insulto) profilaktikai anksčiau MI patyrusiems pacientams, turintiems didelę aterotrombozės reiškinių riziką, rekomenduojama vartoti tik 60 mg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2 kartus per parą kartu su ASR.</w:t>
      </w:r>
    </w:p>
    <w:p w14:paraId="792D788B"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60765D56"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60 mg tikagreloro 2 kartus per parą reikšmingai labiau negu vien ASA sumažino pirminės sudėtinės vertinamosios baigties įvykių (KV mirčių, MI ir insultų) skaičių. Įtakos pirminės sudėtinės vertinamosios baigties įvykių skaičiaus sumažėjimui turėjo visi jos komponentai (KV mirčių </w:t>
      </w:r>
      <w:r w:rsidRPr="00DF20DE">
        <w:rPr>
          <w:rFonts w:ascii="Times New Roman" w:eastAsia="Times New Roman" w:hAnsi="Times New Roman" w:cs="Times New Roman"/>
          <w:i/>
          <w:iCs/>
        </w:rPr>
        <w:t>RRR</w:t>
      </w:r>
    </w:p>
    <w:p w14:paraId="37E79B5D"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17 %, MI – 16 %, insulto – 25 %).</w:t>
      </w:r>
    </w:p>
    <w:p w14:paraId="4B400092" w14:textId="77777777" w:rsidR="00864478" w:rsidRPr="00DF20DE" w:rsidRDefault="00864478" w:rsidP="00864478">
      <w:pPr>
        <w:widowControl w:val="0"/>
        <w:autoSpaceDE w:val="0"/>
        <w:autoSpaceDN w:val="0"/>
        <w:spacing w:after="0" w:line="240" w:lineRule="auto"/>
        <w:jc w:val="both"/>
        <w:rPr>
          <w:rFonts w:ascii="Times New Roman" w:eastAsia="Times New Roman" w:hAnsi="Times New Roman" w:cs="Times New Roman"/>
        </w:rPr>
      </w:pPr>
    </w:p>
    <w:p w14:paraId="7162CD4F"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Sudėtinės vertinamosios baigties </w:t>
      </w:r>
      <w:r w:rsidRPr="00DF20DE">
        <w:rPr>
          <w:rFonts w:ascii="Times New Roman" w:eastAsia="Times New Roman" w:hAnsi="Times New Roman" w:cs="Times New Roman"/>
          <w:i/>
          <w:iCs/>
        </w:rPr>
        <w:t>RRR</w:t>
      </w:r>
      <w:r w:rsidRPr="00DF20DE">
        <w:rPr>
          <w:rFonts w:ascii="Times New Roman" w:eastAsia="Times New Roman" w:hAnsi="Times New Roman" w:cs="Times New Roman"/>
        </w:rPr>
        <w:t xml:space="preserve"> nuo 1-os iki 360-os dienos ir nuo 361 dienos buvo panašūs (atitinkamai 17 % ir 16 %). Tikagreloro vartojimo ilgiau kaip 3 metus veiksmingumo ir saugumo duomenų yra nedaug.</w:t>
      </w:r>
    </w:p>
    <w:p w14:paraId="766B3B98"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0ADA25A4"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Pradėjus vartoti 60 mg tikagreloro 2 kartus per parą stabilios klinikinės būklės pacientams, patyrusiems MI daugiau kaip prieš 2 metus arba nutraukusiems ankstesnio ADF receptorių inhibitoriaus vartojimą daugiau kaip prieš 1 metus, naudos nenustatyta (pirminės sudėtinės vertinamosios baigties, kurią sudarė KV mirtis, MI ir insultas, atvejų nesumažėjo), tačiau buvo daugiau didesniųjų kraujavimų (taip pat žr. 4.2 skyrių).</w:t>
      </w:r>
    </w:p>
    <w:p w14:paraId="6DE2BBF3"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rPr>
      </w:pPr>
    </w:p>
    <w:p w14:paraId="2E513C09"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rPr>
        <w:t>Klinikinis saugumas</w:t>
      </w:r>
    </w:p>
    <w:p w14:paraId="7D78E854"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Dėl kraujavimo ar dusulio 60 mg tikagreloro vartojimą vyresni kaip 75 metų pacientai nutraukė dažniau (42 %) negu jaunesni (nuo 23 iki 31 %); skirtumas, palyginus su placebu, buvo didesnis kaip 10 % (atitinkamai 42 % ir 29 %).</w:t>
      </w:r>
    </w:p>
    <w:p w14:paraId="2275CE29"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1C72C740"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Vaikų populiacija</w:t>
      </w:r>
    </w:p>
    <w:p w14:paraId="7A52993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Randomizuoto dvigubai koduoto lygiagrečių grupių III fazės HESTIA 3 tyrimo metu 193 vaikai (nuo</w:t>
      </w:r>
    </w:p>
    <w:p w14:paraId="4DCDEC2A" w14:textId="36C80F88"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2 iki &lt; 18 metų amžiaus), sirgę pjautuvo pavidalo ląstelių liga, buvo randomizuoti vartoti placeb</w:t>
      </w:r>
      <w:r w:rsidR="00832414" w:rsidRPr="00DF20DE">
        <w:rPr>
          <w:rFonts w:ascii="Times New Roman" w:eastAsia="Times New Roman" w:hAnsi="Times New Roman" w:cs="Times New Roman"/>
        </w:rPr>
        <w:t>o</w:t>
      </w:r>
      <w:r w:rsidRPr="00DF20DE">
        <w:rPr>
          <w:rFonts w:ascii="Times New Roman" w:eastAsia="Times New Roman" w:hAnsi="Times New Roman" w:cs="Times New Roman"/>
        </w:rPr>
        <w:t xml:space="preserve"> arba</w:t>
      </w:r>
    </w:p>
    <w:p w14:paraId="6FE9DED9" w14:textId="3408B451"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po 15-45 mg tikagreloro 2 kartus per parą, priklausomai nuo kūno svorio. Nusistovėjus pusiausvyr</w:t>
      </w:r>
      <w:r w:rsidR="00832414" w:rsidRPr="00DF20DE">
        <w:rPr>
          <w:rFonts w:ascii="Times New Roman" w:eastAsia="Times New Roman" w:hAnsi="Times New Roman" w:cs="Times New Roman"/>
        </w:rPr>
        <w:t>inei</w:t>
      </w:r>
    </w:p>
    <w:p w14:paraId="7A1711A1" w14:textId="4CFA4E15" w:rsidR="00864478" w:rsidRPr="00DF20DE" w:rsidRDefault="00832414"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koncentracijai </w:t>
      </w:r>
      <w:r w:rsidR="00864478" w:rsidRPr="00DF20DE">
        <w:rPr>
          <w:rFonts w:ascii="Times New Roman" w:eastAsia="Times New Roman" w:hAnsi="Times New Roman" w:cs="Times New Roman"/>
        </w:rPr>
        <w:t>tikagreloro sukelto trombocitų funkcijos slopinimo mediana buvo 35 % prieš geriant eilinę</w:t>
      </w:r>
    </w:p>
    <w:p w14:paraId="620C55C8"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jo dozę ir 56 % praėjus 2 val. po jos vartojimo.</w:t>
      </w:r>
    </w:p>
    <w:p w14:paraId="0E43C315"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589FC5E8"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Tikagreloras nesukėlė pranašesnio negu placebas gydomojo poveikio, vertinant kraujagyslių</w:t>
      </w:r>
    </w:p>
    <w:p w14:paraId="047847DA"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užsikimšimo krizių dažnį.</w:t>
      </w:r>
    </w:p>
    <w:p w14:paraId="15691F4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7CE0EF21"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Europos vaistų agentūra atleido nuo įpareigojimo pateikti referencinio vaistinio preparato, kurio sudėtyje yra tikagreloro, tyrimų su visais vaikų, sergančių ūminių koronarinių sindromų (ŪKS) ir anksčiau patyrusių miokardo infarktą (MI), populiacijos pogrupiais duomenis (vartojimo vaikams informacija pateikiama 4.2 skyriuje).</w:t>
      </w:r>
    </w:p>
    <w:p w14:paraId="5C42C21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081DDFEE" w14:textId="77777777" w:rsidR="00864478" w:rsidRPr="00DF20DE" w:rsidRDefault="00864478" w:rsidP="00864478">
      <w:pPr>
        <w:widowControl w:val="0"/>
        <w:tabs>
          <w:tab w:val="left" w:pos="540"/>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5.2</w:t>
      </w:r>
      <w:r w:rsidRPr="00DF20DE">
        <w:rPr>
          <w:rFonts w:ascii="Times New Roman" w:eastAsia="Times New Roman" w:hAnsi="Times New Roman" w:cs="Times New Roman"/>
          <w:b/>
          <w:bCs/>
        </w:rPr>
        <w:tab/>
        <w:t>Farmakokinetinės savybės</w:t>
      </w:r>
    </w:p>
    <w:p w14:paraId="7D245791"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
        </w:rPr>
      </w:pPr>
    </w:p>
    <w:p w14:paraId="76405906"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Tikagreloro farmakokinetika yra tiesinė, jo ir jo aktyvaus metabolito AR-C124910XX ekspozicijos </w:t>
      </w:r>
      <w:r w:rsidRPr="00DF20DE">
        <w:rPr>
          <w:rFonts w:ascii="Times New Roman" w:eastAsia="Times New Roman" w:hAnsi="Times New Roman" w:cs="Times New Roman"/>
        </w:rPr>
        <w:lastRenderedPageBreak/>
        <w:t>būna maždaug proporcingos dozei iki 1 260 mg.</w:t>
      </w:r>
    </w:p>
    <w:p w14:paraId="1DA4250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3D2E56E3"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Absorbcija</w:t>
      </w:r>
    </w:p>
    <w:p w14:paraId="35C82346"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Tikagreloro absorbcija yra greita, t</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mediana yra apie 1,5 val. Pagrindinis (aktyvus) cirkuliuojantis tikagreloro metabolitas AR-C124910XX taip pat susidaro greitai, jo t</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mediana yra apie 2,5 val.</w:t>
      </w:r>
    </w:p>
    <w:p w14:paraId="59FE01FB"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Sveikiems žmonėms pavartojus vieną 90 mg tikagreloro dozę nevalgius per burną,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būna 529 ng/ml, AUC – 3451 ng×val./ml. Metabolito ir nepakitusio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rPr>
        <w:t xml:space="preserve">santykis būna 0,28, AUC – 0,42. Tikagreloro ir AR-C124910XX farmakokinetika anksčiau MI patyrusiems pacientams buvo iš esmės panaši kaip ištiktiems ŪKS. PEGASUS tyrimo populiacinės farmakokinetikos analizės </w:t>
      </w:r>
      <w:r w:rsidRPr="00DF20DE">
        <w:rPr>
          <w:rFonts w:ascii="Times New Roman" w:eastAsia="Times New Roman" w:hAnsi="Times New Roman" w:cs="Times New Roman"/>
          <w:position w:val="2"/>
        </w:rPr>
        <w:t>duomenimis,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mediana nusistovėjus pusiausvyrinei koncentracijai vartojant 60 mg buvo </w:t>
      </w:r>
      <w:r w:rsidRPr="00DF20DE">
        <w:rPr>
          <w:rFonts w:ascii="Times New Roman" w:eastAsia="Times New Roman" w:hAnsi="Times New Roman" w:cs="Times New Roman"/>
        </w:rPr>
        <w:t xml:space="preserve">391 ng/ml, o AUC – 3801 ng×val./ml. Nusistovėjus pusiausvyrinei koncentracijai vartojant 90 mg </w:t>
      </w:r>
      <w:r w:rsidRPr="00DF20DE">
        <w:rPr>
          <w:rFonts w:ascii="Times New Roman" w:eastAsia="Times New Roman" w:hAnsi="Times New Roman" w:cs="Times New Roman"/>
          <w:position w:val="2"/>
        </w:rPr>
        <w:t>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buvo 627 ng/ml, o AUC – 6255 ng×val./ml.</w:t>
      </w:r>
    </w:p>
    <w:p w14:paraId="009ED3F4"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rPr>
      </w:pPr>
    </w:p>
    <w:p w14:paraId="6835DBFB" w14:textId="3992607C"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Apskaičiuotasis tikagreloro vidutinis biologinis prieinamumas yra 36 %. Riebus maistas sukėlė </w:t>
      </w:r>
      <w:r w:rsidRPr="00DF20DE">
        <w:rPr>
          <w:rFonts w:ascii="Times New Roman" w:eastAsia="Times New Roman" w:hAnsi="Times New Roman" w:cs="Times New Roman"/>
          <w:position w:val="2"/>
        </w:rPr>
        <w:t>tikagreloro AUC padidėjimą 21 % ir jo aktyvaus metabolito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sumažėjimą 22 %, tačiau įtakos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ir jo aktyvaus metabolito AUC neturėjo. Šių skirtumų klinikinė reikšmė laikoma </w:t>
      </w:r>
      <w:r w:rsidRPr="00DF20DE">
        <w:rPr>
          <w:rFonts w:ascii="Times New Roman" w:eastAsia="Times New Roman" w:hAnsi="Times New Roman" w:cs="Times New Roman"/>
        </w:rPr>
        <w:t>minimalia, todėl tikagrelor</w:t>
      </w:r>
      <w:r w:rsidR="00832414" w:rsidRPr="00DF20DE">
        <w:rPr>
          <w:rFonts w:ascii="Times New Roman" w:eastAsia="Times New Roman" w:hAnsi="Times New Roman" w:cs="Times New Roman"/>
        </w:rPr>
        <w:t>o</w:t>
      </w:r>
      <w:r w:rsidRPr="00DF20DE">
        <w:rPr>
          <w:rFonts w:ascii="Times New Roman" w:eastAsia="Times New Roman" w:hAnsi="Times New Roman" w:cs="Times New Roman"/>
        </w:rPr>
        <w:t xml:space="preserve"> galima gerti valgant arba nevalgius. Tikagreloras ir jo aktyvus metabolitas yra P-gp substratai.</w:t>
      </w:r>
    </w:p>
    <w:p w14:paraId="754509B1"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7491CAFA" w14:textId="01CA0E06"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Sumaltų tikagreloro tablečių, sumaišytų su vandeniu ir pavartotų per burną arba per nazogastrinį </w:t>
      </w:r>
      <w:r w:rsidR="00832414" w:rsidRPr="00DF20DE">
        <w:rPr>
          <w:rFonts w:ascii="Times New Roman" w:eastAsia="Times New Roman" w:hAnsi="Times New Roman" w:cs="Times New Roman"/>
        </w:rPr>
        <w:t xml:space="preserve">zondą </w:t>
      </w:r>
      <w:r w:rsidRPr="00DF20DE">
        <w:rPr>
          <w:rFonts w:ascii="Times New Roman" w:eastAsia="Times New Roman" w:hAnsi="Times New Roman" w:cs="Times New Roman"/>
        </w:rPr>
        <w:t xml:space="preserve">tiesiai į skrandį, biologinis prieinamumas, apskaičiuotas pagal tikagreloro ir jo </w:t>
      </w:r>
      <w:r w:rsidRPr="00DF20DE">
        <w:rPr>
          <w:rFonts w:ascii="Times New Roman" w:eastAsia="Times New Roman" w:hAnsi="Times New Roman" w:cs="Times New Roman"/>
          <w:position w:val="2"/>
        </w:rPr>
        <w:t>aktyvaus metabolito AUC ir C</w:t>
      </w:r>
      <w:r w:rsidRPr="00DF20DE">
        <w:rPr>
          <w:rFonts w:ascii="Times New Roman" w:eastAsia="Times New Roman" w:hAnsi="Times New Roman" w:cs="Times New Roman"/>
          <w:sz w:val="14"/>
        </w:rPr>
        <w:t>max</w:t>
      </w:r>
      <w:r w:rsidRPr="00DF20DE">
        <w:rPr>
          <w:rFonts w:ascii="Times New Roman" w:eastAsia="Times New Roman" w:hAnsi="Times New Roman" w:cs="Times New Roman"/>
          <w:position w:val="2"/>
        </w:rPr>
        <w:t xml:space="preserve">, yra panašus kaip nepažeistų tablečių. Pradinė (0,5 ir 1 val. po dozės) </w:t>
      </w:r>
      <w:r w:rsidRPr="00DF20DE">
        <w:rPr>
          <w:rFonts w:ascii="Times New Roman" w:eastAsia="Times New Roman" w:hAnsi="Times New Roman" w:cs="Times New Roman"/>
        </w:rPr>
        <w:t>ekspozicija pavartojus sumaltų ir sumaišytų su vandeniu tikagreloro tablečių būna didesnė negu jų pavartojus nepažeistų, tačiau vėliau (po 2–48 val.) koncentracijos iš esmės nesiskiria.</w:t>
      </w:r>
    </w:p>
    <w:p w14:paraId="1824C671"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55DDAD00"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Pasiskirstymas</w:t>
      </w:r>
    </w:p>
    <w:p w14:paraId="3442AB92" w14:textId="3F88B4C0"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Tikagreloro pasiskirstymo tūris </w:t>
      </w:r>
      <w:r w:rsidR="00832414" w:rsidRPr="00DF20DE">
        <w:rPr>
          <w:rFonts w:ascii="Times New Roman" w:eastAsia="Times New Roman" w:hAnsi="Times New Roman" w:cs="Times New Roman"/>
        </w:rPr>
        <w:t xml:space="preserve">nusistovėjus pusiausvyrinei koncentracijai </w:t>
      </w:r>
      <w:r w:rsidRPr="00DF20DE">
        <w:rPr>
          <w:rFonts w:ascii="Times New Roman" w:eastAsia="Times New Roman" w:hAnsi="Times New Roman" w:cs="Times New Roman"/>
        </w:rPr>
        <w:t>yra 87,5 l. Didelė tikagreloro ir jo aktyvaus metabolito dalis (&gt; 99 %) būna prisijungusi prie žmogaus plazmos baltymų.</w:t>
      </w:r>
    </w:p>
    <w:p w14:paraId="7CBCE05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74F69349"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Biotransformacija</w:t>
      </w:r>
    </w:p>
    <w:p w14:paraId="327D4E22" w14:textId="77777777" w:rsidR="00864478" w:rsidRPr="00DF20DE" w:rsidRDefault="00864478" w:rsidP="00864478">
      <w:pPr>
        <w:widowControl w:val="0"/>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CYP3A4 yra pagrindinis tikagrelorą metabolizuojantis ir jo aktyvaus metabolito susidarymą skatinantis fermentas, o jų sąveika su kitais CYP3A substratais įvairuoja nuo aktyvinimo iki slopinimo.</w:t>
      </w:r>
    </w:p>
    <w:p w14:paraId="0C2B3683"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Pagrindinis tikagreloro metabolitas yra AR-C124910XX (jis yra aktyvus – tą rodo jungimosi prie </w:t>
      </w:r>
      <w:r w:rsidRPr="00DF20DE">
        <w:rPr>
          <w:rFonts w:ascii="Times New Roman" w:eastAsia="Times New Roman" w:hAnsi="Times New Roman" w:cs="Times New Roman"/>
          <w:position w:val="2"/>
        </w:rPr>
        <w:t>trombocitų P2Y</w:t>
      </w:r>
      <w:r w:rsidRPr="00DF20DE">
        <w:rPr>
          <w:rFonts w:ascii="Times New Roman" w:eastAsia="Times New Roman" w:hAnsi="Times New Roman" w:cs="Times New Roman"/>
          <w:sz w:val="14"/>
        </w:rPr>
        <w:t xml:space="preserve">12 </w:t>
      </w:r>
      <w:r w:rsidRPr="00DF20DE">
        <w:rPr>
          <w:rFonts w:ascii="Times New Roman" w:eastAsia="Times New Roman" w:hAnsi="Times New Roman" w:cs="Times New Roman"/>
          <w:position w:val="2"/>
        </w:rPr>
        <w:t xml:space="preserve">ADF receptorių tyrimų </w:t>
      </w:r>
      <w:r w:rsidRPr="00DF20DE">
        <w:rPr>
          <w:rFonts w:ascii="Times New Roman" w:eastAsia="Times New Roman" w:hAnsi="Times New Roman" w:cs="Times New Roman"/>
          <w:i/>
          <w:position w:val="2"/>
        </w:rPr>
        <w:t xml:space="preserve">in vitro </w:t>
      </w:r>
      <w:r w:rsidRPr="00DF20DE">
        <w:rPr>
          <w:rFonts w:ascii="Times New Roman" w:eastAsia="Times New Roman" w:hAnsi="Times New Roman" w:cs="Times New Roman"/>
          <w:position w:val="2"/>
        </w:rPr>
        <w:t xml:space="preserve">duomenys). Aktyviojo metabolito sisteminė </w:t>
      </w:r>
      <w:r w:rsidRPr="00DF20DE">
        <w:rPr>
          <w:rFonts w:ascii="Times New Roman" w:eastAsia="Times New Roman" w:hAnsi="Times New Roman" w:cs="Times New Roman"/>
        </w:rPr>
        <w:t>ekspozicija sudaro maždaug 30–40 % tikagreloro ekspozicijos.</w:t>
      </w:r>
    </w:p>
    <w:p w14:paraId="70D6EFF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00C1CA27"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Eliminacija</w:t>
      </w:r>
    </w:p>
    <w:p w14:paraId="2574FCC8"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Pagrindinis tikagreloro eliminacijos būdas yra metabolizmas kepenyse. Pavartojus radioaktyviu izotopu žymėto tikagreloro, išskirto randama maždaug 84 % radioaktyvumo (57,8 % išmatose, 26,5 % šlapime). Tikagreloro ir jo aktyvaus metabolito kiekis šlapime atitiko po mažiau kaip 1 % pavartotos dozės. Pagrindinis aktyvaus metabolito eliminacijos būdas tikriausiai yra išskyrimas su tulžimi.</w:t>
      </w:r>
    </w:p>
    <w:p w14:paraId="14124A7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position w:val="2"/>
        </w:rPr>
      </w:pPr>
      <w:r w:rsidRPr="00DF20DE">
        <w:rPr>
          <w:rFonts w:ascii="Times New Roman" w:eastAsia="Times New Roman" w:hAnsi="Times New Roman" w:cs="Times New Roman"/>
          <w:position w:val="2"/>
        </w:rPr>
        <w:t>Vidutinis tikagreloro t</w:t>
      </w:r>
      <w:r w:rsidRPr="00DF20DE">
        <w:rPr>
          <w:rFonts w:ascii="Times New Roman" w:eastAsia="Times New Roman" w:hAnsi="Times New Roman" w:cs="Times New Roman"/>
          <w:sz w:val="14"/>
        </w:rPr>
        <w:t xml:space="preserve">1/2 </w:t>
      </w:r>
      <w:r w:rsidRPr="00DF20DE">
        <w:rPr>
          <w:rFonts w:ascii="Times New Roman" w:eastAsia="Times New Roman" w:hAnsi="Times New Roman" w:cs="Times New Roman"/>
          <w:position w:val="2"/>
        </w:rPr>
        <w:t xml:space="preserve">buvo maždaug 7 val., jo aktyvaus metabolito – 8,5 val. </w:t>
      </w:r>
    </w:p>
    <w:p w14:paraId="1CC08DD8"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position w:val="2"/>
        </w:rPr>
      </w:pPr>
    </w:p>
    <w:p w14:paraId="220E4CEF"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u w:val="single"/>
        </w:rPr>
        <w:t>Ypatingos populiacijos</w:t>
      </w:r>
    </w:p>
    <w:p w14:paraId="19AA2429"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Senyvi pacientai</w:t>
      </w:r>
    </w:p>
    <w:p w14:paraId="2F3A04FC" w14:textId="7A8B08E8"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Populiacinė farmakokinetikos analizė parodė didesnę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ir AUC – maždaug po 25 %) ir </w:t>
      </w:r>
      <w:r w:rsidRPr="00DF20DE">
        <w:rPr>
          <w:rFonts w:ascii="Times New Roman" w:eastAsia="Times New Roman" w:hAnsi="Times New Roman" w:cs="Times New Roman"/>
        </w:rPr>
        <w:t>jo aktyvaus metabolito ekspoziciją ūminių koronarinių sindromų ištiktiems senyviems (75 metų ir vyresniems) pacientams negu jaunesniems, tačiau šie skirtumai nelaikomi klini</w:t>
      </w:r>
      <w:r w:rsidR="00832414" w:rsidRPr="00DF20DE">
        <w:rPr>
          <w:rFonts w:ascii="Times New Roman" w:eastAsia="Times New Roman" w:hAnsi="Times New Roman" w:cs="Times New Roman"/>
        </w:rPr>
        <w:t>š</w:t>
      </w:r>
      <w:r w:rsidRPr="00DF20DE">
        <w:rPr>
          <w:rFonts w:ascii="Times New Roman" w:eastAsia="Times New Roman" w:hAnsi="Times New Roman" w:cs="Times New Roman"/>
        </w:rPr>
        <w:t xml:space="preserve">kai </w:t>
      </w:r>
      <w:r w:rsidR="00832414" w:rsidRPr="00DF20DE">
        <w:rPr>
          <w:rFonts w:ascii="Times New Roman" w:eastAsia="Times New Roman" w:hAnsi="Times New Roman" w:cs="Times New Roman"/>
        </w:rPr>
        <w:t xml:space="preserve">reikšmingais </w:t>
      </w:r>
      <w:r w:rsidRPr="00DF20DE">
        <w:rPr>
          <w:rFonts w:ascii="Times New Roman" w:eastAsia="Times New Roman" w:hAnsi="Times New Roman" w:cs="Times New Roman"/>
        </w:rPr>
        <w:t>(žr. 4.2 skyrių).</w:t>
      </w:r>
    </w:p>
    <w:p w14:paraId="5FDE0FB3"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650D278B"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Vaikų populiacija</w:t>
      </w:r>
    </w:p>
    <w:p w14:paraId="44B2FC07"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Vaikams, sergantiems pjautuvo pavidalo ląstelių liga, duomenų yra nedaug (žr. 4.2 ir 5.1 skyrius).</w:t>
      </w:r>
    </w:p>
    <w:p w14:paraId="217B6E0A"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173932C7"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HESTIA 3 tyrimo metu nuo 2 iki &lt; 18 metų amžiaus pacientai, kurių svoris buvo nuo ≥ 12 iki ≤ 24 kg,</w:t>
      </w:r>
    </w:p>
    <w:p w14:paraId="085DB82A"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nuo &gt; 24 iki ≤ 48 kg ir &gt; 48 kg, vartojo vaikams skirtas disperguojamas tikagreloro 15 mg tabletes</w:t>
      </w:r>
    </w:p>
    <w:p w14:paraId="0E6EDBC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atitinkamai po 15 mg, 30 mg ir 45 mg du kartus per parą dozėmis. Populiacinės farmakokinetikos</w:t>
      </w:r>
    </w:p>
    <w:p w14:paraId="4DF1534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analizės duomenimis, pusiausvyros apykaitos sąlygomis vidutinis AUC rodmuo buvo nuo</w:t>
      </w:r>
    </w:p>
    <w:p w14:paraId="3E15A928" w14:textId="68C39E82"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lastRenderedPageBreak/>
        <w:t>1 095 ng×val./ml iki 1 458 ng×val./ml, o vidutinis Cmax rodmuo – nuo 143 ng/ml iki 206 ng/ml.</w:t>
      </w:r>
    </w:p>
    <w:p w14:paraId="60074ADB"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12CF9FE8"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Lytis</w:t>
      </w:r>
    </w:p>
    <w:p w14:paraId="423653C9" w14:textId="42E1B759"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Moterims nustatyta didesnė tikagreloro ir jo aktyvaus metabolito ekspozicija negu vyrams, tačiau šie skirtumai nelaikomi klini</w:t>
      </w:r>
      <w:r w:rsidR="00832414" w:rsidRPr="00DF20DE">
        <w:rPr>
          <w:rFonts w:ascii="Times New Roman" w:eastAsia="Times New Roman" w:hAnsi="Times New Roman" w:cs="Times New Roman"/>
        </w:rPr>
        <w:t>š</w:t>
      </w:r>
      <w:r w:rsidRPr="00DF20DE">
        <w:rPr>
          <w:rFonts w:ascii="Times New Roman" w:eastAsia="Times New Roman" w:hAnsi="Times New Roman" w:cs="Times New Roman"/>
        </w:rPr>
        <w:t>kai</w:t>
      </w:r>
      <w:r w:rsidR="00832414" w:rsidRPr="00DF20DE">
        <w:rPr>
          <w:rFonts w:ascii="Times New Roman" w:eastAsia="Times New Roman" w:hAnsi="Times New Roman" w:cs="Times New Roman"/>
        </w:rPr>
        <w:t xml:space="preserve"> reikšmingais</w:t>
      </w:r>
      <w:r w:rsidRPr="00DF20DE">
        <w:rPr>
          <w:rFonts w:ascii="Times New Roman" w:eastAsia="Times New Roman" w:hAnsi="Times New Roman" w:cs="Times New Roman"/>
        </w:rPr>
        <w:t>.</w:t>
      </w:r>
    </w:p>
    <w:p w14:paraId="39390AF4"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5C6610AD"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Sutrikusi inkstų funkcija</w:t>
      </w:r>
    </w:p>
    <w:p w14:paraId="529A951D"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Sunkiu inkstų nepakankamumu (kreatinino klirensas &lt; 30 ml/min.) sergantiems pacientams nustatyta maždaug 20 % mažesnė tikagreloro ir maždaug 17 % didesnė jo aktyvaus metabolito ekspozicija negu turintiems normalią inkstų funkciją.</w:t>
      </w:r>
    </w:p>
    <w:p w14:paraId="0F575254"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23FE1D5C"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Terminalinės stadijos inkstų liga sergantiems hemodializuojamiems pacientams, ne dializės dieną </w:t>
      </w:r>
      <w:r w:rsidRPr="00DF20DE">
        <w:rPr>
          <w:rFonts w:ascii="Times New Roman" w:eastAsia="Times New Roman" w:hAnsi="Times New Roman" w:cs="Times New Roman"/>
          <w:position w:val="2"/>
        </w:rPr>
        <w:t>išgėrusiems 90 mg tikagreloro, AUC ir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buvo atitinkamai 38 % ir 51 % didesni negu turėjusiems </w:t>
      </w:r>
      <w:r w:rsidRPr="00DF20DE">
        <w:rPr>
          <w:rFonts w:ascii="Times New Roman" w:eastAsia="Times New Roman" w:hAnsi="Times New Roman" w:cs="Times New Roman"/>
        </w:rPr>
        <w:t xml:space="preserve">normalią inkstų funkciją. Tikagreloro išgėrus prieš pat dializę, jo ekspozicija padidėjo panašiai (atitinkamai 49 % ir 61 %) – tai rodo, kad dializės metu tikagreloro nepašalinama. Aktyvaus </w:t>
      </w:r>
      <w:r w:rsidRPr="00DF20DE">
        <w:rPr>
          <w:rFonts w:ascii="Times New Roman" w:eastAsia="Times New Roman" w:hAnsi="Times New Roman" w:cs="Times New Roman"/>
          <w:position w:val="2"/>
        </w:rPr>
        <w:t>metabolito ekspozicija padidėjo mažiau (AUC – 13–14 %,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 17–36 %). Tikagreloro sukeliamas </w:t>
      </w:r>
      <w:r w:rsidRPr="00DF20DE">
        <w:rPr>
          <w:rFonts w:ascii="Times New Roman" w:eastAsia="Times New Roman" w:hAnsi="Times New Roman" w:cs="Times New Roman"/>
        </w:rPr>
        <w:t>galutinės stadijos inkstų liga sergančių hemodializuojamų pacientų trombocitų agregacijos slopinimas nepriklausė nuo dializių ir buvo panašus kaip normalią inkstų funkciją turėjusių tiriamųjų (žr. 4.2 skyrių).</w:t>
      </w:r>
    </w:p>
    <w:p w14:paraId="66B918C7"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65F879A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Sutrikusi kepenų funkcija</w:t>
      </w:r>
    </w:p>
    <w:p w14:paraId="085F38E9" w14:textId="6843AFF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position w:val="2"/>
        </w:rPr>
        <w:t>Pacientams, kuriems yra lengvas kepenų funkcijos sutrikimas, tikagreloro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ir AUC buvo atitinkamai 12 % ir </w:t>
      </w:r>
      <w:r w:rsidRPr="00DF20DE">
        <w:rPr>
          <w:rFonts w:ascii="Times New Roman" w:eastAsia="Times New Roman" w:hAnsi="Times New Roman" w:cs="Times New Roman"/>
        </w:rPr>
        <w:t xml:space="preserve">23 % didesni negu sveikiems asmenims, tačiau </w:t>
      </w:r>
      <w:r w:rsidR="00832414" w:rsidRPr="00DF20DE">
        <w:rPr>
          <w:rFonts w:ascii="Times New Roman" w:eastAsia="Times New Roman" w:hAnsi="Times New Roman" w:cs="Times New Roman"/>
        </w:rPr>
        <w:t xml:space="preserve">trombocitų agregacijos slopinimo </w:t>
      </w:r>
      <w:r w:rsidRPr="00DF20DE">
        <w:rPr>
          <w:rFonts w:ascii="Times New Roman" w:eastAsia="Times New Roman" w:hAnsi="Times New Roman" w:cs="Times New Roman"/>
        </w:rPr>
        <w:t>poveikis buvo panašus. Pacientams, kuriems yra lengvas kepenų funkcijos sutrikimas, dozės koreguoti nereikia. Tikagreloro poveikis pacientams, kuriems yra sunkus kepenų funkcijos sutrikimas, netirtas; pacientams, kuriems yra vidutinio sunkumo kepenų funkcijos sutrikimas, farmakokinetikos duomenų nėra. Pacientų, kurių vienas ar keli kepenų funkcijos rodikliai iš pradžių buvo vidutiniškai arba labai padidėję, plazmoje vidutinė tikagreloro koncentracija buvo panaši arba šiek tiek didesnė negu tų, kurių atitinkami rodikliai padidėję nebuvo. Dėl vidutinio sunkumo kepenų funkcijos sutrikimo dozės koreguoti nerekomenduojama (žr. 4.2 ir 4.4 skyrius).</w:t>
      </w:r>
    </w:p>
    <w:p w14:paraId="4816FC30"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34D5AA76"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rPr>
      </w:pPr>
      <w:r w:rsidRPr="00DF20DE">
        <w:rPr>
          <w:rFonts w:ascii="Times New Roman" w:eastAsia="Times New Roman" w:hAnsi="Times New Roman" w:cs="Times New Roman"/>
          <w:i/>
          <w:u w:val="single"/>
        </w:rPr>
        <w:t>Rasė</w:t>
      </w:r>
    </w:p>
    <w:p w14:paraId="03F92F5D" w14:textId="07C28062"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Vidutinis biologinis prieinamumas pacientams azijiečiams buvo 39 % didesnis negu europidams (baltiesiems). Pacientams, save identifikavusiems </w:t>
      </w:r>
      <w:r w:rsidR="00832414" w:rsidRPr="00DF20DE">
        <w:rPr>
          <w:rFonts w:ascii="Times New Roman" w:eastAsia="Times New Roman" w:hAnsi="Times New Roman" w:cs="Times New Roman"/>
        </w:rPr>
        <w:t>juodaodžiais</w:t>
      </w:r>
      <w:r w:rsidRPr="00DF20DE">
        <w:rPr>
          <w:rFonts w:ascii="Times New Roman" w:eastAsia="Times New Roman" w:hAnsi="Times New Roman" w:cs="Times New Roman"/>
        </w:rPr>
        <w:t xml:space="preserve">, tikagreloro biologinis prieinamumas buvo 18 % mažesnis negu europidams. Atliekant klinikinius farmakologinius tyrimus nustatyta </w:t>
      </w:r>
      <w:r w:rsidRPr="00DF20DE">
        <w:rPr>
          <w:rFonts w:ascii="Times New Roman" w:eastAsia="Times New Roman" w:hAnsi="Times New Roman" w:cs="Times New Roman"/>
          <w:position w:val="2"/>
        </w:rPr>
        <w:t>tikagreloro ekspozicija (C</w:t>
      </w:r>
      <w:r w:rsidRPr="00DF20DE">
        <w:rPr>
          <w:rFonts w:ascii="Times New Roman" w:eastAsia="Times New Roman" w:hAnsi="Times New Roman" w:cs="Times New Roman"/>
          <w:sz w:val="14"/>
        </w:rPr>
        <w:t xml:space="preserve">max </w:t>
      </w:r>
      <w:r w:rsidRPr="00DF20DE">
        <w:rPr>
          <w:rFonts w:ascii="Times New Roman" w:eastAsia="Times New Roman" w:hAnsi="Times New Roman" w:cs="Times New Roman"/>
          <w:position w:val="2"/>
        </w:rPr>
        <w:t xml:space="preserve">ir AUC) japonų rasės asmenims yra maždaug 40 % (koreguota pagal </w:t>
      </w:r>
      <w:r w:rsidRPr="00DF20DE">
        <w:rPr>
          <w:rFonts w:ascii="Times New Roman" w:eastAsia="Times New Roman" w:hAnsi="Times New Roman" w:cs="Times New Roman"/>
        </w:rPr>
        <w:t>kūno svorį – 20 %) didesnė negu europidams. Pacientų, kurie save laikė ispaniškos arba Lotynų Amerikos kilmės, ekspozicija buvo panaši kaip europidų.</w:t>
      </w:r>
    </w:p>
    <w:p w14:paraId="099AA2A2" w14:textId="77777777" w:rsidR="00864478" w:rsidRPr="00DF20DE" w:rsidRDefault="00864478" w:rsidP="00864478">
      <w:pPr>
        <w:widowControl w:val="0"/>
        <w:tabs>
          <w:tab w:val="left" w:pos="782"/>
        </w:tabs>
        <w:autoSpaceDE w:val="0"/>
        <w:autoSpaceDN w:val="0"/>
        <w:spacing w:after="0" w:line="240" w:lineRule="auto"/>
        <w:outlineLvl w:val="1"/>
        <w:rPr>
          <w:rFonts w:ascii="Times New Roman" w:eastAsia="Times New Roman" w:hAnsi="Times New Roman" w:cs="Times New Roman"/>
          <w:b/>
          <w:bCs/>
        </w:rPr>
      </w:pPr>
    </w:p>
    <w:p w14:paraId="0C5DDBE6" w14:textId="77777777" w:rsidR="00864478" w:rsidRPr="00DF20DE" w:rsidRDefault="00864478" w:rsidP="00864478">
      <w:pPr>
        <w:widowControl w:val="0"/>
        <w:tabs>
          <w:tab w:val="left" w:pos="782"/>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5.3</w:t>
      </w:r>
      <w:r w:rsidRPr="00DF20DE">
        <w:rPr>
          <w:rFonts w:ascii="Times New Roman" w:eastAsia="Times New Roman" w:hAnsi="Times New Roman" w:cs="Times New Roman"/>
          <w:b/>
          <w:bCs/>
        </w:rPr>
        <w:tab/>
        <w:t>Ikiklinikinių saugumo tyrimų duomenys</w:t>
      </w:r>
    </w:p>
    <w:p w14:paraId="07C9BF21"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
          <w:sz w:val="21"/>
        </w:rPr>
      </w:pPr>
    </w:p>
    <w:p w14:paraId="61B60DC8" w14:textId="77777777" w:rsidR="00864478" w:rsidRPr="00DF20DE" w:rsidRDefault="00864478" w:rsidP="00864478">
      <w:pPr>
        <w:widowControl w:val="0"/>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Tikagreloro ir jo pagrindinio metabolito įprastų farmakologinio saugumo, vienos dozės ir kartotinių dozių toksiškumo bei genotoksiškumo ikiklinikinių tyrimų duomenys nepriimtinos nepageidaujamų poveikių rizikos žmogui neparodė.</w:t>
      </w:r>
    </w:p>
    <w:p w14:paraId="203BA5B9"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2B516B8C"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Esant klinikai reikšmingai ekspozicijai, kelioms gyvūnų rūšims nustatyta virškinimo trakto sutrikimų (žr. 4.8 skyrių).</w:t>
      </w:r>
    </w:p>
    <w:p w14:paraId="6D979C51"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6C54D40C"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Žiurkių patelėms didelės tikagreloro dozės sukėlė gimdos navikų (adenokarcinomų) ir kepenų adenomų padažnėjimą. Tikėtinas gimdos navikų atsiradimo mechanizmas yra sutrikusi hormonų pusiausvyra, dėl kurios gali atsirasti navikų žiurkėms. Tikėtinas kepenų adenomų atsiradimo mechanizmas yra graužikams specifinė kepenų fermentų indukcija. Dėl to manoma, kad nustatyti kancerogeniškumo duomenys neturėtų būti reikšmingi žmonėms.</w:t>
      </w:r>
    </w:p>
    <w:p w14:paraId="0D57BDAF"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p>
    <w:p w14:paraId="7A1496A5"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Žiurkėms skiriant šio vaistinio preparato dozėmis, sukeliančiomis toksinį poveikį vaikingoms patelėms, nustatyta vystymosi anomalijų (saugumo riba – 5,1). Vaikingoms triušių patelėms davus šio vaistinio preparato didelėmis, bet toksinio poveikio joms nesukeliančiomis dozėmis, nustatytas </w:t>
      </w:r>
      <w:r w:rsidRPr="00DF20DE">
        <w:rPr>
          <w:rFonts w:ascii="Times New Roman" w:eastAsia="Times New Roman" w:hAnsi="Times New Roman" w:cs="Times New Roman"/>
        </w:rPr>
        <w:lastRenderedPageBreak/>
        <w:t>nežymus jų vaisių kepenų brendimo ir skeleto vystymosi sulėtėjimas (saugumo riba – 4,5).</w:t>
      </w:r>
    </w:p>
    <w:p w14:paraId="02E4415D"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09AC455C"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Su žiurkėmis ir triušiais atlikti tyrimai parodė toksinį poveikį reprodukcijai: šiek tiek sumažėjo vaikingų patelių svorio prieaugis, atsivestų jauniklių gyvybingumas ir atsivedimo svoris, jie lėčiau augo. Tikagreloras sukėlė ciklų nereguliarumą (dažniausiai jie užsitęsdavo) žiurkių patelėms, tačiau įtakos bendram žiurkių patinų ir patelių vaisingumui neturėjo. Su radioaktyviu izotopu žymėtu tikagreloru atlikti farmakokinetikos tyrimai parodė nepakitusio tikagreloro ir jo metabolitų išskyrimą su žiurkių pienu (žr. 4.6 skyrių).</w:t>
      </w:r>
    </w:p>
    <w:p w14:paraId="30ED9339"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4"/>
        </w:rPr>
      </w:pPr>
    </w:p>
    <w:p w14:paraId="2535B00A"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rPr>
      </w:pPr>
    </w:p>
    <w:p w14:paraId="17AF3F06" w14:textId="77777777" w:rsidR="00864478" w:rsidRPr="00DF20DE" w:rsidRDefault="00864478" w:rsidP="00020879">
      <w:pPr>
        <w:widowControl w:val="0"/>
        <w:numPr>
          <w:ilvl w:val="0"/>
          <w:numId w:val="19"/>
        </w:numPr>
        <w:tabs>
          <w:tab w:val="left" w:pos="782"/>
          <w:tab w:val="left" w:pos="783"/>
        </w:tabs>
        <w:autoSpaceDE w:val="0"/>
        <w:autoSpaceDN w:val="0"/>
        <w:spacing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FARMACINĖ INFORMACIJA</w:t>
      </w:r>
    </w:p>
    <w:p w14:paraId="39117AAC"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
        </w:rPr>
      </w:pPr>
    </w:p>
    <w:p w14:paraId="6E9BDE21" w14:textId="77777777" w:rsidR="00864478" w:rsidRPr="00DF20DE" w:rsidRDefault="00864478" w:rsidP="0086447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6.1</w:t>
      </w:r>
      <w:r w:rsidRPr="00DF20DE">
        <w:rPr>
          <w:rFonts w:ascii="Times New Roman" w:eastAsia="Times New Roman" w:hAnsi="Times New Roman" w:cs="Times New Roman"/>
          <w:b/>
          <w:bCs/>
        </w:rPr>
        <w:tab/>
        <w:t>Pagalbinių medžiagų sąrašas</w:t>
      </w:r>
    </w:p>
    <w:p w14:paraId="6CA57EA3"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
          <w:sz w:val="21"/>
        </w:rPr>
      </w:pPr>
    </w:p>
    <w:p w14:paraId="23F82DBA"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u w:val="single"/>
        </w:rPr>
      </w:pPr>
      <w:r w:rsidRPr="00DF20DE">
        <w:rPr>
          <w:rFonts w:ascii="Times New Roman" w:eastAsia="Times New Roman" w:hAnsi="Times New Roman" w:cs="Times New Roman"/>
          <w:u w:val="single"/>
        </w:rPr>
        <w:t>Tabletės šerdis</w:t>
      </w:r>
    </w:p>
    <w:p w14:paraId="02FEEB73"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Manitolis (E421)</w:t>
      </w:r>
    </w:p>
    <w:p w14:paraId="089B5B1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Kalcio-vandenilio fosfatas dihidratas (E341) </w:t>
      </w:r>
    </w:p>
    <w:p w14:paraId="1112CD36" w14:textId="2E615D2F"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Karboksimetilkrakmolo natrio druska</w:t>
      </w:r>
    </w:p>
    <w:p w14:paraId="195739D5"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Hipromeliozė</w:t>
      </w:r>
    </w:p>
    <w:p w14:paraId="4252501C"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Magnio stearatas (E470b)</w:t>
      </w:r>
    </w:p>
    <w:p w14:paraId="0AC0B0FD"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i/>
          <w:highlight w:val="yellow"/>
        </w:rPr>
      </w:pPr>
    </w:p>
    <w:p w14:paraId="1D52A331"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u w:val="single"/>
        </w:rPr>
      </w:pPr>
      <w:r w:rsidRPr="00DF20DE">
        <w:rPr>
          <w:rFonts w:ascii="Times New Roman" w:eastAsia="Times New Roman" w:hAnsi="Times New Roman" w:cs="Times New Roman"/>
          <w:sz w:val="21"/>
          <w:u w:val="single"/>
        </w:rPr>
        <w:t>Tabletės plėvelė</w:t>
      </w:r>
    </w:p>
    <w:p w14:paraId="064B5B02"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Hipromeliozė</w:t>
      </w:r>
    </w:p>
    <w:p w14:paraId="13EF04CA"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r w:rsidRPr="00DF20DE">
        <w:rPr>
          <w:rFonts w:ascii="Times New Roman" w:eastAsia="Times New Roman" w:hAnsi="Times New Roman" w:cs="Times New Roman"/>
          <w:sz w:val="21"/>
        </w:rPr>
        <w:t>Titano dioksidas (E171)</w:t>
      </w:r>
    </w:p>
    <w:p w14:paraId="5397818A"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1"/>
        </w:rPr>
      </w:pPr>
      <w:r w:rsidRPr="00DF20DE">
        <w:rPr>
          <w:rFonts w:ascii="Times New Roman" w:eastAsia="Times New Roman" w:hAnsi="Times New Roman" w:cs="Times New Roman"/>
          <w:sz w:val="21"/>
        </w:rPr>
        <w:t>Makrogolis</w:t>
      </w:r>
    </w:p>
    <w:p w14:paraId="765161E6" w14:textId="63D26D3D" w:rsidR="00864478" w:rsidRPr="00DF20DE" w:rsidRDefault="00B61CB8" w:rsidP="00864478">
      <w:pPr>
        <w:widowControl w:val="0"/>
        <w:autoSpaceDE w:val="0"/>
        <w:autoSpaceDN w:val="0"/>
        <w:spacing w:after="0" w:line="240" w:lineRule="auto"/>
        <w:rPr>
          <w:rFonts w:ascii="Times New Roman" w:eastAsia="Times New Roman" w:hAnsi="Times New Roman" w:cs="Times New Roman"/>
          <w:sz w:val="21"/>
        </w:rPr>
      </w:pPr>
      <w:r w:rsidRPr="00DF20DE">
        <w:rPr>
          <w:rFonts w:ascii="Times New Roman" w:eastAsia="Times New Roman" w:hAnsi="Times New Roman" w:cs="Times New Roman"/>
          <w:sz w:val="21"/>
        </w:rPr>
        <w:t>Geltonasis</w:t>
      </w:r>
      <w:r w:rsidR="00864478" w:rsidRPr="00DF20DE">
        <w:rPr>
          <w:rFonts w:ascii="Times New Roman" w:eastAsia="Times New Roman" w:hAnsi="Times New Roman" w:cs="Times New Roman"/>
          <w:sz w:val="21"/>
        </w:rPr>
        <w:t xml:space="preserve"> geležies oksidas (E172)</w:t>
      </w:r>
    </w:p>
    <w:p w14:paraId="2B259B6F" w14:textId="3F630636" w:rsidR="00864478" w:rsidRPr="00DF20DE" w:rsidRDefault="00612152" w:rsidP="00864478">
      <w:pPr>
        <w:widowControl w:val="0"/>
        <w:autoSpaceDE w:val="0"/>
        <w:autoSpaceDN w:val="0"/>
        <w:spacing w:after="0" w:line="240" w:lineRule="auto"/>
        <w:rPr>
          <w:rFonts w:ascii="Times New Roman" w:eastAsia="Times New Roman" w:hAnsi="Times New Roman" w:cs="Times New Roman"/>
          <w:sz w:val="21"/>
        </w:rPr>
      </w:pPr>
      <w:r w:rsidRPr="00DF20DE">
        <w:rPr>
          <w:rFonts w:ascii="Times New Roman" w:eastAsia="Times New Roman" w:hAnsi="Times New Roman" w:cs="Times New Roman"/>
          <w:sz w:val="21"/>
        </w:rPr>
        <w:t>Talkas (E553b)</w:t>
      </w:r>
    </w:p>
    <w:p w14:paraId="5A352F56" w14:textId="77777777" w:rsidR="00864478" w:rsidRPr="00DF20DE" w:rsidRDefault="00864478" w:rsidP="0086447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p>
    <w:p w14:paraId="4565D194" w14:textId="77777777" w:rsidR="00864478" w:rsidRPr="00DF20DE" w:rsidRDefault="00864478" w:rsidP="0086447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6.2</w:t>
      </w:r>
      <w:r w:rsidRPr="00DF20DE">
        <w:rPr>
          <w:rFonts w:ascii="Times New Roman" w:eastAsia="Times New Roman" w:hAnsi="Times New Roman" w:cs="Times New Roman"/>
          <w:b/>
          <w:bCs/>
        </w:rPr>
        <w:tab/>
        <w:t>Nesuderinamumas</w:t>
      </w:r>
    </w:p>
    <w:p w14:paraId="6E2604B6"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
          <w:sz w:val="21"/>
        </w:rPr>
      </w:pPr>
    </w:p>
    <w:p w14:paraId="438FB42D"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Duomenys nebūtini.</w:t>
      </w:r>
    </w:p>
    <w:p w14:paraId="7AFFF823"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48DF5618" w14:textId="77777777" w:rsidR="00864478" w:rsidRPr="00DF20DE" w:rsidRDefault="00864478" w:rsidP="00864478">
      <w:pPr>
        <w:widowControl w:val="0"/>
        <w:tabs>
          <w:tab w:val="left" w:pos="782"/>
          <w:tab w:val="left" w:pos="783"/>
        </w:tabs>
        <w:autoSpaceDE w:val="0"/>
        <w:autoSpaceDN w:val="0"/>
        <w:spacing w:after="0" w:line="240" w:lineRule="auto"/>
        <w:ind w:left="630" w:hanging="630"/>
        <w:outlineLvl w:val="1"/>
        <w:rPr>
          <w:rFonts w:ascii="Times New Roman" w:eastAsia="Times New Roman" w:hAnsi="Times New Roman" w:cs="Times New Roman"/>
          <w:b/>
          <w:bCs/>
        </w:rPr>
      </w:pPr>
      <w:r w:rsidRPr="00DF20DE">
        <w:rPr>
          <w:rFonts w:ascii="Times New Roman" w:eastAsia="Times New Roman" w:hAnsi="Times New Roman" w:cs="Times New Roman"/>
          <w:b/>
          <w:bCs/>
        </w:rPr>
        <w:t>6.3</w:t>
      </w:r>
      <w:r w:rsidRPr="00DF20DE">
        <w:rPr>
          <w:rFonts w:ascii="Times New Roman" w:eastAsia="Times New Roman" w:hAnsi="Times New Roman" w:cs="Times New Roman"/>
          <w:b/>
          <w:bCs/>
        </w:rPr>
        <w:tab/>
        <w:t>Tinkamumo laikas</w:t>
      </w:r>
    </w:p>
    <w:p w14:paraId="3AF6A877"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
          <w:sz w:val="21"/>
        </w:rPr>
      </w:pPr>
    </w:p>
    <w:p w14:paraId="23A9BD97" w14:textId="5269EF7F"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3 metai</w:t>
      </w:r>
    </w:p>
    <w:p w14:paraId="41DB13F6"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0C99907F" w14:textId="77777777" w:rsidR="00864478" w:rsidRPr="00DF20DE" w:rsidRDefault="00864478" w:rsidP="00864478">
      <w:pPr>
        <w:widowControl w:val="0"/>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6.4</w:t>
      </w:r>
      <w:r w:rsidRPr="00DF20DE">
        <w:rPr>
          <w:rFonts w:ascii="Times New Roman" w:eastAsia="Times New Roman" w:hAnsi="Times New Roman" w:cs="Times New Roman"/>
          <w:b/>
          <w:bCs/>
        </w:rPr>
        <w:tab/>
        <w:t>Specialios laikymo sąlygos</w:t>
      </w:r>
    </w:p>
    <w:p w14:paraId="7A492097"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6274337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Šiam vaistiniam preparatui specialių laikymo sąlygų nereikia.</w:t>
      </w:r>
    </w:p>
    <w:p w14:paraId="1EE865AE"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5491962E" w14:textId="77777777" w:rsidR="00864478" w:rsidRPr="00DF20DE" w:rsidRDefault="00864478" w:rsidP="00864478">
      <w:pPr>
        <w:widowControl w:val="0"/>
        <w:tabs>
          <w:tab w:val="left" w:pos="783"/>
        </w:tabs>
        <w:autoSpaceDE w:val="0"/>
        <w:autoSpaceDN w:val="0"/>
        <w:spacing w:after="0" w:line="240" w:lineRule="auto"/>
        <w:ind w:left="540" w:hanging="540"/>
        <w:jc w:val="both"/>
        <w:outlineLvl w:val="1"/>
        <w:rPr>
          <w:rFonts w:ascii="Times New Roman" w:eastAsia="Times New Roman" w:hAnsi="Times New Roman" w:cs="Times New Roman"/>
          <w:b/>
          <w:bCs/>
        </w:rPr>
      </w:pPr>
      <w:r w:rsidRPr="00DF20DE">
        <w:rPr>
          <w:rFonts w:ascii="Times New Roman" w:eastAsia="Times New Roman" w:hAnsi="Times New Roman" w:cs="Times New Roman"/>
          <w:b/>
          <w:bCs/>
        </w:rPr>
        <w:t>6.5</w:t>
      </w:r>
      <w:r w:rsidRPr="00DF20DE">
        <w:rPr>
          <w:rFonts w:ascii="Times New Roman" w:eastAsia="Times New Roman" w:hAnsi="Times New Roman" w:cs="Times New Roman"/>
          <w:b/>
          <w:bCs/>
        </w:rPr>
        <w:tab/>
        <w:t>Talpyklės pobūdis ir jos turinys</w:t>
      </w:r>
    </w:p>
    <w:p w14:paraId="703B57F9"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
          <w:sz w:val="21"/>
        </w:rPr>
      </w:pPr>
    </w:p>
    <w:p w14:paraId="2FAACF90" w14:textId="0DD6F00D" w:rsidR="00864478" w:rsidRPr="00DF20DE" w:rsidRDefault="00864478" w:rsidP="00864478">
      <w:pPr>
        <w:tabs>
          <w:tab w:val="left" w:pos="567"/>
        </w:tabs>
        <w:spacing w:after="0" w:line="240" w:lineRule="auto"/>
        <w:rPr>
          <w:rFonts w:ascii="Times New Roman" w:eastAsia="Times New Roman" w:hAnsi="Times New Roman" w:cs="Times New Roman"/>
          <w:snapToGrid w:val="0"/>
        </w:rPr>
      </w:pPr>
      <w:r w:rsidRPr="00DF20DE">
        <w:rPr>
          <w:rFonts w:ascii="Times New Roman" w:eastAsia="Times New Roman" w:hAnsi="Times New Roman" w:cs="Times New Roman"/>
          <w:snapToGrid w:val="0"/>
        </w:rPr>
        <w:t>Kartono dėžutė, kurioje yra 14 plėvele dengtų tablečių permatomose PVC-PVDC / Al lizdinėse plokštelėse.</w:t>
      </w:r>
    </w:p>
    <w:p w14:paraId="46E99490" w14:textId="77777777" w:rsidR="00864478" w:rsidRPr="00DF20DE" w:rsidRDefault="00864478" w:rsidP="00864478">
      <w:pPr>
        <w:tabs>
          <w:tab w:val="left" w:pos="567"/>
        </w:tabs>
        <w:spacing w:after="0" w:line="240" w:lineRule="auto"/>
        <w:rPr>
          <w:rFonts w:ascii="Times New Roman" w:eastAsia="Times New Roman" w:hAnsi="Times New Roman" w:cs="Times New Roman"/>
          <w:snapToGrid w:val="0"/>
          <w:highlight w:val="yellow"/>
        </w:rPr>
      </w:pPr>
    </w:p>
    <w:p w14:paraId="02FDA9D5" w14:textId="77777777" w:rsidR="00864478" w:rsidRPr="00DF20DE" w:rsidRDefault="00864478" w:rsidP="00864478">
      <w:pPr>
        <w:tabs>
          <w:tab w:val="left" w:pos="567"/>
        </w:tabs>
        <w:spacing w:after="0" w:line="240" w:lineRule="auto"/>
        <w:rPr>
          <w:rFonts w:ascii="Times New Roman" w:eastAsia="Times New Roman" w:hAnsi="Times New Roman" w:cs="Times New Roman"/>
          <w:snapToGrid w:val="0"/>
        </w:rPr>
      </w:pPr>
      <w:r w:rsidRPr="00DF20DE">
        <w:rPr>
          <w:rFonts w:ascii="Times New Roman" w:eastAsia="Times New Roman" w:hAnsi="Times New Roman" w:cs="Times New Roman"/>
          <w:snapToGrid w:val="0"/>
        </w:rPr>
        <w:t>Pakuotėje yra 56 plėvele dengtos tabletės</w:t>
      </w:r>
      <w:r w:rsidRPr="00DF20DE">
        <w:rPr>
          <w:rFonts w:ascii="Times New Roman" w:eastAsia="TimesNewRoman" w:hAnsi="Times New Roman" w:cs="Times New Roman"/>
          <w:snapToGrid w:val="0"/>
          <w:lang w:eastAsia="pl-PL"/>
        </w:rPr>
        <w:t>.</w:t>
      </w:r>
    </w:p>
    <w:p w14:paraId="586902BB"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highlight w:val="yellow"/>
        </w:rPr>
      </w:pPr>
    </w:p>
    <w:p w14:paraId="79662577" w14:textId="77777777" w:rsidR="00864478" w:rsidRPr="00DF20DE" w:rsidRDefault="00864478" w:rsidP="00864478">
      <w:pPr>
        <w:widowControl w:val="0"/>
        <w:tabs>
          <w:tab w:val="left" w:pos="783"/>
        </w:tabs>
        <w:autoSpaceDE w:val="0"/>
        <w:autoSpaceDN w:val="0"/>
        <w:spacing w:after="0" w:line="240" w:lineRule="auto"/>
        <w:ind w:left="540" w:hanging="540"/>
        <w:jc w:val="both"/>
        <w:outlineLvl w:val="1"/>
        <w:rPr>
          <w:rFonts w:ascii="Times New Roman" w:eastAsia="Times New Roman" w:hAnsi="Times New Roman" w:cs="Times New Roman"/>
          <w:b/>
          <w:bCs/>
        </w:rPr>
      </w:pPr>
      <w:r w:rsidRPr="00DF20DE">
        <w:rPr>
          <w:rFonts w:ascii="Times New Roman" w:eastAsia="Times New Roman" w:hAnsi="Times New Roman" w:cs="Times New Roman"/>
          <w:b/>
          <w:bCs/>
        </w:rPr>
        <w:t>6.6</w:t>
      </w:r>
      <w:r w:rsidRPr="00DF20DE">
        <w:rPr>
          <w:rFonts w:ascii="Times New Roman" w:eastAsia="Times New Roman" w:hAnsi="Times New Roman" w:cs="Times New Roman"/>
          <w:b/>
          <w:bCs/>
        </w:rPr>
        <w:tab/>
        <w:t>Specialūs reikalavimai atliekoms tvarkyti</w:t>
      </w:r>
    </w:p>
    <w:p w14:paraId="36E703CE" w14:textId="77777777" w:rsidR="00786B55" w:rsidRPr="00DF20DE" w:rsidRDefault="00786B55" w:rsidP="00864478">
      <w:pPr>
        <w:widowControl w:val="0"/>
        <w:autoSpaceDE w:val="0"/>
        <w:autoSpaceDN w:val="0"/>
        <w:spacing w:after="0" w:line="240" w:lineRule="auto"/>
        <w:rPr>
          <w:rFonts w:ascii="Times New Roman" w:eastAsia="Times New Roman" w:hAnsi="Times New Roman" w:cs="Times New Roman"/>
        </w:rPr>
      </w:pPr>
    </w:p>
    <w:p w14:paraId="5A81EF63" w14:textId="780019B4"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Nesuvartotą vaistinį preparatą ar atliekas reikia tvarkyti laikantis vietinių reikalavimų.</w:t>
      </w:r>
    </w:p>
    <w:p w14:paraId="62A85C98" w14:textId="325D68CE"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rPr>
      </w:pPr>
    </w:p>
    <w:p w14:paraId="448A8133" w14:textId="77777777" w:rsidR="00786B55" w:rsidRPr="00DF20DE" w:rsidRDefault="00786B55" w:rsidP="00864478">
      <w:pPr>
        <w:widowControl w:val="0"/>
        <w:autoSpaceDE w:val="0"/>
        <w:autoSpaceDN w:val="0"/>
        <w:spacing w:after="0" w:line="240" w:lineRule="auto"/>
        <w:rPr>
          <w:rFonts w:ascii="Times New Roman" w:eastAsia="Times New Roman" w:hAnsi="Times New Roman" w:cs="Times New Roman"/>
          <w:sz w:val="20"/>
        </w:rPr>
      </w:pPr>
    </w:p>
    <w:p w14:paraId="6FF52DCD" w14:textId="77777777" w:rsidR="00864478" w:rsidRPr="00DF20DE" w:rsidRDefault="00864478" w:rsidP="00020879">
      <w:pPr>
        <w:widowControl w:val="0"/>
        <w:numPr>
          <w:ilvl w:val="0"/>
          <w:numId w:val="19"/>
        </w:numPr>
        <w:tabs>
          <w:tab w:val="left" w:pos="782"/>
          <w:tab w:val="left" w:pos="783"/>
        </w:tabs>
        <w:autoSpaceDE w:val="0"/>
        <w:autoSpaceDN w:val="0"/>
        <w:spacing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REGISTRUOTOJAS</w:t>
      </w:r>
    </w:p>
    <w:p w14:paraId="10CEFD60" w14:textId="60D2E8A4"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rPr>
      </w:pPr>
    </w:p>
    <w:p w14:paraId="6382E871" w14:textId="77777777" w:rsidR="000F48F1" w:rsidRPr="00DF20DE" w:rsidRDefault="000F48F1" w:rsidP="000F48F1">
      <w:pPr>
        <w:spacing w:after="0" w:line="240" w:lineRule="auto"/>
        <w:rPr>
          <w:rFonts w:ascii="Times New Roman" w:hAnsi="Times New Roman" w:cs="Times New Roman"/>
        </w:rPr>
      </w:pPr>
      <w:r w:rsidRPr="00DF20DE">
        <w:rPr>
          <w:rFonts w:ascii="Times New Roman" w:hAnsi="Times New Roman" w:cs="Times New Roman"/>
        </w:rPr>
        <w:t>Egis Pharmaceuticals PLC</w:t>
      </w:r>
    </w:p>
    <w:p w14:paraId="416A395C" w14:textId="77777777" w:rsidR="000F48F1" w:rsidRPr="00DF20DE" w:rsidRDefault="000F48F1" w:rsidP="000F48F1">
      <w:pPr>
        <w:spacing w:after="0" w:line="240" w:lineRule="auto"/>
        <w:rPr>
          <w:rFonts w:ascii="Times New Roman" w:hAnsi="Times New Roman" w:cs="Times New Roman"/>
        </w:rPr>
      </w:pPr>
      <w:r w:rsidRPr="00DF20DE">
        <w:rPr>
          <w:rFonts w:ascii="Times New Roman" w:hAnsi="Times New Roman" w:cs="Times New Roman"/>
        </w:rPr>
        <w:t>Keresztúri út 30–38</w:t>
      </w:r>
    </w:p>
    <w:p w14:paraId="4D540EEB" w14:textId="4BC3E76C" w:rsidR="00F676B7" w:rsidRPr="00DF20DE" w:rsidRDefault="00F676B7" w:rsidP="00F676B7">
      <w:pPr>
        <w:spacing w:after="0" w:line="240" w:lineRule="auto"/>
        <w:rPr>
          <w:rFonts w:ascii="Times New Roman" w:hAnsi="Times New Roman" w:cs="Times New Roman"/>
        </w:rPr>
      </w:pPr>
      <w:r w:rsidRPr="00DF20DE">
        <w:rPr>
          <w:rFonts w:ascii="Times New Roman" w:hAnsi="Times New Roman" w:cs="Times New Roman"/>
        </w:rPr>
        <w:t>1106 Budapest</w:t>
      </w:r>
    </w:p>
    <w:p w14:paraId="23275BB6" w14:textId="77777777" w:rsidR="000F48F1" w:rsidRPr="00DF20DE" w:rsidRDefault="000F48F1" w:rsidP="000F48F1">
      <w:pPr>
        <w:widowControl w:val="0"/>
        <w:autoSpaceDE w:val="0"/>
        <w:autoSpaceDN w:val="0"/>
        <w:spacing w:after="0" w:line="240" w:lineRule="auto"/>
        <w:rPr>
          <w:rFonts w:ascii="Times New Roman" w:hAnsi="Times New Roman" w:cs="Times New Roman"/>
        </w:rPr>
      </w:pPr>
      <w:r w:rsidRPr="00DF20DE">
        <w:rPr>
          <w:rFonts w:ascii="Times New Roman" w:hAnsi="Times New Roman" w:cs="Times New Roman"/>
        </w:rPr>
        <w:t>Vengrija</w:t>
      </w:r>
    </w:p>
    <w:p w14:paraId="1633B87E" w14:textId="61422C4A" w:rsidR="00786B55" w:rsidRPr="00DF20DE" w:rsidRDefault="00786B55" w:rsidP="00864478">
      <w:pPr>
        <w:widowControl w:val="0"/>
        <w:autoSpaceDE w:val="0"/>
        <w:autoSpaceDN w:val="0"/>
        <w:spacing w:after="0" w:line="240" w:lineRule="auto"/>
        <w:rPr>
          <w:rFonts w:ascii="Times New Roman" w:eastAsia="Times New Roman" w:hAnsi="Times New Roman" w:cs="Times New Roman"/>
          <w:sz w:val="20"/>
        </w:rPr>
      </w:pPr>
    </w:p>
    <w:p w14:paraId="42AA090B" w14:textId="77777777" w:rsidR="000F48F1" w:rsidRPr="00DF20DE" w:rsidRDefault="000F48F1" w:rsidP="00864478">
      <w:pPr>
        <w:widowControl w:val="0"/>
        <w:autoSpaceDE w:val="0"/>
        <w:autoSpaceDN w:val="0"/>
        <w:spacing w:after="0" w:line="240" w:lineRule="auto"/>
        <w:rPr>
          <w:rFonts w:ascii="Times New Roman" w:eastAsia="Times New Roman" w:hAnsi="Times New Roman" w:cs="Times New Roman"/>
          <w:sz w:val="20"/>
        </w:rPr>
      </w:pPr>
    </w:p>
    <w:p w14:paraId="6FDB0F3C" w14:textId="77777777" w:rsidR="00864478" w:rsidRPr="00DF20DE" w:rsidRDefault="00864478" w:rsidP="00020879">
      <w:pPr>
        <w:widowControl w:val="0"/>
        <w:numPr>
          <w:ilvl w:val="0"/>
          <w:numId w:val="19"/>
        </w:numPr>
        <w:tabs>
          <w:tab w:val="left" w:pos="782"/>
          <w:tab w:val="left" w:pos="783"/>
        </w:tabs>
        <w:autoSpaceDE w:val="0"/>
        <w:autoSpaceDN w:val="0"/>
        <w:spacing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REGISTRACIJOS PAŽYMĖJIMO NUMERIS (-IAI)</w:t>
      </w:r>
    </w:p>
    <w:p w14:paraId="406EBB73"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7319FF72" w14:textId="627CFBB9" w:rsidR="00864478" w:rsidRPr="00DF20DE" w:rsidRDefault="001102CA"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LT/1/22/4920/001</w:t>
      </w:r>
    </w:p>
    <w:p w14:paraId="6FD1E58F" w14:textId="77777777" w:rsidR="001102CA" w:rsidRPr="00DF20DE" w:rsidRDefault="001102CA" w:rsidP="00864478">
      <w:pPr>
        <w:widowControl w:val="0"/>
        <w:autoSpaceDE w:val="0"/>
        <w:autoSpaceDN w:val="0"/>
        <w:spacing w:after="0" w:line="240" w:lineRule="auto"/>
        <w:rPr>
          <w:rFonts w:ascii="Times New Roman" w:eastAsia="Times New Roman" w:hAnsi="Times New Roman" w:cs="Times New Roman"/>
          <w:sz w:val="20"/>
        </w:rPr>
      </w:pPr>
    </w:p>
    <w:p w14:paraId="62609ABB" w14:textId="77777777" w:rsidR="001102CA" w:rsidRPr="00DF20DE" w:rsidRDefault="001102CA" w:rsidP="00864478">
      <w:pPr>
        <w:widowControl w:val="0"/>
        <w:autoSpaceDE w:val="0"/>
        <w:autoSpaceDN w:val="0"/>
        <w:spacing w:after="0" w:line="240" w:lineRule="auto"/>
        <w:rPr>
          <w:rFonts w:ascii="Times New Roman" w:eastAsia="Times New Roman" w:hAnsi="Times New Roman" w:cs="Times New Roman"/>
          <w:sz w:val="20"/>
        </w:rPr>
      </w:pPr>
    </w:p>
    <w:p w14:paraId="47699BFE" w14:textId="77777777" w:rsidR="00864478" w:rsidRPr="00DF20DE" w:rsidRDefault="00864478" w:rsidP="00020879">
      <w:pPr>
        <w:widowControl w:val="0"/>
        <w:numPr>
          <w:ilvl w:val="0"/>
          <w:numId w:val="19"/>
        </w:numPr>
        <w:tabs>
          <w:tab w:val="left" w:pos="782"/>
          <w:tab w:val="left" w:pos="783"/>
        </w:tabs>
        <w:autoSpaceDE w:val="0"/>
        <w:autoSpaceDN w:val="0"/>
        <w:spacing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REGISTRAVIMO / PERREGISTRAVIMO DATA</w:t>
      </w:r>
    </w:p>
    <w:p w14:paraId="3992488C"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b/>
          <w:sz w:val="21"/>
        </w:rPr>
      </w:pPr>
    </w:p>
    <w:p w14:paraId="681A031E" w14:textId="48ADA934"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r w:rsidRPr="00DF20DE">
        <w:rPr>
          <w:rFonts w:ascii="Times New Roman" w:hAnsi="Times New Roman" w:cs="Times New Roman"/>
          <w:noProof/>
          <w:snapToGrid w:val="0"/>
          <w:szCs w:val="24"/>
        </w:rPr>
        <w:t xml:space="preserve">Registravimo data </w:t>
      </w:r>
      <w:r w:rsidR="001102CA" w:rsidRPr="00DF20DE">
        <w:rPr>
          <w:rFonts w:ascii="Times New Roman" w:hAnsi="Times New Roman" w:cs="Times New Roman"/>
          <w:noProof/>
          <w:snapToGrid w:val="0"/>
          <w:szCs w:val="24"/>
        </w:rPr>
        <w:t>2022 m. kovo 10 d.</w:t>
      </w:r>
    </w:p>
    <w:p w14:paraId="353CE863"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rPr>
      </w:pPr>
    </w:p>
    <w:p w14:paraId="7CABF793"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sz w:val="20"/>
        </w:rPr>
      </w:pPr>
    </w:p>
    <w:p w14:paraId="6C45CBE5" w14:textId="77777777" w:rsidR="00864478" w:rsidRPr="00DF20DE" w:rsidRDefault="00864478" w:rsidP="00020879">
      <w:pPr>
        <w:widowControl w:val="0"/>
        <w:numPr>
          <w:ilvl w:val="0"/>
          <w:numId w:val="19"/>
        </w:numPr>
        <w:tabs>
          <w:tab w:val="left" w:pos="782"/>
          <w:tab w:val="left" w:pos="783"/>
        </w:tabs>
        <w:autoSpaceDE w:val="0"/>
        <w:autoSpaceDN w:val="0"/>
        <w:spacing w:after="0" w:line="240" w:lineRule="auto"/>
        <w:ind w:left="540" w:hanging="540"/>
        <w:outlineLvl w:val="0"/>
        <w:rPr>
          <w:rFonts w:ascii="Times New Roman" w:eastAsia="Times New Roman" w:hAnsi="Times New Roman" w:cs="Times New Roman"/>
          <w:b/>
          <w:bCs/>
        </w:rPr>
      </w:pPr>
      <w:r w:rsidRPr="00DF20DE">
        <w:rPr>
          <w:rFonts w:ascii="Times New Roman" w:eastAsia="Times New Roman" w:hAnsi="Times New Roman" w:cs="Times New Roman"/>
          <w:b/>
          <w:bCs/>
        </w:rPr>
        <w:t>TEKSTO PERŽIŪROS DATA</w:t>
      </w:r>
    </w:p>
    <w:p w14:paraId="4CABF605" w14:textId="77777777" w:rsidR="00864478" w:rsidRPr="00DF20DE" w:rsidRDefault="00864478" w:rsidP="00864478">
      <w:pPr>
        <w:widowControl w:val="0"/>
        <w:autoSpaceDE w:val="0"/>
        <w:autoSpaceDN w:val="0"/>
        <w:spacing w:after="0" w:line="240" w:lineRule="auto"/>
        <w:rPr>
          <w:rFonts w:ascii="Times New Roman" w:eastAsia="Times New Roman" w:hAnsi="Times New Roman" w:cs="Times New Roman"/>
        </w:rPr>
      </w:pPr>
    </w:p>
    <w:p w14:paraId="6625A5E6" w14:textId="0762A341" w:rsidR="00720CFD" w:rsidRDefault="00743471" w:rsidP="00F151B8">
      <w:pPr>
        <w:widowControl w:val="0"/>
        <w:autoSpaceDE w:val="0"/>
        <w:autoSpaceDN w:val="0"/>
        <w:spacing w:after="0" w:line="240" w:lineRule="auto"/>
        <w:rPr>
          <w:rFonts w:ascii="Times New Roman" w:eastAsia="Times New Roman" w:hAnsi="Times New Roman" w:cs="Times New Roman"/>
        </w:rPr>
      </w:pPr>
      <w:r>
        <w:rPr>
          <w:rFonts w:ascii="Times New Roman" w:eastAsia="Times New Roman" w:hAnsi="Times New Roman" w:cs="Times New Roman"/>
        </w:rPr>
        <w:t>2024 m. lapkričio 8 d.</w:t>
      </w:r>
    </w:p>
    <w:p w14:paraId="20151447" w14:textId="77777777" w:rsidR="005137EA" w:rsidRDefault="005137EA" w:rsidP="00F151B8">
      <w:pPr>
        <w:widowControl w:val="0"/>
        <w:autoSpaceDE w:val="0"/>
        <w:autoSpaceDN w:val="0"/>
        <w:spacing w:after="0" w:line="240" w:lineRule="auto"/>
        <w:rPr>
          <w:rFonts w:ascii="Times New Roman" w:eastAsia="Times New Roman" w:hAnsi="Times New Roman" w:cs="Times New Roman"/>
        </w:rPr>
      </w:pPr>
    </w:p>
    <w:p w14:paraId="7C0F6D5B" w14:textId="6E1DB965"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Išsami informacija apie šį vaistinį preparatą pateikiama Valstybinės vaistų kontrolės tarnybos prie Lietuvos Respublikos sveikatos apsaugos ministerijos tinklalapyje </w:t>
      </w:r>
      <w:hyperlink r:id="rId18" w:history="1">
        <w:r w:rsidR="005C7837" w:rsidRPr="005C7837">
          <w:rPr>
            <w:rStyle w:val="Hipersaitas"/>
            <w:lang w:eastAsia="lt-LT"/>
          </w:rPr>
          <w:t xml:space="preserve"> </w:t>
        </w:r>
        <w:r w:rsidR="005C7837" w:rsidRPr="005C7837">
          <w:rPr>
            <w:rStyle w:val="Hipersaitas"/>
            <w:rFonts w:ascii="Times New Roman" w:eastAsia="Times New Roman" w:hAnsi="Times New Roman" w:cs="Times New Roman"/>
          </w:rPr>
          <w:t>https://vvkt.lrv.lt/lt</w:t>
        </w:r>
        <w:r w:rsidRPr="005C7837">
          <w:rPr>
            <w:rStyle w:val="Hipersaitas"/>
            <w:rFonts w:ascii="Times New Roman" w:eastAsia="Times New Roman" w:hAnsi="Times New Roman" w:cs="Times New Roman"/>
          </w:rPr>
          <w:t>.</w:t>
        </w:r>
      </w:hyperlink>
    </w:p>
    <w:p w14:paraId="76E32B8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sectPr w:rsidR="00F151B8" w:rsidRPr="00DF20DE" w:rsidSect="00C536DB">
          <w:pgSz w:w="11910" w:h="16840"/>
          <w:pgMar w:top="1134" w:right="1418" w:bottom="1134" w:left="1418" w:header="0" w:footer="629" w:gutter="0"/>
          <w:cols w:space="720"/>
        </w:sectPr>
      </w:pPr>
    </w:p>
    <w:p w14:paraId="74BAAAD7" w14:textId="3F6C359F" w:rsidR="00930228" w:rsidRPr="00DF20DE" w:rsidRDefault="00930228">
      <w:pPr>
        <w:rPr>
          <w:rFonts w:ascii="Times New Roman" w:eastAsia="Times New Roman" w:hAnsi="Times New Roman" w:cs="Times New Roman"/>
          <w:sz w:val="20"/>
        </w:rPr>
      </w:pPr>
      <w:bookmarkStart w:id="7" w:name="A._GAMINTOJAI,_ATSAKINGI_UŽ_SERIJŲ_IŠLEI"/>
      <w:bookmarkStart w:id="8" w:name="C._KITOS_SĄLYGOS_IR_REIKALAVIMAI_REGISTR"/>
      <w:bookmarkEnd w:id="7"/>
      <w:bookmarkEnd w:id="8"/>
    </w:p>
    <w:p w14:paraId="40B95CA0"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3D4B590D"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46EDE269"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21DA4224"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1AC3450E"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4BE139E7"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6BBD2076"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19676D38"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36D5B877"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22C8E438"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543C9030"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33E46FB8"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2A583A59"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7C9DDCDF"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65D2CF11"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444864C4"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66B125BF"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286083C4"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6D060270"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636D09FE"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528A5D56"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1E507EF7" w14:textId="77777777"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p>
    <w:p w14:paraId="2DF6DDA5" w14:textId="1DECF1DB" w:rsidR="00930228" w:rsidRPr="00DF20DE" w:rsidRDefault="00930228" w:rsidP="00930228">
      <w:pPr>
        <w:keepNext/>
        <w:tabs>
          <w:tab w:val="left" w:pos="567"/>
        </w:tabs>
        <w:spacing w:after="0" w:line="276" w:lineRule="auto"/>
        <w:jc w:val="center"/>
        <w:outlineLvl w:val="1"/>
        <w:rPr>
          <w:rFonts w:ascii="Times New Roman" w:eastAsia="Calibri" w:hAnsi="Times New Roman" w:cs="Times New Roman"/>
          <w:b/>
        </w:rPr>
      </w:pPr>
      <w:r w:rsidRPr="00DF20DE">
        <w:rPr>
          <w:rFonts w:ascii="Times New Roman" w:eastAsia="Calibri" w:hAnsi="Times New Roman" w:cs="Times New Roman"/>
          <w:b/>
        </w:rPr>
        <w:t>II PRIEDAS</w:t>
      </w:r>
    </w:p>
    <w:p w14:paraId="72A1C507" w14:textId="77777777" w:rsidR="00930228" w:rsidRPr="00DF20DE" w:rsidRDefault="00930228" w:rsidP="00930228">
      <w:pPr>
        <w:tabs>
          <w:tab w:val="left" w:pos="567"/>
        </w:tabs>
        <w:spacing w:after="0" w:line="260" w:lineRule="exact"/>
        <w:ind w:left="1701" w:right="1416" w:hanging="567"/>
        <w:rPr>
          <w:rFonts w:ascii="Times New Roman" w:eastAsia="Times New Roman" w:hAnsi="Times New Roman" w:cs="Times New Roman"/>
          <w:snapToGrid w:val="0"/>
        </w:rPr>
      </w:pPr>
    </w:p>
    <w:p w14:paraId="43107F53" w14:textId="77777777" w:rsidR="00930228" w:rsidRPr="00DF20DE" w:rsidRDefault="00930228" w:rsidP="00930228">
      <w:pPr>
        <w:tabs>
          <w:tab w:val="left" w:pos="567"/>
        </w:tabs>
        <w:spacing w:after="0" w:line="260" w:lineRule="exact"/>
        <w:jc w:val="center"/>
        <w:rPr>
          <w:rFonts w:ascii="Times New Roman" w:eastAsia="Times New Roman" w:hAnsi="Times New Roman" w:cs="Times New Roman"/>
          <w:i/>
          <w:snapToGrid w:val="0"/>
        </w:rPr>
      </w:pPr>
      <w:r w:rsidRPr="00DF20DE">
        <w:rPr>
          <w:rFonts w:ascii="Times New Roman" w:eastAsia="Times New Roman" w:hAnsi="Times New Roman" w:cs="Times New Roman"/>
          <w:b/>
          <w:snapToGrid w:val="0"/>
        </w:rPr>
        <w:t>REGISTRACIJOS SĄLYGOS</w:t>
      </w:r>
    </w:p>
    <w:p w14:paraId="6AF16EA3" w14:textId="77777777" w:rsidR="00930228" w:rsidRPr="00DF20DE" w:rsidRDefault="00930228" w:rsidP="00930228">
      <w:pPr>
        <w:tabs>
          <w:tab w:val="left" w:pos="567"/>
        </w:tabs>
        <w:spacing w:after="0" w:line="260" w:lineRule="exact"/>
        <w:rPr>
          <w:rFonts w:ascii="Times New Roman" w:eastAsia="SimSun" w:hAnsi="Times New Roman" w:cs="Times New Roman"/>
        </w:rPr>
      </w:pPr>
    </w:p>
    <w:p w14:paraId="4B2E5B1A" w14:textId="77777777" w:rsidR="00930228" w:rsidRPr="00DF20DE" w:rsidRDefault="00930228" w:rsidP="00930228">
      <w:pPr>
        <w:tabs>
          <w:tab w:val="left" w:pos="567"/>
        </w:tabs>
        <w:spacing w:after="0" w:line="276" w:lineRule="auto"/>
        <w:ind w:left="1701" w:right="1416" w:hanging="708"/>
        <w:rPr>
          <w:rFonts w:ascii="Times New Roman" w:eastAsia="SimSun" w:hAnsi="Times New Roman" w:cs="Times New Roman"/>
          <w:b/>
        </w:rPr>
      </w:pPr>
      <w:r w:rsidRPr="00DF20DE">
        <w:rPr>
          <w:rFonts w:ascii="Times New Roman" w:eastAsia="SimSun" w:hAnsi="Times New Roman" w:cs="Times New Roman"/>
          <w:b/>
        </w:rPr>
        <w:t>A.</w:t>
      </w:r>
      <w:r w:rsidRPr="00DF20DE">
        <w:rPr>
          <w:rFonts w:ascii="Times New Roman" w:eastAsia="SimSun" w:hAnsi="Times New Roman" w:cs="Times New Roman"/>
          <w:b/>
        </w:rPr>
        <w:tab/>
      </w:r>
      <w:r w:rsidRPr="00DF20DE">
        <w:rPr>
          <w:rFonts w:ascii="Times New Roman" w:eastAsia="SimSun" w:hAnsi="Times New Roman" w:cs="Times New Roman"/>
          <w:b/>
          <w:snapToGrid w:val="0"/>
          <w:lang w:eastAsia="zh-CN"/>
        </w:rPr>
        <w:t>GAMINTOJAS</w:t>
      </w:r>
      <w:r w:rsidRPr="00DF20DE">
        <w:rPr>
          <w:rFonts w:ascii="Times New Roman" w:eastAsia="SimSun" w:hAnsi="Times New Roman" w:cs="Times New Roman"/>
          <w:b/>
        </w:rPr>
        <w:t xml:space="preserve"> (-AI), ATSAKINGAS (-I) UŽ SERIJŲ IŠLEIDIMĄ</w:t>
      </w:r>
    </w:p>
    <w:p w14:paraId="4C69BFE6" w14:textId="77777777" w:rsidR="00930228" w:rsidRPr="00DF20DE" w:rsidRDefault="00930228" w:rsidP="00930228">
      <w:pPr>
        <w:tabs>
          <w:tab w:val="left" w:pos="567"/>
        </w:tabs>
        <w:spacing w:after="0" w:line="260" w:lineRule="exact"/>
        <w:rPr>
          <w:rFonts w:ascii="Times New Roman" w:eastAsia="SimSun" w:hAnsi="Times New Roman" w:cs="Times New Roman"/>
          <w:snapToGrid w:val="0"/>
          <w:lang w:eastAsia="zh-CN"/>
        </w:rPr>
      </w:pPr>
    </w:p>
    <w:p w14:paraId="0FF3B106" w14:textId="77777777" w:rsidR="00930228" w:rsidRPr="00DF20DE" w:rsidRDefault="00930228" w:rsidP="00930228">
      <w:pPr>
        <w:suppressLineNumbers/>
        <w:tabs>
          <w:tab w:val="left" w:pos="567"/>
        </w:tabs>
        <w:spacing w:after="0" w:line="276" w:lineRule="auto"/>
        <w:ind w:left="1701" w:right="1416" w:hanging="708"/>
        <w:rPr>
          <w:rFonts w:ascii="Times New Roman" w:eastAsia="SimSun" w:hAnsi="Times New Roman" w:cs="Times New Roman"/>
          <w:snapToGrid w:val="0"/>
          <w:lang w:eastAsia="zh-CN"/>
        </w:rPr>
      </w:pPr>
      <w:r w:rsidRPr="00DF20DE">
        <w:rPr>
          <w:rFonts w:ascii="Times New Roman" w:eastAsia="SimSun" w:hAnsi="Times New Roman" w:cs="Times New Roman"/>
          <w:b/>
        </w:rPr>
        <w:t>B.</w:t>
      </w:r>
      <w:r w:rsidRPr="00DF20DE">
        <w:rPr>
          <w:rFonts w:ascii="Times New Roman" w:eastAsia="SimSun" w:hAnsi="Times New Roman" w:cs="Times New Roman"/>
          <w:b/>
        </w:rPr>
        <w:tab/>
      </w:r>
      <w:r w:rsidRPr="00DF20DE">
        <w:rPr>
          <w:rFonts w:ascii="Times New Roman" w:eastAsia="SimSun" w:hAnsi="Times New Roman" w:cs="Times New Roman"/>
          <w:b/>
          <w:snapToGrid w:val="0"/>
          <w:lang w:eastAsia="zh-CN"/>
        </w:rPr>
        <w:t>TIEKIMO IR VARTOJIMO SĄLYGOS AR APRIBOJIMAI</w:t>
      </w:r>
    </w:p>
    <w:p w14:paraId="42BBC695" w14:textId="33720B4C" w:rsidR="00930228" w:rsidRPr="00DF20DE" w:rsidRDefault="00930228">
      <w:pPr>
        <w:rPr>
          <w:rFonts w:ascii="Times New Roman" w:eastAsia="Times New Roman" w:hAnsi="Times New Roman" w:cs="Times New Roman"/>
          <w:sz w:val="20"/>
        </w:rPr>
      </w:pPr>
      <w:r w:rsidRPr="00DF20DE">
        <w:rPr>
          <w:rFonts w:ascii="Times New Roman" w:eastAsia="Times New Roman" w:hAnsi="Times New Roman" w:cs="Times New Roman"/>
          <w:sz w:val="20"/>
        </w:rPr>
        <w:br w:type="page"/>
      </w:r>
    </w:p>
    <w:p w14:paraId="47A70EB9" w14:textId="03CD4FFF" w:rsidR="00930228" w:rsidRPr="00DF20DE" w:rsidRDefault="00930228" w:rsidP="00930228">
      <w:pPr>
        <w:tabs>
          <w:tab w:val="left" w:pos="567"/>
        </w:tabs>
        <w:spacing w:after="0" w:line="260" w:lineRule="exact"/>
        <w:ind w:left="567" w:hanging="567"/>
        <w:rPr>
          <w:rFonts w:ascii="Times New Roman" w:eastAsia="Times New Roman" w:hAnsi="Times New Roman" w:cs="Times New Roman"/>
          <w:b/>
          <w:snapToGrid w:val="0"/>
          <w:szCs w:val="24"/>
        </w:rPr>
      </w:pPr>
      <w:r w:rsidRPr="00DF20DE">
        <w:rPr>
          <w:rFonts w:ascii="Times New Roman" w:eastAsia="Times New Roman" w:hAnsi="Times New Roman" w:cs="Times New Roman"/>
          <w:b/>
          <w:snapToGrid w:val="0"/>
          <w:szCs w:val="20"/>
        </w:rPr>
        <w:lastRenderedPageBreak/>
        <w:t>A.</w:t>
      </w:r>
      <w:r w:rsidRPr="00DF20DE">
        <w:rPr>
          <w:rFonts w:ascii="Times New Roman" w:eastAsia="Times New Roman" w:hAnsi="Times New Roman" w:cs="Times New Roman"/>
          <w:b/>
          <w:snapToGrid w:val="0"/>
          <w:szCs w:val="24"/>
        </w:rPr>
        <w:tab/>
      </w:r>
      <w:r w:rsidRPr="00DF20DE">
        <w:rPr>
          <w:rFonts w:ascii="Times New Roman" w:eastAsia="Times New Roman" w:hAnsi="Times New Roman" w:cs="Times New Roman"/>
          <w:b/>
          <w:snapToGrid w:val="0"/>
          <w:szCs w:val="20"/>
        </w:rPr>
        <w:t>GAMINTOJAS (-AI) IR GAMINTOJAS (-AI), ATSAKINGAS (-I) UŽ SERIJŲ IŠLEIDIMĄ</w:t>
      </w:r>
    </w:p>
    <w:p w14:paraId="6EECBCD3" w14:textId="77777777" w:rsidR="00930228" w:rsidRPr="00DF20DE" w:rsidRDefault="00930228" w:rsidP="00930228">
      <w:pPr>
        <w:tabs>
          <w:tab w:val="left" w:pos="567"/>
        </w:tabs>
        <w:spacing w:after="0" w:line="260" w:lineRule="exact"/>
        <w:rPr>
          <w:rFonts w:ascii="Times New Roman" w:eastAsia="Times New Roman" w:hAnsi="Times New Roman" w:cs="Times New Roman"/>
          <w:snapToGrid w:val="0"/>
          <w:szCs w:val="24"/>
        </w:rPr>
      </w:pPr>
    </w:p>
    <w:p w14:paraId="7CCEE4D1" w14:textId="77777777" w:rsidR="00930228" w:rsidRPr="00DF20DE" w:rsidRDefault="00930228" w:rsidP="00930228">
      <w:pPr>
        <w:tabs>
          <w:tab w:val="left" w:pos="567"/>
        </w:tabs>
        <w:spacing w:after="0" w:line="240" w:lineRule="auto"/>
        <w:jc w:val="both"/>
        <w:rPr>
          <w:rFonts w:ascii="Times New Roman" w:eastAsia="Times New Roman" w:hAnsi="Times New Roman" w:cs="Times New Roman"/>
          <w:snapToGrid w:val="0"/>
          <w:szCs w:val="24"/>
        </w:rPr>
      </w:pPr>
      <w:r w:rsidRPr="00DF20DE">
        <w:rPr>
          <w:rFonts w:ascii="Times New Roman" w:eastAsia="Times New Roman" w:hAnsi="Times New Roman" w:cs="Times New Roman"/>
          <w:noProof/>
          <w:snapToGrid w:val="0"/>
          <w:szCs w:val="24"/>
          <w:u w:val="single"/>
        </w:rPr>
        <w:t>Gamintojo (-ų), atsakingo (-ų) už serijų išleidimą, pavadinimas (-ai) ir adresas (-ai)</w:t>
      </w:r>
    </w:p>
    <w:p w14:paraId="282D21EF" w14:textId="77777777" w:rsidR="00930228" w:rsidRPr="00DF20DE" w:rsidRDefault="00930228" w:rsidP="00930228">
      <w:pPr>
        <w:tabs>
          <w:tab w:val="left" w:pos="567"/>
        </w:tabs>
        <w:spacing w:after="0" w:line="260" w:lineRule="exact"/>
        <w:rPr>
          <w:rFonts w:ascii="Times New Roman" w:eastAsia="Times New Roman" w:hAnsi="Times New Roman" w:cs="Times New Roman"/>
          <w:snapToGrid w:val="0"/>
          <w:szCs w:val="24"/>
        </w:rPr>
      </w:pPr>
    </w:p>
    <w:p w14:paraId="4BAD7E65" w14:textId="77777777" w:rsidR="001914AA" w:rsidRPr="001914AA" w:rsidRDefault="001914AA" w:rsidP="001914AA">
      <w:pPr>
        <w:spacing w:after="0" w:line="240" w:lineRule="auto"/>
        <w:rPr>
          <w:rFonts w:ascii="Times New Roman" w:eastAsia="Calibri" w:hAnsi="Times New Roman" w:cs="Times New Roman"/>
          <w:lang w:val="et-EE" w:eastAsia="lt-LT"/>
        </w:rPr>
      </w:pPr>
      <w:r w:rsidRPr="001914AA">
        <w:rPr>
          <w:rFonts w:ascii="Times New Roman" w:eastAsia="Calibri" w:hAnsi="Times New Roman" w:cs="Times New Roman"/>
          <w:lang w:val="et-EE" w:eastAsia="lt-LT"/>
        </w:rPr>
        <w:t>KeVaRo GROUP Ltd.</w:t>
      </w:r>
    </w:p>
    <w:p w14:paraId="59D6CEE4" w14:textId="77777777" w:rsidR="001914AA" w:rsidRPr="001914AA" w:rsidRDefault="001914AA" w:rsidP="001914AA">
      <w:pPr>
        <w:spacing w:after="0" w:line="240" w:lineRule="auto"/>
        <w:rPr>
          <w:rFonts w:ascii="Times New Roman" w:eastAsia="Calibri" w:hAnsi="Times New Roman" w:cs="Times New Roman"/>
          <w:lang w:val="et-EE" w:eastAsia="lt-LT"/>
        </w:rPr>
      </w:pPr>
      <w:r w:rsidRPr="001914AA">
        <w:rPr>
          <w:rFonts w:ascii="Times New Roman" w:eastAsia="Calibri" w:hAnsi="Times New Roman" w:cs="Times New Roman"/>
          <w:lang w:val="et-EE" w:eastAsia="lt-LT"/>
        </w:rPr>
        <w:t>9, Tsaritsa Eleonora Str., office 23</w:t>
      </w:r>
    </w:p>
    <w:p w14:paraId="20CBF7BE" w14:textId="77777777" w:rsidR="001914AA" w:rsidRPr="001914AA" w:rsidRDefault="001914AA" w:rsidP="001914AA">
      <w:pPr>
        <w:spacing w:after="0" w:line="240" w:lineRule="auto"/>
        <w:rPr>
          <w:rFonts w:ascii="Times New Roman" w:eastAsia="Calibri" w:hAnsi="Times New Roman" w:cs="Times New Roman"/>
          <w:lang w:val="et-EE" w:eastAsia="lt-LT"/>
        </w:rPr>
      </w:pPr>
      <w:r w:rsidRPr="001914AA">
        <w:rPr>
          <w:rFonts w:ascii="Times New Roman" w:eastAsia="Calibri" w:hAnsi="Times New Roman" w:cs="Times New Roman"/>
          <w:lang w:val="et-EE" w:eastAsia="lt-LT"/>
        </w:rPr>
        <w:t>Sofia 1618</w:t>
      </w:r>
    </w:p>
    <w:p w14:paraId="4BEBF19D" w14:textId="77777777" w:rsidR="001914AA" w:rsidRPr="001914AA" w:rsidRDefault="001914AA" w:rsidP="001914AA">
      <w:pPr>
        <w:spacing w:after="0" w:line="240" w:lineRule="auto"/>
        <w:rPr>
          <w:rFonts w:ascii="Times New Roman" w:eastAsia="Calibri" w:hAnsi="Times New Roman" w:cs="Times New Roman"/>
          <w:lang w:eastAsia="lt-LT"/>
        </w:rPr>
      </w:pPr>
      <w:r w:rsidRPr="001914AA">
        <w:rPr>
          <w:rFonts w:ascii="Times New Roman" w:eastAsia="Calibri" w:hAnsi="Times New Roman" w:cs="Times New Roman"/>
          <w:lang w:eastAsia="lt-LT"/>
        </w:rPr>
        <w:t>Bulgarija</w:t>
      </w:r>
    </w:p>
    <w:p w14:paraId="2C66CB48" w14:textId="35CBE1BB" w:rsidR="0092059E" w:rsidRPr="00DF20DE" w:rsidRDefault="0092059E" w:rsidP="0092059E">
      <w:pPr>
        <w:spacing w:after="0" w:line="240" w:lineRule="auto"/>
        <w:rPr>
          <w:rFonts w:ascii="Times New Roman" w:hAnsi="Times New Roman"/>
        </w:rPr>
      </w:pPr>
    </w:p>
    <w:p w14:paraId="699FA53D" w14:textId="7001E276" w:rsidR="00F676B7" w:rsidRPr="00DF20DE" w:rsidRDefault="00F676B7" w:rsidP="0092059E">
      <w:pPr>
        <w:spacing w:after="0" w:line="240" w:lineRule="auto"/>
        <w:rPr>
          <w:rFonts w:ascii="Times New Roman" w:hAnsi="Times New Roman"/>
        </w:rPr>
      </w:pPr>
      <w:r w:rsidRPr="00DF20DE">
        <w:rPr>
          <w:rFonts w:ascii="Times New Roman" w:hAnsi="Times New Roman"/>
        </w:rPr>
        <w:t xml:space="preserve">arba </w:t>
      </w:r>
    </w:p>
    <w:p w14:paraId="66E3A9D7" w14:textId="77777777" w:rsidR="00F676B7" w:rsidRPr="00DF20DE" w:rsidRDefault="00F676B7" w:rsidP="0092059E">
      <w:pPr>
        <w:spacing w:after="0" w:line="240" w:lineRule="auto"/>
        <w:rPr>
          <w:rFonts w:ascii="Times New Roman" w:hAnsi="Times New Roman"/>
        </w:rPr>
      </w:pPr>
    </w:p>
    <w:p w14:paraId="148FA443" w14:textId="43A22796" w:rsidR="0092059E" w:rsidRPr="00DF20DE" w:rsidRDefault="0092059E" w:rsidP="0092059E">
      <w:pPr>
        <w:spacing w:after="0" w:line="240" w:lineRule="auto"/>
        <w:rPr>
          <w:rFonts w:ascii="Times New Roman" w:hAnsi="Times New Roman"/>
        </w:rPr>
      </w:pPr>
      <w:r w:rsidRPr="00DF20DE">
        <w:rPr>
          <w:rFonts w:ascii="Times New Roman" w:hAnsi="Times New Roman"/>
        </w:rPr>
        <w:t>Adalvo L</w:t>
      </w:r>
      <w:r w:rsidR="00011549" w:rsidRPr="00DF20DE">
        <w:rPr>
          <w:rFonts w:ascii="Times New Roman" w:hAnsi="Times New Roman"/>
        </w:rPr>
        <w:t>imited</w:t>
      </w:r>
    </w:p>
    <w:p w14:paraId="0964591E" w14:textId="20406904" w:rsidR="00F676B7" w:rsidRPr="00DF20DE" w:rsidRDefault="0092059E" w:rsidP="0092059E">
      <w:pPr>
        <w:spacing w:after="0" w:line="240" w:lineRule="auto"/>
        <w:rPr>
          <w:rFonts w:ascii="Times New Roman" w:eastAsia="Calibri" w:hAnsi="Times New Roman" w:cs="Times New Roman"/>
          <w:lang w:eastAsia="lt-LT"/>
        </w:rPr>
      </w:pPr>
      <w:r w:rsidRPr="00DF20DE">
        <w:rPr>
          <w:rFonts w:ascii="Times New Roman" w:eastAsia="Calibri" w:hAnsi="Times New Roman" w:cs="Times New Roman"/>
          <w:lang w:eastAsia="lt-LT"/>
        </w:rPr>
        <w:t>Malta Life Sciences Park, Building 1,</w:t>
      </w:r>
      <w:r w:rsidR="00F676B7" w:rsidRPr="00DF20DE">
        <w:rPr>
          <w:rFonts w:ascii="Times New Roman" w:eastAsia="Calibri" w:hAnsi="Times New Roman" w:cs="Times New Roman"/>
          <w:lang w:eastAsia="lt-LT"/>
        </w:rPr>
        <w:t xml:space="preserve"> </w:t>
      </w:r>
      <w:r w:rsidRPr="00DF20DE">
        <w:rPr>
          <w:rFonts w:ascii="Times New Roman" w:eastAsia="Calibri" w:hAnsi="Times New Roman" w:cs="Times New Roman"/>
          <w:lang w:eastAsia="lt-LT"/>
        </w:rPr>
        <w:t>Level 4</w:t>
      </w:r>
    </w:p>
    <w:p w14:paraId="16D5E1AD" w14:textId="62099465" w:rsidR="00011549" w:rsidRPr="00DF20DE" w:rsidRDefault="0092059E" w:rsidP="0092059E">
      <w:pPr>
        <w:spacing w:after="0" w:line="240" w:lineRule="auto"/>
        <w:rPr>
          <w:rFonts w:ascii="Times New Roman" w:eastAsia="Calibri" w:hAnsi="Times New Roman" w:cs="Times New Roman"/>
          <w:lang w:eastAsia="lt-LT"/>
        </w:rPr>
      </w:pPr>
      <w:r w:rsidRPr="00DF20DE">
        <w:rPr>
          <w:rFonts w:ascii="Times New Roman" w:eastAsia="Calibri" w:hAnsi="Times New Roman" w:cs="Times New Roman"/>
          <w:lang w:eastAsia="lt-LT"/>
        </w:rPr>
        <w:t>Sir Temi Zammit Buildings,</w:t>
      </w:r>
    </w:p>
    <w:p w14:paraId="5B59D813" w14:textId="1573FC73" w:rsidR="0092059E" w:rsidRPr="00DF20DE" w:rsidRDefault="00F676B7" w:rsidP="0092059E">
      <w:pPr>
        <w:spacing w:after="0" w:line="240" w:lineRule="auto"/>
        <w:rPr>
          <w:rFonts w:ascii="Times New Roman" w:eastAsia="Calibri" w:hAnsi="Times New Roman" w:cs="Times New Roman"/>
          <w:lang w:eastAsia="lt-LT"/>
        </w:rPr>
      </w:pPr>
      <w:r w:rsidRPr="00DF20DE">
        <w:rPr>
          <w:rFonts w:ascii="Times New Roman" w:eastAsia="Calibri" w:hAnsi="Times New Roman" w:cs="Times New Roman"/>
          <w:lang w:eastAsia="lt-LT"/>
        </w:rPr>
        <w:t xml:space="preserve">3000 </w:t>
      </w:r>
      <w:r w:rsidR="0092059E" w:rsidRPr="00DF20DE">
        <w:rPr>
          <w:rFonts w:ascii="Times New Roman" w:eastAsia="Calibri" w:hAnsi="Times New Roman" w:cs="Times New Roman"/>
          <w:lang w:eastAsia="lt-LT"/>
        </w:rPr>
        <w:t>San Ġwann</w:t>
      </w:r>
    </w:p>
    <w:p w14:paraId="2EA88FC7" w14:textId="7ADE2619" w:rsidR="00930228" w:rsidRPr="00DF20DE" w:rsidRDefault="0092059E" w:rsidP="0092059E">
      <w:pPr>
        <w:tabs>
          <w:tab w:val="left" w:pos="567"/>
        </w:tabs>
        <w:spacing w:after="0" w:line="260" w:lineRule="exact"/>
        <w:rPr>
          <w:rFonts w:ascii="Times New Roman" w:eastAsia="Times New Roman" w:hAnsi="Times New Roman" w:cs="Times New Roman"/>
          <w:snapToGrid w:val="0"/>
          <w:szCs w:val="24"/>
        </w:rPr>
      </w:pPr>
      <w:r w:rsidRPr="00DF20DE">
        <w:rPr>
          <w:rFonts w:ascii="Times New Roman" w:eastAsia="Calibri" w:hAnsi="Times New Roman" w:cs="Times New Roman"/>
          <w:lang w:eastAsia="lt-LT"/>
        </w:rPr>
        <w:t>Malta</w:t>
      </w:r>
    </w:p>
    <w:p w14:paraId="1444EA2E" w14:textId="3E2F7BA7" w:rsidR="00930228" w:rsidRDefault="00930228" w:rsidP="00930228">
      <w:pPr>
        <w:tabs>
          <w:tab w:val="left" w:pos="567"/>
        </w:tabs>
        <w:spacing w:after="0" w:line="260" w:lineRule="exact"/>
        <w:rPr>
          <w:rFonts w:ascii="Times New Roman" w:eastAsia="Times New Roman" w:hAnsi="Times New Roman" w:cs="Times New Roman"/>
          <w:snapToGrid w:val="0"/>
          <w:szCs w:val="24"/>
        </w:rPr>
      </w:pPr>
    </w:p>
    <w:p w14:paraId="09E268C0" w14:textId="0E92294A" w:rsidR="00B11F6F" w:rsidRDefault="00B11F6F" w:rsidP="00930228">
      <w:pPr>
        <w:tabs>
          <w:tab w:val="left" w:pos="567"/>
        </w:tabs>
        <w:spacing w:after="0" w:line="260" w:lineRule="exact"/>
        <w:rPr>
          <w:rFonts w:ascii="Times New Roman" w:hAnsi="Times New Roman"/>
        </w:rPr>
      </w:pPr>
      <w:r>
        <w:rPr>
          <w:rFonts w:ascii="Times New Roman" w:hAnsi="Times New Roman"/>
        </w:rPr>
        <w:t>a</w:t>
      </w:r>
      <w:r w:rsidRPr="00DF20DE">
        <w:rPr>
          <w:rFonts w:ascii="Times New Roman" w:hAnsi="Times New Roman"/>
        </w:rPr>
        <w:t>rba</w:t>
      </w:r>
    </w:p>
    <w:p w14:paraId="6119FDDA" w14:textId="77777777" w:rsidR="00B11F6F" w:rsidRPr="00DF20DE" w:rsidRDefault="00B11F6F" w:rsidP="00930228">
      <w:pPr>
        <w:tabs>
          <w:tab w:val="left" w:pos="567"/>
        </w:tabs>
        <w:spacing w:after="0" w:line="260" w:lineRule="exact"/>
        <w:rPr>
          <w:rFonts w:ascii="Times New Roman" w:eastAsia="Times New Roman" w:hAnsi="Times New Roman" w:cs="Times New Roman"/>
          <w:snapToGrid w:val="0"/>
          <w:szCs w:val="24"/>
        </w:rPr>
      </w:pPr>
    </w:p>
    <w:p w14:paraId="0B7DED68" w14:textId="77777777" w:rsidR="00B11F6F" w:rsidRPr="00B11F6F" w:rsidRDefault="00B11F6F" w:rsidP="00B11F6F">
      <w:pPr>
        <w:tabs>
          <w:tab w:val="left" w:pos="567"/>
        </w:tabs>
        <w:spacing w:after="0" w:line="260" w:lineRule="exact"/>
        <w:rPr>
          <w:rFonts w:ascii="Times New Roman" w:eastAsia="Calibri" w:hAnsi="Times New Roman" w:cs="Times New Roman"/>
          <w:noProof/>
          <w:snapToGrid w:val="0"/>
          <w:szCs w:val="24"/>
          <w:lang w:val="hu-HU"/>
        </w:rPr>
      </w:pPr>
      <w:r w:rsidRPr="00B11F6F">
        <w:rPr>
          <w:rFonts w:ascii="Times New Roman" w:eastAsia="Calibri" w:hAnsi="Times New Roman" w:cs="Times New Roman"/>
          <w:noProof/>
          <w:snapToGrid w:val="0"/>
          <w:szCs w:val="24"/>
          <w:lang w:val="hu-HU"/>
        </w:rPr>
        <w:t>PGF Pharma International d.o.o.</w:t>
      </w:r>
    </w:p>
    <w:p w14:paraId="79097223" w14:textId="77777777" w:rsidR="00B11F6F" w:rsidRPr="00B11F6F" w:rsidRDefault="00B11F6F" w:rsidP="00B11F6F">
      <w:pPr>
        <w:tabs>
          <w:tab w:val="left" w:pos="567"/>
        </w:tabs>
        <w:spacing w:after="0" w:line="260" w:lineRule="exact"/>
        <w:rPr>
          <w:rFonts w:ascii="Times New Roman" w:eastAsia="Calibri" w:hAnsi="Times New Roman" w:cs="Times New Roman"/>
          <w:noProof/>
          <w:snapToGrid w:val="0"/>
          <w:szCs w:val="24"/>
          <w:lang w:val="hu-HU"/>
        </w:rPr>
      </w:pPr>
      <w:r w:rsidRPr="00B11F6F">
        <w:rPr>
          <w:rFonts w:ascii="Times New Roman" w:eastAsia="Calibri" w:hAnsi="Times New Roman" w:cs="Times New Roman"/>
          <w:noProof/>
          <w:snapToGrid w:val="0"/>
          <w:szCs w:val="24"/>
          <w:lang w:val="hu-HU"/>
        </w:rPr>
        <w:t>Ulica Roberta Frangesa-Mihanovica 9,</w:t>
      </w:r>
    </w:p>
    <w:p w14:paraId="7A6CB43A" w14:textId="77777777" w:rsidR="00B11F6F" w:rsidRPr="00B11F6F" w:rsidRDefault="00B11F6F" w:rsidP="00B11F6F">
      <w:pPr>
        <w:tabs>
          <w:tab w:val="left" w:pos="567"/>
        </w:tabs>
        <w:spacing w:after="0" w:line="260" w:lineRule="exact"/>
        <w:rPr>
          <w:rFonts w:ascii="Times New Roman" w:eastAsia="Calibri" w:hAnsi="Times New Roman" w:cs="Times New Roman"/>
          <w:noProof/>
          <w:snapToGrid w:val="0"/>
          <w:szCs w:val="24"/>
          <w:lang w:val="hu-HU"/>
        </w:rPr>
      </w:pPr>
      <w:r w:rsidRPr="00B11F6F">
        <w:rPr>
          <w:rFonts w:ascii="Times New Roman" w:eastAsia="Calibri" w:hAnsi="Times New Roman" w:cs="Times New Roman"/>
          <w:noProof/>
          <w:snapToGrid w:val="0"/>
          <w:szCs w:val="24"/>
          <w:lang w:val="hu-HU"/>
        </w:rPr>
        <w:t xml:space="preserve">Zagreb, 10110, </w:t>
      </w:r>
    </w:p>
    <w:p w14:paraId="374B1DAA" w14:textId="07D45196" w:rsidR="00B11F6F" w:rsidRDefault="00B11F6F" w:rsidP="00B11F6F">
      <w:pPr>
        <w:tabs>
          <w:tab w:val="left" w:pos="567"/>
        </w:tabs>
        <w:spacing w:after="0" w:line="260" w:lineRule="exact"/>
        <w:rPr>
          <w:rFonts w:ascii="Times New Roman" w:eastAsia="Calibri" w:hAnsi="Times New Roman" w:cs="Times New Roman"/>
          <w:noProof/>
          <w:snapToGrid w:val="0"/>
          <w:szCs w:val="24"/>
        </w:rPr>
      </w:pPr>
      <w:r>
        <w:rPr>
          <w:rFonts w:ascii="Times New Roman" w:eastAsia="Calibri" w:hAnsi="Times New Roman" w:cs="Times New Roman"/>
          <w:noProof/>
          <w:snapToGrid w:val="0"/>
          <w:szCs w:val="24"/>
        </w:rPr>
        <w:t>Kroatij</w:t>
      </w:r>
      <w:r w:rsidRPr="00B11F6F">
        <w:rPr>
          <w:rFonts w:ascii="Times New Roman" w:eastAsia="Calibri" w:hAnsi="Times New Roman" w:cs="Times New Roman"/>
          <w:noProof/>
          <w:snapToGrid w:val="0"/>
          <w:szCs w:val="24"/>
        </w:rPr>
        <w:t>a</w:t>
      </w:r>
    </w:p>
    <w:p w14:paraId="0455D0AE" w14:textId="77777777" w:rsidR="00B11F6F" w:rsidRPr="00B11F6F" w:rsidRDefault="00B11F6F" w:rsidP="00B11F6F">
      <w:pPr>
        <w:tabs>
          <w:tab w:val="left" w:pos="567"/>
        </w:tabs>
        <w:spacing w:after="0" w:line="260" w:lineRule="exact"/>
        <w:rPr>
          <w:rFonts w:ascii="Times New Roman" w:eastAsia="Calibri" w:hAnsi="Times New Roman" w:cs="Times New Roman"/>
          <w:noProof/>
          <w:snapToGrid w:val="0"/>
          <w:szCs w:val="24"/>
        </w:rPr>
      </w:pPr>
    </w:p>
    <w:p w14:paraId="3EA78DA2" w14:textId="7B205223" w:rsidR="0092059E" w:rsidRPr="00DF20DE" w:rsidRDefault="0092059E" w:rsidP="00930228">
      <w:pPr>
        <w:tabs>
          <w:tab w:val="left" w:pos="567"/>
        </w:tabs>
        <w:spacing w:after="0" w:line="260" w:lineRule="exact"/>
        <w:rPr>
          <w:rFonts w:ascii="Times New Roman" w:eastAsia="Calibri" w:hAnsi="Times New Roman" w:cs="Times New Roman"/>
          <w:noProof/>
          <w:snapToGrid w:val="0"/>
          <w:szCs w:val="24"/>
        </w:rPr>
      </w:pPr>
      <w:r w:rsidRPr="00DF20DE">
        <w:rPr>
          <w:rFonts w:ascii="Times New Roman" w:eastAsia="Calibri" w:hAnsi="Times New Roman" w:cs="Times New Roman"/>
          <w:noProof/>
          <w:snapToGrid w:val="0"/>
          <w:szCs w:val="24"/>
        </w:rPr>
        <w:t>Su pakuote pateikiamame lapelyje nurodomas gamintojo, atsakingo už konkrečios serijos išleidimą, pavadinimas ir adresas.</w:t>
      </w:r>
    </w:p>
    <w:p w14:paraId="21FC0E9D" w14:textId="77777777" w:rsidR="00F676B7" w:rsidRPr="00DF20DE" w:rsidRDefault="00F676B7" w:rsidP="00930228">
      <w:pPr>
        <w:tabs>
          <w:tab w:val="left" w:pos="567"/>
        </w:tabs>
        <w:spacing w:after="0" w:line="260" w:lineRule="exact"/>
        <w:rPr>
          <w:rFonts w:ascii="Times New Roman" w:eastAsia="Times New Roman" w:hAnsi="Times New Roman" w:cs="Times New Roman"/>
          <w:snapToGrid w:val="0"/>
          <w:szCs w:val="24"/>
        </w:rPr>
      </w:pPr>
    </w:p>
    <w:p w14:paraId="32D8B22A" w14:textId="77777777" w:rsidR="00930228" w:rsidRPr="00DF20DE" w:rsidRDefault="00930228" w:rsidP="00930228">
      <w:pPr>
        <w:tabs>
          <w:tab w:val="left" w:pos="567"/>
        </w:tabs>
        <w:spacing w:after="0" w:line="260" w:lineRule="exact"/>
        <w:rPr>
          <w:rFonts w:ascii="Times New Roman" w:eastAsia="Times New Roman" w:hAnsi="Times New Roman" w:cs="Times New Roman"/>
          <w:snapToGrid w:val="0"/>
          <w:szCs w:val="24"/>
        </w:rPr>
      </w:pPr>
    </w:p>
    <w:p w14:paraId="3E37CBBA" w14:textId="77777777" w:rsidR="00930228" w:rsidRPr="00DF20DE" w:rsidRDefault="00930228" w:rsidP="00930228">
      <w:pPr>
        <w:tabs>
          <w:tab w:val="left" w:pos="567"/>
        </w:tabs>
        <w:spacing w:after="0" w:line="240" w:lineRule="auto"/>
        <w:ind w:left="567" w:hanging="567"/>
        <w:rPr>
          <w:rFonts w:ascii="Times New Roman" w:eastAsia="Times New Roman" w:hAnsi="Times New Roman" w:cs="Times New Roman"/>
          <w:snapToGrid w:val="0"/>
          <w:szCs w:val="24"/>
        </w:rPr>
      </w:pPr>
      <w:r w:rsidRPr="00DF20DE">
        <w:rPr>
          <w:rFonts w:ascii="Times New Roman" w:eastAsia="Times New Roman" w:hAnsi="Times New Roman" w:cs="Times New Roman"/>
          <w:b/>
          <w:noProof/>
          <w:snapToGrid w:val="0"/>
          <w:szCs w:val="24"/>
        </w:rPr>
        <w:t>B.</w:t>
      </w:r>
      <w:r w:rsidRPr="00DF20DE">
        <w:rPr>
          <w:rFonts w:ascii="Times New Roman" w:eastAsia="Times New Roman" w:hAnsi="Times New Roman" w:cs="Times New Roman"/>
          <w:b/>
          <w:snapToGrid w:val="0"/>
          <w:szCs w:val="24"/>
        </w:rPr>
        <w:tab/>
      </w:r>
      <w:r w:rsidRPr="00DF20DE">
        <w:rPr>
          <w:rFonts w:ascii="Times New Roman" w:eastAsia="Times New Roman" w:hAnsi="Times New Roman" w:cs="Times New Roman"/>
          <w:b/>
          <w:noProof/>
          <w:snapToGrid w:val="0"/>
          <w:szCs w:val="24"/>
        </w:rPr>
        <w:t>TIEKIMO IR VARTOJIMO SĄLYGOS AR APRIBOJIMAI</w:t>
      </w:r>
    </w:p>
    <w:p w14:paraId="7D8F6992" w14:textId="77777777" w:rsidR="00930228" w:rsidRPr="00DF20DE" w:rsidRDefault="00930228" w:rsidP="00930228">
      <w:pPr>
        <w:tabs>
          <w:tab w:val="left" w:pos="567"/>
        </w:tabs>
        <w:spacing w:after="0" w:line="260" w:lineRule="exact"/>
        <w:rPr>
          <w:rFonts w:ascii="Times New Roman" w:eastAsia="Times New Roman" w:hAnsi="Times New Roman" w:cs="Times New Roman"/>
          <w:snapToGrid w:val="0"/>
          <w:szCs w:val="24"/>
        </w:rPr>
      </w:pPr>
    </w:p>
    <w:p w14:paraId="01D1FF6D" w14:textId="5DC5AEBC" w:rsidR="00930228" w:rsidRPr="00DF20DE" w:rsidRDefault="00930228" w:rsidP="00930228">
      <w:pPr>
        <w:tabs>
          <w:tab w:val="left" w:pos="567"/>
        </w:tabs>
        <w:spacing w:after="0" w:line="260" w:lineRule="exact"/>
        <w:rPr>
          <w:rFonts w:ascii="Times New Roman" w:eastAsia="Times New Roman" w:hAnsi="Times New Roman" w:cs="Times New Roman"/>
          <w:snapToGrid w:val="0"/>
          <w:szCs w:val="24"/>
        </w:rPr>
      </w:pPr>
      <w:r w:rsidRPr="00DF20DE">
        <w:rPr>
          <w:rFonts w:ascii="Times New Roman" w:eastAsia="Times New Roman" w:hAnsi="Times New Roman" w:cs="Times New Roman"/>
          <w:snapToGrid w:val="0"/>
          <w:szCs w:val="20"/>
        </w:rPr>
        <w:t>Receptinis vaistinis preparatas.</w:t>
      </w:r>
    </w:p>
    <w:p w14:paraId="3928375B" w14:textId="55215F70" w:rsidR="00930228" w:rsidRPr="00DF20DE" w:rsidRDefault="00930228">
      <w:pPr>
        <w:rPr>
          <w:rFonts w:ascii="Times New Roman" w:eastAsia="Times New Roman" w:hAnsi="Times New Roman" w:cs="Times New Roman"/>
          <w:sz w:val="20"/>
        </w:rPr>
      </w:pPr>
      <w:r w:rsidRPr="00DF20DE">
        <w:rPr>
          <w:rFonts w:ascii="Times New Roman" w:eastAsia="Times New Roman" w:hAnsi="Times New Roman" w:cs="Times New Roman"/>
          <w:sz w:val="20"/>
        </w:rPr>
        <w:br w:type="page"/>
      </w:r>
    </w:p>
    <w:p w14:paraId="7C5722F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3838F0D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7B7D4AB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10A9298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44ABC77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0D10C1E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56EB9D4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27FE596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63B8BAB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40E06A8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7C62B72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7218EFF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41B9C0C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0E2640A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6C8A374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0D769F7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1AD1676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6E7806C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0DA9A50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402D3DE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22ABEB5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3870DD3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5CE495E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17"/>
        </w:rPr>
      </w:pPr>
    </w:p>
    <w:p w14:paraId="4857747E" w14:textId="77777777" w:rsidR="00F151B8" w:rsidRPr="00DF20DE" w:rsidRDefault="00F151B8" w:rsidP="00F151B8">
      <w:pPr>
        <w:widowControl w:val="0"/>
        <w:tabs>
          <w:tab w:val="left" w:pos="4426"/>
        </w:tabs>
        <w:autoSpaceDE w:val="0"/>
        <w:autoSpaceDN w:val="0"/>
        <w:spacing w:after="0" w:line="240" w:lineRule="auto"/>
        <w:ind w:left="1890" w:right="2760"/>
        <w:jc w:val="center"/>
        <w:outlineLvl w:val="0"/>
        <w:rPr>
          <w:rFonts w:ascii="Times New Roman" w:eastAsia="Times New Roman" w:hAnsi="Times New Roman" w:cs="Times New Roman"/>
          <w:b/>
          <w:bCs/>
        </w:rPr>
      </w:pPr>
      <w:r w:rsidRPr="00DF20DE">
        <w:rPr>
          <w:rFonts w:ascii="Times New Roman" w:eastAsia="Times New Roman" w:hAnsi="Times New Roman" w:cs="Times New Roman"/>
          <w:b/>
          <w:bCs/>
        </w:rPr>
        <w:t xml:space="preserve">III PRIEDAS </w:t>
      </w:r>
    </w:p>
    <w:p w14:paraId="5E1CDABE" w14:textId="77777777" w:rsidR="00F151B8" w:rsidRPr="00DF20DE" w:rsidRDefault="00F151B8" w:rsidP="00F151B8">
      <w:pPr>
        <w:widowControl w:val="0"/>
        <w:tabs>
          <w:tab w:val="left" w:pos="4426"/>
        </w:tabs>
        <w:autoSpaceDE w:val="0"/>
        <w:autoSpaceDN w:val="0"/>
        <w:spacing w:after="0" w:line="240" w:lineRule="auto"/>
        <w:ind w:left="1890" w:right="2760"/>
        <w:jc w:val="center"/>
        <w:outlineLvl w:val="0"/>
        <w:rPr>
          <w:rFonts w:ascii="Times New Roman" w:eastAsia="Times New Roman" w:hAnsi="Times New Roman" w:cs="Times New Roman"/>
          <w:b/>
          <w:bCs/>
        </w:rPr>
      </w:pPr>
    </w:p>
    <w:p w14:paraId="1400841E" w14:textId="77777777" w:rsidR="00F151B8" w:rsidRPr="00DF20DE" w:rsidRDefault="00F151B8" w:rsidP="00F151B8">
      <w:pPr>
        <w:widowControl w:val="0"/>
        <w:tabs>
          <w:tab w:val="left" w:pos="4426"/>
        </w:tabs>
        <w:autoSpaceDE w:val="0"/>
        <w:autoSpaceDN w:val="0"/>
        <w:spacing w:after="0" w:line="240" w:lineRule="auto"/>
        <w:ind w:left="1890" w:right="2760"/>
        <w:jc w:val="center"/>
        <w:outlineLvl w:val="0"/>
        <w:rPr>
          <w:rFonts w:ascii="Times New Roman" w:eastAsia="Times New Roman" w:hAnsi="Times New Roman" w:cs="Times New Roman"/>
          <w:b/>
          <w:bCs/>
        </w:rPr>
      </w:pPr>
      <w:r w:rsidRPr="00DF20DE">
        <w:rPr>
          <w:rFonts w:ascii="Times New Roman" w:eastAsia="Times New Roman" w:hAnsi="Times New Roman" w:cs="Times New Roman"/>
          <w:b/>
          <w:bCs/>
        </w:rPr>
        <w:t>ŽENKLINIMAS IR PAKUOTĖS LAPELIS</w:t>
      </w:r>
    </w:p>
    <w:p w14:paraId="72D9253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sectPr w:rsidR="00F151B8" w:rsidRPr="00DF20DE" w:rsidSect="00C536DB">
          <w:pgSz w:w="11910" w:h="16840"/>
          <w:pgMar w:top="1134" w:right="1418" w:bottom="1134" w:left="1418" w:header="0" w:footer="629" w:gutter="0"/>
          <w:cols w:space="720"/>
        </w:sectPr>
      </w:pPr>
    </w:p>
    <w:p w14:paraId="0F76E47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5F2859F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2A10284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48E70E6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6321607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127F5CA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3B13145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66002FF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303DC35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4C7BD6E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45F0C7F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413348D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677DFCE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675B13F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2C1A98F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136C181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34E4558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36B2514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71E592F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0F4517E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68B3D07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5551384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0"/>
        </w:rPr>
      </w:pPr>
    </w:p>
    <w:p w14:paraId="27E7D2F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17"/>
        </w:rPr>
      </w:pPr>
    </w:p>
    <w:p w14:paraId="335EF4AE" w14:textId="77777777" w:rsidR="00786B55" w:rsidRPr="00DF20DE" w:rsidRDefault="00786B55" w:rsidP="00786B55">
      <w:pPr>
        <w:pStyle w:val="Antrat2"/>
        <w:jc w:val="center"/>
        <w:rPr>
          <w:bCs w:val="0"/>
          <w:i/>
          <w:iCs/>
          <w:szCs w:val="24"/>
        </w:rPr>
      </w:pPr>
      <w:bookmarkStart w:id="9" w:name="A._ŽENKLINIMAS"/>
      <w:bookmarkEnd w:id="9"/>
      <w:r w:rsidRPr="00DF20DE">
        <w:t>A. ŽENKLINIMAS</w:t>
      </w:r>
    </w:p>
    <w:p w14:paraId="381C7BD1" w14:textId="0D103130" w:rsidR="00786B55" w:rsidRPr="00DF20DE" w:rsidRDefault="00786B55">
      <w:pPr>
        <w:rPr>
          <w:rFonts w:ascii="Times New Roman" w:eastAsia="Times New Roman" w:hAnsi="Times New Roman" w:cs="Times New Roman"/>
        </w:rPr>
      </w:pPr>
      <w:r w:rsidRPr="00DF20DE">
        <w:rPr>
          <w:rFonts w:ascii="Times New Roman" w:eastAsia="Times New Roman" w:hAnsi="Times New Roman" w:cs="Times New Roman"/>
        </w:rPr>
        <w:br w:type="page"/>
      </w:r>
    </w:p>
    <w:p w14:paraId="413BC64B" w14:textId="77777777" w:rsidR="00F151B8" w:rsidRPr="00DF20DE" w:rsidRDefault="00F151B8" w:rsidP="00F151B8">
      <w:pPr>
        <w:widowControl w:val="0"/>
        <w:shd w:val="clear" w:color="auto" w:fill="FFFFFF"/>
        <w:autoSpaceDE w:val="0"/>
        <w:autoSpaceDN w:val="0"/>
        <w:spacing w:after="0" w:line="240" w:lineRule="auto"/>
        <w:rPr>
          <w:rFonts w:ascii="Times New Roman" w:eastAsia="Times New Roman" w:hAnsi="Times New Roman" w:cs="Times New Roman"/>
        </w:rPr>
      </w:pPr>
      <w:bookmarkStart w:id="10" w:name="_Hlk90912394"/>
    </w:p>
    <w:p w14:paraId="37C6C82F" w14:textId="77777777" w:rsidR="00F151B8" w:rsidRPr="00DF20DE" w:rsidRDefault="00F151B8" w:rsidP="00F151B8">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rPr>
          <w:rFonts w:ascii="Times New Roman" w:eastAsia="Times New Roman" w:hAnsi="Times New Roman" w:cs="Times New Roman"/>
          <w:b/>
        </w:rPr>
      </w:pPr>
      <w:r w:rsidRPr="00DF20DE">
        <w:rPr>
          <w:rFonts w:ascii="Times New Roman" w:eastAsia="Times New Roman" w:hAnsi="Times New Roman" w:cs="Times New Roman"/>
          <w:b/>
        </w:rPr>
        <w:t>INFORMACIJA ANT IŠORINĖS PAKUOTĖS</w:t>
      </w:r>
    </w:p>
    <w:p w14:paraId="5FFA82F2" w14:textId="77777777" w:rsidR="00F151B8" w:rsidRPr="00DF20DE" w:rsidRDefault="00F151B8" w:rsidP="00F151B8">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ind w:left="567" w:hanging="567"/>
        <w:rPr>
          <w:rFonts w:ascii="Times New Roman" w:eastAsia="Times New Roman" w:hAnsi="Times New Roman" w:cs="Times New Roman"/>
          <w:bCs/>
        </w:rPr>
      </w:pPr>
    </w:p>
    <w:p w14:paraId="287E6FE2" w14:textId="25495FE5" w:rsidR="00F151B8" w:rsidRPr="00DF20DE" w:rsidRDefault="00786B55" w:rsidP="00F151B8">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rPr>
          <w:rFonts w:ascii="Times New Roman" w:eastAsia="Times New Roman" w:hAnsi="Times New Roman" w:cs="Times New Roman"/>
          <w:bCs/>
        </w:rPr>
      </w:pPr>
      <w:r w:rsidRPr="00DF20DE">
        <w:rPr>
          <w:rFonts w:ascii="Times New Roman" w:eastAsia="Times New Roman" w:hAnsi="Times New Roman" w:cs="Times New Roman"/>
          <w:b/>
        </w:rPr>
        <w:t>KARTONO</w:t>
      </w:r>
      <w:r w:rsidR="00F151B8" w:rsidRPr="00DF20DE">
        <w:rPr>
          <w:rFonts w:ascii="Times New Roman" w:eastAsia="Times New Roman" w:hAnsi="Times New Roman" w:cs="Times New Roman"/>
          <w:b/>
        </w:rPr>
        <w:t xml:space="preserve"> DĖŽUTĖ</w:t>
      </w:r>
    </w:p>
    <w:p w14:paraId="1596EF2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A61213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B439BA9"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rPr>
      </w:pPr>
      <w:r w:rsidRPr="00DF20DE">
        <w:rPr>
          <w:rFonts w:ascii="Times New Roman" w:eastAsia="Times New Roman" w:hAnsi="Times New Roman" w:cs="Times New Roman"/>
          <w:b/>
        </w:rPr>
        <w:t>VAISTINIO PREPARATO PAVADINIMAS</w:t>
      </w:r>
    </w:p>
    <w:p w14:paraId="4BB77F15"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rPr>
      </w:pPr>
    </w:p>
    <w:p w14:paraId="5993168E" w14:textId="35BEA228" w:rsidR="00F151B8" w:rsidRPr="00DF20DE" w:rsidRDefault="008B0463"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F151B8" w:rsidRPr="00DF20DE">
        <w:rPr>
          <w:rFonts w:ascii="Times New Roman" w:eastAsia="Times New Roman" w:hAnsi="Times New Roman" w:cs="Times New Roman"/>
        </w:rPr>
        <w:t xml:space="preserve"> </w:t>
      </w:r>
      <w:r w:rsidR="00786B55" w:rsidRPr="00DF20DE">
        <w:rPr>
          <w:rFonts w:ascii="Times New Roman" w:eastAsia="Times New Roman" w:hAnsi="Times New Roman" w:cs="Times New Roman"/>
        </w:rPr>
        <w:t>6</w:t>
      </w:r>
      <w:r w:rsidR="00F151B8" w:rsidRPr="00DF20DE">
        <w:rPr>
          <w:rFonts w:ascii="Times New Roman" w:eastAsia="Times New Roman" w:hAnsi="Times New Roman" w:cs="Times New Roman"/>
        </w:rPr>
        <w:t xml:space="preserve">0 mg plėvele dengtos tabletės </w:t>
      </w:r>
    </w:p>
    <w:p w14:paraId="5C99707A" w14:textId="15EEADEF" w:rsidR="00F151B8" w:rsidRPr="00DF20DE" w:rsidRDefault="00786B55"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NewRoman" w:hAnsi="Times New Roman" w:cs="Times New Roman"/>
        </w:rPr>
        <w:t>tikagreloras</w:t>
      </w:r>
    </w:p>
    <w:p w14:paraId="057CD7D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171B6BD"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b/>
        </w:rPr>
      </w:pPr>
      <w:r w:rsidRPr="00DF20DE">
        <w:rPr>
          <w:rFonts w:ascii="Times New Roman" w:eastAsia="Times New Roman" w:hAnsi="Times New Roman" w:cs="Times New Roman"/>
          <w:b/>
        </w:rPr>
        <w:t>VEIKLIOJI (-IOS) MEDŽIAGA (-OS) IR JOS (-Ų) KIEKIS (-IAI)</w:t>
      </w:r>
    </w:p>
    <w:p w14:paraId="227C43C2"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rPr>
      </w:pPr>
    </w:p>
    <w:p w14:paraId="14402DD0" w14:textId="5AF114D1"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Kiekvienoje plėvele dengtoje tabletėje yra </w:t>
      </w:r>
      <w:r w:rsidR="00786B55" w:rsidRPr="00DF20DE">
        <w:rPr>
          <w:rFonts w:ascii="Times New Roman" w:eastAsia="Times New Roman" w:hAnsi="Times New Roman" w:cs="Times New Roman"/>
        </w:rPr>
        <w:t>6</w:t>
      </w:r>
      <w:r w:rsidRPr="00DF20DE">
        <w:rPr>
          <w:rFonts w:ascii="Times New Roman" w:eastAsia="Times New Roman" w:hAnsi="Times New Roman" w:cs="Times New Roman"/>
        </w:rPr>
        <w:t>0 mg tikagreloro.</w:t>
      </w:r>
    </w:p>
    <w:p w14:paraId="7D2A513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B7A7DD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53AEA24"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rPr>
      </w:pPr>
      <w:r w:rsidRPr="00DF20DE">
        <w:rPr>
          <w:rFonts w:ascii="Times New Roman" w:eastAsia="Times New Roman" w:hAnsi="Times New Roman" w:cs="Times New Roman"/>
          <w:b/>
        </w:rPr>
        <w:t>PAGALBINIŲ MEDŽIAGŲ SĄRAŠAS</w:t>
      </w:r>
    </w:p>
    <w:p w14:paraId="403527A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23F94A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C359F3B"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rPr>
      </w:pPr>
      <w:r w:rsidRPr="00DF20DE">
        <w:rPr>
          <w:rFonts w:ascii="Times New Roman" w:eastAsia="Times New Roman" w:hAnsi="Times New Roman" w:cs="Times New Roman"/>
          <w:b/>
        </w:rPr>
        <w:t>FARMACINĖ FORMA IR KIEKIS PAKUOTĖJE</w:t>
      </w:r>
    </w:p>
    <w:p w14:paraId="602A83D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780166D" w14:textId="43EA95B9" w:rsidR="00262910" w:rsidRPr="00DF20DE" w:rsidRDefault="00786B55" w:rsidP="00786B55">
      <w:pPr>
        <w:tabs>
          <w:tab w:val="left" w:pos="567"/>
        </w:tabs>
        <w:spacing w:after="0" w:line="240" w:lineRule="auto"/>
        <w:ind w:left="567" w:hanging="567"/>
        <w:rPr>
          <w:rFonts w:ascii="Times New Roman" w:eastAsia="Times New Roman" w:hAnsi="Times New Roman" w:cs="Times New Roman"/>
          <w:szCs w:val="20"/>
        </w:rPr>
      </w:pPr>
      <w:r w:rsidRPr="00DF20DE">
        <w:rPr>
          <w:rFonts w:ascii="Times New Roman" w:eastAsia="Times New Roman" w:hAnsi="Times New Roman" w:cs="Times New Roman"/>
          <w:szCs w:val="20"/>
        </w:rPr>
        <w:t>56</w:t>
      </w:r>
      <w:r w:rsidR="00360249" w:rsidRPr="00DF20DE">
        <w:rPr>
          <w:rFonts w:ascii="Times New Roman" w:eastAsia="Times New Roman" w:hAnsi="Times New Roman" w:cs="Times New Roman"/>
          <w:szCs w:val="20"/>
        </w:rPr>
        <w:t> </w:t>
      </w:r>
      <w:r w:rsidR="00262910" w:rsidRPr="00DF20DE">
        <w:rPr>
          <w:rFonts w:ascii="Times New Roman" w:eastAsia="Times New Roman" w:hAnsi="Times New Roman" w:cs="Times New Roman"/>
        </w:rPr>
        <w:t>plėvele dengt</w:t>
      </w:r>
      <w:r w:rsidR="00360249" w:rsidRPr="00DF20DE">
        <w:rPr>
          <w:rFonts w:ascii="Times New Roman" w:eastAsia="Times New Roman" w:hAnsi="Times New Roman" w:cs="Times New Roman"/>
        </w:rPr>
        <w:t>os</w:t>
      </w:r>
      <w:r w:rsidR="00262910" w:rsidRPr="00DF20DE">
        <w:rPr>
          <w:rFonts w:ascii="Times New Roman" w:eastAsia="Times New Roman" w:hAnsi="Times New Roman" w:cs="Times New Roman"/>
        </w:rPr>
        <w:t xml:space="preserve"> table</w:t>
      </w:r>
      <w:r w:rsidR="00360249" w:rsidRPr="00DF20DE">
        <w:rPr>
          <w:rFonts w:ascii="Times New Roman" w:eastAsia="Times New Roman" w:hAnsi="Times New Roman" w:cs="Times New Roman"/>
        </w:rPr>
        <w:t>tės</w:t>
      </w:r>
      <w:r w:rsidR="00262910" w:rsidRPr="00DF20DE" w:rsidDel="00262910">
        <w:rPr>
          <w:rFonts w:ascii="Times New Roman" w:eastAsia="Times New Roman" w:hAnsi="Times New Roman" w:cs="Times New Roman"/>
          <w:szCs w:val="20"/>
        </w:rPr>
        <w:t xml:space="preserve"> </w:t>
      </w:r>
    </w:p>
    <w:p w14:paraId="37B95752" w14:textId="77777777" w:rsidR="00F151B8" w:rsidRPr="00DF20DE" w:rsidRDefault="00F151B8" w:rsidP="00262910">
      <w:pPr>
        <w:tabs>
          <w:tab w:val="left" w:pos="567"/>
        </w:tabs>
        <w:spacing w:after="0" w:line="240" w:lineRule="auto"/>
        <w:ind w:left="567" w:hanging="567"/>
        <w:rPr>
          <w:rFonts w:ascii="Times New Roman" w:eastAsia="Times New Roman" w:hAnsi="Times New Roman" w:cs="Times New Roman"/>
        </w:rPr>
      </w:pPr>
    </w:p>
    <w:p w14:paraId="5C57B38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B8F8B4D"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rPr>
      </w:pPr>
      <w:r w:rsidRPr="00DF20DE">
        <w:rPr>
          <w:rFonts w:ascii="Times New Roman" w:eastAsia="Times New Roman" w:hAnsi="Times New Roman" w:cs="Times New Roman"/>
          <w:b/>
        </w:rPr>
        <w:t>VARTOJIMO METODAS IR BŪDAS (-AI)</w:t>
      </w:r>
    </w:p>
    <w:p w14:paraId="3CDFDE77"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rPr>
      </w:pPr>
    </w:p>
    <w:p w14:paraId="73665EB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Prieš vartojimą perskaitykite pakuotės lapelį.</w:t>
      </w:r>
    </w:p>
    <w:p w14:paraId="394D348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Vartoti per burną.</w:t>
      </w:r>
    </w:p>
    <w:p w14:paraId="61E4FDF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8F03EF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3ACF0E3"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rPr>
      </w:pPr>
      <w:r w:rsidRPr="00DF20DE">
        <w:rPr>
          <w:rFonts w:ascii="Times New Roman" w:eastAsia="Times New Roman" w:hAnsi="Times New Roman" w:cs="Times New Roman"/>
          <w:b/>
        </w:rPr>
        <w:t>SPECIALUS ĮSPĖJIMAS, KAD VAISTINĮ PREPARATĄ BŪTINA LAIKYTI VAIKAMS NEPASTEBIMOJE IR NEPASIEKIAMOJE VIETOJE</w:t>
      </w:r>
    </w:p>
    <w:p w14:paraId="3CA1F5CE"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rPr>
      </w:pPr>
    </w:p>
    <w:p w14:paraId="2C5FA24D" w14:textId="77777777" w:rsidR="00F151B8" w:rsidRPr="00DF20DE" w:rsidRDefault="00F151B8" w:rsidP="00F151B8">
      <w:pPr>
        <w:widowControl w:val="0"/>
        <w:autoSpaceDE w:val="0"/>
        <w:autoSpaceDN w:val="0"/>
        <w:spacing w:after="0" w:line="240" w:lineRule="auto"/>
        <w:outlineLvl w:val="0"/>
        <w:rPr>
          <w:rFonts w:ascii="Times New Roman" w:eastAsia="Times New Roman" w:hAnsi="Times New Roman" w:cs="Times New Roman"/>
        </w:rPr>
      </w:pPr>
      <w:r w:rsidRPr="00DF20DE">
        <w:rPr>
          <w:rFonts w:ascii="Times New Roman" w:eastAsia="Times New Roman" w:hAnsi="Times New Roman" w:cs="Times New Roman"/>
        </w:rPr>
        <w:t>Laikyti vaikams nepastebimoje ir nepasiekiamoje vietoje.</w:t>
      </w:r>
    </w:p>
    <w:p w14:paraId="6BE21BD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C5400D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DB044CB"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rPr>
      </w:pPr>
      <w:r w:rsidRPr="00DF20DE">
        <w:rPr>
          <w:rFonts w:ascii="Times New Roman" w:eastAsia="Times New Roman" w:hAnsi="Times New Roman" w:cs="Times New Roman"/>
          <w:b/>
        </w:rPr>
        <w:t>KITAS (-I) SPECIALUS (-ŪS) ĮSPĖJIMAS (-AI) (JEI REIKIA)</w:t>
      </w:r>
    </w:p>
    <w:p w14:paraId="0E4BE4AF"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rPr>
      </w:pPr>
    </w:p>
    <w:p w14:paraId="1090C540" w14:textId="77777777" w:rsidR="00F151B8" w:rsidRPr="00DF20DE" w:rsidRDefault="00F151B8" w:rsidP="00F151B8">
      <w:pPr>
        <w:widowControl w:val="0"/>
        <w:tabs>
          <w:tab w:val="left" w:pos="749"/>
        </w:tabs>
        <w:autoSpaceDE w:val="0"/>
        <w:autoSpaceDN w:val="0"/>
        <w:spacing w:after="0" w:line="240" w:lineRule="auto"/>
        <w:rPr>
          <w:rFonts w:ascii="Times New Roman" w:eastAsia="Times New Roman" w:hAnsi="Times New Roman" w:cs="Times New Roman"/>
        </w:rPr>
      </w:pPr>
    </w:p>
    <w:p w14:paraId="1CEBDA28" w14:textId="77777777" w:rsidR="00F151B8" w:rsidRPr="00DF20DE" w:rsidRDefault="00F151B8" w:rsidP="00F151B8">
      <w:pPr>
        <w:widowControl w:val="0"/>
        <w:tabs>
          <w:tab w:val="left" w:pos="749"/>
        </w:tabs>
        <w:autoSpaceDE w:val="0"/>
        <w:autoSpaceDN w:val="0"/>
        <w:spacing w:after="0" w:line="240" w:lineRule="auto"/>
        <w:rPr>
          <w:rFonts w:ascii="Times New Roman" w:eastAsia="Times New Roman" w:hAnsi="Times New Roman" w:cs="Times New Roman"/>
        </w:rPr>
      </w:pPr>
    </w:p>
    <w:p w14:paraId="1F1CE2F6"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rPr>
      </w:pPr>
      <w:r w:rsidRPr="00DF20DE">
        <w:rPr>
          <w:rFonts w:ascii="Times New Roman" w:eastAsia="Times New Roman" w:hAnsi="Times New Roman" w:cs="Times New Roman"/>
          <w:b/>
        </w:rPr>
        <w:t>TINKAMUMO LAIKAS</w:t>
      </w:r>
    </w:p>
    <w:p w14:paraId="323BB436"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rPr>
      </w:pPr>
    </w:p>
    <w:p w14:paraId="377D41FA" w14:textId="46452D91"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EXP {</w:t>
      </w:r>
      <w:r w:rsidR="00FB3982" w:rsidRPr="00DF20DE">
        <w:rPr>
          <w:rFonts w:ascii="Times New Roman" w:hAnsi="Times New Roman" w:cs="Times New Roman"/>
        </w:rPr>
        <w:t>MMMM-mm</w:t>
      </w:r>
      <w:r w:rsidRPr="00DF20DE">
        <w:rPr>
          <w:rFonts w:ascii="Times New Roman" w:eastAsia="Times New Roman" w:hAnsi="Times New Roman" w:cs="Times New Roman"/>
        </w:rPr>
        <w:t>}</w:t>
      </w:r>
    </w:p>
    <w:p w14:paraId="5B58DCCD"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rPr>
      </w:pPr>
    </w:p>
    <w:p w14:paraId="7B1B7B2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850DA2A"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rPr>
      </w:pPr>
      <w:r w:rsidRPr="00DF20DE">
        <w:rPr>
          <w:rFonts w:ascii="Times New Roman" w:eastAsia="Times New Roman" w:hAnsi="Times New Roman" w:cs="Times New Roman"/>
          <w:b/>
        </w:rPr>
        <w:t>SPECIALIOS LAIKYMO SĄLYGOS</w:t>
      </w:r>
    </w:p>
    <w:p w14:paraId="00CE6A48" w14:textId="77777777" w:rsidR="00F151B8" w:rsidRPr="00DF20DE" w:rsidRDefault="00F151B8" w:rsidP="00F151B8">
      <w:pPr>
        <w:keepNext/>
        <w:widowControl w:val="0"/>
        <w:autoSpaceDE w:val="0"/>
        <w:autoSpaceDN w:val="0"/>
        <w:spacing w:after="0" w:line="240" w:lineRule="auto"/>
        <w:rPr>
          <w:rFonts w:ascii="Times New Roman" w:eastAsia="Times New Roman" w:hAnsi="Times New Roman" w:cs="Times New Roman"/>
        </w:rPr>
      </w:pPr>
    </w:p>
    <w:p w14:paraId="09D00AA6" w14:textId="77777777" w:rsidR="00F151B8" w:rsidRPr="00DF20DE" w:rsidRDefault="00F151B8" w:rsidP="00F151B8">
      <w:pPr>
        <w:widowControl w:val="0"/>
        <w:autoSpaceDE w:val="0"/>
        <w:autoSpaceDN w:val="0"/>
        <w:spacing w:after="0" w:line="240" w:lineRule="auto"/>
        <w:ind w:left="567" w:hanging="567"/>
        <w:rPr>
          <w:rFonts w:ascii="Times New Roman" w:eastAsia="Times New Roman" w:hAnsi="Times New Roman" w:cs="Times New Roman"/>
        </w:rPr>
      </w:pPr>
    </w:p>
    <w:p w14:paraId="0D354884"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b/>
        </w:rPr>
      </w:pPr>
      <w:r w:rsidRPr="00DF20DE">
        <w:rPr>
          <w:rFonts w:ascii="Times New Roman" w:eastAsia="Times New Roman" w:hAnsi="Times New Roman" w:cs="Times New Roman"/>
          <w:b/>
        </w:rPr>
        <w:t>SPECIALIOS ATSARGUMO PRIEMONĖS DĖL NESUVARTOTO VAISTINIO PREPARATO AR JO ATLIEKŲ TVARKYMO (JEI REIKIA)</w:t>
      </w:r>
    </w:p>
    <w:p w14:paraId="502BB67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80513B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5D25974"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b/>
        </w:rPr>
      </w:pPr>
      <w:r w:rsidRPr="00DF20DE">
        <w:rPr>
          <w:rFonts w:ascii="Times New Roman" w:eastAsia="Times New Roman" w:hAnsi="Times New Roman" w:cs="Times New Roman"/>
          <w:b/>
        </w:rPr>
        <w:t>REGISTRUOTOJO PAVADINIMAS IR ADRESAS</w:t>
      </w:r>
    </w:p>
    <w:p w14:paraId="61BE8849" w14:textId="6EFDA694"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B0C1A07" w14:textId="77777777" w:rsidR="00607E97" w:rsidRPr="00DF20DE" w:rsidRDefault="00607E97" w:rsidP="00607E97">
      <w:pPr>
        <w:spacing w:after="0" w:line="240" w:lineRule="auto"/>
        <w:rPr>
          <w:rFonts w:ascii="Times New Roman" w:hAnsi="Times New Roman" w:cs="Times New Roman"/>
        </w:rPr>
      </w:pPr>
      <w:r w:rsidRPr="00DF20DE">
        <w:rPr>
          <w:rFonts w:ascii="Times New Roman" w:hAnsi="Times New Roman" w:cs="Times New Roman"/>
        </w:rPr>
        <w:lastRenderedPageBreak/>
        <w:t>Egis Pharmaceuticals PLC</w:t>
      </w:r>
    </w:p>
    <w:p w14:paraId="546E11B3" w14:textId="77777777" w:rsidR="00607E97" w:rsidRPr="00DF20DE" w:rsidRDefault="00607E97" w:rsidP="00607E97">
      <w:pPr>
        <w:spacing w:after="0" w:line="240" w:lineRule="auto"/>
        <w:rPr>
          <w:rFonts w:ascii="Times New Roman" w:hAnsi="Times New Roman" w:cs="Times New Roman"/>
        </w:rPr>
      </w:pPr>
      <w:r w:rsidRPr="00DF20DE">
        <w:rPr>
          <w:rFonts w:ascii="Times New Roman" w:hAnsi="Times New Roman" w:cs="Times New Roman"/>
        </w:rPr>
        <w:t>Keresztúri út 30–38</w:t>
      </w:r>
    </w:p>
    <w:p w14:paraId="0DBEFAD7" w14:textId="77777777" w:rsidR="00F676B7" w:rsidRPr="00DF20DE" w:rsidRDefault="00F676B7" w:rsidP="00F676B7">
      <w:pPr>
        <w:spacing w:after="0" w:line="240" w:lineRule="auto"/>
        <w:rPr>
          <w:rFonts w:ascii="Times New Roman" w:hAnsi="Times New Roman" w:cs="Times New Roman"/>
        </w:rPr>
      </w:pPr>
      <w:r w:rsidRPr="00DF20DE">
        <w:rPr>
          <w:rFonts w:ascii="Times New Roman" w:hAnsi="Times New Roman" w:cs="Times New Roman"/>
        </w:rPr>
        <w:t>1106 Budapest</w:t>
      </w:r>
    </w:p>
    <w:p w14:paraId="13EC5F50" w14:textId="64B41423" w:rsidR="00607E97" w:rsidRPr="00DF20DE" w:rsidRDefault="00607E97" w:rsidP="00607E97">
      <w:pPr>
        <w:widowControl w:val="0"/>
        <w:autoSpaceDE w:val="0"/>
        <w:autoSpaceDN w:val="0"/>
        <w:spacing w:after="0" w:line="240" w:lineRule="auto"/>
        <w:rPr>
          <w:rFonts w:ascii="Times New Roman" w:hAnsi="Times New Roman" w:cs="Times New Roman"/>
        </w:rPr>
      </w:pPr>
      <w:r w:rsidRPr="00DF20DE">
        <w:rPr>
          <w:rFonts w:ascii="Times New Roman" w:hAnsi="Times New Roman" w:cs="Times New Roman"/>
        </w:rPr>
        <w:t>Vengrija</w:t>
      </w:r>
    </w:p>
    <w:p w14:paraId="6B755D60" w14:textId="77777777" w:rsidR="00607E97" w:rsidRPr="00DF20DE" w:rsidRDefault="00607E97" w:rsidP="00607E97">
      <w:pPr>
        <w:widowControl w:val="0"/>
        <w:autoSpaceDE w:val="0"/>
        <w:autoSpaceDN w:val="0"/>
        <w:spacing w:after="0" w:line="240" w:lineRule="auto"/>
        <w:rPr>
          <w:rFonts w:ascii="Times New Roman" w:eastAsia="Times New Roman" w:hAnsi="Times New Roman" w:cs="Times New Roman"/>
        </w:rPr>
      </w:pPr>
    </w:p>
    <w:p w14:paraId="5AB52BE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36299BB"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rPr>
      </w:pPr>
      <w:r w:rsidRPr="00DF20DE">
        <w:rPr>
          <w:rFonts w:ascii="Times New Roman" w:eastAsia="Times New Roman" w:hAnsi="Times New Roman" w:cs="Times New Roman"/>
          <w:b/>
        </w:rPr>
        <w:t xml:space="preserve">REGISTRACIJOS PAŽYMĖJIMO NUMERIS (-IAI) </w:t>
      </w:r>
    </w:p>
    <w:p w14:paraId="28B0801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666CFC5" w14:textId="0E866B16" w:rsidR="001102CA" w:rsidRPr="00DF20DE" w:rsidRDefault="001102CA" w:rsidP="001102CA">
      <w:pPr>
        <w:autoSpaceDE w:val="0"/>
        <w:autoSpaceDN w:val="0"/>
        <w:adjustRightInd w:val="0"/>
        <w:spacing w:after="0" w:line="240" w:lineRule="auto"/>
        <w:rPr>
          <w:rFonts w:ascii="Times New Roman" w:hAnsi="Times New Roman" w:cs="Times New Roman"/>
          <w:color w:val="000000"/>
          <w:sz w:val="23"/>
          <w:szCs w:val="23"/>
        </w:rPr>
      </w:pPr>
      <w:r w:rsidRPr="00DF20DE">
        <w:rPr>
          <w:rFonts w:ascii="Times New Roman" w:hAnsi="Times New Roman" w:cs="Times New Roman"/>
          <w:color w:val="000000"/>
          <w:sz w:val="23"/>
          <w:szCs w:val="23"/>
        </w:rPr>
        <w:t xml:space="preserve">LT/1/22/4919/001 </w:t>
      </w:r>
    </w:p>
    <w:p w14:paraId="45A09358" w14:textId="77777777" w:rsidR="001102CA" w:rsidRPr="00DF20DE" w:rsidRDefault="001102CA" w:rsidP="00F151B8">
      <w:pPr>
        <w:widowControl w:val="0"/>
        <w:autoSpaceDE w:val="0"/>
        <w:autoSpaceDN w:val="0"/>
        <w:spacing w:after="0" w:line="240" w:lineRule="auto"/>
        <w:rPr>
          <w:rFonts w:ascii="Times New Roman" w:eastAsia="Times New Roman" w:hAnsi="Times New Roman" w:cs="Times New Roman"/>
        </w:rPr>
      </w:pPr>
    </w:p>
    <w:p w14:paraId="1D204EC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B7A478F"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i/>
        </w:rPr>
      </w:pPr>
      <w:r w:rsidRPr="00DF20DE">
        <w:rPr>
          <w:rFonts w:ascii="Times New Roman" w:eastAsia="Times New Roman" w:hAnsi="Times New Roman" w:cs="Times New Roman"/>
          <w:b/>
        </w:rPr>
        <w:t xml:space="preserve">SERIJOS NUMERIS </w:t>
      </w:r>
    </w:p>
    <w:p w14:paraId="1D18260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2785FD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Lot</w:t>
      </w:r>
    </w:p>
    <w:p w14:paraId="1F00BD6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A6DEDA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6432171"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rPr>
      </w:pPr>
      <w:r w:rsidRPr="00DF20DE">
        <w:rPr>
          <w:rFonts w:ascii="Times New Roman" w:eastAsia="Times New Roman" w:hAnsi="Times New Roman" w:cs="Times New Roman"/>
          <w:b/>
        </w:rPr>
        <w:t>PARDAVIMO (IŠDAVIMO) TVARKA</w:t>
      </w:r>
    </w:p>
    <w:p w14:paraId="3866DCF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i/>
        </w:rPr>
      </w:pPr>
    </w:p>
    <w:p w14:paraId="5D37E5A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Receptinis vaistas.</w:t>
      </w:r>
    </w:p>
    <w:p w14:paraId="4472A73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D85B78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DDDB77E"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rPr>
      </w:pPr>
      <w:r w:rsidRPr="00DF20DE">
        <w:rPr>
          <w:rFonts w:ascii="Times New Roman" w:eastAsia="Times New Roman" w:hAnsi="Times New Roman" w:cs="Times New Roman"/>
          <w:b/>
        </w:rPr>
        <w:t>VARTOJIMO INSTRUKCIJA</w:t>
      </w:r>
    </w:p>
    <w:p w14:paraId="0DD5185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313AAF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4923B50"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rPr>
      </w:pPr>
      <w:r w:rsidRPr="00DF20DE">
        <w:rPr>
          <w:rFonts w:ascii="Times New Roman" w:eastAsia="Times New Roman" w:hAnsi="Times New Roman" w:cs="Times New Roman"/>
          <w:b/>
        </w:rPr>
        <w:t>INFORMACIJA BRAILIO RAŠTU</w:t>
      </w:r>
    </w:p>
    <w:p w14:paraId="58FA62B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8AB2ECD" w14:textId="67E2C367" w:rsidR="00F151B8" w:rsidRPr="00DF20DE" w:rsidRDefault="0060390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w:t>
      </w:r>
      <w:r w:rsidR="008B0463" w:rsidRPr="00DF20DE">
        <w:rPr>
          <w:rFonts w:ascii="Times New Roman" w:eastAsia="Times New Roman" w:hAnsi="Times New Roman" w:cs="Times New Roman"/>
        </w:rPr>
        <w:t>lategra</w:t>
      </w:r>
      <w:r w:rsidR="00F151B8" w:rsidRPr="00DF20DE">
        <w:rPr>
          <w:rFonts w:ascii="Times New Roman" w:eastAsia="Times New Roman" w:hAnsi="Times New Roman" w:cs="Times New Roman"/>
        </w:rPr>
        <w:t xml:space="preserve"> </w:t>
      </w:r>
      <w:r w:rsidR="006F5753" w:rsidRPr="00DF20DE">
        <w:rPr>
          <w:rFonts w:ascii="Times New Roman" w:eastAsia="Times New Roman" w:hAnsi="Times New Roman" w:cs="Times New Roman"/>
        </w:rPr>
        <w:t>6</w:t>
      </w:r>
      <w:r w:rsidR="00F151B8" w:rsidRPr="00DF20DE">
        <w:rPr>
          <w:rFonts w:ascii="Times New Roman" w:eastAsia="Times New Roman" w:hAnsi="Times New Roman" w:cs="Times New Roman"/>
        </w:rPr>
        <w:t>0 mg</w:t>
      </w:r>
    </w:p>
    <w:p w14:paraId="7A2F3A2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hd w:val="clear" w:color="auto" w:fill="CCCCCC"/>
        </w:rPr>
      </w:pPr>
    </w:p>
    <w:p w14:paraId="00D6AF2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hd w:val="clear" w:color="auto" w:fill="CCCCCC"/>
        </w:rPr>
      </w:pPr>
    </w:p>
    <w:p w14:paraId="470B366D"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i/>
        </w:rPr>
      </w:pPr>
      <w:r w:rsidRPr="00DF20DE">
        <w:rPr>
          <w:rFonts w:ascii="Times New Roman" w:eastAsia="Times New Roman" w:hAnsi="Times New Roman" w:cs="Times New Roman"/>
          <w:b/>
        </w:rPr>
        <w:t>UNIKALUS IDENTIFIKATORIUS – 2D BRŪKŠNINIS KODAS</w:t>
      </w:r>
    </w:p>
    <w:p w14:paraId="1433CEB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28DFCA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hd w:val="clear" w:color="auto" w:fill="CCCCCC"/>
        </w:rPr>
      </w:pPr>
      <w:r w:rsidRPr="00DF20DE">
        <w:rPr>
          <w:rFonts w:ascii="Times New Roman" w:eastAsia="Times New Roman" w:hAnsi="Times New Roman" w:cs="Times New Roman"/>
          <w:highlight w:val="lightGray"/>
        </w:rPr>
        <w:t>2D brūkšninis kodas su nurodytu unikaliu identifikatoriumi.</w:t>
      </w:r>
    </w:p>
    <w:p w14:paraId="3C215E2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hd w:val="clear" w:color="auto" w:fill="CCCCCC"/>
        </w:rPr>
      </w:pPr>
    </w:p>
    <w:p w14:paraId="67265B8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591536E" w14:textId="77777777" w:rsidR="00F151B8" w:rsidRPr="00DF20DE" w:rsidRDefault="00F151B8" w:rsidP="00B61CB8">
      <w:pPr>
        <w:keepNext/>
        <w:widowControl w:val="0"/>
        <w:numPr>
          <w:ilvl w:val="1"/>
          <w:numId w:val="11"/>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outlineLvl w:val="0"/>
        <w:rPr>
          <w:rFonts w:ascii="Times New Roman" w:eastAsia="Times New Roman" w:hAnsi="Times New Roman" w:cs="Times New Roman"/>
          <w:i/>
        </w:rPr>
      </w:pPr>
      <w:r w:rsidRPr="00DF20DE">
        <w:rPr>
          <w:rFonts w:ascii="Times New Roman" w:eastAsia="Times New Roman" w:hAnsi="Times New Roman" w:cs="Times New Roman"/>
          <w:b/>
        </w:rPr>
        <w:t>UNIKALUS IDENTIFIKATORIUS – ŽMONĖMS SUPRANTAMI DUOMENYS</w:t>
      </w:r>
    </w:p>
    <w:p w14:paraId="733A8E8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374A3CF" w14:textId="77777777" w:rsidR="006F5753"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PC: {numeris}</w:t>
      </w:r>
    </w:p>
    <w:p w14:paraId="3206EAFE" w14:textId="58F5A981"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SN: {numeris}</w:t>
      </w:r>
    </w:p>
    <w:p w14:paraId="4E71F38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highlight w:val="lightGray"/>
        </w:rPr>
        <w:t>NN: {numeris}</w:t>
      </w:r>
    </w:p>
    <w:p w14:paraId="0498796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br w:type="page"/>
      </w:r>
    </w:p>
    <w:p w14:paraId="1790CBA4" w14:textId="77777777" w:rsidR="00F151B8" w:rsidRPr="00DF20DE" w:rsidRDefault="00F151B8" w:rsidP="00F151B8">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rPr>
          <w:rFonts w:ascii="Times New Roman" w:eastAsia="Times New Roman" w:hAnsi="Times New Roman" w:cs="Times New Roman"/>
          <w:b/>
          <w:szCs w:val="24"/>
        </w:rPr>
      </w:pPr>
      <w:r w:rsidRPr="00DF20DE">
        <w:rPr>
          <w:rFonts w:ascii="Times New Roman" w:eastAsia="Times New Roman" w:hAnsi="Times New Roman" w:cs="Times New Roman"/>
          <w:b/>
          <w:szCs w:val="24"/>
        </w:rPr>
        <w:lastRenderedPageBreak/>
        <w:t>MINIMALI INFORMACIJA ANT LIZDINIŲ PLOKŠTELIŲ ARBA DVISLUOKSNIŲ JUOSTELIŲ</w:t>
      </w:r>
    </w:p>
    <w:p w14:paraId="28E116FD" w14:textId="77777777" w:rsidR="00F151B8" w:rsidRPr="00DF20DE" w:rsidRDefault="00F151B8" w:rsidP="00F151B8">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ind w:left="567" w:hanging="567"/>
        <w:rPr>
          <w:rFonts w:ascii="Times New Roman" w:eastAsia="Times New Roman" w:hAnsi="Times New Roman" w:cs="Times New Roman"/>
          <w:b/>
          <w:szCs w:val="24"/>
        </w:rPr>
      </w:pPr>
    </w:p>
    <w:p w14:paraId="5E3BBB87" w14:textId="77777777" w:rsidR="00F151B8" w:rsidRPr="00DF20DE" w:rsidRDefault="00F151B8" w:rsidP="00F151B8">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ind w:left="567" w:hanging="567"/>
        <w:rPr>
          <w:rFonts w:ascii="Times New Roman" w:eastAsia="Times New Roman" w:hAnsi="Times New Roman" w:cs="Times New Roman"/>
          <w:b/>
        </w:rPr>
      </w:pPr>
      <w:r w:rsidRPr="00DF20DE">
        <w:rPr>
          <w:rFonts w:ascii="Times New Roman" w:eastAsia="Times New Roman" w:hAnsi="Times New Roman" w:cs="Times New Roman"/>
          <w:b/>
        </w:rPr>
        <w:t>LIZDINĖ PLOKŠTELĖ</w:t>
      </w:r>
    </w:p>
    <w:p w14:paraId="34961F2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E3617B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Cs w:val="24"/>
        </w:rPr>
      </w:pPr>
    </w:p>
    <w:p w14:paraId="7C380384" w14:textId="77777777" w:rsidR="00F151B8" w:rsidRPr="00DF20DE" w:rsidRDefault="00F151B8" w:rsidP="006F5753">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outlineLvl w:val="0"/>
        <w:rPr>
          <w:rFonts w:ascii="Times New Roman" w:eastAsia="Times New Roman" w:hAnsi="Times New Roman" w:cs="Times New Roman"/>
          <w:b/>
          <w:szCs w:val="24"/>
        </w:rPr>
      </w:pPr>
      <w:r w:rsidRPr="00DF20DE">
        <w:rPr>
          <w:rFonts w:ascii="Times New Roman" w:eastAsia="Times New Roman" w:hAnsi="Times New Roman" w:cs="Times New Roman"/>
          <w:b/>
          <w:szCs w:val="24"/>
        </w:rPr>
        <w:t>1.</w:t>
      </w:r>
      <w:r w:rsidRPr="00DF20DE">
        <w:rPr>
          <w:rFonts w:ascii="Times New Roman" w:eastAsia="Times New Roman" w:hAnsi="Times New Roman" w:cs="Times New Roman"/>
          <w:b/>
          <w:szCs w:val="24"/>
        </w:rPr>
        <w:tab/>
      </w:r>
      <w:r w:rsidRPr="00DF20DE">
        <w:rPr>
          <w:rFonts w:ascii="Times New Roman" w:eastAsia="Times New Roman" w:hAnsi="Times New Roman" w:cs="Times New Roman"/>
          <w:b/>
          <w:caps/>
          <w:szCs w:val="24"/>
        </w:rPr>
        <w:t>VAISTINIO</w:t>
      </w:r>
      <w:r w:rsidRPr="00DF20DE">
        <w:rPr>
          <w:rFonts w:ascii="Times New Roman" w:eastAsia="Times New Roman" w:hAnsi="Times New Roman" w:cs="Times New Roman"/>
          <w:b/>
          <w:szCs w:val="24"/>
        </w:rPr>
        <w:t xml:space="preserve"> PREPARATO PAVADINIMAS</w:t>
      </w:r>
    </w:p>
    <w:p w14:paraId="0BEBE8E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Cs w:val="24"/>
        </w:rPr>
      </w:pPr>
    </w:p>
    <w:p w14:paraId="74528276" w14:textId="10DADDD2" w:rsidR="00F151B8" w:rsidRPr="00DF20DE" w:rsidRDefault="008B0463"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F151B8" w:rsidRPr="00DF20DE">
        <w:rPr>
          <w:rFonts w:ascii="Times New Roman" w:eastAsia="Times New Roman" w:hAnsi="Times New Roman" w:cs="Times New Roman"/>
        </w:rPr>
        <w:t xml:space="preserve"> </w:t>
      </w:r>
      <w:r w:rsidR="006F5753" w:rsidRPr="00DF20DE">
        <w:rPr>
          <w:rFonts w:ascii="Times New Roman" w:eastAsia="Times New Roman" w:hAnsi="Times New Roman" w:cs="Times New Roman"/>
        </w:rPr>
        <w:t>6</w:t>
      </w:r>
      <w:r w:rsidR="00F151B8" w:rsidRPr="00DF20DE">
        <w:rPr>
          <w:rFonts w:ascii="Times New Roman" w:eastAsia="Times New Roman" w:hAnsi="Times New Roman" w:cs="Times New Roman"/>
        </w:rPr>
        <w:t>0 mg</w:t>
      </w:r>
      <w:r w:rsidR="009D54FA" w:rsidRPr="00DF20DE">
        <w:rPr>
          <w:rFonts w:ascii="Times New Roman" w:eastAsia="Times New Roman" w:hAnsi="Times New Roman" w:cs="Times New Roman"/>
        </w:rPr>
        <w:t xml:space="preserve"> plėvele dengtos tabletės</w:t>
      </w:r>
    </w:p>
    <w:p w14:paraId="1C63F0F1" w14:textId="0A499938"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w:t>
      </w:r>
      <w:r w:rsidR="006F5753" w:rsidRPr="00DF20DE">
        <w:rPr>
          <w:rFonts w:ascii="Times New Roman" w:eastAsia="Times New Roman" w:hAnsi="Times New Roman" w:cs="Times New Roman"/>
        </w:rPr>
        <w:t>k</w:t>
      </w:r>
      <w:r w:rsidRPr="00DF20DE">
        <w:rPr>
          <w:rFonts w:ascii="Times New Roman" w:eastAsia="Times New Roman" w:hAnsi="Times New Roman" w:cs="Times New Roman"/>
        </w:rPr>
        <w:t>agrelor</w:t>
      </w:r>
      <w:r w:rsidR="006F5753" w:rsidRPr="00DF20DE">
        <w:rPr>
          <w:rFonts w:ascii="Times New Roman" w:eastAsia="Times New Roman" w:hAnsi="Times New Roman" w:cs="Times New Roman"/>
        </w:rPr>
        <w:t>as</w:t>
      </w:r>
    </w:p>
    <w:p w14:paraId="411EFBA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Cs w:val="24"/>
        </w:rPr>
      </w:pPr>
    </w:p>
    <w:p w14:paraId="5CA8448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Cs w:val="24"/>
        </w:rPr>
      </w:pPr>
    </w:p>
    <w:p w14:paraId="3E59BE3E" w14:textId="77777777" w:rsidR="00F151B8" w:rsidRPr="00DF20DE" w:rsidRDefault="00F151B8" w:rsidP="006F5753">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outlineLvl w:val="0"/>
        <w:rPr>
          <w:rFonts w:ascii="Times New Roman" w:eastAsia="Times New Roman" w:hAnsi="Times New Roman" w:cs="Times New Roman"/>
          <w:b/>
          <w:szCs w:val="24"/>
        </w:rPr>
      </w:pPr>
      <w:r w:rsidRPr="00DF20DE">
        <w:rPr>
          <w:rFonts w:ascii="Times New Roman" w:eastAsia="Times New Roman" w:hAnsi="Times New Roman" w:cs="Times New Roman"/>
          <w:b/>
          <w:szCs w:val="24"/>
        </w:rPr>
        <w:t>2.</w:t>
      </w:r>
      <w:r w:rsidRPr="00DF20DE">
        <w:rPr>
          <w:rFonts w:ascii="Times New Roman" w:eastAsia="Times New Roman" w:hAnsi="Times New Roman" w:cs="Times New Roman"/>
          <w:b/>
          <w:szCs w:val="24"/>
        </w:rPr>
        <w:tab/>
      </w:r>
      <w:r w:rsidRPr="00DF20DE">
        <w:rPr>
          <w:rFonts w:ascii="Times New Roman" w:eastAsia="Times New Roman" w:hAnsi="Times New Roman" w:cs="Times New Roman"/>
          <w:b/>
          <w:caps/>
          <w:szCs w:val="24"/>
        </w:rPr>
        <w:t>REGISTRUOTOJO pavadinimas</w:t>
      </w:r>
    </w:p>
    <w:p w14:paraId="13E42A2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Cs w:val="24"/>
        </w:rPr>
      </w:pPr>
    </w:p>
    <w:p w14:paraId="08D03B3A" w14:textId="059AF37C" w:rsidR="00F151B8" w:rsidRPr="00DF20DE" w:rsidRDefault="00607E97" w:rsidP="00F151B8">
      <w:pPr>
        <w:widowControl w:val="0"/>
        <w:autoSpaceDE w:val="0"/>
        <w:autoSpaceDN w:val="0"/>
        <w:spacing w:after="0" w:line="240" w:lineRule="auto"/>
        <w:rPr>
          <w:rFonts w:ascii="Times New Roman" w:eastAsia="Times New Roman" w:hAnsi="Times New Roman" w:cs="Times New Roman"/>
          <w:szCs w:val="24"/>
        </w:rPr>
      </w:pPr>
      <w:r w:rsidRPr="00DF20DE">
        <w:rPr>
          <w:rFonts w:ascii="Times New Roman" w:eastAsia="Times New Roman" w:hAnsi="Times New Roman" w:cs="Times New Roman"/>
          <w:szCs w:val="24"/>
        </w:rPr>
        <w:t>Egis</w:t>
      </w:r>
    </w:p>
    <w:p w14:paraId="247B97D7" w14:textId="77777777" w:rsidR="00607E97" w:rsidRPr="00DF20DE" w:rsidRDefault="00607E97" w:rsidP="00F151B8">
      <w:pPr>
        <w:widowControl w:val="0"/>
        <w:autoSpaceDE w:val="0"/>
        <w:autoSpaceDN w:val="0"/>
        <w:spacing w:after="0" w:line="240" w:lineRule="auto"/>
        <w:rPr>
          <w:rFonts w:ascii="Times New Roman" w:eastAsia="Times New Roman" w:hAnsi="Times New Roman" w:cs="Times New Roman"/>
          <w:szCs w:val="24"/>
        </w:rPr>
      </w:pPr>
    </w:p>
    <w:p w14:paraId="377CC6C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Cs w:val="24"/>
        </w:rPr>
      </w:pPr>
    </w:p>
    <w:p w14:paraId="48E3C984" w14:textId="77777777" w:rsidR="00F151B8" w:rsidRPr="00DF20DE" w:rsidRDefault="00F151B8" w:rsidP="006F5753">
      <w:pPr>
        <w:widowControl w:val="0"/>
        <w:pBdr>
          <w:top w:val="single" w:sz="4" w:space="1" w:color="auto"/>
          <w:left w:val="single" w:sz="4" w:space="4" w:color="auto"/>
          <w:bottom w:val="single" w:sz="4" w:space="2" w:color="auto"/>
          <w:right w:val="single" w:sz="4" w:space="4" w:color="auto"/>
        </w:pBdr>
        <w:tabs>
          <w:tab w:val="left" w:pos="567"/>
        </w:tabs>
        <w:autoSpaceDE w:val="0"/>
        <w:autoSpaceDN w:val="0"/>
        <w:spacing w:after="0" w:line="240" w:lineRule="auto"/>
        <w:outlineLvl w:val="0"/>
        <w:rPr>
          <w:rFonts w:ascii="Times New Roman" w:eastAsia="Times New Roman" w:hAnsi="Times New Roman" w:cs="Times New Roman"/>
          <w:b/>
          <w:szCs w:val="24"/>
        </w:rPr>
      </w:pPr>
      <w:r w:rsidRPr="00DF20DE">
        <w:rPr>
          <w:rFonts w:ascii="Times New Roman" w:eastAsia="Times New Roman" w:hAnsi="Times New Roman" w:cs="Times New Roman"/>
          <w:b/>
          <w:szCs w:val="24"/>
        </w:rPr>
        <w:t>3.</w:t>
      </w:r>
      <w:r w:rsidRPr="00DF20DE">
        <w:rPr>
          <w:rFonts w:ascii="Times New Roman" w:eastAsia="Times New Roman" w:hAnsi="Times New Roman" w:cs="Times New Roman"/>
          <w:b/>
          <w:szCs w:val="24"/>
        </w:rPr>
        <w:tab/>
        <w:t>TINKAMUMO LAIKAS</w:t>
      </w:r>
    </w:p>
    <w:p w14:paraId="65B6B06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Cs w:val="24"/>
        </w:rPr>
      </w:pPr>
    </w:p>
    <w:p w14:paraId="2C997ADE" w14:textId="26C06AB6"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EXP {</w:t>
      </w:r>
      <w:r w:rsidR="00FB3982" w:rsidRPr="00DF20DE">
        <w:rPr>
          <w:rFonts w:ascii="Times New Roman" w:hAnsi="Times New Roman" w:cs="Times New Roman"/>
        </w:rPr>
        <w:t>MMMM-mm</w:t>
      </w:r>
      <w:r w:rsidRPr="00DF20DE">
        <w:rPr>
          <w:rFonts w:ascii="Times New Roman" w:eastAsia="Times New Roman" w:hAnsi="Times New Roman" w:cs="Times New Roman"/>
        </w:rPr>
        <w:t>}</w:t>
      </w:r>
    </w:p>
    <w:p w14:paraId="170B534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8862F8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ED9D6A9" w14:textId="77777777" w:rsidR="00F151B8" w:rsidRPr="00DF20DE" w:rsidRDefault="00F151B8" w:rsidP="006F5753">
      <w:pPr>
        <w:widowControl w:val="0"/>
        <w:suppressLineNumbers/>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outlineLvl w:val="0"/>
        <w:rPr>
          <w:rFonts w:ascii="Times New Roman" w:eastAsia="Times New Roman" w:hAnsi="Times New Roman" w:cs="Times New Roman"/>
          <w:b/>
          <w:szCs w:val="24"/>
        </w:rPr>
      </w:pPr>
      <w:r w:rsidRPr="00DF20DE">
        <w:rPr>
          <w:rFonts w:ascii="Times New Roman" w:eastAsia="Times New Roman" w:hAnsi="Times New Roman" w:cs="Times New Roman"/>
          <w:b/>
          <w:szCs w:val="24"/>
        </w:rPr>
        <w:t>4.</w:t>
      </w:r>
      <w:r w:rsidRPr="00DF20DE">
        <w:rPr>
          <w:rFonts w:ascii="Times New Roman" w:eastAsia="Times New Roman" w:hAnsi="Times New Roman" w:cs="Times New Roman"/>
          <w:b/>
          <w:szCs w:val="24"/>
        </w:rPr>
        <w:tab/>
        <w:t>SERIJOS NUMERIS</w:t>
      </w:r>
    </w:p>
    <w:p w14:paraId="460CE6F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80555D6" w14:textId="77777777" w:rsidR="00F151B8" w:rsidRPr="00DF20DE" w:rsidRDefault="00F151B8" w:rsidP="00F151B8">
      <w:pPr>
        <w:widowControl w:val="0"/>
        <w:autoSpaceDE w:val="0"/>
        <w:autoSpaceDN w:val="0"/>
        <w:spacing w:after="0" w:line="240" w:lineRule="auto"/>
        <w:outlineLvl w:val="0"/>
        <w:rPr>
          <w:rFonts w:ascii="Times New Roman" w:eastAsia="Times New Roman" w:hAnsi="Times New Roman" w:cs="Times New Roman"/>
          <w:b/>
        </w:rPr>
      </w:pPr>
      <w:r w:rsidRPr="00DF20DE">
        <w:rPr>
          <w:rFonts w:ascii="Times New Roman" w:eastAsia="Times New Roman" w:hAnsi="Times New Roman" w:cs="Times New Roman"/>
        </w:rPr>
        <w:t>Lot</w:t>
      </w:r>
    </w:p>
    <w:p w14:paraId="7FBAF73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Cs w:val="24"/>
        </w:rPr>
      </w:pPr>
    </w:p>
    <w:p w14:paraId="42AAD83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Cs w:val="24"/>
        </w:rPr>
      </w:pPr>
    </w:p>
    <w:p w14:paraId="2F358ABA" w14:textId="77777777" w:rsidR="00F151B8" w:rsidRPr="00DF20DE" w:rsidRDefault="00F151B8" w:rsidP="006F5753">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outlineLvl w:val="0"/>
        <w:rPr>
          <w:rFonts w:ascii="Times New Roman" w:eastAsia="Times New Roman" w:hAnsi="Times New Roman" w:cs="Times New Roman"/>
          <w:b/>
          <w:szCs w:val="24"/>
        </w:rPr>
      </w:pPr>
      <w:r w:rsidRPr="00DF20DE">
        <w:rPr>
          <w:rFonts w:ascii="Times New Roman" w:eastAsia="Times New Roman" w:hAnsi="Times New Roman" w:cs="Times New Roman"/>
          <w:b/>
          <w:szCs w:val="24"/>
        </w:rPr>
        <w:t>5.</w:t>
      </w:r>
      <w:r w:rsidRPr="00DF20DE">
        <w:rPr>
          <w:rFonts w:ascii="Times New Roman" w:eastAsia="Times New Roman" w:hAnsi="Times New Roman" w:cs="Times New Roman"/>
          <w:b/>
          <w:szCs w:val="24"/>
        </w:rPr>
        <w:tab/>
        <w:t>KITA</w:t>
      </w:r>
    </w:p>
    <w:p w14:paraId="3417C5C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Cs w:val="24"/>
        </w:rPr>
      </w:pPr>
    </w:p>
    <w:p w14:paraId="5B8CD8D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Cs w:val="24"/>
        </w:rPr>
      </w:pPr>
    </w:p>
    <w:bookmarkEnd w:id="10"/>
    <w:p w14:paraId="45685D3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Cs w:val="24"/>
        </w:rPr>
      </w:pPr>
      <w:r w:rsidRPr="00DF20DE">
        <w:rPr>
          <w:rFonts w:ascii="Times New Roman" w:eastAsia="Times New Roman" w:hAnsi="Times New Roman" w:cs="Times New Roman"/>
          <w:szCs w:val="24"/>
        </w:rPr>
        <w:br w:type="page"/>
      </w:r>
    </w:p>
    <w:p w14:paraId="305B4C27" w14:textId="77777777" w:rsidR="006F5753" w:rsidRPr="00DF20DE" w:rsidRDefault="006F5753" w:rsidP="006F5753">
      <w:pPr>
        <w:widowControl w:val="0"/>
        <w:shd w:val="clear" w:color="auto" w:fill="FFFFFF"/>
        <w:autoSpaceDE w:val="0"/>
        <w:autoSpaceDN w:val="0"/>
        <w:spacing w:after="0" w:line="240" w:lineRule="auto"/>
        <w:rPr>
          <w:rFonts w:ascii="Times New Roman" w:eastAsia="Times New Roman" w:hAnsi="Times New Roman" w:cs="Times New Roman"/>
        </w:rPr>
      </w:pPr>
    </w:p>
    <w:p w14:paraId="39854979" w14:textId="77777777" w:rsidR="006F5753" w:rsidRPr="00DF20DE" w:rsidRDefault="006F5753" w:rsidP="006F5753">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rPr>
          <w:rFonts w:ascii="Times New Roman" w:eastAsia="Times New Roman" w:hAnsi="Times New Roman" w:cs="Times New Roman"/>
          <w:b/>
        </w:rPr>
      </w:pPr>
      <w:r w:rsidRPr="00DF20DE">
        <w:rPr>
          <w:rFonts w:ascii="Times New Roman" w:eastAsia="Times New Roman" w:hAnsi="Times New Roman" w:cs="Times New Roman"/>
          <w:b/>
        </w:rPr>
        <w:t>INFORMACIJA ANT IŠORINĖS PAKUOTĖS</w:t>
      </w:r>
    </w:p>
    <w:p w14:paraId="49608C39" w14:textId="77777777" w:rsidR="006F5753" w:rsidRPr="00DF20DE" w:rsidRDefault="006F5753" w:rsidP="006F5753">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rPr>
          <w:rFonts w:ascii="Times New Roman" w:eastAsia="Times New Roman" w:hAnsi="Times New Roman" w:cs="Times New Roman"/>
          <w:bCs/>
        </w:rPr>
      </w:pPr>
    </w:p>
    <w:p w14:paraId="17F04006" w14:textId="77777777" w:rsidR="006F5753" w:rsidRPr="00DF20DE" w:rsidRDefault="006F5753" w:rsidP="006F5753">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rPr>
          <w:rFonts w:ascii="Times New Roman" w:eastAsia="Times New Roman" w:hAnsi="Times New Roman" w:cs="Times New Roman"/>
          <w:bCs/>
        </w:rPr>
      </w:pPr>
      <w:r w:rsidRPr="00DF20DE">
        <w:rPr>
          <w:rFonts w:ascii="Times New Roman" w:eastAsia="Times New Roman" w:hAnsi="Times New Roman" w:cs="Times New Roman"/>
          <w:b/>
        </w:rPr>
        <w:t>KARTONO DĖŽUTĖ</w:t>
      </w:r>
    </w:p>
    <w:p w14:paraId="76D4ED6F"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61A5B18F"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2C99AD11"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rPr>
      </w:pPr>
      <w:r w:rsidRPr="00DF20DE">
        <w:rPr>
          <w:rFonts w:ascii="Times New Roman" w:eastAsia="Times New Roman" w:hAnsi="Times New Roman" w:cs="Times New Roman"/>
          <w:b/>
        </w:rPr>
        <w:t>VAISTINIO PREPARATO PAVADINIMAS</w:t>
      </w:r>
    </w:p>
    <w:p w14:paraId="1E913128" w14:textId="77777777" w:rsidR="006F5753" w:rsidRPr="00DF20DE" w:rsidRDefault="006F5753" w:rsidP="006F5753">
      <w:pPr>
        <w:keepNext/>
        <w:widowControl w:val="0"/>
        <w:autoSpaceDE w:val="0"/>
        <w:autoSpaceDN w:val="0"/>
        <w:spacing w:after="0" w:line="240" w:lineRule="auto"/>
        <w:rPr>
          <w:rFonts w:ascii="Times New Roman" w:eastAsia="Times New Roman" w:hAnsi="Times New Roman" w:cs="Times New Roman"/>
        </w:rPr>
      </w:pPr>
    </w:p>
    <w:p w14:paraId="4317860D" w14:textId="592CB983" w:rsidR="006F5753" w:rsidRPr="00DF20DE" w:rsidRDefault="008B0463" w:rsidP="006F5753">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6F5753" w:rsidRPr="00DF20DE">
        <w:rPr>
          <w:rFonts w:ascii="Times New Roman" w:eastAsia="Times New Roman" w:hAnsi="Times New Roman" w:cs="Times New Roman"/>
        </w:rPr>
        <w:t xml:space="preserve"> 90 mg plėvele dengtos tabletės </w:t>
      </w:r>
    </w:p>
    <w:p w14:paraId="787E753D" w14:textId="6B2B9711" w:rsidR="006F5753" w:rsidRPr="00DF20DE" w:rsidRDefault="00607E97" w:rsidP="006F5753">
      <w:pPr>
        <w:widowControl w:val="0"/>
        <w:autoSpaceDE w:val="0"/>
        <w:autoSpaceDN w:val="0"/>
        <w:spacing w:after="0" w:line="240" w:lineRule="auto"/>
        <w:rPr>
          <w:rFonts w:ascii="Times New Roman" w:eastAsia="TimesNewRoman" w:hAnsi="Times New Roman" w:cs="Times New Roman"/>
        </w:rPr>
      </w:pPr>
      <w:r w:rsidRPr="00DF20DE">
        <w:rPr>
          <w:rFonts w:ascii="Times New Roman" w:eastAsia="TimesNewRoman" w:hAnsi="Times New Roman" w:cs="Times New Roman"/>
        </w:rPr>
        <w:t>t</w:t>
      </w:r>
      <w:r w:rsidR="006F5753" w:rsidRPr="00DF20DE">
        <w:rPr>
          <w:rFonts w:ascii="Times New Roman" w:eastAsia="TimesNewRoman" w:hAnsi="Times New Roman" w:cs="Times New Roman"/>
        </w:rPr>
        <w:t>ikagreloras</w:t>
      </w:r>
    </w:p>
    <w:p w14:paraId="012636D1" w14:textId="77777777" w:rsidR="00607E97" w:rsidRPr="00DF20DE" w:rsidRDefault="00607E97" w:rsidP="006F5753">
      <w:pPr>
        <w:widowControl w:val="0"/>
        <w:autoSpaceDE w:val="0"/>
        <w:autoSpaceDN w:val="0"/>
        <w:spacing w:after="0" w:line="240" w:lineRule="auto"/>
        <w:rPr>
          <w:rFonts w:ascii="Times New Roman" w:eastAsia="Times New Roman" w:hAnsi="Times New Roman" w:cs="Times New Roman"/>
        </w:rPr>
      </w:pPr>
    </w:p>
    <w:p w14:paraId="2664A12B"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7D87B9C5"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b/>
        </w:rPr>
      </w:pPr>
      <w:r w:rsidRPr="00DF20DE">
        <w:rPr>
          <w:rFonts w:ascii="Times New Roman" w:eastAsia="Times New Roman" w:hAnsi="Times New Roman" w:cs="Times New Roman"/>
          <w:b/>
        </w:rPr>
        <w:t>VEIKLIOJI (-IOS) MEDŽIAGA (-OS) IR JOS (-Ų) KIEKIS (-IAI)</w:t>
      </w:r>
    </w:p>
    <w:p w14:paraId="5AEEC1E3" w14:textId="77777777" w:rsidR="006F5753" w:rsidRPr="00DF20DE" w:rsidRDefault="006F5753" w:rsidP="006F5753">
      <w:pPr>
        <w:keepNext/>
        <w:widowControl w:val="0"/>
        <w:autoSpaceDE w:val="0"/>
        <w:autoSpaceDN w:val="0"/>
        <w:spacing w:after="0" w:line="240" w:lineRule="auto"/>
        <w:rPr>
          <w:rFonts w:ascii="Times New Roman" w:eastAsia="Times New Roman" w:hAnsi="Times New Roman" w:cs="Times New Roman"/>
        </w:rPr>
      </w:pPr>
    </w:p>
    <w:p w14:paraId="1490FD1B" w14:textId="2285894E"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Kiekvienoje plėvele dengtoje tabletėje yra 90 mg tikagreloro.</w:t>
      </w:r>
    </w:p>
    <w:p w14:paraId="194AADE8"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60FE607E"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19C898FE"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rPr>
      </w:pPr>
      <w:r w:rsidRPr="00DF20DE">
        <w:rPr>
          <w:rFonts w:ascii="Times New Roman" w:eastAsia="Times New Roman" w:hAnsi="Times New Roman" w:cs="Times New Roman"/>
          <w:b/>
        </w:rPr>
        <w:t>PAGALBINIŲ MEDŽIAGŲ SĄRAŠAS</w:t>
      </w:r>
    </w:p>
    <w:p w14:paraId="3FA20C3C"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46BC29F8"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3BA2F692"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rPr>
      </w:pPr>
      <w:r w:rsidRPr="00DF20DE">
        <w:rPr>
          <w:rFonts w:ascii="Times New Roman" w:eastAsia="Times New Roman" w:hAnsi="Times New Roman" w:cs="Times New Roman"/>
          <w:b/>
        </w:rPr>
        <w:t>FARMACINĖ FORMA IR KIEKIS PAKUOTĖJE</w:t>
      </w:r>
    </w:p>
    <w:p w14:paraId="75DA12F5"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442CD973" w14:textId="77777777" w:rsidR="000F48F1" w:rsidRPr="00DF20DE" w:rsidRDefault="000F48F1" w:rsidP="000F48F1">
      <w:pPr>
        <w:numPr>
          <w:ilvl w:val="12"/>
          <w:numId w:val="0"/>
        </w:numPr>
        <w:tabs>
          <w:tab w:val="left" w:pos="0"/>
          <w:tab w:val="left" w:pos="567"/>
          <w:tab w:val="left" w:pos="9071"/>
        </w:tabs>
        <w:spacing w:after="0" w:line="240" w:lineRule="auto"/>
        <w:rPr>
          <w:rFonts w:ascii="Times New Roman" w:eastAsia="Times New Roman" w:hAnsi="Times New Roman" w:cs="Times New Roman"/>
          <w:szCs w:val="20"/>
        </w:rPr>
      </w:pPr>
      <w:r w:rsidRPr="00DF20DE">
        <w:rPr>
          <w:rFonts w:ascii="Times New Roman" w:eastAsia="Times New Roman" w:hAnsi="Times New Roman" w:cs="Times New Roman"/>
          <w:szCs w:val="20"/>
        </w:rPr>
        <w:t>56 </w:t>
      </w:r>
      <w:r w:rsidRPr="00DF20DE">
        <w:rPr>
          <w:rFonts w:ascii="Times New Roman" w:eastAsia="Times New Roman" w:hAnsi="Times New Roman" w:cs="Times New Roman"/>
        </w:rPr>
        <w:t>plėvele dengtos tabletės</w:t>
      </w:r>
    </w:p>
    <w:p w14:paraId="2B47CEFA"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7CDC15F2"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2242EFE8"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rPr>
      </w:pPr>
      <w:r w:rsidRPr="00DF20DE">
        <w:rPr>
          <w:rFonts w:ascii="Times New Roman" w:eastAsia="Times New Roman" w:hAnsi="Times New Roman" w:cs="Times New Roman"/>
          <w:b/>
        </w:rPr>
        <w:t>VARTOJIMO METODAS IR BŪDAS (-AI)</w:t>
      </w:r>
    </w:p>
    <w:p w14:paraId="7CFA6F05" w14:textId="77777777" w:rsidR="006F5753" w:rsidRPr="00DF20DE" w:rsidRDefault="006F5753" w:rsidP="006F5753">
      <w:pPr>
        <w:keepNext/>
        <w:widowControl w:val="0"/>
        <w:autoSpaceDE w:val="0"/>
        <w:autoSpaceDN w:val="0"/>
        <w:spacing w:after="0" w:line="240" w:lineRule="auto"/>
        <w:rPr>
          <w:rFonts w:ascii="Times New Roman" w:eastAsia="Times New Roman" w:hAnsi="Times New Roman" w:cs="Times New Roman"/>
        </w:rPr>
      </w:pPr>
    </w:p>
    <w:p w14:paraId="2E82078E"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Prieš vartojimą perskaitykite pakuotės lapelį.</w:t>
      </w:r>
    </w:p>
    <w:p w14:paraId="4D68AC6D"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Vartoti per burną.</w:t>
      </w:r>
    </w:p>
    <w:p w14:paraId="43ABA345"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2AA36775"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59C4C1BA"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rPr>
      </w:pPr>
      <w:r w:rsidRPr="00DF20DE">
        <w:rPr>
          <w:rFonts w:ascii="Times New Roman" w:eastAsia="Times New Roman" w:hAnsi="Times New Roman" w:cs="Times New Roman"/>
          <w:b/>
        </w:rPr>
        <w:t>SPECIALUS ĮSPĖJIMAS, KAD VAISTINĮ PREPARATĄ BŪTINA LAIKYTI VAIKAMS NEPASTEBIMOJE IR NEPASIEKIAMOJE VIETOJE</w:t>
      </w:r>
    </w:p>
    <w:p w14:paraId="6C48EEAF" w14:textId="77777777" w:rsidR="006F5753" w:rsidRPr="00DF20DE" w:rsidRDefault="006F5753" w:rsidP="006F5753">
      <w:pPr>
        <w:keepNext/>
        <w:widowControl w:val="0"/>
        <w:autoSpaceDE w:val="0"/>
        <w:autoSpaceDN w:val="0"/>
        <w:spacing w:after="0" w:line="240" w:lineRule="auto"/>
        <w:rPr>
          <w:rFonts w:ascii="Times New Roman" w:eastAsia="Times New Roman" w:hAnsi="Times New Roman" w:cs="Times New Roman"/>
        </w:rPr>
      </w:pPr>
    </w:p>
    <w:p w14:paraId="44F9A1EA" w14:textId="77777777" w:rsidR="006F5753" w:rsidRPr="00DF20DE" w:rsidRDefault="006F5753" w:rsidP="006F5753">
      <w:pPr>
        <w:widowControl w:val="0"/>
        <w:autoSpaceDE w:val="0"/>
        <w:autoSpaceDN w:val="0"/>
        <w:spacing w:after="0" w:line="240" w:lineRule="auto"/>
        <w:outlineLvl w:val="0"/>
        <w:rPr>
          <w:rFonts w:ascii="Times New Roman" w:eastAsia="Times New Roman" w:hAnsi="Times New Roman" w:cs="Times New Roman"/>
        </w:rPr>
      </w:pPr>
      <w:r w:rsidRPr="00DF20DE">
        <w:rPr>
          <w:rFonts w:ascii="Times New Roman" w:eastAsia="Times New Roman" w:hAnsi="Times New Roman" w:cs="Times New Roman"/>
        </w:rPr>
        <w:t>Laikyti vaikams nepastebimoje ir nepasiekiamoje vietoje.</w:t>
      </w:r>
    </w:p>
    <w:p w14:paraId="37C56F0A"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2C41B517"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6FCD00C1"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rPr>
      </w:pPr>
      <w:r w:rsidRPr="00DF20DE">
        <w:rPr>
          <w:rFonts w:ascii="Times New Roman" w:eastAsia="Times New Roman" w:hAnsi="Times New Roman" w:cs="Times New Roman"/>
          <w:b/>
        </w:rPr>
        <w:t>KITAS (-I) SPECIALUS (-ŪS) ĮSPĖJIMAS (-AI) (JEI REIKIA)</w:t>
      </w:r>
    </w:p>
    <w:p w14:paraId="26A2DE4E" w14:textId="77777777" w:rsidR="006F5753" w:rsidRPr="00DF20DE" w:rsidRDefault="006F5753" w:rsidP="006F5753">
      <w:pPr>
        <w:keepNext/>
        <w:widowControl w:val="0"/>
        <w:autoSpaceDE w:val="0"/>
        <w:autoSpaceDN w:val="0"/>
        <w:spacing w:after="0" w:line="240" w:lineRule="auto"/>
        <w:rPr>
          <w:rFonts w:ascii="Times New Roman" w:eastAsia="Times New Roman" w:hAnsi="Times New Roman" w:cs="Times New Roman"/>
        </w:rPr>
      </w:pPr>
    </w:p>
    <w:p w14:paraId="51372948" w14:textId="77777777" w:rsidR="006F5753" w:rsidRPr="00DF20DE" w:rsidRDefault="006F5753" w:rsidP="006F5753">
      <w:pPr>
        <w:widowControl w:val="0"/>
        <w:tabs>
          <w:tab w:val="left" w:pos="749"/>
        </w:tabs>
        <w:autoSpaceDE w:val="0"/>
        <w:autoSpaceDN w:val="0"/>
        <w:spacing w:after="0" w:line="240" w:lineRule="auto"/>
        <w:rPr>
          <w:rFonts w:ascii="Times New Roman" w:eastAsia="Times New Roman" w:hAnsi="Times New Roman" w:cs="Times New Roman"/>
        </w:rPr>
      </w:pPr>
    </w:p>
    <w:p w14:paraId="4C378BEB" w14:textId="77777777" w:rsidR="006F5753" w:rsidRPr="00DF20DE" w:rsidRDefault="006F5753" w:rsidP="006F5753">
      <w:pPr>
        <w:widowControl w:val="0"/>
        <w:tabs>
          <w:tab w:val="left" w:pos="749"/>
        </w:tabs>
        <w:autoSpaceDE w:val="0"/>
        <w:autoSpaceDN w:val="0"/>
        <w:spacing w:after="0" w:line="240" w:lineRule="auto"/>
        <w:rPr>
          <w:rFonts w:ascii="Times New Roman" w:eastAsia="Times New Roman" w:hAnsi="Times New Roman" w:cs="Times New Roman"/>
        </w:rPr>
      </w:pPr>
    </w:p>
    <w:p w14:paraId="09FF8B45"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rPr>
      </w:pPr>
      <w:r w:rsidRPr="00DF20DE">
        <w:rPr>
          <w:rFonts w:ascii="Times New Roman" w:eastAsia="Times New Roman" w:hAnsi="Times New Roman" w:cs="Times New Roman"/>
          <w:b/>
        </w:rPr>
        <w:t>TINKAMUMO LAIKAS</w:t>
      </w:r>
    </w:p>
    <w:p w14:paraId="2B8E81D3" w14:textId="77777777" w:rsidR="006F5753" w:rsidRPr="00DF20DE" w:rsidRDefault="006F5753" w:rsidP="006F5753">
      <w:pPr>
        <w:keepNext/>
        <w:widowControl w:val="0"/>
        <w:autoSpaceDE w:val="0"/>
        <w:autoSpaceDN w:val="0"/>
        <w:spacing w:after="0" w:line="240" w:lineRule="auto"/>
        <w:rPr>
          <w:rFonts w:ascii="Times New Roman" w:eastAsia="Times New Roman" w:hAnsi="Times New Roman" w:cs="Times New Roman"/>
        </w:rPr>
      </w:pPr>
    </w:p>
    <w:p w14:paraId="1517587E" w14:textId="008A034D" w:rsidR="006F5753" w:rsidRPr="00DF20DE" w:rsidRDefault="006F5753" w:rsidP="006F5753">
      <w:pPr>
        <w:keepNext/>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EXP </w:t>
      </w:r>
      <w:r w:rsidR="00FB3982" w:rsidRPr="00DF20DE">
        <w:rPr>
          <w:rFonts w:ascii="Times New Roman" w:eastAsia="Times New Roman" w:hAnsi="Times New Roman" w:cs="Times New Roman"/>
        </w:rPr>
        <w:t>{</w:t>
      </w:r>
      <w:r w:rsidR="00FB3982" w:rsidRPr="00DF20DE">
        <w:rPr>
          <w:rFonts w:ascii="Times New Roman" w:hAnsi="Times New Roman" w:cs="Times New Roman"/>
        </w:rPr>
        <w:t>MMMM-mm</w:t>
      </w:r>
      <w:r w:rsidR="00FB3982" w:rsidRPr="00DF20DE">
        <w:rPr>
          <w:rFonts w:ascii="Times New Roman" w:eastAsia="Times New Roman" w:hAnsi="Times New Roman" w:cs="Times New Roman"/>
        </w:rPr>
        <w:t>}</w:t>
      </w:r>
    </w:p>
    <w:p w14:paraId="3BAA8F46" w14:textId="77777777" w:rsidR="006F5753" w:rsidRPr="00DF20DE" w:rsidRDefault="006F5753" w:rsidP="006F5753">
      <w:pPr>
        <w:keepNext/>
        <w:widowControl w:val="0"/>
        <w:autoSpaceDE w:val="0"/>
        <w:autoSpaceDN w:val="0"/>
        <w:spacing w:after="0" w:line="240" w:lineRule="auto"/>
        <w:rPr>
          <w:rFonts w:ascii="Times New Roman" w:eastAsia="Times New Roman" w:hAnsi="Times New Roman" w:cs="Times New Roman"/>
        </w:rPr>
      </w:pPr>
    </w:p>
    <w:p w14:paraId="19473E6F"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5D32DF2C"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rPr>
      </w:pPr>
      <w:r w:rsidRPr="00DF20DE">
        <w:rPr>
          <w:rFonts w:ascii="Times New Roman" w:eastAsia="Times New Roman" w:hAnsi="Times New Roman" w:cs="Times New Roman"/>
          <w:b/>
        </w:rPr>
        <w:t>SPECIALIOS LAIKYMO SĄLYGOS</w:t>
      </w:r>
    </w:p>
    <w:p w14:paraId="03A87354" w14:textId="77777777" w:rsidR="006F5753" w:rsidRPr="00DF20DE" w:rsidRDefault="006F5753" w:rsidP="006F5753">
      <w:pPr>
        <w:keepNext/>
        <w:widowControl w:val="0"/>
        <w:autoSpaceDE w:val="0"/>
        <w:autoSpaceDN w:val="0"/>
        <w:spacing w:after="0" w:line="240" w:lineRule="auto"/>
        <w:rPr>
          <w:rFonts w:ascii="Times New Roman" w:eastAsia="Times New Roman" w:hAnsi="Times New Roman" w:cs="Times New Roman"/>
        </w:rPr>
      </w:pPr>
    </w:p>
    <w:p w14:paraId="705D16E8"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3E44C7BB"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b/>
        </w:rPr>
      </w:pPr>
      <w:r w:rsidRPr="00DF20DE">
        <w:rPr>
          <w:rFonts w:ascii="Times New Roman" w:eastAsia="Times New Roman" w:hAnsi="Times New Roman" w:cs="Times New Roman"/>
          <w:b/>
        </w:rPr>
        <w:t>SPECIALIOS ATSARGUMO PRIEMONĖS DĖL NESUVARTOTO VAISTINIO PREPARATO AR JO ATLIEKŲ TVARKYMO (JEI REIKIA)</w:t>
      </w:r>
    </w:p>
    <w:p w14:paraId="6FAF17BD"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2B2EA074"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36CE401B"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b/>
        </w:rPr>
      </w:pPr>
      <w:r w:rsidRPr="00DF20DE">
        <w:rPr>
          <w:rFonts w:ascii="Times New Roman" w:eastAsia="Times New Roman" w:hAnsi="Times New Roman" w:cs="Times New Roman"/>
          <w:b/>
        </w:rPr>
        <w:lastRenderedPageBreak/>
        <w:t>REGISTRUOTOJO PAVADINIMAS IR ADRESAS</w:t>
      </w:r>
    </w:p>
    <w:p w14:paraId="217E2DF8"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4CF24402" w14:textId="77777777" w:rsidR="000F48F1" w:rsidRPr="00DF20DE" w:rsidRDefault="000F48F1" w:rsidP="000F48F1">
      <w:pPr>
        <w:spacing w:after="0" w:line="240" w:lineRule="auto"/>
        <w:rPr>
          <w:rFonts w:ascii="Times New Roman" w:hAnsi="Times New Roman" w:cs="Times New Roman"/>
        </w:rPr>
      </w:pPr>
      <w:r w:rsidRPr="00DF20DE">
        <w:rPr>
          <w:rFonts w:ascii="Times New Roman" w:hAnsi="Times New Roman" w:cs="Times New Roman"/>
        </w:rPr>
        <w:t>Egis Pharmaceuticals PLC</w:t>
      </w:r>
    </w:p>
    <w:p w14:paraId="657738A8" w14:textId="77777777" w:rsidR="000F48F1" w:rsidRPr="00DF20DE" w:rsidRDefault="000F48F1" w:rsidP="000F48F1">
      <w:pPr>
        <w:spacing w:after="0" w:line="240" w:lineRule="auto"/>
        <w:rPr>
          <w:rFonts w:ascii="Times New Roman" w:hAnsi="Times New Roman" w:cs="Times New Roman"/>
        </w:rPr>
      </w:pPr>
      <w:r w:rsidRPr="00DF20DE">
        <w:rPr>
          <w:rFonts w:ascii="Times New Roman" w:hAnsi="Times New Roman" w:cs="Times New Roman"/>
        </w:rPr>
        <w:t>Keresztúri út 30–38</w:t>
      </w:r>
    </w:p>
    <w:p w14:paraId="776EFED4" w14:textId="77777777" w:rsidR="00F676B7" w:rsidRPr="00DF20DE" w:rsidRDefault="00F676B7" w:rsidP="00F676B7">
      <w:pPr>
        <w:spacing w:after="0" w:line="240" w:lineRule="auto"/>
        <w:rPr>
          <w:rFonts w:ascii="Times New Roman" w:hAnsi="Times New Roman" w:cs="Times New Roman"/>
        </w:rPr>
      </w:pPr>
      <w:r w:rsidRPr="00DF20DE">
        <w:rPr>
          <w:rFonts w:ascii="Times New Roman" w:hAnsi="Times New Roman" w:cs="Times New Roman"/>
        </w:rPr>
        <w:t>1106 Budapest</w:t>
      </w:r>
    </w:p>
    <w:p w14:paraId="29C568EA" w14:textId="77777777" w:rsidR="000F48F1" w:rsidRPr="00DF20DE" w:rsidRDefault="000F48F1" w:rsidP="000F48F1">
      <w:pPr>
        <w:widowControl w:val="0"/>
        <w:autoSpaceDE w:val="0"/>
        <w:autoSpaceDN w:val="0"/>
        <w:spacing w:after="0" w:line="240" w:lineRule="auto"/>
        <w:rPr>
          <w:rFonts w:ascii="Times New Roman" w:hAnsi="Times New Roman" w:cs="Times New Roman"/>
        </w:rPr>
      </w:pPr>
      <w:r w:rsidRPr="00DF20DE">
        <w:rPr>
          <w:rFonts w:ascii="Times New Roman" w:hAnsi="Times New Roman" w:cs="Times New Roman"/>
        </w:rPr>
        <w:t>Vengrija</w:t>
      </w:r>
    </w:p>
    <w:p w14:paraId="48F66E5A"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30F442A5"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rPr>
      </w:pPr>
      <w:r w:rsidRPr="00DF20DE">
        <w:rPr>
          <w:rFonts w:ascii="Times New Roman" w:eastAsia="Times New Roman" w:hAnsi="Times New Roman" w:cs="Times New Roman"/>
          <w:b/>
        </w:rPr>
        <w:t xml:space="preserve">REGISTRACIJOS PAŽYMĖJIMO NUMERIS (-IAI) </w:t>
      </w:r>
    </w:p>
    <w:p w14:paraId="25AD8684"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7D211DBD" w14:textId="77777777" w:rsidR="001102CA" w:rsidRPr="00DF20DE" w:rsidRDefault="001102CA" w:rsidP="001102CA">
      <w:pPr>
        <w:autoSpaceDE w:val="0"/>
        <w:autoSpaceDN w:val="0"/>
        <w:adjustRightInd w:val="0"/>
        <w:spacing w:after="0" w:line="240" w:lineRule="auto"/>
        <w:rPr>
          <w:rFonts w:ascii="Times New Roman" w:hAnsi="Times New Roman" w:cs="Times New Roman"/>
          <w:color w:val="000000"/>
          <w:sz w:val="23"/>
          <w:szCs w:val="23"/>
        </w:rPr>
      </w:pPr>
      <w:r w:rsidRPr="00DF20DE">
        <w:rPr>
          <w:rFonts w:ascii="Times New Roman" w:hAnsi="Times New Roman" w:cs="Times New Roman"/>
          <w:color w:val="000000"/>
          <w:sz w:val="23"/>
          <w:szCs w:val="23"/>
        </w:rPr>
        <w:t xml:space="preserve">LT/1/22/4920/001 </w:t>
      </w:r>
    </w:p>
    <w:p w14:paraId="55C6EB81" w14:textId="77777777" w:rsidR="001102CA" w:rsidRPr="00DF20DE" w:rsidRDefault="001102CA" w:rsidP="006F5753">
      <w:pPr>
        <w:widowControl w:val="0"/>
        <w:autoSpaceDE w:val="0"/>
        <w:autoSpaceDN w:val="0"/>
        <w:spacing w:after="0" w:line="240" w:lineRule="auto"/>
        <w:rPr>
          <w:rFonts w:ascii="Times New Roman" w:eastAsia="Times New Roman" w:hAnsi="Times New Roman" w:cs="Times New Roman"/>
        </w:rPr>
      </w:pPr>
    </w:p>
    <w:p w14:paraId="0D0E2FE0"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744F6782"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i/>
        </w:rPr>
      </w:pPr>
      <w:r w:rsidRPr="00DF20DE">
        <w:rPr>
          <w:rFonts w:ascii="Times New Roman" w:eastAsia="Times New Roman" w:hAnsi="Times New Roman" w:cs="Times New Roman"/>
          <w:b/>
        </w:rPr>
        <w:t xml:space="preserve">SERIJOS NUMERIS </w:t>
      </w:r>
    </w:p>
    <w:p w14:paraId="2542DCD7"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111EEC44"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Lot</w:t>
      </w:r>
    </w:p>
    <w:p w14:paraId="6A5A9D1B"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3149FBB0"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7E495178"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rPr>
      </w:pPr>
      <w:r w:rsidRPr="00DF20DE">
        <w:rPr>
          <w:rFonts w:ascii="Times New Roman" w:eastAsia="Times New Roman" w:hAnsi="Times New Roman" w:cs="Times New Roman"/>
          <w:b/>
        </w:rPr>
        <w:t>PARDAVIMO (IŠDAVIMO) TVARKA</w:t>
      </w:r>
    </w:p>
    <w:p w14:paraId="5DC7742F"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i/>
        </w:rPr>
      </w:pPr>
    </w:p>
    <w:p w14:paraId="47C11833"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Receptinis vaistas.</w:t>
      </w:r>
    </w:p>
    <w:p w14:paraId="55CA304C"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48ABB04C"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7D972188"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rPr>
      </w:pPr>
      <w:r w:rsidRPr="00DF20DE">
        <w:rPr>
          <w:rFonts w:ascii="Times New Roman" w:eastAsia="Times New Roman" w:hAnsi="Times New Roman" w:cs="Times New Roman"/>
          <w:b/>
        </w:rPr>
        <w:t>VARTOJIMO INSTRUKCIJA</w:t>
      </w:r>
    </w:p>
    <w:p w14:paraId="29EE5B04"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38265EA1"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3309067A"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rPr>
      </w:pPr>
      <w:r w:rsidRPr="00DF20DE">
        <w:rPr>
          <w:rFonts w:ascii="Times New Roman" w:eastAsia="Times New Roman" w:hAnsi="Times New Roman" w:cs="Times New Roman"/>
          <w:b/>
        </w:rPr>
        <w:t>INFORMACIJA BRAILIO RAŠTU</w:t>
      </w:r>
    </w:p>
    <w:p w14:paraId="7C4A54CD"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4AA43E8C" w14:textId="23687C49" w:rsidR="006F5753" w:rsidRPr="00DF20DE" w:rsidRDefault="00603908" w:rsidP="006F5753">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w:t>
      </w:r>
      <w:r w:rsidR="008B0463" w:rsidRPr="00DF20DE">
        <w:rPr>
          <w:rFonts w:ascii="Times New Roman" w:eastAsia="Times New Roman" w:hAnsi="Times New Roman" w:cs="Times New Roman"/>
        </w:rPr>
        <w:t>lategra</w:t>
      </w:r>
      <w:r w:rsidR="006F5753" w:rsidRPr="00DF20DE">
        <w:rPr>
          <w:rFonts w:ascii="Times New Roman" w:eastAsia="Times New Roman" w:hAnsi="Times New Roman" w:cs="Times New Roman"/>
        </w:rPr>
        <w:t xml:space="preserve"> 90 mg</w:t>
      </w:r>
    </w:p>
    <w:p w14:paraId="1A00674A"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hd w:val="clear" w:color="auto" w:fill="CCCCCC"/>
        </w:rPr>
      </w:pPr>
    </w:p>
    <w:p w14:paraId="1C8740FA"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hd w:val="clear" w:color="auto" w:fill="CCCCCC"/>
        </w:rPr>
      </w:pPr>
    </w:p>
    <w:p w14:paraId="0BD4680D"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i/>
        </w:rPr>
      </w:pPr>
      <w:r w:rsidRPr="00DF20DE">
        <w:rPr>
          <w:rFonts w:ascii="Times New Roman" w:eastAsia="Times New Roman" w:hAnsi="Times New Roman" w:cs="Times New Roman"/>
          <w:b/>
        </w:rPr>
        <w:t>UNIKALUS IDENTIFIKATORIUS – 2D BRŪKŠNINIS KODAS</w:t>
      </w:r>
    </w:p>
    <w:p w14:paraId="6EA87B29"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5089B5D3"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hd w:val="clear" w:color="auto" w:fill="CCCCCC"/>
        </w:rPr>
      </w:pPr>
      <w:r w:rsidRPr="00DF20DE">
        <w:rPr>
          <w:rFonts w:ascii="Times New Roman" w:eastAsia="Times New Roman" w:hAnsi="Times New Roman" w:cs="Times New Roman"/>
          <w:highlight w:val="lightGray"/>
        </w:rPr>
        <w:t>2D brūkšninis kodas su nurodytu unikaliu identifikatoriumi.</w:t>
      </w:r>
    </w:p>
    <w:p w14:paraId="4E114913"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hd w:val="clear" w:color="auto" w:fill="CCCCCC"/>
        </w:rPr>
      </w:pPr>
    </w:p>
    <w:p w14:paraId="082D4D8D"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4D04C010" w14:textId="77777777" w:rsidR="006F5753" w:rsidRPr="00DF20DE" w:rsidRDefault="006F5753" w:rsidP="00B61CB8">
      <w:pPr>
        <w:keepNext/>
        <w:widowControl w:val="0"/>
        <w:numPr>
          <w:ilvl w:val="0"/>
          <w:numId w:val="13"/>
        </w:numPr>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0" w:firstLine="0"/>
        <w:outlineLvl w:val="0"/>
        <w:rPr>
          <w:rFonts w:ascii="Times New Roman" w:eastAsia="Times New Roman" w:hAnsi="Times New Roman" w:cs="Times New Roman"/>
          <w:i/>
        </w:rPr>
      </w:pPr>
      <w:r w:rsidRPr="00DF20DE">
        <w:rPr>
          <w:rFonts w:ascii="Times New Roman" w:eastAsia="Times New Roman" w:hAnsi="Times New Roman" w:cs="Times New Roman"/>
          <w:b/>
        </w:rPr>
        <w:t>UNIKALUS IDENTIFIKATORIUS – ŽMONĖMS SUPRANTAMI DUOMENYS</w:t>
      </w:r>
    </w:p>
    <w:p w14:paraId="4A48F53C"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6BF4ED50"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PC: {numeris}</w:t>
      </w:r>
    </w:p>
    <w:p w14:paraId="2E411332"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SN: {numeris}</w:t>
      </w:r>
    </w:p>
    <w:p w14:paraId="118A25D5"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highlight w:val="lightGray"/>
        </w:rPr>
        <w:t>NN: {numeris}</w:t>
      </w:r>
    </w:p>
    <w:p w14:paraId="7BDA067C"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br w:type="page"/>
      </w:r>
    </w:p>
    <w:p w14:paraId="7637C665" w14:textId="77777777" w:rsidR="006F5753" w:rsidRPr="00DF20DE" w:rsidRDefault="006F5753" w:rsidP="006F5753">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rPr>
          <w:rFonts w:ascii="Times New Roman" w:eastAsia="Times New Roman" w:hAnsi="Times New Roman" w:cs="Times New Roman"/>
          <w:b/>
          <w:szCs w:val="24"/>
        </w:rPr>
      </w:pPr>
      <w:r w:rsidRPr="00DF20DE">
        <w:rPr>
          <w:rFonts w:ascii="Times New Roman" w:eastAsia="Times New Roman" w:hAnsi="Times New Roman" w:cs="Times New Roman"/>
          <w:b/>
          <w:szCs w:val="24"/>
        </w:rPr>
        <w:lastRenderedPageBreak/>
        <w:t>MINIMALI INFORMACIJA ANT LIZDINIŲ PLOKŠTELIŲ ARBA DVISLUOKSNIŲ JUOSTELIŲ</w:t>
      </w:r>
    </w:p>
    <w:p w14:paraId="54C2FA90" w14:textId="77777777" w:rsidR="006F5753" w:rsidRPr="00DF20DE" w:rsidRDefault="006F5753" w:rsidP="006F5753">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ind w:left="567" w:hanging="567"/>
        <w:rPr>
          <w:rFonts w:ascii="Times New Roman" w:eastAsia="Times New Roman" w:hAnsi="Times New Roman" w:cs="Times New Roman"/>
          <w:b/>
          <w:szCs w:val="24"/>
        </w:rPr>
      </w:pPr>
    </w:p>
    <w:p w14:paraId="5713597A" w14:textId="77777777" w:rsidR="006F5753" w:rsidRPr="00DF20DE" w:rsidRDefault="006F5753" w:rsidP="006F5753">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ind w:left="567" w:hanging="567"/>
        <w:rPr>
          <w:rFonts w:ascii="Times New Roman" w:eastAsia="Times New Roman" w:hAnsi="Times New Roman" w:cs="Times New Roman"/>
          <w:b/>
        </w:rPr>
      </w:pPr>
      <w:r w:rsidRPr="00DF20DE">
        <w:rPr>
          <w:rFonts w:ascii="Times New Roman" w:eastAsia="Times New Roman" w:hAnsi="Times New Roman" w:cs="Times New Roman"/>
          <w:b/>
        </w:rPr>
        <w:t>LIZDINĖ PLOKŠTELĖ</w:t>
      </w:r>
    </w:p>
    <w:p w14:paraId="1C5C7E21"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235F858B"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zCs w:val="24"/>
        </w:rPr>
      </w:pPr>
    </w:p>
    <w:p w14:paraId="2292D8E6" w14:textId="77777777" w:rsidR="006F5753" w:rsidRPr="00DF20DE" w:rsidRDefault="006F5753" w:rsidP="006F5753">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outlineLvl w:val="0"/>
        <w:rPr>
          <w:rFonts w:ascii="Times New Roman" w:eastAsia="Times New Roman" w:hAnsi="Times New Roman" w:cs="Times New Roman"/>
          <w:b/>
          <w:szCs w:val="24"/>
        </w:rPr>
      </w:pPr>
      <w:r w:rsidRPr="00DF20DE">
        <w:rPr>
          <w:rFonts w:ascii="Times New Roman" w:eastAsia="Times New Roman" w:hAnsi="Times New Roman" w:cs="Times New Roman"/>
          <w:b/>
          <w:szCs w:val="24"/>
        </w:rPr>
        <w:t>1.</w:t>
      </w:r>
      <w:r w:rsidRPr="00DF20DE">
        <w:rPr>
          <w:rFonts w:ascii="Times New Roman" w:eastAsia="Times New Roman" w:hAnsi="Times New Roman" w:cs="Times New Roman"/>
          <w:b/>
          <w:szCs w:val="24"/>
        </w:rPr>
        <w:tab/>
      </w:r>
      <w:r w:rsidRPr="00DF20DE">
        <w:rPr>
          <w:rFonts w:ascii="Times New Roman" w:eastAsia="Times New Roman" w:hAnsi="Times New Roman" w:cs="Times New Roman"/>
          <w:b/>
          <w:caps/>
          <w:szCs w:val="24"/>
        </w:rPr>
        <w:t>VAISTINIO</w:t>
      </w:r>
      <w:r w:rsidRPr="00DF20DE">
        <w:rPr>
          <w:rFonts w:ascii="Times New Roman" w:eastAsia="Times New Roman" w:hAnsi="Times New Roman" w:cs="Times New Roman"/>
          <w:b/>
          <w:szCs w:val="24"/>
        </w:rPr>
        <w:t xml:space="preserve"> PREPARATO PAVADINIMAS</w:t>
      </w:r>
    </w:p>
    <w:p w14:paraId="7697BA41"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zCs w:val="24"/>
        </w:rPr>
      </w:pPr>
    </w:p>
    <w:p w14:paraId="35D1537D" w14:textId="0386C921" w:rsidR="006F5753" w:rsidRPr="00DF20DE" w:rsidRDefault="008B0463" w:rsidP="006F5753">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6F5753" w:rsidRPr="00DF20DE">
        <w:rPr>
          <w:rFonts w:ascii="Times New Roman" w:eastAsia="Times New Roman" w:hAnsi="Times New Roman" w:cs="Times New Roman"/>
        </w:rPr>
        <w:t xml:space="preserve"> 90 mg </w:t>
      </w:r>
      <w:r w:rsidR="009D54FA" w:rsidRPr="00DF20DE">
        <w:rPr>
          <w:rFonts w:ascii="Times New Roman" w:eastAsia="Times New Roman" w:hAnsi="Times New Roman" w:cs="Times New Roman"/>
        </w:rPr>
        <w:t>plėvele dengtos tabletės</w:t>
      </w:r>
    </w:p>
    <w:p w14:paraId="3A7CB043"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tikagreloras</w:t>
      </w:r>
    </w:p>
    <w:p w14:paraId="5C82C99D"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zCs w:val="24"/>
        </w:rPr>
      </w:pPr>
    </w:p>
    <w:p w14:paraId="207D6C9F"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zCs w:val="24"/>
        </w:rPr>
      </w:pPr>
    </w:p>
    <w:p w14:paraId="06BCC869" w14:textId="77777777" w:rsidR="006F5753" w:rsidRPr="00DF20DE" w:rsidRDefault="006F5753" w:rsidP="006F5753">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outlineLvl w:val="0"/>
        <w:rPr>
          <w:rFonts w:ascii="Times New Roman" w:eastAsia="Times New Roman" w:hAnsi="Times New Roman" w:cs="Times New Roman"/>
          <w:b/>
          <w:szCs w:val="24"/>
        </w:rPr>
      </w:pPr>
      <w:r w:rsidRPr="00DF20DE">
        <w:rPr>
          <w:rFonts w:ascii="Times New Roman" w:eastAsia="Times New Roman" w:hAnsi="Times New Roman" w:cs="Times New Roman"/>
          <w:b/>
          <w:szCs w:val="24"/>
        </w:rPr>
        <w:t>2.</w:t>
      </w:r>
      <w:r w:rsidRPr="00DF20DE">
        <w:rPr>
          <w:rFonts w:ascii="Times New Roman" w:eastAsia="Times New Roman" w:hAnsi="Times New Roman" w:cs="Times New Roman"/>
          <w:b/>
          <w:szCs w:val="24"/>
        </w:rPr>
        <w:tab/>
      </w:r>
      <w:r w:rsidRPr="00DF20DE">
        <w:rPr>
          <w:rFonts w:ascii="Times New Roman" w:eastAsia="Times New Roman" w:hAnsi="Times New Roman" w:cs="Times New Roman"/>
          <w:b/>
          <w:caps/>
          <w:szCs w:val="24"/>
        </w:rPr>
        <w:t>REGISTRUOTOJO pavadinimas</w:t>
      </w:r>
    </w:p>
    <w:p w14:paraId="136123E9"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zCs w:val="24"/>
        </w:rPr>
      </w:pPr>
    </w:p>
    <w:p w14:paraId="10AB6B3A" w14:textId="1DAEF742" w:rsidR="006F5753" w:rsidRPr="00DF20DE" w:rsidRDefault="000F48F1" w:rsidP="006F5753">
      <w:pPr>
        <w:widowControl w:val="0"/>
        <w:autoSpaceDE w:val="0"/>
        <w:autoSpaceDN w:val="0"/>
        <w:spacing w:after="0" w:line="240" w:lineRule="auto"/>
        <w:rPr>
          <w:rFonts w:ascii="Times New Roman" w:eastAsia="Times New Roman" w:hAnsi="Times New Roman" w:cs="Times New Roman"/>
          <w:szCs w:val="24"/>
        </w:rPr>
      </w:pPr>
      <w:r w:rsidRPr="00DF20DE">
        <w:rPr>
          <w:rFonts w:ascii="Times New Roman" w:eastAsia="Times New Roman" w:hAnsi="Times New Roman" w:cs="Times New Roman"/>
          <w:szCs w:val="24"/>
        </w:rPr>
        <w:t>Egis</w:t>
      </w:r>
    </w:p>
    <w:p w14:paraId="5C5054D9" w14:textId="77777777" w:rsidR="000F48F1" w:rsidRPr="00DF20DE" w:rsidRDefault="000F48F1" w:rsidP="006F5753">
      <w:pPr>
        <w:widowControl w:val="0"/>
        <w:autoSpaceDE w:val="0"/>
        <w:autoSpaceDN w:val="0"/>
        <w:spacing w:after="0" w:line="240" w:lineRule="auto"/>
        <w:rPr>
          <w:rFonts w:ascii="Times New Roman" w:eastAsia="Times New Roman" w:hAnsi="Times New Roman" w:cs="Times New Roman"/>
          <w:szCs w:val="24"/>
        </w:rPr>
      </w:pPr>
    </w:p>
    <w:p w14:paraId="1B3D51C9"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zCs w:val="24"/>
        </w:rPr>
      </w:pPr>
    </w:p>
    <w:p w14:paraId="1A774AF6" w14:textId="77777777" w:rsidR="006F5753" w:rsidRPr="00DF20DE" w:rsidRDefault="006F5753" w:rsidP="006F5753">
      <w:pPr>
        <w:widowControl w:val="0"/>
        <w:pBdr>
          <w:top w:val="single" w:sz="4" w:space="1" w:color="auto"/>
          <w:left w:val="single" w:sz="4" w:space="4" w:color="auto"/>
          <w:bottom w:val="single" w:sz="4" w:space="2" w:color="auto"/>
          <w:right w:val="single" w:sz="4" w:space="4" w:color="auto"/>
        </w:pBdr>
        <w:tabs>
          <w:tab w:val="left" w:pos="567"/>
        </w:tabs>
        <w:autoSpaceDE w:val="0"/>
        <w:autoSpaceDN w:val="0"/>
        <w:spacing w:after="0" w:line="240" w:lineRule="auto"/>
        <w:outlineLvl w:val="0"/>
        <w:rPr>
          <w:rFonts w:ascii="Times New Roman" w:eastAsia="Times New Roman" w:hAnsi="Times New Roman" w:cs="Times New Roman"/>
          <w:b/>
          <w:szCs w:val="24"/>
        </w:rPr>
      </w:pPr>
      <w:r w:rsidRPr="00DF20DE">
        <w:rPr>
          <w:rFonts w:ascii="Times New Roman" w:eastAsia="Times New Roman" w:hAnsi="Times New Roman" w:cs="Times New Roman"/>
          <w:b/>
          <w:szCs w:val="24"/>
        </w:rPr>
        <w:t>3.</w:t>
      </w:r>
      <w:r w:rsidRPr="00DF20DE">
        <w:rPr>
          <w:rFonts w:ascii="Times New Roman" w:eastAsia="Times New Roman" w:hAnsi="Times New Roman" w:cs="Times New Roman"/>
          <w:b/>
          <w:szCs w:val="24"/>
        </w:rPr>
        <w:tab/>
        <w:t>TINKAMUMO LAIKAS</w:t>
      </w:r>
    </w:p>
    <w:p w14:paraId="6D838905"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zCs w:val="24"/>
        </w:rPr>
      </w:pPr>
    </w:p>
    <w:p w14:paraId="6A2C73DC" w14:textId="08997E5E"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EXP </w:t>
      </w:r>
      <w:r w:rsidR="00FB3982" w:rsidRPr="00DF20DE">
        <w:rPr>
          <w:rFonts w:ascii="Times New Roman" w:eastAsia="Times New Roman" w:hAnsi="Times New Roman" w:cs="Times New Roman"/>
        </w:rPr>
        <w:t>{</w:t>
      </w:r>
      <w:r w:rsidR="00FB3982" w:rsidRPr="00DF20DE">
        <w:rPr>
          <w:rFonts w:ascii="Times New Roman" w:hAnsi="Times New Roman" w:cs="Times New Roman"/>
        </w:rPr>
        <w:t>MMMM-mm</w:t>
      </w:r>
      <w:r w:rsidR="00FB3982" w:rsidRPr="00DF20DE">
        <w:rPr>
          <w:rFonts w:ascii="Times New Roman" w:eastAsia="Times New Roman" w:hAnsi="Times New Roman" w:cs="Times New Roman"/>
        </w:rPr>
        <w:t>}</w:t>
      </w:r>
    </w:p>
    <w:p w14:paraId="4665A041"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43C1B594"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795FD20B" w14:textId="77777777" w:rsidR="006F5753" w:rsidRPr="00DF20DE" w:rsidRDefault="006F5753" w:rsidP="006F5753">
      <w:pPr>
        <w:widowControl w:val="0"/>
        <w:suppressLineNumbers/>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outlineLvl w:val="0"/>
        <w:rPr>
          <w:rFonts w:ascii="Times New Roman" w:eastAsia="Times New Roman" w:hAnsi="Times New Roman" w:cs="Times New Roman"/>
          <w:b/>
          <w:szCs w:val="24"/>
        </w:rPr>
      </w:pPr>
      <w:r w:rsidRPr="00DF20DE">
        <w:rPr>
          <w:rFonts w:ascii="Times New Roman" w:eastAsia="Times New Roman" w:hAnsi="Times New Roman" w:cs="Times New Roman"/>
          <w:b/>
          <w:szCs w:val="24"/>
        </w:rPr>
        <w:t>4.</w:t>
      </w:r>
      <w:r w:rsidRPr="00DF20DE">
        <w:rPr>
          <w:rFonts w:ascii="Times New Roman" w:eastAsia="Times New Roman" w:hAnsi="Times New Roman" w:cs="Times New Roman"/>
          <w:b/>
          <w:szCs w:val="24"/>
        </w:rPr>
        <w:tab/>
        <w:t>SERIJOS NUMERIS</w:t>
      </w:r>
    </w:p>
    <w:p w14:paraId="6C09E3AF"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rPr>
      </w:pPr>
    </w:p>
    <w:p w14:paraId="52709BCC" w14:textId="77777777" w:rsidR="006F5753" w:rsidRPr="00DF20DE" w:rsidRDefault="006F5753" w:rsidP="006F5753">
      <w:pPr>
        <w:widowControl w:val="0"/>
        <w:autoSpaceDE w:val="0"/>
        <w:autoSpaceDN w:val="0"/>
        <w:spacing w:after="0" w:line="240" w:lineRule="auto"/>
        <w:outlineLvl w:val="0"/>
        <w:rPr>
          <w:rFonts w:ascii="Times New Roman" w:eastAsia="Times New Roman" w:hAnsi="Times New Roman" w:cs="Times New Roman"/>
          <w:b/>
        </w:rPr>
      </w:pPr>
      <w:r w:rsidRPr="00DF20DE">
        <w:rPr>
          <w:rFonts w:ascii="Times New Roman" w:eastAsia="Times New Roman" w:hAnsi="Times New Roman" w:cs="Times New Roman"/>
        </w:rPr>
        <w:t>Lot</w:t>
      </w:r>
    </w:p>
    <w:p w14:paraId="4515B840"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zCs w:val="24"/>
        </w:rPr>
      </w:pPr>
    </w:p>
    <w:p w14:paraId="6D4A529A"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zCs w:val="24"/>
        </w:rPr>
      </w:pPr>
    </w:p>
    <w:p w14:paraId="574FD89A" w14:textId="77777777" w:rsidR="006F5753" w:rsidRPr="00DF20DE" w:rsidRDefault="006F5753" w:rsidP="006F5753">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outlineLvl w:val="0"/>
        <w:rPr>
          <w:rFonts w:ascii="Times New Roman" w:eastAsia="Times New Roman" w:hAnsi="Times New Roman" w:cs="Times New Roman"/>
          <w:b/>
          <w:szCs w:val="24"/>
        </w:rPr>
      </w:pPr>
      <w:r w:rsidRPr="00DF20DE">
        <w:rPr>
          <w:rFonts w:ascii="Times New Roman" w:eastAsia="Times New Roman" w:hAnsi="Times New Roman" w:cs="Times New Roman"/>
          <w:b/>
          <w:szCs w:val="24"/>
        </w:rPr>
        <w:t>5.</w:t>
      </w:r>
      <w:r w:rsidRPr="00DF20DE">
        <w:rPr>
          <w:rFonts w:ascii="Times New Roman" w:eastAsia="Times New Roman" w:hAnsi="Times New Roman" w:cs="Times New Roman"/>
          <w:b/>
          <w:szCs w:val="24"/>
        </w:rPr>
        <w:tab/>
        <w:t>KITA</w:t>
      </w:r>
    </w:p>
    <w:p w14:paraId="2D35731F"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zCs w:val="24"/>
        </w:rPr>
      </w:pPr>
    </w:p>
    <w:p w14:paraId="768E4AAB" w14:textId="42C70721" w:rsidR="006934D8" w:rsidRPr="00DF20DE" w:rsidRDefault="006934D8">
      <w:pPr>
        <w:rPr>
          <w:rFonts w:ascii="Times New Roman" w:eastAsia="Times New Roman" w:hAnsi="Times New Roman" w:cs="Times New Roman"/>
          <w:szCs w:val="24"/>
        </w:rPr>
      </w:pPr>
      <w:r w:rsidRPr="00DF20DE">
        <w:rPr>
          <w:rFonts w:ascii="Times New Roman" w:eastAsia="Times New Roman" w:hAnsi="Times New Roman" w:cs="Times New Roman"/>
          <w:szCs w:val="24"/>
        </w:rPr>
        <w:br w:type="page"/>
      </w:r>
    </w:p>
    <w:p w14:paraId="686956D4" w14:textId="77777777" w:rsidR="006F5753" w:rsidRPr="00DF20DE" w:rsidRDefault="006F5753" w:rsidP="006F5753">
      <w:pPr>
        <w:widowControl w:val="0"/>
        <w:autoSpaceDE w:val="0"/>
        <w:autoSpaceDN w:val="0"/>
        <w:spacing w:after="0" w:line="240" w:lineRule="auto"/>
        <w:rPr>
          <w:rFonts w:ascii="Times New Roman" w:eastAsia="Times New Roman" w:hAnsi="Times New Roman" w:cs="Times New Roman"/>
          <w:szCs w:val="24"/>
        </w:rPr>
      </w:pPr>
    </w:p>
    <w:p w14:paraId="742687E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0538CDF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6F431C6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7CA49B4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51E64F0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0B71D39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28CE6BB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12065579"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1809B33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472CF78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2321F3B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68900B0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7904BB7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459820C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782EC28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34E939B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7256F8F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0D9A086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6940336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5F00B8C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39BE8E2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5E5F52E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09FCCD6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17"/>
        </w:rPr>
      </w:pPr>
    </w:p>
    <w:p w14:paraId="42619016" w14:textId="77777777" w:rsidR="00F151B8" w:rsidRPr="00DF20DE" w:rsidRDefault="00F151B8" w:rsidP="00F151B8">
      <w:pPr>
        <w:widowControl w:val="0"/>
        <w:tabs>
          <w:tab w:val="left" w:pos="3774"/>
        </w:tabs>
        <w:autoSpaceDE w:val="0"/>
        <w:autoSpaceDN w:val="0"/>
        <w:spacing w:after="0" w:line="240" w:lineRule="auto"/>
        <w:jc w:val="center"/>
        <w:outlineLvl w:val="0"/>
        <w:rPr>
          <w:rFonts w:ascii="Times New Roman" w:eastAsia="Times New Roman" w:hAnsi="Times New Roman" w:cs="Times New Roman"/>
          <w:b/>
          <w:bCs/>
        </w:rPr>
      </w:pPr>
      <w:bookmarkStart w:id="11" w:name="B._PAKUOTĖS_LAPELIS"/>
      <w:bookmarkEnd w:id="11"/>
      <w:r w:rsidRPr="00DF20DE">
        <w:rPr>
          <w:rFonts w:ascii="Times New Roman" w:eastAsia="Times New Roman" w:hAnsi="Times New Roman" w:cs="Times New Roman"/>
          <w:b/>
          <w:bCs/>
        </w:rPr>
        <w:t>B. PAKUOTĖS LAPELIS</w:t>
      </w:r>
    </w:p>
    <w:p w14:paraId="33E16C6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bCs/>
        </w:rPr>
      </w:pPr>
      <w:r w:rsidRPr="00DF20DE">
        <w:rPr>
          <w:rFonts w:ascii="Times New Roman" w:eastAsia="Times New Roman" w:hAnsi="Times New Roman" w:cs="Times New Roman"/>
        </w:rPr>
        <w:br w:type="page"/>
      </w:r>
    </w:p>
    <w:p w14:paraId="6A080E58" w14:textId="77777777" w:rsidR="00F151B8" w:rsidRPr="00DF20DE" w:rsidRDefault="00F151B8" w:rsidP="00F151B8">
      <w:pPr>
        <w:widowControl w:val="0"/>
        <w:autoSpaceDE w:val="0"/>
        <w:autoSpaceDN w:val="0"/>
        <w:spacing w:after="0" w:line="240" w:lineRule="auto"/>
        <w:jc w:val="center"/>
        <w:outlineLvl w:val="1"/>
        <w:rPr>
          <w:rFonts w:ascii="Times New Roman" w:eastAsia="Times New Roman" w:hAnsi="Times New Roman" w:cs="Times New Roman"/>
          <w:b/>
          <w:bCs/>
        </w:rPr>
      </w:pPr>
      <w:r w:rsidRPr="00DF20DE">
        <w:rPr>
          <w:rFonts w:ascii="Times New Roman" w:eastAsia="Times New Roman" w:hAnsi="Times New Roman" w:cs="Times New Roman"/>
          <w:b/>
          <w:bCs/>
        </w:rPr>
        <w:lastRenderedPageBreak/>
        <w:t>Pakuotės lapelis: informacija vartotojui</w:t>
      </w:r>
    </w:p>
    <w:p w14:paraId="521B33E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78A27735" w14:textId="32C3D215" w:rsidR="00F151B8" w:rsidRPr="00DF20DE" w:rsidRDefault="008B0463" w:rsidP="00F151B8">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Plategra</w:t>
      </w:r>
      <w:r w:rsidR="00F151B8" w:rsidRPr="00DF20DE">
        <w:rPr>
          <w:rFonts w:ascii="Times New Roman" w:eastAsia="Times New Roman" w:hAnsi="Times New Roman" w:cs="Times New Roman"/>
          <w:b/>
        </w:rPr>
        <w:t xml:space="preserve"> </w:t>
      </w:r>
      <w:r w:rsidR="006934D8" w:rsidRPr="00DF20DE">
        <w:rPr>
          <w:rFonts w:ascii="Times New Roman" w:eastAsia="Times New Roman" w:hAnsi="Times New Roman" w:cs="Times New Roman"/>
          <w:b/>
        </w:rPr>
        <w:t>6</w:t>
      </w:r>
      <w:r w:rsidR="00F151B8" w:rsidRPr="00DF20DE">
        <w:rPr>
          <w:rFonts w:ascii="Times New Roman" w:eastAsia="Times New Roman" w:hAnsi="Times New Roman" w:cs="Times New Roman"/>
          <w:b/>
        </w:rPr>
        <w:t>0 mg plėvele dengtos tabletės</w:t>
      </w:r>
    </w:p>
    <w:p w14:paraId="0BC4341A" w14:textId="77777777" w:rsidR="00F151B8" w:rsidRPr="00DF20DE" w:rsidRDefault="00F151B8" w:rsidP="00F151B8">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tikagreloras</w:t>
      </w:r>
    </w:p>
    <w:p w14:paraId="010F891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C09E674"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Atidžiai perskaitykite visą šį lapelį, prieš pradėdami vartoti vaistą, nes jame pateikiama Jums svarbi informacija.</w:t>
      </w:r>
    </w:p>
    <w:p w14:paraId="32DAE076" w14:textId="77777777" w:rsidR="00F151B8" w:rsidRPr="00DF20DE" w:rsidRDefault="00F151B8" w:rsidP="00B61CB8">
      <w:pPr>
        <w:widowControl w:val="0"/>
        <w:numPr>
          <w:ilvl w:val="0"/>
          <w:numId w:val="7"/>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Neišmeskite šio lapelio, nes vėl gali prireikti jį perskaityti.</w:t>
      </w:r>
    </w:p>
    <w:p w14:paraId="11E1D886" w14:textId="77777777" w:rsidR="00F151B8" w:rsidRPr="00DF20DE" w:rsidRDefault="00F151B8" w:rsidP="00B61CB8">
      <w:pPr>
        <w:widowControl w:val="0"/>
        <w:numPr>
          <w:ilvl w:val="0"/>
          <w:numId w:val="7"/>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Jeigu kiltų daugiau klausimų, kreipkitės į gydytoją arba vaistininką.</w:t>
      </w:r>
    </w:p>
    <w:p w14:paraId="203C555D" w14:textId="77777777" w:rsidR="00F151B8" w:rsidRPr="00DF20DE" w:rsidRDefault="00F151B8" w:rsidP="00B61CB8">
      <w:pPr>
        <w:widowControl w:val="0"/>
        <w:numPr>
          <w:ilvl w:val="0"/>
          <w:numId w:val="7"/>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Šis vaistas skirtas tik Jums, todėl kitiems žmonėms jo duoti negalima. Vaistas gali jiems pakenkti (net tiems, kurių ligos požymiai yra tokie patys kaip Jūsų).</w:t>
      </w:r>
    </w:p>
    <w:p w14:paraId="45A38B9B" w14:textId="77777777" w:rsidR="00F151B8" w:rsidRPr="00DF20DE" w:rsidRDefault="00F151B8" w:rsidP="00B61CB8">
      <w:pPr>
        <w:widowControl w:val="0"/>
        <w:numPr>
          <w:ilvl w:val="0"/>
          <w:numId w:val="7"/>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Jeigu pasireiškė šalutinis poveikis (net jeigu jis šiame lapelyje nenurodytas), kreipkitės į gydytoją arba vaistininką. Žr. 4 skyrių.</w:t>
      </w:r>
    </w:p>
    <w:p w14:paraId="2E2F835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FCE65C3"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Apie ką rašoma šiame lapelyje?</w:t>
      </w:r>
    </w:p>
    <w:p w14:paraId="5C22DCC7" w14:textId="6C6CC86F" w:rsidR="00F151B8" w:rsidRPr="00DF20DE" w:rsidRDefault="00F151B8" w:rsidP="00B61CB8">
      <w:pPr>
        <w:widowControl w:val="0"/>
        <w:numPr>
          <w:ilvl w:val="0"/>
          <w:numId w:val="6"/>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 xml:space="preserve">Kas yra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ir kam jis vartojamas</w:t>
      </w:r>
    </w:p>
    <w:p w14:paraId="407CB0B5" w14:textId="02FF3A6F" w:rsidR="00F151B8" w:rsidRPr="00DF20DE" w:rsidRDefault="00F151B8" w:rsidP="00B61CB8">
      <w:pPr>
        <w:widowControl w:val="0"/>
        <w:numPr>
          <w:ilvl w:val="0"/>
          <w:numId w:val="6"/>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 xml:space="preserve">Kas žinotina prieš vartojant </w:t>
      </w:r>
      <w:r w:rsidR="008B0463" w:rsidRPr="00DF20DE">
        <w:rPr>
          <w:rFonts w:ascii="Times New Roman" w:eastAsia="Times New Roman" w:hAnsi="Times New Roman" w:cs="Times New Roman"/>
        </w:rPr>
        <w:t>Plategra</w:t>
      </w:r>
    </w:p>
    <w:p w14:paraId="0A93F79C" w14:textId="5CB95FE1" w:rsidR="00F151B8" w:rsidRPr="00DF20DE" w:rsidRDefault="00F151B8" w:rsidP="00B61CB8">
      <w:pPr>
        <w:widowControl w:val="0"/>
        <w:numPr>
          <w:ilvl w:val="0"/>
          <w:numId w:val="6"/>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 xml:space="preserve">Kaip vartoti </w:t>
      </w:r>
      <w:r w:rsidR="008B0463" w:rsidRPr="00DF20DE">
        <w:rPr>
          <w:rFonts w:ascii="Times New Roman" w:eastAsia="Times New Roman" w:hAnsi="Times New Roman" w:cs="Times New Roman"/>
        </w:rPr>
        <w:t>Plategra</w:t>
      </w:r>
    </w:p>
    <w:p w14:paraId="698EC5B4" w14:textId="77777777" w:rsidR="00F151B8" w:rsidRPr="00DF20DE" w:rsidRDefault="00F151B8" w:rsidP="00B61CB8">
      <w:pPr>
        <w:widowControl w:val="0"/>
        <w:numPr>
          <w:ilvl w:val="0"/>
          <w:numId w:val="6"/>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Galimas šalutinis poveikis</w:t>
      </w:r>
    </w:p>
    <w:p w14:paraId="254386C6" w14:textId="7127E212" w:rsidR="00F151B8" w:rsidRPr="00DF20DE" w:rsidRDefault="00F151B8" w:rsidP="00B61CB8">
      <w:pPr>
        <w:widowControl w:val="0"/>
        <w:numPr>
          <w:ilvl w:val="0"/>
          <w:numId w:val="6"/>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 xml:space="preserve">Kaip laikyti </w:t>
      </w:r>
      <w:r w:rsidR="008B0463" w:rsidRPr="00DF20DE">
        <w:rPr>
          <w:rFonts w:ascii="Times New Roman" w:eastAsia="Times New Roman" w:hAnsi="Times New Roman" w:cs="Times New Roman"/>
        </w:rPr>
        <w:t>Plategra</w:t>
      </w:r>
    </w:p>
    <w:p w14:paraId="2A96217D" w14:textId="77777777" w:rsidR="00F151B8" w:rsidRPr="00DF20DE" w:rsidRDefault="00F151B8" w:rsidP="00B61CB8">
      <w:pPr>
        <w:widowControl w:val="0"/>
        <w:numPr>
          <w:ilvl w:val="0"/>
          <w:numId w:val="6"/>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Pakuotės turinys ir kita informacija</w:t>
      </w:r>
    </w:p>
    <w:p w14:paraId="5C8F7DC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7D9B63B" w14:textId="284616E2" w:rsidR="00F151B8" w:rsidRPr="00DF20DE" w:rsidRDefault="00F151B8" w:rsidP="00B61CB8">
      <w:pPr>
        <w:widowControl w:val="0"/>
        <w:numPr>
          <w:ilvl w:val="0"/>
          <w:numId w:val="5"/>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Kas yra </w:t>
      </w:r>
      <w:r w:rsidR="008B0463" w:rsidRPr="00DF20DE">
        <w:rPr>
          <w:rFonts w:ascii="Times New Roman" w:eastAsia="Times New Roman" w:hAnsi="Times New Roman" w:cs="Times New Roman"/>
          <w:b/>
          <w:bCs/>
        </w:rPr>
        <w:t>Plategra</w:t>
      </w:r>
      <w:r w:rsidRPr="00DF20DE">
        <w:rPr>
          <w:rFonts w:ascii="Times New Roman" w:eastAsia="Times New Roman" w:hAnsi="Times New Roman" w:cs="Times New Roman"/>
          <w:b/>
          <w:bCs/>
        </w:rPr>
        <w:t xml:space="preserve"> ir kam jis vartojamas </w:t>
      </w:r>
    </w:p>
    <w:p w14:paraId="4630B4F9" w14:textId="77777777" w:rsidR="00F151B8" w:rsidRPr="00DF20DE" w:rsidRDefault="00F151B8" w:rsidP="00F151B8">
      <w:pPr>
        <w:widowControl w:val="0"/>
        <w:tabs>
          <w:tab w:val="left" w:pos="782"/>
          <w:tab w:val="left" w:pos="783"/>
        </w:tabs>
        <w:autoSpaceDE w:val="0"/>
        <w:autoSpaceDN w:val="0"/>
        <w:spacing w:after="0" w:line="240" w:lineRule="auto"/>
        <w:outlineLvl w:val="1"/>
        <w:rPr>
          <w:rFonts w:ascii="Times New Roman" w:eastAsia="Times New Roman" w:hAnsi="Times New Roman" w:cs="Times New Roman"/>
          <w:b/>
          <w:bCs/>
        </w:rPr>
      </w:pPr>
    </w:p>
    <w:p w14:paraId="559B8F7E" w14:textId="2C9989C6" w:rsidR="00F151B8" w:rsidRPr="00DF20DE" w:rsidRDefault="00F151B8" w:rsidP="00F151B8">
      <w:pPr>
        <w:widowControl w:val="0"/>
        <w:tabs>
          <w:tab w:val="left" w:pos="782"/>
          <w:tab w:val="left" w:pos="783"/>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Kas yra </w:t>
      </w:r>
      <w:r w:rsidR="008B0463" w:rsidRPr="00DF20DE">
        <w:rPr>
          <w:rFonts w:ascii="Times New Roman" w:eastAsia="Times New Roman" w:hAnsi="Times New Roman" w:cs="Times New Roman"/>
          <w:b/>
          <w:bCs/>
        </w:rPr>
        <w:t>Plategra</w:t>
      </w:r>
    </w:p>
    <w:p w14:paraId="4BDCC936" w14:textId="5DD8A713" w:rsidR="00F151B8" w:rsidRPr="00DF20DE" w:rsidRDefault="008B0463"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F151B8" w:rsidRPr="00DF20DE">
        <w:rPr>
          <w:rFonts w:ascii="Times New Roman" w:eastAsia="Times New Roman" w:hAnsi="Times New Roman" w:cs="Times New Roman"/>
        </w:rPr>
        <w:t xml:space="preserve"> sudėtyje yra veikliosios medžiagos, vadinamos tikagreloru. Ji priklauso vaistų, vadinamų antitrombocitiniais vaistais, grupei.</w:t>
      </w:r>
    </w:p>
    <w:p w14:paraId="702000C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16CB6655" w14:textId="027513C2"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Kam vartojamas </w:t>
      </w:r>
      <w:r w:rsidR="008B0463" w:rsidRPr="00DF20DE">
        <w:rPr>
          <w:rFonts w:ascii="Times New Roman" w:eastAsia="Times New Roman" w:hAnsi="Times New Roman" w:cs="Times New Roman"/>
          <w:b/>
          <w:bCs/>
        </w:rPr>
        <w:t>Plategra</w:t>
      </w:r>
    </w:p>
    <w:p w14:paraId="63971C68" w14:textId="3D011492" w:rsidR="00F151B8" w:rsidRPr="00DF20DE" w:rsidRDefault="00CB6008" w:rsidP="005D637C">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Šis vaistas </w:t>
      </w:r>
      <w:r w:rsidR="00F151B8" w:rsidRPr="00DF20DE">
        <w:rPr>
          <w:rFonts w:ascii="Times New Roman" w:eastAsia="Times New Roman" w:hAnsi="Times New Roman" w:cs="Times New Roman"/>
        </w:rPr>
        <w:t>skirtas tik suaugusiems žmonėms vartoti kartu su kitu trombocitų funkciją slopinančiu vaistu – acetilsalicilo rūgštimi. Šis vaistas Jums paskirtas dėl prieš metus ar daugiau ištikusio</w:t>
      </w:r>
      <w:r w:rsidR="00D274DA" w:rsidRPr="00DF20DE">
        <w:rPr>
          <w:rFonts w:ascii="Times New Roman" w:eastAsia="Times New Roman" w:hAnsi="Times New Roman" w:cs="Times New Roman"/>
        </w:rPr>
        <w:t xml:space="preserve"> </w:t>
      </w:r>
      <w:r w:rsidR="00F151B8" w:rsidRPr="00DF20DE">
        <w:rPr>
          <w:rFonts w:ascii="Times New Roman" w:eastAsia="Times New Roman" w:hAnsi="Times New Roman" w:cs="Times New Roman"/>
        </w:rPr>
        <w:t>širdies priepuolio</w:t>
      </w:r>
      <w:r w:rsidR="00D274DA" w:rsidRPr="00DF20DE">
        <w:rPr>
          <w:rFonts w:ascii="Times New Roman" w:eastAsia="Times New Roman" w:hAnsi="Times New Roman" w:cs="Times New Roman"/>
        </w:rPr>
        <w:t>.</w:t>
      </w:r>
    </w:p>
    <w:p w14:paraId="3729BEF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Šis vaistas mažina riziką patirti dar vieną širdies priepuolį, insultą ir mirti nuo širdies ar kraujagyslių ligos.</w:t>
      </w:r>
    </w:p>
    <w:p w14:paraId="5790B76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5D85C1B" w14:textId="336CE266"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Kaip veikia </w:t>
      </w:r>
      <w:r w:rsidR="008B0463" w:rsidRPr="00DF20DE">
        <w:rPr>
          <w:rFonts w:ascii="Times New Roman" w:eastAsia="Times New Roman" w:hAnsi="Times New Roman" w:cs="Times New Roman"/>
          <w:b/>
          <w:bCs/>
        </w:rPr>
        <w:t>Plategra</w:t>
      </w:r>
    </w:p>
    <w:p w14:paraId="38525D6A" w14:textId="6D0DB093" w:rsidR="00F151B8" w:rsidRPr="00DF20DE" w:rsidRDefault="00CB600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Šis vaistas</w:t>
      </w:r>
      <w:r w:rsidR="00F151B8" w:rsidRPr="00DF20DE">
        <w:rPr>
          <w:rFonts w:ascii="Times New Roman" w:eastAsia="Times New Roman" w:hAnsi="Times New Roman" w:cs="Times New Roman"/>
        </w:rPr>
        <w:t xml:space="preserve"> veikia ląsteles, vadinamas kraujo plokštelėmis (taip pat vadinamas trombocitais). Trombocitai yra labai mažos kraujo ląstelės, kurios padeda stabdyti kraujavimą, sulipdamos viena su kita ir užkimšdamos mažas skylutes įpjautose ar kitaip pažeistose kraujagyslėse.</w:t>
      </w:r>
    </w:p>
    <w:p w14:paraId="4AD66AA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1EC7270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Deja, kraujo plokštelės taip pat gali sudaryti krešulių pažeistų širdies ir smegenų kraujagyslių viduje. Tai gali būti labai pavojinga, kadangi:</w:t>
      </w:r>
    </w:p>
    <w:p w14:paraId="5931B3AD" w14:textId="77777777" w:rsidR="00F151B8" w:rsidRPr="00DF20DE" w:rsidRDefault="00F151B8" w:rsidP="00B61CB8">
      <w:pPr>
        <w:widowControl w:val="0"/>
        <w:numPr>
          <w:ilvl w:val="0"/>
          <w:numId w:val="4"/>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krešulys gali visai užkirsti kelią kraujo tėkmei – tuomet gali ištikti širdies priepuolis (miokardo infarktas) arba insultas arba</w:t>
      </w:r>
    </w:p>
    <w:p w14:paraId="62C6D627" w14:textId="77777777" w:rsidR="00F151B8" w:rsidRPr="00DF20DE" w:rsidRDefault="00F151B8" w:rsidP="00B61CB8">
      <w:pPr>
        <w:widowControl w:val="0"/>
        <w:numPr>
          <w:ilvl w:val="0"/>
          <w:numId w:val="4"/>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krešulys gali dalinai užkirsti kelią kraujo tėkmei į širdį ir pabloginti jos kraujotaką – tuomet gali prasidėti krūtinės skausmas, kuris atsiranda ir išnyksta (taip vadinama nestabili krūtinės angina).</w:t>
      </w:r>
    </w:p>
    <w:p w14:paraId="01127C0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3D2BB9B5" w14:textId="413BDE47" w:rsidR="00F151B8" w:rsidRPr="00DF20DE" w:rsidRDefault="008B0463"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F151B8" w:rsidRPr="00DF20DE">
        <w:rPr>
          <w:rFonts w:ascii="Times New Roman" w:eastAsia="Times New Roman" w:hAnsi="Times New Roman" w:cs="Times New Roman"/>
        </w:rPr>
        <w:t xml:space="preserve"> padeda neleisti kraujo plokštelėms sulipti </w:t>
      </w:r>
      <w:r w:rsidR="00F70EB6" w:rsidRPr="00DF20DE">
        <w:rPr>
          <w:rFonts w:ascii="Times New Roman" w:eastAsia="Times New Roman" w:hAnsi="Times New Roman" w:cs="Times New Roman"/>
        </w:rPr>
        <w:t>tarpusavyje</w:t>
      </w:r>
      <w:r w:rsidR="00F151B8" w:rsidRPr="00DF20DE">
        <w:rPr>
          <w:rFonts w:ascii="Times New Roman" w:eastAsia="Times New Roman" w:hAnsi="Times New Roman" w:cs="Times New Roman"/>
        </w:rPr>
        <w:t xml:space="preserve"> ir tokiu būdu trukdo susidaryti kraujo krešuliui, kuris gali pabloginti kraujotaką.</w:t>
      </w:r>
    </w:p>
    <w:p w14:paraId="518026F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C63278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2F0F595" w14:textId="792F863F" w:rsidR="00F151B8" w:rsidRPr="00DF20DE" w:rsidRDefault="00F151B8" w:rsidP="00B61CB8">
      <w:pPr>
        <w:widowControl w:val="0"/>
        <w:numPr>
          <w:ilvl w:val="0"/>
          <w:numId w:val="5"/>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Kas žinotina prieš vartojant </w:t>
      </w:r>
      <w:r w:rsidR="008B0463" w:rsidRPr="00DF20DE">
        <w:rPr>
          <w:rFonts w:ascii="Times New Roman" w:eastAsia="Times New Roman" w:hAnsi="Times New Roman" w:cs="Times New Roman"/>
          <w:b/>
          <w:bCs/>
        </w:rPr>
        <w:t>Plategra</w:t>
      </w:r>
      <w:r w:rsidRPr="00DF20DE">
        <w:rPr>
          <w:rFonts w:ascii="Times New Roman" w:eastAsia="Times New Roman" w:hAnsi="Times New Roman" w:cs="Times New Roman"/>
          <w:b/>
          <w:bCs/>
        </w:rPr>
        <w:t xml:space="preserve"> </w:t>
      </w:r>
    </w:p>
    <w:p w14:paraId="310A3929" w14:textId="77777777" w:rsidR="00F151B8" w:rsidRPr="00DF20DE" w:rsidRDefault="00F151B8" w:rsidP="00F151B8">
      <w:pPr>
        <w:widowControl w:val="0"/>
        <w:tabs>
          <w:tab w:val="left" w:pos="782"/>
          <w:tab w:val="left" w:pos="783"/>
        </w:tabs>
        <w:autoSpaceDE w:val="0"/>
        <w:autoSpaceDN w:val="0"/>
        <w:spacing w:after="0" w:line="240" w:lineRule="auto"/>
        <w:rPr>
          <w:rFonts w:ascii="Times New Roman" w:eastAsia="Times New Roman" w:hAnsi="Times New Roman" w:cs="Times New Roman"/>
        </w:rPr>
      </w:pPr>
    </w:p>
    <w:p w14:paraId="703FA02D" w14:textId="7BD15765" w:rsidR="00F151B8" w:rsidRPr="00DF20DE" w:rsidRDefault="008B0463" w:rsidP="00F151B8">
      <w:pPr>
        <w:widowControl w:val="0"/>
        <w:tabs>
          <w:tab w:val="left" w:pos="782"/>
          <w:tab w:val="left" w:pos="783"/>
        </w:tabs>
        <w:autoSpaceDE w:val="0"/>
        <w:autoSpaceDN w:val="0"/>
        <w:spacing w:after="0" w:line="240" w:lineRule="auto"/>
        <w:rPr>
          <w:rFonts w:ascii="Times New Roman" w:eastAsia="Times New Roman" w:hAnsi="Times New Roman" w:cs="Times New Roman"/>
          <w:b/>
          <w:bCs/>
        </w:rPr>
      </w:pPr>
      <w:r w:rsidRPr="00DF20DE">
        <w:rPr>
          <w:rFonts w:ascii="Times New Roman" w:eastAsia="Times New Roman" w:hAnsi="Times New Roman" w:cs="Times New Roman"/>
          <w:b/>
          <w:bCs/>
        </w:rPr>
        <w:t>Plategra</w:t>
      </w:r>
      <w:r w:rsidR="00F151B8" w:rsidRPr="00DF20DE">
        <w:rPr>
          <w:rFonts w:ascii="Times New Roman" w:eastAsia="Times New Roman" w:hAnsi="Times New Roman" w:cs="Times New Roman"/>
          <w:b/>
          <w:bCs/>
        </w:rPr>
        <w:t xml:space="preserve"> vartoti draudžiama:</w:t>
      </w:r>
    </w:p>
    <w:p w14:paraId="53F0C6B9"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jeigu yra alergija tikagrelorui arba bet kuriai pagalbinei šio vaisto medžiagai (jos išvardytos 6 skyriuje);</w:t>
      </w:r>
    </w:p>
    <w:p w14:paraId="57048218"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jeigu Jūsų organizme dabar vyksta kraujavimas;</w:t>
      </w:r>
    </w:p>
    <w:p w14:paraId="62FFB938"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lastRenderedPageBreak/>
        <w:t>jeigu Jus buvo ištikęs insultas dėl kraujavimo į smegenis;</w:t>
      </w:r>
    </w:p>
    <w:p w14:paraId="077185C5"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jeigu Jūs sergate sunkia kepenų liga;</w:t>
      </w:r>
    </w:p>
    <w:p w14:paraId="292583AD" w14:textId="30CB32C5" w:rsidR="00F151B8" w:rsidRPr="00DF20DE" w:rsidRDefault="00F151B8" w:rsidP="00B61CB8">
      <w:pPr>
        <w:widowControl w:val="0"/>
        <w:numPr>
          <w:ilvl w:val="0"/>
          <w:numId w:val="8"/>
        </w:numPr>
        <w:tabs>
          <w:tab w:val="left" w:pos="783"/>
        </w:tabs>
        <w:autoSpaceDE w:val="0"/>
        <w:autoSpaceDN w:val="0"/>
        <w:spacing w:after="0" w:line="240" w:lineRule="auto"/>
        <w:ind w:left="540" w:hanging="540"/>
        <w:jc w:val="both"/>
        <w:rPr>
          <w:rFonts w:ascii="Times New Roman" w:eastAsia="Times New Roman" w:hAnsi="Times New Roman" w:cs="Times New Roman"/>
        </w:rPr>
      </w:pPr>
      <w:r w:rsidRPr="00DF20DE">
        <w:rPr>
          <w:rFonts w:ascii="Times New Roman" w:eastAsia="Times New Roman" w:hAnsi="Times New Roman" w:cs="Times New Roman"/>
        </w:rPr>
        <w:t>jeigu Jūs vartojate kur</w:t>
      </w:r>
      <w:r w:rsidR="00B026C8"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nors iš šių vaistų: </w:t>
      </w:r>
    </w:p>
    <w:p w14:paraId="1F3944AA" w14:textId="7E677565" w:rsidR="00F151B8" w:rsidRPr="00DF20DE" w:rsidRDefault="00F151B8" w:rsidP="00B61CB8">
      <w:pPr>
        <w:widowControl w:val="0"/>
        <w:numPr>
          <w:ilvl w:val="1"/>
          <w:numId w:val="8"/>
        </w:numPr>
        <w:tabs>
          <w:tab w:val="left" w:pos="783"/>
        </w:tabs>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ketokonazol</w:t>
      </w:r>
      <w:r w:rsidR="00B026C8" w:rsidRPr="00DF20DE">
        <w:rPr>
          <w:rFonts w:ascii="Times New Roman" w:eastAsia="Times New Roman" w:hAnsi="Times New Roman" w:cs="Times New Roman"/>
        </w:rPr>
        <w:t>o</w:t>
      </w:r>
      <w:r w:rsidRPr="00DF20DE">
        <w:rPr>
          <w:rFonts w:ascii="Times New Roman" w:eastAsia="Times New Roman" w:hAnsi="Times New Roman" w:cs="Times New Roman"/>
        </w:rPr>
        <w:t xml:space="preserve"> (nuo grybelių infekcijos);</w:t>
      </w:r>
    </w:p>
    <w:p w14:paraId="730BE5CD" w14:textId="620FAEFB" w:rsidR="00F151B8" w:rsidRPr="00DF20DE" w:rsidRDefault="00F151B8" w:rsidP="00B61CB8">
      <w:pPr>
        <w:widowControl w:val="0"/>
        <w:numPr>
          <w:ilvl w:val="1"/>
          <w:numId w:val="8"/>
        </w:numPr>
        <w:tabs>
          <w:tab w:val="left" w:pos="783"/>
        </w:tabs>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klaritromicin</w:t>
      </w:r>
      <w:r w:rsidR="00B026C8" w:rsidRPr="00DF20DE">
        <w:rPr>
          <w:rFonts w:ascii="Times New Roman" w:eastAsia="Times New Roman" w:hAnsi="Times New Roman" w:cs="Times New Roman"/>
        </w:rPr>
        <w:t>o</w:t>
      </w:r>
      <w:r w:rsidRPr="00DF20DE">
        <w:rPr>
          <w:rFonts w:ascii="Times New Roman" w:eastAsia="Times New Roman" w:hAnsi="Times New Roman" w:cs="Times New Roman"/>
        </w:rPr>
        <w:t xml:space="preserve"> (nuo bakterijų infekcijos);</w:t>
      </w:r>
    </w:p>
    <w:p w14:paraId="2A7BE495" w14:textId="0EB8C6CD" w:rsidR="00F151B8" w:rsidRPr="00DF20DE" w:rsidRDefault="00F151B8" w:rsidP="00B61CB8">
      <w:pPr>
        <w:widowControl w:val="0"/>
        <w:numPr>
          <w:ilvl w:val="1"/>
          <w:numId w:val="8"/>
        </w:numPr>
        <w:tabs>
          <w:tab w:val="left" w:pos="783"/>
        </w:tabs>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nefazodon</w:t>
      </w:r>
      <w:r w:rsidR="00B026C8" w:rsidRPr="00DF20DE">
        <w:rPr>
          <w:rFonts w:ascii="Times New Roman" w:eastAsia="Times New Roman" w:hAnsi="Times New Roman" w:cs="Times New Roman"/>
        </w:rPr>
        <w:t>o</w:t>
      </w:r>
      <w:r w:rsidRPr="00DF20DE">
        <w:rPr>
          <w:rFonts w:ascii="Times New Roman" w:eastAsia="Times New Roman" w:hAnsi="Times New Roman" w:cs="Times New Roman"/>
        </w:rPr>
        <w:t xml:space="preserve"> (nuo depresijos);</w:t>
      </w:r>
    </w:p>
    <w:p w14:paraId="6DFCEC63" w14:textId="20AA1EFA" w:rsidR="00F151B8" w:rsidRPr="00DF20DE" w:rsidRDefault="00F151B8" w:rsidP="00B61CB8">
      <w:pPr>
        <w:widowControl w:val="0"/>
        <w:numPr>
          <w:ilvl w:val="1"/>
          <w:numId w:val="8"/>
        </w:numPr>
        <w:tabs>
          <w:tab w:val="left" w:pos="783"/>
        </w:tabs>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ritonavir</w:t>
      </w:r>
      <w:r w:rsidR="00B026C8" w:rsidRPr="00DF20DE">
        <w:rPr>
          <w:rFonts w:ascii="Times New Roman" w:eastAsia="Times New Roman" w:hAnsi="Times New Roman" w:cs="Times New Roman"/>
        </w:rPr>
        <w:t>o</w:t>
      </w:r>
      <w:r w:rsidRPr="00DF20DE">
        <w:rPr>
          <w:rFonts w:ascii="Times New Roman" w:eastAsia="Times New Roman" w:hAnsi="Times New Roman" w:cs="Times New Roman"/>
        </w:rPr>
        <w:t xml:space="preserve"> arba atazanavir</w:t>
      </w:r>
      <w:r w:rsidR="00B026C8" w:rsidRPr="00DF20DE">
        <w:rPr>
          <w:rFonts w:ascii="Times New Roman" w:eastAsia="Times New Roman" w:hAnsi="Times New Roman" w:cs="Times New Roman"/>
        </w:rPr>
        <w:t>o</w:t>
      </w:r>
      <w:r w:rsidRPr="00DF20DE">
        <w:rPr>
          <w:rFonts w:ascii="Times New Roman" w:eastAsia="Times New Roman" w:hAnsi="Times New Roman" w:cs="Times New Roman"/>
        </w:rPr>
        <w:t xml:space="preserve"> (nuo ŽIV infekcijos ir AIDS).</w:t>
      </w:r>
    </w:p>
    <w:p w14:paraId="1B057E04" w14:textId="39731278" w:rsidR="00F151B8" w:rsidRPr="00DF20DE" w:rsidRDefault="00F151B8" w:rsidP="005D637C">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Jeigu turite kurią nors iš aukščiau išvardytų problemų,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Jums vartoti </w:t>
      </w:r>
      <w:r w:rsidR="00F70EB6" w:rsidRPr="00DF20DE">
        <w:rPr>
          <w:rFonts w:ascii="Times New Roman" w:eastAsia="Times New Roman" w:hAnsi="Times New Roman" w:cs="Times New Roman"/>
        </w:rPr>
        <w:t>draudžiama</w:t>
      </w:r>
      <w:r w:rsidRPr="00DF20DE">
        <w:rPr>
          <w:rFonts w:ascii="Times New Roman" w:eastAsia="Times New Roman" w:hAnsi="Times New Roman" w:cs="Times New Roman"/>
        </w:rPr>
        <w:t xml:space="preserve">. Jei abejojate, </w:t>
      </w:r>
      <w:r w:rsidR="00471A4C" w:rsidRPr="00DF20DE">
        <w:rPr>
          <w:rFonts w:ascii="Times New Roman" w:eastAsia="Times New Roman" w:hAnsi="Times New Roman" w:cs="Times New Roman"/>
        </w:rPr>
        <w:t>prieš pradėdami vartoti š</w:t>
      </w:r>
      <w:r w:rsidR="00700FB5" w:rsidRPr="00DF20DE">
        <w:rPr>
          <w:rFonts w:ascii="Times New Roman" w:eastAsia="Times New Roman" w:hAnsi="Times New Roman" w:cs="Times New Roman"/>
        </w:rPr>
        <w:t>į</w:t>
      </w:r>
      <w:r w:rsidR="00471A4C" w:rsidRPr="00DF20DE">
        <w:rPr>
          <w:rFonts w:ascii="Times New Roman" w:eastAsia="Times New Roman" w:hAnsi="Times New Roman" w:cs="Times New Roman"/>
        </w:rPr>
        <w:t xml:space="preserve"> vaist</w:t>
      </w:r>
      <w:r w:rsidR="00700FB5" w:rsidRPr="00DF20DE">
        <w:rPr>
          <w:rFonts w:ascii="Times New Roman" w:eastAsia="Times New Roman" w:hAnsi="Times New Roman" w:cs="Times New Roman"/>
        </w:rPr>
        <w:t>ą</w:t>
      </w:r>
      <w:r w:rsidR="00471A4C" w:rsidRPr="00DF20DE">
        <w:rPr>
          <w:rFonts w:ascii="Times New Roman" w:eastAsia="Times New Roman" w:hAnsi="Times New Roman" w:cs="Times New Roman"/>
        </w:rPr>
        <w:t>,</w:t>
      </w:r>
      <w:r w:rsidR="00471A4C" w:rsidRPr="00DF20DE" w:rsidDel="00471A4C">
        <w:rPr>
          <w:rFonts w:ascii="Times New Roman" w:eastAsia="Times New Roman" w:hAnsi="Times New Roman" w:cs="Times New Roman"/>
        </w:rPr>
        <w:t xml:space="preserve"> </w:t>
      </w:r>
      <w:r w:rsidRPr="00DF20DE">
        <w:rPr>
          <w:rFonts w:ascii="Times New Roman" w:eastAsia="Times New Roman" w:hAnsi="Times New Roman" w:cs="Times New Roman"/>
        </w:rPr>
        <w:t>pasikonsultuokite su gydytoju arba vaistininku.</w:t>
      </w:r>
    </w:p>
    <w:p w14:paraId="3CC0103B" w14:textId="77777777" w:rsidR="00F151B8" w:rsidRPr="00DF20DE" w:rsidRDefault="00F151B8" w:rsidP="00F151B8">
      <w:pPr>
        <w:widowControl w:val="0"/>
        <w:autoSpaceDE w:val="0"/>
        <w:autoSpaceDN w:val="0"/>
        <w:spacing w:after="0" w:line="240" w:lineRule="auto"/>
        <w:ind w:left="540" w:hanging="540"/>
        <w:rPr>
          <w:rFonts w:ascii="Times New Roman" w:eastAsia="Times New Roman" w:hAnsi="Times New Roman" w:cs="Times New Roman"/>
        </w:rPr>
      </w:pPr>
    </w:p>
    <w:p w14:paraId="2F3B8ACA"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Įspėjimai ir atsargumo priemonės</w:t>
      </w:r>
    </w:p>
    <w:p w14:paraId="1A483BAE" w14:textId="15A18A75" w:rsidR="00F151B8" w:rsidRPr="00DF20DE" w:rsidRDefault="006D6B4A"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noProof/>
          <w:snapToGrid w:val="0"/>
          <w:szCs w:val="24"/>
        </w:rPr>
        <w:t>Pasitarkite su gydytoju arba vaistininku, prieš pradėdami vartoti</w:t>
      </w:r>
      <w:r w:rsidRPr="00DF20DE" w:rsidDel="006D6B4A">
        <w:rPr>
          <w:rFonts w:ascii="Times New Roman" w:eastAsia="Times New Roman" w:hAnsi="Times New Roman" w:cs="Times New Roman"/>
        </w:rPr>
        <w:t xml:space="preserv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w:t>
      </w:r>
      <w:r w:rsidR="00F151B8" w:rsidRPr="00DF20DE">
        <w:rPr>
          <w:rFonts w:ascii="Times New Roman" w:eastAsia="Times New Roman" w:hAnsi="Times New Roman" w:cs="Times New Roman"/>
        </w:rPr>
        <w:t>jeigu:</w:t>
      </w:r>
    </w:p>
    <w:p w14:paraId="602642F3"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Jums padidėjusi kraujavimo rizika dėl:</w:t>
      </w:r>
    </w:p>
    <w:p w14:paraId="36E33BB8" w14:textId="77777777" w:rsidR="00F151B8" w:rsidRPr="00DF20DE" w:rsidRDefault="00F151B8" w:rsidP="00B61CB8">
      <w:pPr>
        <w:widowControl w:val="0"/>
        <w:numPr>
          <w:ilvl w:val="0"/>
          <w:numId w:val="3"/>
        </w:numPr>
        <w:tabs>
          <w:tab w:val="left" w:pos="1210"/>
        </w:tabs>
        <w:autoSpaceDE w:val="0"/>
        <w:autoSpaceDN w:val="0"/>
        <w:spacing w:after="0" w:line="240" w:lineRule="auto"/>
        <w:ind w:left="1080" w:hanging="540"/>
        <w:rPr>
          <w:rFonts w:ascii="Times New Roman" w:eastAsia="Times New Roman" w:hAnsi="Times New Roman" w:cs="Times New Roman"/>
        </w:rPr>
      </w:pPr>
      <w:r w:rsidRPr="00DF20DE">
        <w:rPr>
          <w:rFonts w:ascii="Times New Roman" w:eastAsia="Times New Roman" w:hAnsi="Times New Roman" w:cs="Times New Roman"/>
        </w:rPr>
        <w:t>neseniai patirtos didelės traumos;</w:t>
      </w:r>
    </w:p>
    <w:p w14:paraId="4676DAB5" w14:textId="77777777" w:rsidR="00F151B8" w:rsidRPr="00DF20DE" w:rsidRDefault="00F151B8" w:rsidP="00B61CB8">
      <w:pPr>
        <w:widowControl w:val="0"/>
        <w:numPr>
          <w:ilvl w:val="0"/>
          <w:numId w:val="3"/>
        </w:numPr>
        <w:tabs>
          <w:tab w:val="left" w:pos="1210"/>
        </w:tabs>
        <w:autoSpaceDE w:val="0"/>
        <w:autoSpaceDN w:val="0"/>
        <w:spacing w:after="0" w:line="240" w:lineRule="auto"/>
        <w:ind w:left="1080" w:hanging="540"/>
        <w:rPr>
          <w:rFonts w:ascii="Times New Roman" w:eastAsia="Times New Roman" w:hAnsi="Times New Roman" w:cs="Times New Roman"/>
        </w:rPr>
      </w:pPr>
      <w:r w:rsidRPr="00DF20DE">
        <w:rPr>
          <w:rFonts w:ascii="Times New Roman" w:eastAsia="Times New Roman" w:hAnsi="Times New Roman" w:cs="Times New Roman"/>
        </w:rPr>
        <w:t>neseniai atliktos operacijos (įskaitant dantų – apie tai klauskite odontologo);</w:t>
      </w:r>
    </w:p>
    <w:p w14:paraId="58B13BED" w14:textId="77777777" w:rsidR="00F151B8" w:rsidRPr="00DF20DE" w:rsidRDefault="00F151B8" w:rsidP="00B61CB8">
      <w:pPr>
        <w:widowControl w:val="0"/>
        <w:numPr>
          <w:ilvl w:val="0"/>
          <w:numId w:val="3"/>
        </w:numPr>
        <w:tabs>
          <w:tab w:val="left" w:pos="1210"/>
        </w:tabs>
        <w:autoSpaceDE w:val="0"/>
        <w:autoSpaceDN w:val="0"/>
        <w:spacing w:after="0" w:line="240" w:lineRule="auto"/>
        <w:ind w:left="1080" w:hanging="540"/>
        <w:rPr>
          <w:rFonts w:ascii="Times New Roman" w:eastAsia="Times New Roman" w:hAnsi="Times New Roman" w:cs="Times New Roman"/>
        </w:rPr>
      </w:pPr>
      <w:r w:rsidRPr="00DF20DE">
        <w:rPr>
          <w:rFonts w:ascii="Times New Roman" w:eastAsia="Times New Roman" w:hAnsi="Times New Roman" w:cs="Times New Roman"/>
        </w:rPr>
        <w:t>ligos, dėl kurios sutrinka kraujo krešėjimas;</w:t>
      </w:r>
    </w:p>
    <w:p w14:paraId="2254DBB3" w14:textId="77777777" w:rsidR="00F151B8" w:rsidRPr="00DF20DE" w:rsidRDefault="00F151B8" w:rsidP="00B61CB8">
      <w:pPr>
        <w:widowControl w:val="0"/>
        <w:numPr>
          <w:ilvl w:val="0"/>
          <w:numId w:val="3"/>
        </w:numPr>
        <w:tabs>
          <w:tab w:val="left" w:pos="1210"/>
        </w:tabs>
        <w:autoSpaceDE w:val="0"/>
        <w:autoSpaceDN w:val="0"/>
        <w:spacing w:after="0" w:line="240" w:lineRule="auto"/>
        <w:ind w:left="1080" w:hanging="540"/>
        <w:rPr>
          <w:rFonts w:ascii="Times New Roman" w:eastAsia="Times New Roman" w:hAnsi="Times New Roman" w:cs="Times New Roman"/>
        </w:rPr>
      </w:pPr>
      <w:r w:rsidRPr="00DF20DE">
        <w:rPr>
          <w:rFonts w:ascii="Times New Roman" w:eastAsia="Times New Roman" w:hAnsi="Times New Roman" w:cs="Times New Roman"/>
        </w:rPr>
        <w:t>neseniai buvusio kraujavimo iš skrandžio arba žarnyno (pvz., dėl skrandžio opos arba storosios žarnos polipų);</w:t>
      </w:r>
    </w:p>
    <w:p w14:paraId="2C7D2B62" w14:textId="297E7723" w:rsidR="00F151B8" w:rsidRPr="00DF20DE" w:rsidRDefault="00F151B8" w:rsidP="00B61CB8">
      <w:pPr>
        <w:widowControl w:val="0"/>
        <w:numPr>
          <w:ilvl w:val="0"/>
          <w:numId w:val="8"/>
        </w:numPr>
        <w:tabs>
          <w:tab w:val="left" w:pos="783"/>
        </w:tabs>
        <w:autoSpaceDE w:val="0"/>
        <w:autoSpaceDN w:val="0"/>
        <w:spacing w:after="0" w:line="240" w:lineRule="auto"/>
        <w:ind w:left="540" w:hanging="540"/>
        <w:jc w:val="both"/>
        <w:rPr>
          <w:rFonts w:ascii="Times New Roman" w:eastAsia="Times New Roman" w:hAnsi="Times New Roman" w:cs="Times New Roman"/>
        </w:rPr>
      </w:pPr>
      <w:r w:rsidRPr="00DF20DE">
        <w:rPr>
          <w:rFonts w:ascii="Times New Roman" w:eastAsia="Times New Roman" w:hAnsi="Times New Roman" w:cs="Times New Roman"/>
        </w:rPr>
        <w:t xml:space="preserve">ruošiatės operacijai (įskaitant dantų)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vartojimo laikotarpiu. Tai svarbu dėl kraujavimo rizikos padidėjimo. Gydytojas gali Jums nurodyti nutraukti šio vaisto vartojimą likus 5 paroms iki operacijos;</w:t>
      </w:r>
    </w:p>
    <w:p w14:paraId="58F621C5" w14:textId="77777777" w:rsidR="00F151B8" w:rsidRPr="00DF20DE" w:rsidRDefault="00F151B8" w:rsidP="00B61CB8">
      <w:pPr>
        <w:widowControl w:val="0"/>
        <w:numPr>
          <w:ilvl w:val="0"/>
          <w:numId w:val="8"/>
        </w:numPr>
        <w:tabs>
          <w:tab w:val="left" w:pos="783"/>
        </w:tabs>
        <w:autoSpaceDE w:val="0"/>
        <w:autoSpaceDN w:val="0"/>
        <w:spacing w:after="0" w:line="240" w:lineRule="auto"/>
        <w:ind w:left="540" w:hanging="540"/>
        <w:jc w:val="both"/>
        <w:rPr>
          <w:rFonts w:ascii="Times New Roman" w:eastAsia="Times New Roman" w:hAnsi="Times New Roman" w:cs="Times New Roman"/>
        </w:rPr>
      </w:pPr>
      <w:r w:rsidRPr="00DF20DE">
        <w:rPr>
          <w:rFonts w:ascii="Times New Roman" w:eastAsia="Times New Roman" w:hAnsi="Times New Roman" w:cs="Times New Roman"/>
        </w:rPr>
        <w:t>Jūsų širdies susitraukimų dažnis yra per mažas (mažesnis kaip 60 kartų per minutę) ir neturite įdėto širdies ritmą reguliuojančio prietaiso (stimuliatoriaus);</w:t>
      </w:r>
    </w:p>
    <w:p w14:paraId="757A743B" w14:textId="5503F849"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Jūs sergate astma ar kita plaučių liga arba Jūsų kvėpavimas sutrikęs dėl kitos priežasties;</w:t>
      </w:r>
    </w:p>
    <w:p w14:paraId="4FEAB5F1" w14:textId="77777777" w:rsidR="006D6B4A" w:rsidRPr="00DF20DE" w:rsidRDefault="006D6B4A"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Jūsų kvėpavimas pasidarytų netaisyklingas, pvz., pagreitėtų, sulėtėtų arba atsirastų trumpų</w:t>
      </w:r>
    </w:p>
    <w:p w14:paraId="1458E848" w14:textId="7A52AEB9" w:rsidR="006D6B4A" w:rsidRPr="00DF20DE" w:rsidRDefault="006D6B4A" w:rsidP="005D637C">
      <w:pPr>
        <w:widowControl w:val="0"/>
        <w:tabs>
          <w:tab w:val="left" w:pos="782"/>
          <w:tab w:val="left" w:pos="783"/>
        </w:tabs>
        <w:autoSpaceDE w:val="0"/>
        <w:autoSpaceDN w:val="0"/>
        <w:spacing w:after="0" w:line="240" w:lineRule="auto"/>
        <w:ind w:left="540"/>
        <w:rPr>
          <w:rFonts w:ascii="Times New Roman" w:eastAsia="Times New Roman" w:hAnsi="Times New Roman" w:cs="Times New Roman"/>
        </w:rPr>
      </w:pPr>
      <w:r w:rsidRPr="00DF20DE">
        <w:rPr>
          <w:rFonts w:ascii="Times New Roman" w:eastAsia="Times New Roman" w:hAnsi="Times New Roman" w:cs="Times New Roman"/>
        </w:rPr>
        <w:t>kvėpavimo pauzių. Tokiu atveju gydytojas nuspręs, ar Jums reikia išsamesnių tyrimų;</w:t>
      </w:r>
    </w:p>
    <w:p w14:paraId="75C9EA53" w14:textId="77777777" w:rsidR="00F151B8" w:rsidRPr="00DF20DE" w:rsidRDefault="00F151B8" w:rsidP="00B61CB8">
      <w:pPr>
        <w:widowControl w:val="0"/>
        <w:numPr>
          <w:ilvl w:val="0"/>
          <w:numId w:val="8"/>
        </w:numPr>
        <w:tabs>
          <w:tab w:val="left" w:pos="758"/>
          <w:tab w:val="left" w:pos="759"/>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turite kokių nors kepenų sutrikimų arba anksčiau sirgote kokia nors galėjusia jas pažeisti liga;</w:t>
      </w:r>
    </w:p>
    <w:p w14:paraId="5E2F6BC2" w14:textId="77777777" w:rsidR="00F151B8" w:rsidRPr="00DF20DE" w:rsidRDefault="00F151B8" w:rsidP="00B61CB8">
      <w:pPr>
        <w:widowControl w:val="0"/>
        <w:numPr>
          <w:ilvl w:val="0"/>
          <w:numId w:val="8"/>
        </w:numPr>
        <w:tabs>
          <w:tab w:val="left" w:pos="758"/>
          <w:tab w:val="left" w:pos="759"/>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Jūsų kraujo tyrimas parodė padidėjusį šlapimo rūgšties kiekį.</w:t>
      </w:r>
    </w:p>
    <w:p w14:paraId="5C45EA2F" w14:textId="3BA836B4" w:rsidR="00F151B8" w:rsidRPr="00DF20DE" w:rsidRDefault="006D6B4A" w:rsidP="005D637C">
      <w:pPr>
        <w:spacing w:after="0" w:line="240" w:lineRule="auto"/>
        <w:rPr>
          <w:rFonts w:ascii="Times New Roman" w:eastAsia="Times New Roman" w:hAnsi="Times New Roman" w:cs="Times New Roman"/>
        </w:rPr>
      </w:pPr>
      <w:r w:rsidRPr="00DF20DE">
        <w:rPr>
          <w:rFonts w:ascii="Times New Roman" w:hAnsi="Times New Roman" w:cs="Times New Roman"/>
        </w:rPr>
        <w:t>Jeigu kuri nors iš anksčiau išvardytų būklių Jums tinka</w:t>
      </w:r>
      <w:r w:rsidR="000A3862" w:rsidRPr="00DF20DE">
        <w:rPr>
          <w:rFonts w:ascii="Times New Roman" w:hAnsi="Times New Roman" w:cs="Times New Roman"/>
        </w:rPr>
        <w:t xml:space="preserve"> arba dėl to abejojate</w:t>
      </w:r>
      <w:r w:rsidRPr="00DF20DE">
        <w:rPr>
          <w:rFonts w:ascii="Times New Roman" w:hAnsi="Times New Roman" w:cs="Times New Roman"/>
        </w:rPr>
        <w:t>, prieš pradėdami vartoti šio vaisto, pasitarkite su gydytoju arba vaistininku</w:t>
      </w:r>
      <w:r w:rsidR="00F151B8" w:rsidRPr="00DF20DE">
        <w:rPr>
          <w:rFonts w:ascii="Times New Roman" w:eastAsia="Times New Roman" w:hAnsi="Times New Roman" w:cs="Times New Roman"/>
        </w:rPr>
        <w:t>.</w:t>
      </w:r>
    </w:p>
    <w:p w14:paraId="0135FED2" w14:textId="77777777" w:rsidR="00F151B8" w:rsidRPr="00DF20DE" w:rsidRDefault="00F151B8" w:rsidP="006D6B4A">
      <w:pPr>
        <w:widowControl w:val="0"/>
        <w:autoSpaceDE w:val="0"/>
        <w:autoSpaceDN w:val="0"/>
        <w:spacing w:after="0" w:line="240" w:lineRule="auto"/>
        <w:rPr>
          <w:rFonts w:ascii="Times New Roman" w:eastAsia="Times New Roman" w:hAnsi="Times New Roman" w:cs="Times New Roman"/>
          <w:sz w:val="21"/>
        </w:rPr>
      </w:pPr>
    </w:p>
    <w:p w14:paraId="0F7D676E" w14:textId="5A574CAC" w:rsidR="00F151B8" w:rsidRPr="00DF20DE" w:rsidRDefault="00F151B8" w:rsidP="006D6B4A">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Jeigu Jūs kartu vartojate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ir heparin</w:t>
      </w:r>
      <w:r w:rsidR="000A3862" w:rsidRPr="00DF20DE">
        <w:rPr>
          <w:rFonts w:ascii="Times New Roman" w:eastAsia="Times New Roman" w:hAnsi="Times New Roman" w:cs="Times New Roman"/>
        </w:rPr>
        <w:t>o</w:t>
      </w:r>
      <w:r w:rsidRPr="00DF20DE">
        <w:rPr>
          <w:rFonts w:ascii="Times New Roman" w:eastAsia="Times New Roman" w:hAnsi="Times New Roman" w:cs="Times New Roman"/>
        </w:rPr>
        <w:t>:</w:t>
      </w:r>
    </w:p>
    <w:p w14:paraId="58F58FB9" w14:textId="0E986189" w:rsidR="00F151B8" w:rsidRPr="00DF20DE" w:rsidRDefault="00F151B8" w:rsidP="00B61CB8">
      <w:pPr>
        <w:widowControl w:val="0"/>
        <w:numPr>
          <w:ilvl w:val="0"/>
          <w:numId w:val="8"/>
        </w:numPr>
        <w:tabs>
          <w:tab w:val="left" w:pos="567"/>
          <w:tab w:val="left" w:pos="782"/>
          <w:tab w:val="left" w:pos="783"/>
        </w:tabs>
        <w:autoSpaceDE w:val="0"/>
        <w:autoSpaceDN w:val="0"/>
        <w:spacing w:after="0" w:line="240" w:lineRule="auto"/>
        <w:ind w:left="0" w:firstLine="0"/>
        <w:rPr>
          <w:rFonts w:ascii="Times New Roman" w:eastAsia="Times New Roman" w:hAnsi="Times New Roman" w:cs="Times New Roman"/>
        </w:rPr>
      </w:pPr>
      <w:r w:rsidRPr="00DF20DE">
        <w:rPr>
          <w:rFonts w:ascii="Times New Roman" w:eastAsia="Times New Roman" w:hAnsi="Times New Roman" w:cs="Times New Roman"/>
        </w:rPr>
        <w:t xml:space="preserve">jeigu Jūsų gydytojas įtaria heparino sukeltą retą kraujo plokštelių funkcijos sutrikimą, jis gali nurodyti paimti diagnostinį kraujo mėginį.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gali iškreipti šio diagnostinio mėginio duomenis, todėl svarbu pasakyti gydytojui, jog kartu vartojate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ir heparin</w:t>
      </w:r>
      <w:r w:rsidR="00B026C8" w:rsidRPr="00DF20DE">
        <w:rPr>
          <w:rFonts w:ascii="Times New Roman" w:eastAsia="Times New Roman" w:hAnsi="Times New Roman" w:cs="Times New Roman"/>
        </w:rPr>
        <w:t>o</w:t>
      </w:r>
      <w:r w:rsidRPr="00DF20DE">
        <w:rPr>
          <w:rFonts w:ascii="Times New Roman" w:eastAsia="Times New Roman" w:hAnsi="Times New Roman" w:cs="Times New Roman"/>
        </w:rPr>
        <w:t>.</w:t>
      </w:r>
    </w:p>
    <w:p w14:paraId="5F978A5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3A394A2"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Vaikams ir paaugliams</w:t>
      </w:r>
    </w:p>
    <w:p w14:paraId="4589E0F2" w14:textId="31994413" w:rsidR="00F151B8" w:rsidRPr="00DF20DE" w:rsidRDefault="000A3862"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Šio vaisto</w:t>
      </w:r>
      <w:r w:rsidR="00F151B8" w:rsidRPr="00DF20DE">
        <w:rPr>
          <w:rFonts w:ascii="Times New Roman" w:eastAsia="Times New Roman" w:hAnsi="Times New Roman" w:cs="Times New Roman"/>
        </w:rPr>
        <w:t xml:space="preserve"> nerekomenduojama vartoti vaikams ir jaunesniems kaip 18 metų paaugliams.</w:t>
      </w:r>
    </w:p>
    <w:p w14:paraId="5587727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83E1A50" w14:textId="43DC8753" w:rsidR="00F151B8" w:rsidRPr="00DF20DE" w:rsidRDefault="00F151B8" w:rsidP="00F151B8">
      <w:pPr>
        <w:widowControl w:val="0"/>
        <w:autoSpaceDE w:val="0"/>
        <w:autoSpaceDN w:val="0"/>
        <w:spacing w:after="0" w:line="240" w:lineRule="auto"/>
        <w:jc w:val="both"/>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Kiti vaistai ir </w:t>
      </w:r>
      <w:r w:rsidR="008B0463" w:rsidRPr="00DF20DE">
        <w:rPr>
          <w:rFonts w:ascii="Times New Roman" w:eastAsia="Times New Roman" w:hAnsi="Times New Roman" w:cs="Times New Roman"/>
          <w:b/>
          <w:bCs/>
        </w:rPr>
        <w:t>Plategra</w:t>
      </w:r>
    </w:p>
    <w:p w14:paraId="118450EC" w14:textId="6783629B" w:rsidR="00F151B8" w:rsidRPr="00DF20DE" w:rsidRDefault="00F151B8" w:rsidP="00F151B8">
      <w:pPr>
        <w:widowControl w:val="0"/>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 xml:space="preserve">Jeigu vartojate arba neseniai vartojote kitų vaistų arba jeigu dėl to nesate tikri, pasakykite gydytojui arba vaistininkui. Tai svarbu dėl to, kad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gali keisti kai kurių kitų vaistų veikimą, o kai kurie kiti vaistai –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veikimą.</w:t>
      </w:r>
    </w:p>
    <w:p w14:paraId="1C2129C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3F4B978C" w14:textId="5FD55701"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Pasakykite gydytojui arba vaistininkui, jeigu vartojate kur</w:t>
      </w:r>
      <w:r w:rsidR="000A3862"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nors iš šių vaistų:</w:t>
      </w:r>
    </w:p>
    <w:p w14:paraId="087AFBCB" w14:textId="2B9261A3" w:rsidR="000A3862" w:rsidRPr="00DF20DE" w:rsidRDefault="000A3862"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rozuvastatino (vaisto padidėjusiam cholesterolio kiekiui mažinti);</w:t>
      </w:r>
    </w:p>
    <w:p w14:paraId="5201A5CF" w14:textId="77777777" w:rsidR="00F151B8" w:rsidRPr="00DF20DE" w:rsidRDefault="00F151B8"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daugiau kaip 40 mg per parą simvastatino ar lovastatino (vaistų padidėjusiai cholesterolio koncentracijai mažinti);</w:t>
      </w:r>
    </w:p>
    <w:p w14:paraId="2442C8C6" w14:textId="77777777" w:rsidR="00F151B8" w:rsidRPr="00DF20DE" w:rsidRDefault="00F151B8"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rifampicino (antibiotiko);</w:t>
      </w:r>
    </w:p>
    <w:p w14:paraId="311D0DDA" w14:textId="77777777" w:rsidR="00F151B8" w:rsidRPr="00DF20DE" w:rsidRDefault="00F151B8"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fenitoino, karbamazepino ar fenobarbitalio (jų skiriama norint išvengti traukulių);</w:t>
      </w:r>
    </w:p>
    <w:p w14:paraId="42A92755" w14:textId="77777777" w:rsidR="00F151B8" w:rsidRPr="00DF20DE" w:rsidRDefault="00F151B8"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digoksino (jo skiriama širdies nepakankamumui gydyti);</w:t>
      </w:r>
    </w:p>
    <w:p w14:paraId="6E56B820" w14:textId="06E27361" w:rsidR="00F151B8" w:rsidRPr="00DF20DE" w:rsidRDefault="00F151B8"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 xml:space="preserve">ciklosporino (jo skiriama Jūsų organizmo savigynai </w:t>
      </w:r>
      <w:r w:rsidR="00F70EB6" w:rsidRPr="00DF20DE">
        <w:rPr>
          <w:rFonts w:ascii="Times New Roman" w:eastAsia="Times New Roman" w:hAnsi="Times New Roman" w:cs="Times New Roman"/>
        </w:rPr>
        <w:t>(imuninei sistemai) slopinti</w:t>
      </w:r>
      <w:r w:rsidRPr="00DF20DE">
        <w:rPr>
          <w:rFonts w:ascii="Times New Roman" w:eastAsia="Times New Roman" w:hAnsi="Times New Roman" w:cs="Times New Roman"/>
        </w:rPr>
        <w:t>);</w:t>
      </w:r>
    </w:p>
    <w:p w14:paraId="0FE29213" w14:textId="77777777" w:rsidR="00F151B8" w:rsidRPr="00DF20DE" w:rsidRDefault="00F151B8"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chinidino ar diltiazemo (jų skiriama nuo širdies ritmo sutrikimų);</w:t>
      </w:r>
    </w:p>
    <w:p w14:paraId="020A8C7E" w14:textId="77777777" w:rsidR="00F151B8" w:rsidRPr="00DF20DE" w:rsidRDefault="00F151B8"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beta blokatorių ar verapamilio (jų skiriama padidėjusiam kraujospūdžiui mažinti);</w:t>
      </w:r>
    </w:p>
    <w:p w14:paraId="69BC69FB" w14:textId="77777777" w:rsidR="00F151B8" w:rsidRPr="00DF20DE" w:rsidRDefault="00F151B8"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morfino ar kitų opioidų (jų skiriama stipriam skausmui malšinti).</w:t>
      </w:r>
    </w:p>
    <w:p w14:paraId="7C3AA277"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7077AFBB" w14:textId="1677B3DB"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lastRenderedPageBreak/>
        <w:t>Pasakyti gydytojui arba vaistininkui ypač svarbu, jeigu vartojate kur</w:t>
      </w:r>
      <w:r w:rsidR="00700FB5"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nors iš šių vaistų, galinčių didinti kraujavimo pavojų:</w:t>
      </w:r>
    </w:p>
    <w:p w14:paraId="3A9D868E" w14:textId="628B9672" w:rsidR="00F151B8" w:rsidRPr="00DF20DE" w:rsidRDefault="00F151B8" w:rsidP="00B61CB8">
      <w:pPr>
        <w:widowControl w:val="0"/>
        <w:numPr>
          <w:ilvl w:val="1"/>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per burną vartojamų antikoaguliantų, dažnai vadinamų kraują skystinančiais vaistais (varfarino);</w:t>
      </w:r>
    </w:p>
    <w:p w14:paraId="483FC589" w14:textId="77777777" w:rsidR="00F151B8" w:rsidRPr="00DF20DE" w:rsidRDefault="00F151B8" w:rsidP="00B61CB8">
      <w:pPr>
        <w:widowControl w:val="0"/>
        <w:numPr>
          <w:ilvl w:val="1"/>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nesteroidinių vaistų nuo uždegimo (santrumpa – NVNU), dažnai vartojamų skausmui malšinti (pvz., ibuprofeno ar naprokseno);</w:t>
      </w:r>
    </w:p>
    <w:p w14:paraId="5189EB57" w14:textId="77777777" w:rsidR="00F151B8" w:rsidRPr="00DF20DE" w:rsidRDefault="00F151B8" w:rsidP="00B61CB8">
      <w:pPr>
        <w:widowControl w:val="0"/>
        <w:numPr>
          <w:ilvl w:val="1"/>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selektyvių serotonino reabsorbcijos inhibitorių (santrumpa – SSRI), pvz., paroksetino, sertralino arba citalopramo (jų skiriama nuo depresijos);</w:t>
      </w:r>
    </w:p>
    <w:p w14:paraId="331648E4" w14:textId="77777777" w:rsidR="00F151B8" w:rsidRPr="00DF20DE" w:rsidRDefault="00F151B8" w:rsidP="00B61CB8">
      <w:pPr>
        <w:widowControl w:val="0"/>
        <w:numPr>
          <w:ilvl w:val="1"/>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kitų vaistų, ypač ketokonazolo (nuo grybelių infekcijos), klaritromicino (nuo bakterijų infekcijos), nefazodono (nuo depresijos), ritonaviro arba atazanaviro (nuo ŽIV infekcijos ir AIDS), cizaprido (nuo rėmens), skalsių alkaloidų (nuo migrenos ir galvos skausmo).</w:t>
      </w:r>
    </w:p>
    <w:p w14:paraId="78F715F6" w14:textId="77777777" w:rsidR="00F151B8" w:rsidRPr="00DF20DE" w:rsidRDefault="00F151B8" w:rsidP="00F151B8">
      <w:pPr>
        <w:widowControl w:val="0"/>
        <w:autoSpaceDE w:val="0"/>
        <w:autoSpaceDN w:val="0"/>
        <w:spacing w:after="0" w:line="240" w:lineRule="auto"/>
        <w:ind w:left="540" w:hanging="540"/>
        <w:rPr>
          <w:rFonts w:ascii="Times New Roman" w:eastAsia="Times New Roman" w:hAnsi="Times New Roman" w:cs="Times New Roman"/>
        </w:rPr>
      </w:pPr>
    </w:p>
    <w:p w14:paraId="3A1274FB" w14:textId="3E232426"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Priminkite gydytojui, kad vartojate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jeigu jis Jums skiria fibrinolizę skatinančių vaistų, dažnai vadinamų tirpdančiais krešulius (pvz., streptokinazės ar alteplazės), kadangi gali padidėti kraujavimo pavojus.</w:t>
      </w:r>
    </w:p>
    <w:p w14:paraId="711E895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B87A55F"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Nėštumas ir žindymo laikotarpis</w:t>
      </w:r>
    </w:p>
    <w:p w14:paraId="3BB0CCC2" w14:textId="461A2C5C" w:rsidR="00700FB5" w:rsidRPr="00DF20DE" w:rsidRDefault="00700FB5"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hAnsi="Times New Roman" w:cs="Times New Roman"/>
          <w:noProof/>
          <w:snapToGrid w:val="0"/>
          <w:szCs w:val="24"/>
        </w:rPr>
        <w:t>Jeigu esate nėščia, žindote kūdikį, manote, kad galbūt esate nėščia, arba planuojate pastoti, tai prieš vartodama š</w:t>
      </w:r>
      <w:r w:rsidR="003C20D9" w:rsidRPr="00DF20DE">
        <w:rPr>
          <w:rFonts w:ascii="Times New Roman" w:hAnsi="Times New Roman" w:cs="Times New Roman"/>
          <w:noProof/>
          <w:snapToGrid w:val="0"/>
          <w:szCs w:val="24"/>
        </w:rPr>
        <w:t>io</w:t>
      </w:r>
      <w:r w:rsidRPr="00DF20DE">
        <w:rPr>
          <w:rFonts w:ascii="Times New Roman" w:hAnsi="Times New Roman" w:cs="Times New Roman"/>
          <w:noProof/>
          <w:snapToGrid w:val="0"/>
          <w:szCs w:val="24"/>
        </w:rPr>
        <w:t xml:space="preserve"> vaist</w:t>
      </w:r>
      <w:r w:rsidR="003C20D9" w:rsidRPr="00DF20DE">
        <w:rPr>
          <w:rFonts w:ascii="Times New Roman" w:hAnsi="Times New Roman" w:cs="Times New Roman"/>
          <w:noProof/>
          <w:snapToGrid w:val="0"/>
          <w:szCs w:val="24"/>
        </w:rPr>
        <w:t>o</w:t>
      </w:r>
      <w:r w:rsidRPr="00DF20DE">
        <w:rPr>
          <w:rFonts w:ascii="Times New Roman" w:hAnsi="Times New Roman" w:cs="Times New Roman"/>
          <w:noProof/>
          <w:snapToGrid w:val="0"/>
          <w:szCs w:val="24"/>
        </w:rPr>
        <w:t xml:space="preserve"> pasitarkite su gydytoju arba vaistininku</w:t>
      </w:r>
      <w:r w:rsidRPr="00DF20DE">
        <w:rPr>
          <w:rFonts w:ascii="Times New Roman" w:eastAsia="Times New Roman" w:hAnsi="Times New Roman" w:cs="Times New Roman"/>
        </w:rPr>
        <w:t>.</w:t>
      </w:r>
    </w:p>
    <w:p w14:paraId="73B8995C" w14:textId="77777777" w:rsidR="00700FB5" w:rsidRPr="00DF20DE" w:rsidRDefault="00700FB5" w:rsidP="00F151B8">
      <w:pPr>
        <w:widowControl w:val="0"/>
        <w:autoSpaceDE w:val="0"/>
        <w:autoSpaceDN w:val="0"/>
        <w:spacing w:after="0" w:line="240" w:lineRule="auto"/>
        <w:rPr>
          <w:rFonts w:ascii="Times New Roman" w:eastAsia="Times New Roman" w:hAnsi="Times New Roman" w:cs="Times New Roman"/>
        </w:rPr>
      </w:pPr>
    </w:p>
    <w:p w14:paraId="5DE01489" w14:textId="614AB6D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Jeigu esate nėščia arba galite pastoti,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vartoti ne</w:t>
      </w:r>
      <w:r w:rsidR="003404AF" w:rsidRPr="00DF20DE">
        <w:rPr>
          <w:rFonts w:ascii="Times New Roman" w:eastAsia="Times New Roman" w:hAnsi="Times New Roman" w:cs="Times New Roman"/>
        </w:rPr>
        <w:t>galima</w:t>
      </w:r>
      <w:r w:rsidRPr="00DF20DE">
        <w:rPr>
          <w:rFonts w:ascii="Times New Roman" w:eastAsia="Times New Roman" w:hAnsi="Times New Roman" w:cs="Times New Roman"/>
        </w:rPr>
        <w:t>. Kol vartoja šio vaisto, moterys turi taikyti atitinkamą kontracepciją, kad nepastotų.</w:t>
      </w:r>
    </w:p>
    <w:p w14:paraId="7880C29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7EB6914B" w14:textId="01BE2159"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Jeigu žindote kūdikį, prieš pradėdama vartoti šį vaistą apie tai pasakykite gydytojui, kuris papasakos apie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vartojimo žindymo laikotarpiu naudą ir riziką.</w:t>
      </w:r>
    </w:p>
    <w:p w14:paraId="3CF0D41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7645B54F"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Vairavimas ir mechanizmų valdymas</w:t>
      </w:r>
    </w:p>
    <w:p w14:paraId="6B4997D3" w14:textId="3CD4D05D" w:rsidR="00F151B8" w:rsidRPr="00DF20DE" w:rsidRDefault="00DF4267"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Šis vaistas neturėtų įtakoti</w:t>
      </w:r>
      <w:r w:rsidR="00F151B8" w:rsidRPr="00DF20DE">
        <w:rPr>
          <w:rFonts w:ascii="Times New Roman" w:eastAsia="Times New Roman" w:hAnsi="Times New Roman" w:cs="Times New Roman"/>
        </w:rPr>
        <w:t xml:space="preserve"> gebėjim</w:t>
      </w:r>
      <w:r w:rsidRPr="00DF20DE">
        <w:rPr>
          <w:rFonts w:ascii="Times New Roman" w:eastAsia="Times New Roman" w:hAnsi="Times New Roman" w:cs="Times New Roman"/>
        </w:rPr>
        <w:t>o</w:t>
      </w:r>
      <w:r w:rsidR="00F151B8" w:rsidRPr="00DF20DE">
        <w:rPr>
          <w:rFonts w:ascii="Times New Roman" w:eastAsia="Times New Roman" w:hAnsi="Times New Roman" w:cs="Times New Roman"/>
        </w:rPr>
        <w:t xml:space="preserve"> vairuoti ir valdyti mechanizmus. Vis dėlto, jeigu vartojant šį vaistą jaučiate svaigulį ar sumišimą, vairuokite ir valdykite mechanizmus atsargiai.</w:t>
      </w:r>
    </w:p>
    <w:p w14:paraId="01526AE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1DAB22B" w14:textId="2C73C6AF" w:rsidR="00F151B8" w:rsidRPr="00DF20DE" w:rsidRDefault="008B0463"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Plategra</w:t>
      </w:r>
      <w:r w:rsidR="00DF4267" w:rsidRPr="00DF20DE">
        <w:rPr>
          <w:rFonts w:ascii="Times New Roman" w:eastAsia="Times New Roman" w:hAnsi="Times New Roman" w:cs="Times New Roman"/>
          <w:b/>
          <w:bCs/>
        </w:rPr>
        <w:t xml:space="preserve"> </w:t>
      </w:r>
      <w:r w:rsidR="00F151B8" w:rsidRPr="00DF20DE">
        <w:rPr>
          <w:rFonts w:ascii="Times New Roman" w:eastAsia="Times New Roman" w:hAnsi="Times New Roman" w:cs="Times New Roman"/>
          <w:b/>
          <w:bCs/>
        </w:rPr>
        <w:t>sudėtyje yra natrio</w:t>
      </w:r>
    </w:p>
    <w:p w14:paraId="4DF20E90" w14:textId="0C626D2B"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Šio vaisto </w:t>
      </w:r>
      <w:r w:rsidR="000B7B5A" w:rsidRPr="00DF20DE">
        <w:rPr>
          <w:rFonts w:ascii="Times New Roman" w:eastAsia="Times New Roman" w:hAnsi="Times New Roman" w:cs="Times New Roman"/>
        </w:rPr>
        <w:t xml:space="preserve">tabletėje </w:t>
      </w:r>
      <w:r w:rsidRPr="00DF20DE">
        <w:rPr>
          <w:rFonts w:ascii="Times New Roman" w:eastAsia="Times New Roman" w:hAnsi="Times New Roman" w:cs="Times New Roman"/>
        </w:rPr>
        <w:t xml:space="preserve">yra mažiau kaip </w:t>
      </w:r>
      <w:r w:rsidR="00A24658" w:rsidRPr="00DF20DE">
        <w:rPr>
          <w:rFonts w:ascii="Times New Roman" w:eastAsia="Times New Roman" w:hAnsi="Times New Roman" w:cs="Times New Roman"/>
        </w:rPr>
        <w:t>1</w:t>
      </w:r>
      <w:r w:rsidR="00A24658">
        <w:rPr>
          <w:rFonts w:ascii="Times New Roman" w:eastAsia="Times New Roman" w:hAnsi="Times New Roman" w:cs="Times New Roman"/>
        </w:rPr>
        <w:t> </w:t>
      </w:r>
      <w:r w:rsidRPr="00DF20DE">
        <w:rPr>
          <w:rFonts w:ascii="Times New Roman" w:eastAsia="Times New Roman" w:hAnsi="Times New Roman" w:cs="Times New Roman"/>
        </w:rPr>
        <w:t>mmol (23 mg) natrio, t. y. jis beveik neturi reikšmės.</w:t>
      </w:r>
    </w:p>
    <w:p w14:paraId="5A2581A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4"/>
        </w:rPr>
      </w:pPr>
    </w:p>
    <w:p w14:paraId="6BECC21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74DF741A" w14:textId="5FBF0AF8" w:rsidR="00F151B8" w:rsidRPr="00DF20DE" w:rsidRDefault="00F151B8" w:rsidP="00B61CB8">
      <w:pPr>
        <w:widowControl w:val="0"/>
        <w:numPr>
          <w:ilvl w:val="0"/>
          <w:numId w:val="5"/>
        </w:numPr>
        <w:tabs>
          <w:tab w:val="left" w:pos="782"/>
          <w:tab w:val="left" w:pos="783"/>
        </w:tabs>
        <w:autoSpaceDE w:val="0"/>
        <w:autoSpaceDN w:val="0"/>
        <w:spacing w:after="0" w:line="240" w:lineRule="auto"/>
        <w:ind w:left="567"/>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Kaip vartoti </w:t>
      </w:r>
      <w:r w:rsidR="008B0463" w:rsidRPr="00DF20DE">
        <w:rPr>
          <w:rFonts w:ascii="Times New Roman" w:eastAsia="Times New Roman" w:hAnsi="Times New Roman" w:cs="Times New Roman"/>
          <w:b/>
          <w:bCs/>
        </w:rPr>
        <w:t>Plategra</w:t>
      </w:r>
    </w:p>
    <w:p w14:paraId="3B75F1AC"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36C5207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Visada vartokite šį vaistą tiksliai kaip nurodė gydytojas ar vaistininkas. Jeigu abejojate, kreipkitės į gydytoją arba vaistininką.</w:t>
      </w:r>
    </w:p>
    <w:p w14:paraId="437A311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1B944D9"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Kokią dozę vartoti</w:t>
      </w:r>
    </w:p>
    <w:p w14:paraId="3818AAA8" w14:textId="3702B0E9" w:rsidR="00F151B8" w:rsidRPr="00DF20DE" w:rsidRDefault="00E710D1"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 xml:space="preserve">Įprastinė dozė yra po vieną </w:t>
      </w:r>
      <w:r w:rsidR="00A24658" w:rsidRPr="00DF20DE">
        <w:rPr>
          <w:rFonts w:ascii="Times New Roman" w:eastAsia="Times New Roman" w:hAnsi="Times New Roman" w:cs="Times New Roman"/>
        </w:rPr>
        <w:t>60</w:t>
      </w:r>
      <w:r w:rsidR="00A24658">
        <w:rPr>
          <w:rFonts w:ascii="Times New Roman" w:eastAsia="Times New Roman" w:hAnsi="Times New Roman" w:cs="Times New Roman"/>
        </w:rPr>
        <w:t> </w:t>
      </w:r>
      <w:r w:rsidRPr="00DF20DE">
        <w:rPr>
          <w:rFonts w:ascii="Times New Roman" w:eastAsia="Times New Roman" w:hAnsi="Times New Roman" w:cs="Times New Roman"/>
        </w:rPr>
        <w:t xml:space="preserve">mg tabletę 2 kartus per parą. Vartokite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tiek laiko, kiek nurodė gydytojas</w:t>
      </w:r>
      <w:r w:rsidR="00F151B8" w:rsidRPr="00DF20DE">
        <w:rPr>
          <w:rFonts w:ascii="Times New Roman" w:eastAsia="Times New Roman" w:hAnsi="Times New Roman" w:cs="Times New Roman"/>
        </w:rPr>
        <w:t>.</w:t>
      </w:r>
    </w:p>
    <w:p w14:paraId="2557BD55" w14:textId="77777777" w:rsidR="00F151B8" w:rsidRPr="00DF20DE" w:rsidRDefault="00F151B8"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Gerkite šį vaistą kasdien maždaug tuo pačiu laiku (pvz., po vieną tabletę ryte ir vakare).</w:t>
      </w:r>
    </w:p>
    <w:p w14:paraId="3207389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5A1333CD" w14:textId="2ECA480E" w:rsidR="00F151B8" w:rsidRPr="00DF20DE" w:rsidRDefault="008B0463"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Plategra</w:t>
      </w:r>
      <w:r w:rsidR="00F151B8" w:rsidRPr="00DF20DE">
        <w:rPr>
          <w:rFonts w:ascii="Times New Roman" w:eastAsia="Times New Roman" w:hAnsi="Times New Roman" w:cs="Times New Roman"/>
          <w:b/>
          <w:bCs/>
        </w:rPr>
        <w:t xml:space="preserve"> vartojimas kartu su kitais vaistais, skirtais apsaugoti nuo kraujo krešulių</w:t>
      </w:r>
    </w:p>
    <w:p w14:paraId="2DB720BB" w14:textId="4C938762"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Gydytojas paprastai nurodo kartu vartoti acetilsalicilo rūgšties, kurios yra daugelio vaistų, vartojamų norint išvengti kraujo krešulių susidarymo, sudėtyje. Taip pat gydytojas nurodys reikalingą acetilsalicilo rūgšties dozę (paprastai ji būna 75</w:t>
      </w:r>
      <w:r w:rsidR="0065467C" w:rsidRPr="00DF20DE">
        <w:rPr>
          <w:rFonts w:ascii="Times New Roman" w:eastAsia="Times New Roman" w:hAnsi="Times New Roman" w:cs="Times New Roman"/>
        </w:rPr>
        <w:t>–</w:t>
      </w:r>
      <w:r w:rsidRPr="00DF20DE">
        <w:rPr>
          <w:rFonts w:ascii="Times New Roman" w:eastAsia="Times New Roman" w:hAnsi="Times New Roman" w:cs="Times New Roman"/>
        </w:rPr>
        <w:t>150 mg per parą).</w:t>
      </w:r>
    </w:p>
    <w:p w14:paraId="656F76E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00326FDE" w14:textId="6FBEF338"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Kaip vartoti </w:t>
      </w:r>
      <w:r w:rsidR="008B0463" w:rsidRPr="00DF20DE">
        <w:rPr>
          <w:rFonts w:ascii="Times New Roman" w:eastAsia="Times New Roman" w:hAnsi="Times New Roman" w:cs="Times New Roman"/>
          <w:b/>
          <w:bCs/>
        </w:rPr>
        <w:t>Plategra</w:t>
      </w:r>
    </w:p>
    <w:p w14:paraId="29FA3E3D" w14:textId="77777777" w:rsidR="00F151B8" w:rsidRPr="00DF20DE" w:rsidRDefault="00F151B8" w:rsidP="005D637C">
      <w:pPr>
        <w:widowControl w:val="0"/>
        <w:tabs>
          <w:tab w:val="left" w:pos="782"/>
          <w:tab w:val="left" w:pos="783"/>
        </w:tabs>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Šį vaistą galima gerti valgio metu arba nevalgius.</w:t>
      </w:r>
    </w:p>
    <w:p w14:paraId="2A61123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903B785"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Jeigu sunku nuryti tabletę</w:t>
      </w:r>
    </w:p>
    <w:p w14:paraId="4EA449C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Jeigu tabletę Jums nuryti sunku, tai ją galite susmulkinti ir sumaišyti su vandeniu kaip aprašyta žemiau:</w:t>
      </w:r>
    </w:p>
    <w:p w14:paraId="0FAE1BD3" w14:textId="77777777" w:rsidR="00F151B8" w:rsidRPr="00DF20DE" w:rsidRDefault="00F151B8"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susmulkinkite tabletę į smulkius miltelius;</w:t>
      </w:r>
    </w:p>
    <w:p w14:paraId="256E35A9" w14:textId="77777777" w:rsidR="00F151B8" w:rsidRPr="00DF20DE" w:rsidRDefault="00F151B8"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supilkite miltelius į pusę stiklinės vandens;</w:t>
      </w:r>
    </w:p>
    <w:p w14:paraId="100D5D3A" w14:textId="77777777" w:rsidR="00F151B8" w:rsidRPr="00DF20DE" w:rsidRDefault="00F151B8"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išmaišykite ir nedelsdami išgerkite;</w:t>
      </w:r>
    </w:p>
    <w:p w14:paraId="6BBE42D3" w14:textId="77777777" w:rsidR="00F151B8" w:rsidRPr="00DF20DE" w:rsidRDefault="00F151B8"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lastRenderedPageBreak/>
        <w:t>kad tuščioje stiklinėje neliktų vaisto, praskalaukite ją dar puse stiklinės vandens ir išgerkite.</w:t>
      </w:r>
    </w:p>
    <w:p w14:paraId="7D1680C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Jei esate ligoninėje, tai šią tabletę Jums gali paduoti sumaišytą su vandeniu per pro nosį į skrandį įkištą (nazogastrinį) vamzdelį.</w:t>
      </w:r>
    </w:p>
    <w:p w14:paraId="635824E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478C38BC" w14:textId="228BA62D"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Pavartojus per didelę </w:t>
      </w:r>
      <w:r w:rsidR="008B0463" w:rsidRPr="00DF20DE">
        <w:rPr>
          <w:rFonts w:ascii="Times New Roman" w:eastAsia="Times New Roman" w:hAnsi="Times New Roman" w:cs="Times New Roman"/>
          <w:b/>
          <w:bCs/>
        </w:rPr>
        <w:t>Plategra</w:t>
      </w:r>
      <w:r w:rsidRPr="00DF20DE">
        <w:rPr>
          <w:rFonts w:ascii="Times New Roman" w:eastAsia="Times New Roman" w:hAnsi="Times New Roman" w:cs="Times New Roman"/>
          <w:b/>
          <w:bCs/>
        </w:rPr>
        <w:t xml:space="preserve"> dozę</w:t>
      </w:r>
    </w:p>
    <w:p w14:paraId="69697270" w14:textId="6AFE87BD"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Išgėrę daugiau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negu reikia, nedelsdami kreipkitės į savo gydytoją arba vykite į ligoninę, pasiėmę vaisto pakuotę. Pavartojus per didelę šio vaisto dozę, gali padidėti kraujavimo pavojus.</w:t>
      </w:r>
    </w:p>
    <w:p w14:paraId="0D58335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BB665BA" w14:textId="3EA66734"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Pamiršus pavartoti </w:t>
      </w:r>
      <w:r w:rsidR="008B0463" w:rsidRPr="00DF20DE">
        <w:rPr>
          <w:rFonts w:ascii="Times New Roman" w:eastAsia="Times New Roman" w:hAnsi="Times New Roman" w:cs="Times New Roman"/>
          <w:b/>
          <w:bCs/>
        </w:rPr>
        <w:t>Plategra</w:t>
      </w:r>
    </w:p>
    <w:p w14:paraId="6F69513B" w14:textId="42EB13C7" w:rsidR="00F151B8" w:rsidRPr="00DF20DE" w:rsidRDefault="00F151B8"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Užmiršę išgerti vieną dozę, kitą gerkite įprastu laiku įprasto dydžio.</w:t>
      </w:r>
    </w:p>
    <w:p w14:paraId="365E3B45" w14:textId="77777777" w:rsidR="00F151B8" w:rsidRPr="00DF20DE" w:rsidRDefault="00F151B8"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Negalima vartoti dvigubos dozės (dviejų dozių iš karto) norint kompensuoti praleistą dozę.</w:t>
      </w:r>
    </w:p>
    <w:p w14:paraId="5814A33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AC5D344" w14:textId="660B6698"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Nustojus vartoti </w:t>
      </w:r>
      <w:r w:rsidR="008B0463" w:rsidRPr="00DF20DE">
        <w:rPr>
          <w:rFonts w:ascii="Times New Roman" w:eastAsia="Times New Roman" w:hAnsi="Times New Roman" w:cs="Times New Roman"/>
          <w:b/>
          <w:bCs/>
        </w:rPr>
        <w:t>Plategra</w:t>
      </w:r>
    </w:p>
    <w:p w14:paraId="02469539" w14:textId="67F05889"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Nenutraukite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vartojimo nepasitarę su gydytoju. Vartokite šį vaistą reguliariai, kol gydytojas jo skiria. Nutraukus </w:t>
      </w:r>
      <w:r w:rsidR="00620499" w:rsidRPr="00DF20DE">
        <w:rPr>
          <w:rFonts w:ascii="Times New Roman" w:eastAsia="Times New Roman" w:hAnsi="Times New Roman" w:cs="Times New Roman"/>
        </w:rPr>
        <w:t>šio vaisto</w:t>
      </w:r>
      <w:r w:rsidRPr="00DF20DE">
        <w:rPr>
          <w:rFonts w:ascii="Times New Roman" w:eastAsia="Times New Roman" w:hAnsi="Times New Roman" w:cs="Times New Roman"/>
        </w:rPr>
        <w:t xml:space="preserve"> vartojimą gali padidėti rizika patirti naują širdies priepuolį ar insultą, taip pat numirti nuo ligos, susijusios su Jūsų širdimi ar kraujagyslėmis.</w:t>
      </w:r>
    </w:p>
    <w:p w14:paraId="68D7640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2A26375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Jeigu kiltų daugiau klausimų dėl šio vaisto vartojimo, kreipkitės į gydytoją arba vaistininką.</w:t>
      </w:r>
    </w:p>
    <w:p w14:paraId="1725F5AD"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4"/>
        </w:rPr>
      </w:pPr>
    </w:p>
    <w:p w14:paraId="264EA4F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321C987D" w14:textId="77777777" w:rsidR="00F151B8" w:rsidRPr="00DF20DE" w:rsidRDefault="00F151B8" w:rsidP="00B61CB8">
      <w:pPr>
        <w:widowControl w:val="0"/>
        <w:numPr>
          <w:ilvl w:val="0"/>
          <w:numId w:val="5"/>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Galimas šalutinis poveikis</w:t>
      </w:r>
    </w:p>
    <w:p w14:paraId="0E12C2B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00C39429" w14:textId="23B7DF9E"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Šis vaistas, kaip ir kiti, gali sukelti šalutinį poveikį, nors jis pasireiškia ne visiems žmonėms. Vartojant š</w:t>
      </w:r>
      <w:r w:rsidR="003C20D9"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vaist</w:t>
      </w:r>
      <w:r w:rsidR="003C20D9" w:rsidRPr="00DF20DE">
        <w:rPr>
          <w:rFonts w:ascii="Times New Roman" w:eastAsia="Times New Roman" w:hAnsi="Times New Roman" w:cs="Times New Roman"/>
        </w:rPr>
        <w:t>o</w:t>
      </w:r>
      <w:r w:rsidRPr="00DF20DE">
        <w:rPr>
          <w:rFonts w:ascii="Times New Roman" w:eastAsia="Times New Roman" w:hAnsi="Times New Roman" w:cs="Times New Roman"/>
        </w:rPr>
        <w:t xml:space="preserve">, gali pasireikšti </w:t>
      </w:r>
      <w:r w:rsidR="003C20D9" w:rsidRPr="00DF20DE">
        <w:rPr>
          <w:rFonts w:ascii="Times New Roman" w:eastAsia="Times New Roman" w:hAnsi="Times New Roman" w:cs="Times New Roman"/>
        </w:rPr>
        <w:t xml:space="preserve">toliau </w:t>
      </w:r>
      <w:r w:rsidRPr="00DF20DE">
        <w:rPr>
          <w:rFonts w:ascii="Times New Roman" w:eastAsia="Times New Roman" w:hAnsi="Times New Roman" w:cs="Times New Roman"/>
        </w:rPr>
        <w:t>išvardytas šalutinis poveikis.</w:t>
      </w:r>
    </w:p>
    <w:p w14:paraId="6A17A18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279D1143" w14:textId="23DDF33A" w:rsidR="00F151B8" w:rsidRPr="00DF20DE" w:rsidRDefault="008B0463"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620499" w:rsidRPr="00DF20DE">
        <w:rPr>
          <w:rFonts w:ascii="Times New Roman" w:eastAsia="Times New Roman" w:hAnsi="Times New Roman" w:cs="Times New Roman"/>
        </w:rPr>
        <w:t xml:space="preserve"> </w:t>
      </w:r>
      <w:r w:rsidR="00F151B8" w:rsidRPr="00DF20DE">
        <w:rPr>
          <w:rFonts w:ascii="Times New Roman" w:eastAsia="Times New Roman" w:hAnsi="Times New Roman" w:cs="Times New Roman"/>
        </w:rPr>
        <w:t xml:space="preserve">veikia kraujo krešėjimą, todėl dauguma šalutinių poveikių yra susiję su kraujavimu. Kraujavimas galimas bet kurioje kūno vietoje. </w:t>
      </w:r>
      <w:r w:rsidR="00620499" w:rsidRPr="00DF20DE">
        <w:rPr>
          <w:rFonts w:ascii="Times New Roman" w:eastAsia="Times New Roman" w:hAnsi="Times New Roman" w:cs="Times New Roman"/>
        </w:rPr>
        <w:t>Kai kurie</w:t>
      </w:r>
      <w:r w:rsidR="00F151B8" w:rsidRPr="00DF20DE">
        <w:rPr>
          <w:rFonts w:ascii="Times New Roman" w:eastAsia="Times New Roman" w:hAnsi="Times New Roman" w:cs="Times New Roman"/>
        </w:rPr>
        <w:t xml:space="preserve"> kraujavima</w:t>
      </w:r>
      <w:r w:rsidR="00620499" w:rsidRPr="00DF20DE">
        <w:rPr>
          <w:rFonts w:ascii="Times New Roman" w:eastAsia="Times New Roman" w:hAnsi="Times New Roman" w:cs="Times New Roman"/>
        </w:rPr>
        <w:t>i</w:t>
      </w:r>
      <w:r w:rsidR="00F151B8" w:rsidRPr="00DF20DE">
        <w:rPr>
          <w:rFonts w:ascii="Times New Roman" w:eastAsia="Times New Roman" w:hAnsi="Times New Roman" w:cs="Times New Roman"/>
        </w:rPr>
        <w:t xml:space="preserve"> (pvz., kraujosruvos, kraujavimas iš nosies) pasitaiko dažnai. Stiprus kraujavimas pasitaiko nedažnai, bet gali kelti pavojų gyvybei.</w:t>
      </w:r>
    </w:p>
    <w:p w14:paraId="4FAC0C6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1663EBAA"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Nedelsdami kreipkitės į gydytoją pastebėję bent vieną iš žemiau išvardytų sutrikimų, kadangi Jums gali reikėti skubios gydytojo pagalbos.</w:t>
      </w:r>
    </w:p>
    <w:p w14:paraId="125486FE"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p>
    <w:p w14:paraId="4FCB7485"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b/>
        </w:rPr>
      </w:pPr>
      <w:r w:rsidRPr="00DF20DE">
        <w:rPr>
          <w:rFonts w:ascii="Times New Roman" w:eastAsia="Times New Roman" w:hAnsi="Times New Roman" w:cs="Times New Roman"/>
          <w:b/>
        </w:rPr>
        <w:t>Kraujavimas į smegenis arba kaukolės viduje yra nedažnas šalutinis poveikis, dėl kurio gali pasireikšti insulto požymių, pvz.:</w:t>
      </w:r>
    </w:p>
    <w:p w14:paraId="4B41FFA3" w14:textId="77777777" w:rsidR="00F151B8" w:rsidRPr="00DF20DE" w:rsidRDefault="00F151B8" w:rsidP="00B61CB8">
      <w:pPr>
        <w:widowControl w:val="0"/>
        <w:numPr>
          <w:ilvl w:val="0"/>
          <w:numId w:val="2"/>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staiga pasireiškę rankos, kojos arba veido nejautra ar silpnumas, ypač jei šie sutrikimai yra tik vienoje kūno pusėje;</w:t>
      </w:r>
    </w:p>
    <w:p w14:paraId="3DF8EA94" w14:textId="77777777" w:rsidR="00F151B8" w:rsidRPr="00DF20DE" w:rsidRDefault="00F151B8" w:rsidP="00B61CB8">
      <w:pPr>
        <w:widowControl w:val="0"/>
        <w:numPr>
          <w:ilvl w:val="0"/>
          <w:numId w:val="2"/>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staiga atsiradęs sumišimas, pasunkėjusi kalba ar pablogėjęs gebėjimas suprasti kitus žmones;</w:t>
      </w:r>
    </w:p>
    <w:p w14:paraId="114C0BDB" w14:textId="77777777" w:rsidR="00F151B8" w:rsidRPr="00DF20DE" w:rsidRDefault="00F151B8" w:rsidP="00B61CB8">
      <w:pPr>
        <w:widowControl w:val="0"/>
        <w:numPr>
          <w:ilvl w:val="0"/>
          <w:numId w:val="2"/>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staiga pasunkėjęs ėjimas arba sutrikusi pusiausvyra ar koordinacija;</w:t>
      </w:r>
    </w:p>
    <w:p w14:paraId="2D6F8D1A" w14:textId="77777777" w:rsidR="00F151B8" w:rsidRPr="00DF20DE" w:rsidRDefault="00F151B8" w:rsidP="00B61CB8">
      <w:pPr>
        <w:widowControl w:val="0"/>
        <w:numPr>
          <w:ilvl w:val="0"/>
          <w:numId w:val="2"/>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staiga be aiškios priežasties prasidėjęs galvos svaigimas arba stiprus galvos skausmas.</w:t>
      </w:r>
    </w:p>
    <w:p w14:paraId="2B84EF4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1"/>
        </w:rPr>
      </w:pPr>
    </w:p>
    <w:p w14:paraId="25DCE9B6"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Cs/>
        </w:rPr>
      </w:pPr>
      <w:r w:rsidRPr="00DF20DE">
        <w:rPr>
          <w:rFonts w:ascii="Times New Roman" w:eastAsia="Times New Roman" w:hAnsi="Times New Roman" w:cs="Times New Roman"/>
          <w:b/>
          <w:bCs/>
        </w:rPr>
        <w:t>Kraujavimo požymiai, pvz.:</w:t>
      </w:r>
    </w:p>
    <w:p w14:paraId="26FEC050" w14:textId="77777777" w:rsidR="00F151B8" w:rsidRPr="00DF20DE" w:rsidRDefault="00F151B8" w:rsidP="00B61CB8">
      <w:pPr>
        <w:widowControl w:val="0"/>
        <w:numPr>
          <w:ilvl w:val="0"/>
          <w:numId w:val="1"/>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stiprus ar nekontroliuojamas kraujavimas;</w:t>
      </w:r>
    </w:p>
    <w:p w14:paraId="162484B2" w14:textId="77777777" w:rsidR="00F151B8" w:rsidRPr="00DF20DE" w:rsidRDefault="00F151B8" w:rsidP="00B61CB8">
      <w:pPr>
        <w:widowControl w:val="0"/>
        <w:numPr>
          <w:ilvl w:val="0"/>
          <w:numId w:val="1"/>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netikėtas ar ilgalaikis kraujavimas;</w:t>
      </w:r>
    </w:p>
    <w:p w14:paraId="12036D05" w14:textId="77777777" w:rsidR="00F151B8" w:rsidRPr="00DF20DE" w:rsidRDefault="00F151B8" w:rsidP="00B61CB8">
      <w:pPr>
        <w:widowControl w:val="0"/>
        <w:numPr>
          <w:ilvl w:val="0"/>
          <w:numId w:val="1"/>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rožinis, raudonas arba rudas šlapimas;</w:t>
      </w:r>
    </w:p>
    <w:p w14:paraId="287A0FD1" w14:textId="77777777" w:rsidR="00F151B8" w:rsidRPr="00DF20DE" w:rsidRDefault="00F151B8" w:rsidP="00B61CB8">
      <w:pPr>
        <w:widowControl w:val="0"/>
        <w:numPr>
          <w:ilvl w:val="0"/>
          <w:numId w:val="1"/>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vėmimas raudonu krauju arba panašiu į kavos tirščius turiniu;</w:t>
      </w:r>
    </w:p>
    <w:p w14:paraId="6DBD84D6" w14:textId="77777777" w:rsidR="00F151B8" w:rsidRPr="00DF20DE" w:rsidRDefault="00F151B8" w:rsidP="00B61CB8">
      <w:pPr>
        <w:widowControl w:val="0"/>
        <w:numPr>
          <w:ilvl w:val="0"/>
          <w:numId w:val="1"/>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raudonos ar juodos kaip degutas išmatos;</w:t>
      </w:r>
    </w:p>
    <w:p w14:paraId="1A9E03A0" w14:textId="77777777" w:rsidR="00F151B8" w:rsidRPr="00DF20DE" w:rsidRDefault="00F151B8" w:rsidP="00B61CB8">
      <w:pPr>
        <w:widowControl w:val="0"/>
        <w:numPr>
          <w:ilvl w:val="0"/>
          <w:numId w:val="1"/>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kraujo atkosėjimas ar vėmimas kraujo krešuliais.</w:t>
      </w:r>
    </w:p>
    <w:p w14:paraId="3AFDCA9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35520F46" w14:textId="77777777"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Cs/>
        </w:rPr>
      </w:pPr>
      <w:r w:rsidRPr="00DF20DE">
        <w:rPr>
          <w:rFonts w:ascii="Times New Roman" w:eastAsia="Times New Roman" w:hAnsi="Times New Roman" w:cs="Times New Roman"/>
          <w:b/>
          <w:bCs/>
        </w:rPr>
        <w:t>Apalpimas (sinkopė)</w:t>
      </w:r>
      <w:r w:rsidRPr="00DF20DE">
        <w:rPr>
          <w:rFonts w:ascii="Times New Roman" w:eastAsia="Times New Roman" w:hAnsi="Times New Roman" w:cs="Times New Roman"/>
          <w:bCs/>
        </w:rPr>
        <w:t>:</w:t>
      </w:r>
    </w:p>
    <w:p w14:paraId="2820B30B" w14:textId="77777777" w:rsidR="00F151B8" w:rsidRPr="00DF20DE" w:rsidRDefault="00F151B8" w:rsidP="00F151B8">
      <w:pPr>
        <w:widowControl w:val="0"/>
        <w:tabs>
          <w:tab w:val="left" w:pos="1348"/>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w:t>
      </w:r>
      <w:r w:rsidRPr="00DF20DE">
        <w:rPr>
          <w:rFonts w:ascii="Times New Roman" w:eastAsia="Times New Roman" w:hAnsi="Times New Roman" w:cs="Times New Roman"/>
        </w:rPr>
        <w:tab/>
        <w:t>laikinas sąmonės netekimas dėl staigaus smegenų kraujotakos sutrikimo (pasitaiko dažnai).</w:t>
      </w:r>
    </w:p>
    <w:p w14:paraId="098172D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3"/>
        </w:rPr>
      </w:pPr>
    </w:p>
    <w:p w14:paraId="461F13F2" w14:textId="09A6C2F6"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Krešėjimo sutrikimo, vadinamo trombine trombocitopenine purpura</w:t>
      </w:r>
      <w:r w:rsidR="00A551B4" w:rsidRPr="00DF20DE">
        <w:rPr>
          <w:rFonts w:ascii="Times New Roman" w:eastAsia="Times New Roman" w:hAnsi="Times New Roman" w:cs="Times New Roman"/>
          <w:b/>
          <w:bCs/>
        </w:rPr>
        <w:t xml:space="preserve"> (TTP)</w:t>
      </w:r>
      <w:r w:rsidRPr="00DF20DE">
        <w:rPr>
          <w:rFonts w:ascii="Times New Roman" w:eastAsia="Times New Roman" w:hAnsi="Times New Roman" w:cs="Times New Roman"/>
          <w:b/>
          <w:bCs/>
        </w:rPr>
        <w:t>, požymiai, pvz.:</w:t>
      </w:r>
    </w:p>
    <w:p w14:paraId="314CF817" w14:textId="77777777" w:rsidR="00F151B8" w:rsidRPr="00DF20DE" w:rsidRDefault="00F151B8" w:rsidP="00F151B8">
      <w:pPr>
        <w:widowControl w:val="0"/>
        <w:tabs>
          <w:tab w:val="left" w:pos="1348"/>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w:t>
      </w:r>
      <w:r w:rsidRPr="00DF20DE">
        <w:rPr>
          <w:rFonts w:ascii="Times New Roman" w:eastAsia="Times New Roman" w:hAnsi="Times New Roman" w:cs="Times New Roman"/>
        </w:rPr>
        <w:tab/>
        <w:t>karščiavimas ir purpurinės dėmės (vadinamos purpura) odoje ar burnos ertmėje, kartu gali pagelsti oda ir akys (gelta), be aiškios priežasties pasireikšti labai didelis nuovargis arba sutrikti orientacija.</w:t>
      </w:r>
    </w:p>
    <w:p w14:paraId="70D667A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C52DDE2" w14:textId="13411BFE"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Pas</w:t>
      </w:r>
      <w:r w:rsidR="00A551B4" w:rsidRPr="00DF20DE">
        <w:rPr>
          <w:rFonts w:ascii="Times New Roman" w:eastAsia="Times New Roman" w:hAnsi="Times New Roman" w:cs="Times New Roman"/>
          <w:b/>
          <w:bCs/>
        </w:rPr>
        <w:t>akykite</w:t>
      </w:r>
      <w:r w:rsidRPr="00DF20DE">
        <w:rPr>
          <w:rFonts w:ascii="Times New Roman" w:eastAsia="Times New Roman" w:hAnsi="Times New Roman" w:cs="Times New Roman"/>
          <w:b/>
          <w:bCs/>
        </w:rPr>
        <w:t xml:space="preserve"> gydytoju</w:t>
      </w:r>
      <w:r w:rsidR="00A551B4" w:rsidRPr="00DF20DE">
        <w:rPr>
          <w:rFonts w:ascii="Times New Roman" w:eastAsia="Times New Roman" w:hAnsi="Times New Roman" w:cs="Times New Roman"/>
          <w:b/>
          <w:bCs/>
        </w:rPr>
        <w:t>i</w:t>
      </w:r>
      <w:r w:rsidRPr="00DF20DE">
        <w:rPr>
          <w:rFonts w:ascii="Times New Roman" w:eastAsia="Times New Roman" w:hAnsi="Times New Roman" w:cs="Times New Roman"/>
          <w:b/>
          <w:bCs/>
        </w:rPr>
        <w:t xml:space="preserve"> pajutę šį sutrikimą:</w:t>
      </w:r>
    </w:p>
    <w:p w14:paraId="4217291A" w14:textId="756C1D5C" w:rsidR="00F151B8" w:rsidRPr="00DF20DE" w:rsidRDefault="00F151B8" w:rsidP="00B61CB8">
      <w:pPr>
        <w:widowControl w:val="0"/>
        <w:numPr>
          <w:ilvl w:val="0"/>
          <w:numId w:val="8"/>
        </w:numPr>
        <w:tabs>
          <w:tab w:val="left" w:pos="782"/>
          <w:tab w:val="left" w:pos="783"/>
        </w:tabs>
        <w:autoSpaceDE w:val="0"/>
        <w:autoSpaceDN w:val="0"/>
        <w:spacing w:after="0" w:line="240" w:lineRule="auto"/>
        <w:ind w:left="540" w:hanging="360"/>
        <w:rPr>
          <w:rFonts w:ascii="Times New Roman" w:eastAsia="Times New Roman" w:hAnsi="Times New Roman" w:cs="Times New Roman"/>
        </w:rPr>
      </w:pPr>
      <w:r w:rsidRPr="00DF20DE">
        <w:rPr>
          <w:rFonts w:ascii="Times New Roman" w:eastAsia="Times New Roman" w:hAnsi="Times New Roman" w:cs="Times New Roman"/>
          <w:b/>
        </w:rPr>
        <w:t xml:space="preserve">dusulys (oro trūkumas). Jis pasireiškia labai dažnai. </w:t>
      </w:r>
      <w:r w:rsidRPr="00DF20DE">
        <w:rPr>
          <w:rFonts w:ascii="Times New Roman" w:eastAsia="Times New Roman" w:hAnsi="Times New Roman" w:cs="Times New Roman"/>
        </w:rPr>
        <w:t xml:space="preserve">Dusulio priežastis gali būti širdies liga, </w:t>
      </w:r>
      <w:r w:rsidR="00A551B4" w:rsidRPr="00DF20DE">
        <w:rPr>
          <w:rFonts w:ascii="Times New Roman" w:eastAsia="Times New Roman" w:hAnsi="Times New Roman" w:cs="Times New Roman"/>
        </w:rPr>
        <w:t xml:space="preserve">šio vaisto </w:t>
      </w:r>
      <w:r w:rsidRPr="00DF20DE">
        <w:rPr>
          <w:rFonts w:ascii="Times New Roman" w:eastAsia="Times New Roman" w:hAnsi="Times New Roman" w:cs="Times New Roman"/>
        </w:rPr>
        <w:t xml:space="preserve">šalutinis poveikis ir kt. Su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susijęs dusulys paprastai būna lengvas, pasireiškia staigiu ir netikėtu oro trūkumu, dažniausiai atsirandančiu ramybėje. Jis gali prasidėti pirmą gydymo savaitę ir paskui išnykti. Jeigu dusulys sunkėja arba ilgai nepraeina, apie jį pasakykite gydytojui, kuris nuspręs, ar nereikia keisti gydymo arba atlikti papildomų tyrimų.</w:t>
      </w:r>
    </w:p>
    <w:p w14:paraId="0D90A9FB"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1D5CC5E"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Kitas galimas šalutinis poveikis</w:t>
      </w:r>
    </w:p>
    <w:p w14:paraId="020DDEE2"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p>
    <w:p w14:paraId="692C487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r w:rsidRPr="00DF20DE">
        <w:rPr>
          <w:rFonts w:ascii="Times New Roman" w:eastAsia="Times New Roman" w:hAnsi="Times New Roman" w:cs="Times New Roman"/>
          <w:b/>
        </w:rPr>
        <w:t>Labai dažni šalutinio poveikio reiškiniai (gali pasireikšti ne rečiau kaip 1 iš 10 asmenų):</w:t>
      </w:r>
    </w:p>
    <w:p w14:paraId="62E3D456"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padidėjusi šlapimo rūgšties koncentracija kraujyje (nustatoma tam tikru tyrimu);</w:t>
      </w:r>
    </w:p>
    <w:p w14:paraId="5955CFC4"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kraujavimas dėl kraujo sutrikimų.</w:t>
      </w:r>
    </w:p>
    <w:p w14:paraId="4C107AF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F49B9EF"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Dažni šalutinio poveikio reiškiniai (gali pasireikšti rečiau kaip 1 iš 10 asmenų):</w:t>
      </w:r>
    </w:p>
    <w:p w14:paraId="3A6ED0C1"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kraujosruvos;</w:t>
      </w:r>
    </w:p>
    <w:p w14:paraId="484B482A"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galvos skausmas;</w:t>
      </w:r>
    </w:p>
    <w:p w14:paraId="0B1C5B1D"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galvos svaigimas arba sukimasis (lyg suktųsi kambarys);</w:t>
      </w:r>
    </w:p>
    <w:p w14:paraId="59E01192"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viduriavimas ar nevirškinimas;</w:t>
      </w:r>
    </w:p>
    <w:p w14:paraId="040EE410"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pykinimas;</w:t>
      </w:r>
    </w:p>
    <w:p w14:paraId="4A4FDB01"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vidurių užkietėjimas;</w:t>
      </w:r>
    </w:p>
    <w:p w14:paraId="7491A11B"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išbėrimas;</w:t>
      </w:r>
    </w:p>
    <w:p w14:paraId="11DE90A8"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niežėjimas;</w:t>
      </w:r>
    </w:p>
    <w:p w14:paraId="22603CA6"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stiprus sąnarių skausmas ir patinimas (podagros požymiai);</w:t>
      </w:r>
    </w:p>
    <w:p w14:paraId="610367F2"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svaigulys ar apsvaigimas arba neaiškus matymas (rodo sumažėjusį kraujospūdį);</w:t>
      </w:r>
    </w:p>
    <w:p w14:paraId="5AB79F3B"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kraujavimas iš nosies;</w:t>
      </w:r>
    </w:p>
    <w:p w14:paraId="51647EFD"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kraujavimas po operacijos arba įsipjovus (pvz., skutantis) ir žaizdų daugiau negu normaliai;</w:t>
      </w:r>
    </w:p>
    <w:p w14:paraId="1768809C"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kraujavimas iš skrandžio (opos);</w:t>
      </w:r>
    </w:p>
    <w:p w14:paraId="1F1AAC34"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kraujavimas iš dantenų.</w:t>
      </w:r>
    </w:p>
    <w:p w14:paraId="5D4CFDF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DB7B39C"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Nedažni šalutinio poveikio reiškiniai (gali pasireikšti rečiau kaip 1 iš 100 asmenų):</w:t>
      </w:r>
    </w:p>
    <w:p w14:paraId="3B72616E"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alerginė reakcija – jos požymiai gali būti išbėrimas, niežėjimas arba veido, lūpų ar liežuvio patinimas;</w:t>
      </w:r>
    </w:p>
    <w:p w14:paraId="2E10993F"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sutrikusi orientacija;</w:t>
      </w:r>
    </w:p>
    <w:p w14:paraId="4DD3C906"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sutrikęs regėjimas dėl kraujo akyje;</w:t>
      </w:r>
    </w:p>
    <w:p w14:paraId="50D3BB6D"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kraujavimas iš makšties – gausesnis arba ne mėnesinių metu;</w:t>
      </w:r>
    </w:p>
    <w:p w14:paraId="65CA330A"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kraujavimas į sąnarius ir raumenis, dėl kurio gali atsirasti skausmingas patinimas;</w:t>
      </w:r>
    </w:p>
    <w:p w14:paraId="1914FCCC"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kraujas ausyje;</w:t>
      </w:r>
    </w:p>
    <w:p w14:paraId="5532E2BE" w14:textId="77777777" w:rsidR="00F151B8" w:rsidRPr="00DF20DE" w:rsidRDefault="00F151B8"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vidinis kraujavimas, dėl kurio gali pasireikšti svaigulys ar apsvaigimas.</w:t>
      </w:r>
    </w:p>
    <w:p w14:paraId="1C317B8D" w14:textId="2EBF9143" w:rsidR="00F151B8" w:rsidRDefault="00F151B8" w:rsidP="00F151B8">
      <w:pPr>
        <w:widowControl w:val="0"/>
        <w:autoSpaceDE w:val="0"/>
        <w:autoSpaceDN w:val="0"/>
        <w:spacing w:after="0" w:line="240" w:lineRule="auto"/>
        <w:rPr>
          <w:rFonts w:ascii="Times New Roman" w:eastAsia="Times New Roman" w:hAnsi="Times New Roman" w:cs="Times New Roman"/>
          <w:sz w:val="21"/>
        </w:rPr>
      </w:pPr>
    </w:p>
    <w:p w14:paraId="55B43367" w14:textId="7D49AD83" w:rsidR="00F301DB" w:rsidRPr="006A7DC7" w:rsidRDefault="00A24658" w:rsidP="00F301DB">
      <w:pPr>
        <w:widowControl w:val="0"/>
        <w:autoSpaceDE w:val="0"/>
        <w:autoSpaceDN w:val="0"/>
        <w:spacing w:after="0" w:line="240" w:lineRule="auto"/>
        <w:rPr>
          <w:rFonts w:ascii="Times New Roman" w:eastAsia="Times New Roman" w:hAnsi="Times New Roman" w:cs="Times New Roman"/>
          <w:b/>
          <w:bCs/>
          <w:sz w:val="21"/>
        </w:rPr>
      </w:pPr>
      <w:r>
        <w:rPr>
          <w:rFonts w:ascii="Times New Roman" w:eastAsia="Times New Roman" w:hAnsi="Times New Roman" w:cs="Times New Roman"/>
          <w:b/>
          <w:bCs/>
          <w:sz w:val="21"/>
        </w:rPr>
        <w:t>Šalutinio poveikio reiškiniai</w:t>
      </w:r>
      <w:r w:rsidR="00601C23">
        <w:rPr>
          <w:rFonts w:ascii="Times New Roman" w:eastAsia="Times New Roman" w:hAnsi="Times New Roman" w:cs="Times New Roman"/>
          <w:b/>
          <w:bCs/>
          <w:sz w:val="21"/>
        </w:rPr>
        <w:t>, kurių d</w:t>
      </w:r>
      <w:r w:rsidR="00F301DB" w:rsidRPr="006A7DC7">
        <w:rPr>
          <w:rFonts w:ascii="Times New Roman" w:eastAsia="Times New Roman" w:hAnsi="Times New Roman" w:cs="Times New Roman"/>
          <w:b/>
          <w:bCs/>
          <w:sz w:val="21"/>
        </w:rPr>
        <w:t>ažnis nežinomas (negali būti apskaičiuotas pagal turimus duomenis):</w:t>
      </w:r>
    </w:p>
    <w:p w14:paraId="06347C21" w14:textId="0C744789" w:rsidR="00F301DB" w:rsidRDefault="00F301DB" w:rsidP="00F301DB">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6A7DC7">
        <w:rPr>
          <w:rFonts w:ascii="Times New Roman" w:eastAsia="Times New Roman" w:hAnsi="Times New Roman" w:cs="Times New Roman"/>
        </w:rPr>
        <w:t>nenormaliai retas pulsas (dažniausiai retesnis kaip 60 dūžių per minutę).</w:t>
      </w:r>
    </w:p>
    <w:p w14:paraId="63E90FD6" w14:textId="77777777" w:rsidR="00F301DB" w:rsidRPr="006A7DC7" w:rsidRDefault="00F301DB" w:rsidP="006A7DC7">
      <w:pPr>
        <w:widowControl w:val="0"/>
        <w:tabs>
          <w:tab w:val="left" w:pos="783"/>
        </w:tabs>
        <w:autoSpaceDE w:val="0"/>
        <w:autoSpaceDN w:val="0"/>
        <w:spacing w:after="0" w:line="240" w:lineRule="auto"/>
        <w:ind w:left="540"/>
        <w:rPr>
          <w:rFonts w:ascii="Times New Roman" w:eastAsia="Times New Roman" w:hAnsi="Times New Roman" w:cs="Times New Roman"/>
        </w:rPr>
      </w:pPr>
    </w:p>
    <w:p w14:paraId="4C914344"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Pranešimas apie šalutinį poveikį</w:t>
      </w:r>
    </w:p>
    <w:p w14:paraId="3616B377" w14:textId="0FBC151F" w:rsidR="00F151B8" w:rsidRPr="00DF20DE" w:rsidRDefault="00F34E4F" w:rsidP="00F151B8">
      <w:pPr>
        <w:widowControl w:val="0"/>
        <w:autoSpaceDE w:val="0"/>
        <w:autoSpaceDN w:val="0"/>
        <w:spacing w:after="0" w:line="240" w:lineRule="auto"/>
        <w:rPr>
          <w:rFonts w:ascii="Times New Roman" w:eastAsia="Times New Roman" w:hAnsi="Times New Roman" w:cs="Times New Roman"/>
          <w:sz w:val="24"/>
        </w:rPr>
      </w:pPr>
      <w:r w:rsidRPr="005137EA">
        <w:rPr>
          <w:rFonts w:ascii="Times New Roman" w:hAnsi="Times New Roman" w:cs="Times New Roman"/>
          <w:lang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5137EA">
        <w:rPr>
          <w:rFonts w:ascii="Times New Roman" w:hAnsi="Times New Roman" w:cs="Times New Roman"/>
          <w:color w:val="0000EE"/>
          <w:u w:val="single"/>
          <w:lang w:eastAsia="lt-LT"/>
        </w:rPr>
        <w:t>https://vvkt.lrv.lt/lt/</w:t>
      </w:r>
      <w:r w:rsidRPr="005137EA">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Pr>
          <w:lang w:eastAsia="lt-LT"/>
        </w:rPr>
        <w:t xml:space="preserve"> </w:t>
      </w:r>
    </w:p>
    <w:p w14:paraId="1FEFA3CA"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0"/>
        </w:rPr>
      </w:pPr>
    </w:p>
    <w:p w14:paraId="476B41C4" w14:textId="11EDCDE0" w:rsidR="00F151B8" w:rsidRPr="00DF20DE" w:rsidRDefault="00F151B8" w:rsidP="00B61CB8">
      <w:pPr>
        <w:widowControl w:val="0"/>
        <w:numPr>
          <w:ilvl w:val="0"/>
          <w:numId w:val="5"/>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Kaip laikyti </w:t>
      </w:r>
      <w:r w:rsidR="008B0463" w:rsidRPr="00DF20DE">
        <w:rPr>
          <w:rFonts w:ascii="Times New Roman" w:eastAsia="Times New Roman" w:hAnsi="Times New Roman" w:cs="Times New Roman"/>
          <w:b/>
          <w:bCs/>
        </w:rPr>
        <w:t>Plategra</w:t>
      </w:r>
    </w:p>
    <w:p w14:paraId="78C6DDA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0033687B" w14:textId="5E858E68"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Šį vaistą laikykite vaikams nepastebimoje ir nepasiekiamoje vietoje.</w:t>
      </w:r>
    </w:p>
    <w:p w14:paraId="44B5217E" w14:textId="77777777" w:rsidR="00A551B4" w:rsidRPr="00DF20DE" w:rsidRDefault="00A551B4" w:rsidP="00F151B8">
      <w:pPr>
        <w:widowControl w:val="0"/>
        <w:autoSpaceDE w:val="0"/>
        <w:autoSpaceDN w:val="0"/>
        <w:spacing w:after="0" w:line="240" w:lineRule="auto"/>
        <w:rPr>
          <w:rFonts w:ascii="Times New Roman" w:eastAsia="Times New Roman" w:hAnsi="Times New Roman" w:cs="Times New Roman"/>
        </w:rPr>
      </w:pPr>
    </w:p>
    <w:p w14:paraId="4F3BEB5C" w14:textId="3DE8E19B"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Ant lizdinės plokštelės ir dėžutės po „EXP“ nurodytam tinkamumo laikui pasibaigus, šio vaisto vartoti negalima. Vaistas tinkamas vartoti iki paskutinės nurodyto mėnesio dienos.</w:t>
      </w:r>
    </w:p>
    <w:p w14:paraId="1FD1370B" w14:textId="77777777" w:rsidR="00A551B4" w:rsidRPr="00DF20DE" w:rsidRDefault="00A551B4" w:rsidP="00F151B8">
      <w:pPr>
        <w:widowControl w:val="0"/>
        <w:autoSpaceDE w:val="0"/>
        <w:autoSpaceDN w:val="0"/>
        <w:spacing w:after="0" w:line="240" w:lineRule="auto"/>
        <w:rPr>
          <w:rFonts w:ascii="Times New Roman" w:eastAsia="Times New Roman" w:hAnsi="Times New Roman" w:cs="Times New Roman"/>
        </w:rPr>
      </w:pPr>
    </w:p>
    <w:p w14:paraId="48C0F680" w14:textId="153EF981"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Šiam vaistui specialių laikymo sąlygų nereikia.</w:t>
      </w:r>
    </w:p>
    <w:p w14:paraId="2BF67446" w14:textId="77777777" w:rsidR="00A551B4" w:rsidRPr="00DF20DE" w:rsidRDefault="00A551B4" w:rsidP="00F151B8">
      <w:pPr>
        <w:widowControl w:val="0"/>
        <w:autoSpaceDE w:val="0"/>
        <w:autoSpaceDN w:val="0"/>
        <w:spacing w:after="0" w:line="240" w:lineRule="auto"/>
        <w:rPr>
          <w:rFonts w:ascii="Times New Roman" w:eastAsia="Times New Roman" w:hAnsi="Times New Roman" w:cs="Times New Roman"/>
        </w:rPr>
      </w:pPr>
    </w:p>
    <w:p w14:paraId="2DBD58B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Vaistų negalima išmesti į kanalizaciją arba su buitinėmis atliekomis. Kaip tvarkyti nereikalingus vaistus, klauskite vaistininko. Šios priemonės padės apsaugoti aplinką.</w:t>
      </w:r>
    </w:p>
    <w:p w14:paraId="5400C0D0"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3"/>
        </w:rPr>
      </w:pPr>
    </w:p>
    <w:p w14:paraId="3BF1DA1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23"/>
        </w:rPr>
      </w:pPr>
    </w:p>
    <w:p w14:paraId="48482E65" w14:textId="77777777" w:rsidR="00F151B8" w:rsidRPr="00DF20DE" w:rsidRDefault="00F151B8" w:rsidP="00B61CB8">
      <w:pPr>
        <w:widowControl w:val="0"/>
        <w:numPr>
          <w:ilvl w:val="0"/>
          <w:numId w:val="5"/>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Pakuotės turinys ir kita informacija </w:t>
      </w:r>
    </w:p>
    <w:p w14:paraId="1428BF92" w14:textId="77777777" w:rsidR="00F151B8" w:rsidRPr="00DF20DE" w:rsidRDefault="00F151B8" w:rsidP="00F151B8">
      <w:pPr>
        <w:widowControl w:val="0"/>
        <w:tabs>
          <w:tab w:val="left" w:pos="782"/>
          <w:tab w:val="left" w:pos="783"/>
        </w:tabs>
        <w:autoSpaceDE w:val="0"/>
        <w:autoSpaceDN w:val="0"/>
        <w:spacing w:after="0" w:line="240" w:lineRule="auto"/>
        <w:outlineLvl w:val="1"/>
        <w:rPr>
          <w:rFonts w:ascii="Times New Roman" w:eastAsia="Times New Roman" w:hAnsi="Times New Roman" w:cs="Times New Roman"/>
          <w:b/>
          <w:bCs/>
        </w:rPr>
      </w:pPr>
    </w:p>
    <w:p w14:paraId="7A4A0692" w14:textId="716DB6FE" w:rsidR="00F151B8" w:rsidRPr="00DF20DE" w:rsidRDefault="008B0463" w:rsidP="00F151B8">
      <w:pPr>
        <w:widowControl w:val="0"/>
        <w:tabs>
          <w:tab w:val="left" w:pos="782"/>
          <w:tab w:val="left" w:pos="783"/>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Plategra</w:t>
      </w:r>
      <w:r w:rsidR="00F151B8" w:rsidRPr="00DF20DE">
        <w:rPr>
          <w:rFonts w:ascii="Times New Roman" w:eastAsia="Times New Roman" w:hAnsi="Times New Roman" w:cs="Times New Roman"/>
          <w:b/>
          <w:bCs/>
        </w:rPr>
        <w:t xml:space="preserve"> sudėtis</w:t>
      </w:r>
    </w:p>
    <w:p w14:paraId="4A697B9D" w14:textId="544E1867" w:rsidR="00F151B8" w:rsidRPr="00DF20DE" w:rsidRDefault="00F151B8" w:rsidP="00B61CB8">
      <w:pPr>
        <w:widowControl w:val="0"/>
        <w:numPr>
          <w:ilvl w:val="0"/>
          <w:numId w:val="7"/>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 xml:space="preserve">Veiklioji medžiaga yra tikagreloras. </w:t>
      </w:r>
      <w:r w:rsidR="00A551B4" w:rsidRPr="00DF20DE">
        <w:rPr>
          <w:rFonts w:ascii="Times New Roman" w:eastAsia="Times New Roman" w:hAnsi="Times New Roman" w:cs="Times New Roman"/>
        </w:rPr>
        <w:t>Kiekvie</w:t>
      </w:r>
      <w:r w:rsidR="00965AFF" w:rsidRPr="00DF20DE">
        <w:rPr>
          <w:rFonts w:ascii="Times New Roman" w:eastAsia="Times New Roman" w:hAnsi="Times New Roman" w:cs="Times New Roman"/>
        </w:rPr>
        <w:t>n</w:t>
      </w:r>
      <w:r w:rsidR="00A551B4" w:rsidRPr="00DF20DE">
        <w:rPr>
          <w:rFonts w:ascii="Times New Roman" w:eastAsia="Times New Roman" w:hAnsi="Times New Roman" w:cs="Times New Roman"/>
        </w:rPr>
        <w:t>oje p</w:t>
      </w:r>
      <w:r w:rsidRPr="00DF20DE">
        <w:rPr>
          <w:rFonts w:ascii="Times New Roman" w:eastAsia="Times New Roman" w:hAnsi="Times New Roman" w:cs="Times New Roman"/>
        </w:rPr>
        <w:t xml:space="preserve">lėvele dengtoje tabletėje yra </w:t>
      </w:r>
      <w:r w:rsidR="00A551B4" w:rsidRPr="00DF20DE">
        <w:rPr>
          <w:rFonts w:ascii="Times New Roman" w:eastAsia="Times New Roman" w:hAnsi="Times New Roman" w:cs="Times New Roman"/>
        </w:rPr>
        <w:t>6</w:t>
      </w:r>
      <w:r w:rsidRPr="00DF20DE">
        <w:rPr>
          <w:rFonts w:ascii="Times New Roman" w:eastAsia="Times New Roman" w:hAnsi="Times New Roman" w:cs="Times New Roman"/>
        </w:rPr>
        <w:t>0 mg tikagreloro.</w:t>
      </w:r>
    </w:p>
    <w:p w14:paraId="6E5D0085" w14:textId="77777777" w:rsidR="00F151B8" w:rsidRPr="00DF20DE" w:rsidRDefault="00F151B8" w:rsidP="00B61CB8">
      <w:pPr>
        <w:widowControl w:val="0"/>
        <w:numPr>
          <w:ilvl w:val="0"/>
          <w:numId w:val="7"/>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Pagalbinės medžiagos yra:</w:t>
      </w:r>
    </w:p>
    <w:p w14:paraId="00E9E29C" w14:textId="24968A52" w:rsidR="00F151B8" w:rsidRPr="00DF20DE" w:rsidRDefault="00965AFF" w:rsidP="00F151B8">
      <w:pPr>
        <w:widowControl w:val="0"/>
        <w:autoSpaceDE w:val="0"/>
        <w:autoSpaceDN w:val="0"/>
        <w:spacing w:after="0" w:line="240" w:lineRule="auto"/>
        <w:ind w:left="540"/>
        <w:rPr>
          <w:rFonts w:ascii="Times New Roman" w:eastAsia="Times New Roman" w:hAnsi="Times New Roman" w:cs="Times New Roman"/>
        </w:rPr>
      </w:pPr>
      <w:r w:rsidRPr="00DF20DE">
        <w:rPr>
          <w:rFonts w:ascii="Times New Roman" w:eastAsia="Times New Roman" w:hAnsi="Times New Roman" w:cs="Times New Roman"/>
          <w:iCs/>
          <w:u w:val="single"/>
        </w:rPr>
        <w:t>T</w:t>
      </w:r>
      <w:r w:rsidR="00F151B8" w:rsidRPr="00DF20DE">
        <w:rPr>
          <w:rFonts w:ascii="Times New Roman" w:eastAsia="Times New Roman" w:hAnsi="Times New Roman" w:cs="Times New Roman"/>
          <w:iCs/>
          <w:u w:val="single"/>
        </w:rPr>
        <w:t>abletės šerd</w:t>
      </w:r>
      <w:r w:rsidRPr="00DF20DE">
        <w:rPr>
          <w:rFonts w:ascii="Times New Roman" w:eastAsia="Times New Roman" w:hAnsi="Times New Roman" w:cs="Times New Roman"/>
          <w:iCs/>
          <w:u w:val="single"/>
        </w:rPr>
        <w:t>is</w:t>
      </w:r>
      <w:r w:rsidR="00F151B8" w:rsidRPr="00DF20DE">
        <w:rPr>
          <w:rFonts w:ascii="Times New Roman" w:eastAsia="Times New Roman" w:hAnsi="Times New Roman" w:cs="Times New Roman"/>
        </w:rPr>
        <w:t>: manitolis (E421), kalcio-vandenilio fosfatas dihidratas</w:t>
      </w:r>
      <w:r w:rsidRPr="00DF20DE">
        <w:rPr>
          <w:rFonts w:ascii="Times New Roman" w:eastAsia="Times New Roman" w:hAnsi="Times New Roman" w:cs="Times New Roman"/>
        </w:rPr>
        <w:t xml:space="preserve"> (E341)</w:t>
      </w:r>
      <w:r w:rsidR="00F151B8" w:rsidRPr="00DF20DE">
        <w:rPr>
          <w:rFonts w:ascii="Times New Roman" w:eastAsia="Times New Roman" w:hAnsi="Times New Roman" w:cs="Times New Roman"/>
        </w:rPr>
        <w:t xml:space="preserve">, </w:t>
      </w:r>
      <w:r w:rsidRPr="00DF20DE">
        <w:rPr>
          <w:rFonts w:ascii="Times New Roman" w:eastAsia="Times New Roman" w:hAnsi="Times New Roman" w:cs="Times New Roman"/>
        </w:rPr>
        <w:t>karboksimetilkrakmolo natrio druska, hipromeliozė, magnio stearatas (E470b).</w:t>
      </w:r>
    </w:p>
    <w:p w14:paraId="79455931" w14:textId="66D85466" w:rsidR="00965AFF" w:rsidRPr="00DF20DE" w:rsidRDefault="00965AFF" w:rsidP="005D637C">
      <w:pPr>
        <w:widowControl w:val="0"/>
        <w:autoSpaceDE w:val="0"/>
        <w:autoSpaceDN w:val="0"/>
        <w:spacing w:after="0" w:line="240" w:lineRule="auto"/>
        <w:ind w:left="540"/>
        <w:rPr>
          <w:rFonts w:ascii="Times New Roman" w:eastAsia="Times New Roman" w:hAnsi="Times New Roman" w:cs="Times New Roman"/>
          <w:iCs/>
          <w:u w:val="single"/>
        </w:rPr>
      </w:pPr>
      <w:r w:rsidRPr="00DF20DE">
        <w:rPr>
          <w:rFonts w:ascii="Times New Roman" w:eastAsia="Times New Roman" w:hAnsi="Times New Roman" w:cs="Times New Roman"/>
          <w:iCs/>
          <w:u w:val="single"/>
        </w:rPr>
        <w:t>T</w:t>
      </w:r>
      <w:r w:rsidR="00F151B8" w:rsidRPr="00DF20DE">
        <w:rPr>
          <w:rFonts w:ascii="Times New Roman" w:eastAsia="Times New Roman" w:hAnsi="Times New Roman" w:cs="Times New Roman"/>
          <w:iCs/>
          <w:u w:val="single"/>
        </w:rPr>
        <w:t>abletės plėvelė</w:t>
      </w:r>
      <w:r w:rsidR="00F151B8" w:rsidRPr="00DF20DE">
        <w:rPr>
          <w:rFonts w:ascii="Times New Roman" w:eastAsia="Times New Roman" w:hAnsi="Times New Roman" w:cs="Times New Roman"/>
          <w:iCs/>
        </w:rPr>
        <w:t>:</w:t>
      </w:r>
      <w:r w:rsidRPr="00DF20DE">
        <w:rPr>
          <w:rFonts w:ascii="Times New Roman" w:eastAsia="Times New Roman" w:hAnsi="Times New Roman" w:cs="Times New Roman"/>
          <w:iCs/>
        </w:rPr>
        <w:t xml:space="preserve"> hipromeliozė, titano dioksidas (E171), makrogolis, raudonasis geležies oksidas (E172), juodasis geležies oksidas (E172).</w:t>
      </w:r>
    </w:p>
    <w:p w14:paraId="53183FAF"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4500775" w14:textId="6777281F" w:rsidR="00F151B8" w:rsidRPr="00DF20DE" w:rsidRDefault="008B0463"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Plategra</w:t>
      </w:r>
      <w:r w:rsidR="00F151B8" w:rsidRPr="00DF20DE">
        <w:rPr>
          <w:rFonts w:ascii="Times New Roman" w:eastAsia="Times New Roman" w:hAnsi="Times New Roman" w:cs="Times New Roman"/>
          <w:b/>
          <w:bCs/>
        </w:rPr>
        <w:t xml:space="preserve"> išvaizda ir kiekis pakuotėje</w:t>
      </w:r>
    </w:p>
    <w:p w14:paraId="76CA34DA" w14:textId="6263F0E8" w:rsidR="00F151B8" w:rsidRPr="00DF20DE" w:rsidRDefault="00904F26" w:rsidP="00904F26">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Plėvele dengta tabletė (tabletė): tabletės yra apvalios, abipus išgaubtos, rožinės, 8 mm skersmens, kurių vienoje pusėje yra įspaudas „60“.</w:t>
      </w:r>
    </w:p>
    <w:p w14:paraId="2F1DE5CD" w14:textId="77777777" w:rsidR="00904F26" w:rsidRPr="00DF20DE" w:rsidRDefault="00904F26" w:rsidP="00904F26">
      <w:pPr>
        <w:widowControl w:val="0"/>
        <w:autoSpaceDE w:val="0"/>
        <w:autoSpaceDN w:val="0"/>
        <w:spacing w:after="0" w:line="240" w:lineRule="auto"/>
        <w:rPr>
          <w:rFonts w:ascii="Times New Roman" w:eastAsia="Times New Roman" w:hAnsi="Times New Roman" w:cs="Times New Roman"/>
        </w:rPr>
      </w:pPr>
    </w:p>
    <w:p w14:paraId="2C87C390" w14:textId="5A1065E3" w:rsidR="00904F26" w:rsidRPr="00DF20DE" w:rsidRDefault="00904F26" w:rsidP="00904F26">
      <w:pPr>
        <w:tabs>
          <w:tab w:val="left" w:pos="567"/>
        </w:tabs>
        <w:spacing w:after="0" w:line="240" w:lineRule="auto"/>
        <w:rPr>
          <w:rFonts w:ascii="Times New Roman" w:eastAsia="Times New Roman" w:hAnsi="Times New Roman" w:cs="Times New Roman"/>
          <w:snapToGrid w:val="0"/>
        </w:rPr>
      </w:pPr>
      <w:r w:rsidRPr="00DF20DE">
        <w:rPr>
          <w:rFonts w:ascii="Times New Roman" w:eastAsia="Times New Roman" w:hAnsi="Times New Roman" w:cs="Times New Roman"/>
          <w:snapToGrid w:val="0"/>
        </w:rPr>
        <w:t>Kartono dėžutė, kurioje yra 14 plėvele dengtų tablečių permatomose PVC-PVDC / Al lizdinėse plokštelėse.</w:t>
      </w:r>
    </w:p>
    <w:p w14:paraId="6F6641A1" w14:textId="77777777" w:rsidR="00904F26" w:rsidRPr="00DF20DE" w:rsidRDefault="00904F26" w:rsidP="00904F26">
      <w:pPr>
        <w:tabs>
          <w:tab w:val="left" w:pos="567"/>
        </w:tabs>
        <w:spacing w:after="0" w:line="240" w:lineRule="auto"/>
        <w:rPr>
          <w:rFonts w:ascii="Times New Roman" w:eastAsia="Times New Roman" w:hAnsi="Times New Roman" w:cs="Times New Roman"/>
          <w:snapToGrid w:val="0"/>
          <w:highlight w:val="yellow"/>
        </w:rPr>
      </w:pPr>
    </w:p>
    <w:p w14:paraId="0803A639" w14:textId="77777777" w:rsidR="00904F26" w:rsidRPr="00DF20DE" w:rsidRDefault="00904F26" w:rsidP="00904F26">
      <w:pPr>
        <w:tabs>
          <w:tab w:val="left" w:pos="567"/>
        </w:tabs>
        <w:spacing w:after="0" w:line="240" w:lineRule="auto"/>
        <w:rPr>
          <w:rFonts w:ascii="Times New Roman" w:eastAsia="Times New Roman" w:hAnsi="Times New Roman" w:cs="Times New Roman"/>
          <w:snapToGrid w:val="0"/>
        </w:rPr>
      </w:pPr>
      <w:r w:rsidRPr="00DF20DE">
        <w:rPr>
          <w:rFonts w:ascii="Times New Roman" w:eastAsia="Times New Roman" w:hAnsi="Times New Roman" w:cs="Times New Roman"/>
          <w:snapToGrid w:val="0"/>
        </w:rPr>
        <w:t>Pakuotėje yra 56 plėvele dengtos tabletės</w:t>
      </w:r>
      <w:r w:rsidRPr="00DF20DE">
        <w:rPr>
          <w:rFonts w:ascii="Times New Roman" w:eastAsia="TimesNewRoman" w:hAnsi="Times New Roman" w:cs="Times New Roman"/>
          <w:snapToGrid w:val="0"/>
          <w:lang w:eastAsia="pl-PL"/>
        </w:rPr>
        <w:t>.</w:t>
      </w:r>
    </w:p>
    <w:p w14:paraId="17E93416"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687FE231" w14:textId="77777777" w:rsidR="00F151B8" w:rsidRPr="00DF20DE" w:rsidRDefault="00F151B8"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Registruotojas ir gamintojas</w:t>
      </w:r>
    </w:p>
    <w:p w14:paraId="0D156678"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b/>
          <w:sz w:val="21"/>
        </w:rPr>
      </w:pPr>
    </w:p>
    <w:p w14:paraId="0908B5F4"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u w:val="single"/>
        </w:rPr>
      </w:pPr>
      <w:r w:rsidRPr="00DF20DE">
        <w:rPr>
          <w:rFonts w:ascii="Times New Roman" w:eastAsia="Times New Roman" w:hAnsi="Times New Roman" w:cs="Times New Roman"/>
          <w:u w:val="single"/>
        </w:rPr>
        <w:t xml:space="preserve">Registruotojas </w:t>
      </w:r>
    </w:p>
    <w:p w14:paraId="6C4D739D" w14:textId="77777777" w:rsidR="00904F26" w:rsidRPr="00DF20DE" w:rsidRDefault="00904F26" w:rsidP="00904F26">
      <w:pPr>
        <w:spacing w:after="0" w:line="240" w:lineRule="auto"/>
        <w:rPr>
          <w:rFonts w:ascii="Times New Roman" w:hAnsi="Times New Roman" w:cs="Times New Roman"/>
        </w:rPr>
      </w:pPr>
      <w:r w:rsidRPr="00DF20DE">
        <w:rPr>
          <w:rFonts w:ascii="Times New Roman" w:hAnsi="Times New Roman" w:cs="Times New Roman"/>
        </w:rPr>
        <w:t>Egis Pharmaceuticals PLC</w:t>
      </w:r>
    </w:p>
    <w:p w14:paraId="62E55C54" w14:textId="77777777" w:rsidR="00904F26" w:rsidRPr="00DF20DE" w:rsidRDefault="00904F26" w:rsidP="00904F26">
      <w:pPr>
        <w:spacing w:after="0" w:line="240" w:lineRule="auto"/>
        <w:rPr>
          <w:rFonts w:ascii="Times New Roman" w:hAnsi="Times New Roman" w:cs="Times New Roman"/>
        </w:rPr>
      </w:pPr>
      <w:r w:rsidRPr="00DF20DE">
        <w:rPr>
          <w:rFonts w:ascii="Times New Roman" w:hAnsi="Times New Roman" w:cs="Times New Roman"/>
        </w:rPr>
        <w:t>Keresztúri út 30–38</w:t>
      </w:r>
    </w:p>
    <w:p w14:paraId="633F617E" w14:textId="600A7508" w:rsidR="000B7B5A" w:rsidRPr="00DF20DE" w:rsidRDefault="000B7B5A" w:rsidP="000B7B5A">
      <w:pPr>
        <w:spacing w:after="0" w:line="240" w:lineRule="auto"/>
        <w:rPr>
          <w:rFonts w:ascii="Times New Roman" w:hAnsi="Times New Roman" w:cs="Times New Roman"/>
        </w:rPr>
      </w:pPr>
      <w:r w:rsidRPr="00DF20DE">
        <w:rPr>
          <w:rFonts w:ascii="Times New Roman" w:hAnsi="Times New Roman" w:cs="Times New Roman"/>
        </w:rPr>
        <w:t>1106 Budapest</w:t>
      </w:r>
    </w:p>
    <w:p w14:paraId="1413E6D9" w14:textId="77777777" w:rsidR="00904F26" w:rsidRPr="00DF20DE" w:rsidRDefault="00904F26" w:rsidP="00904F26">
      <w:pPr>
        <w:widowControl w:val="0"/>
        <w:autoSpaceDE w:val="0"/>
        <w:autoSpaceDN w:val="0"/>
        <w:spacing w:after="0" w:line="240" w:lineRule="auto"/>
        <w:rPr>
          <w:rFonts w:ascii="Times New Roman" w:hAnsi="Times New Roman" w:cs="Times New Roman"/>
        </w:rPr>
      </w:pPr>
      <w:r w:rsidRPr="00DF20DE">
        <w:rPr>
          <w:rFonts w:ascii="Times New Roman" w:hAnsi="Times New Roman" w:cs="Times New Roman"/>
        </w:rPr>
        <w:t>Vengrija</w:t>
      </w:r>
    </w:p>
    <w:p w14:paraId="0CF2D055"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z w:val="19"/>
        </w:rPr>
      </w:pPr>
    </w:p>
    <w:p w14:paraId="16D29084" w14:textId="77777777" w:rsidR="0092059E" w:rsidRPr="00DF20DE" w:rsidRDefault="0092059E" w:rsidP="0092059E">
      <w:pPr>
        <w:widowControl w:val="0"/>
        <w:autoSpaceDE w:val="0"/>
        <w:autoSpaceDN w:val="0"/>
        <w:spacing w:after="0" w:line="240" w:lineRule="auto"/>
        <w:rPr>
          <w:rFonts w:ascii="Times New Roman" w:eastAsia="Times New Roman" w:hAnsi="Times New Roman" w:cs="Times New Roman"/>
          <w:u w:val="single"/>
        </w:rPr>
      </w:pPr>
      <w:r w:rsidRPr="00DF20DE">
        <w:rPr>
          <w:rFonts w:ascii="Times New Roman" w:eastAsia="Times New Roman" w:hAnsi="Times New Roman" w:cs="Times New Roman"/>
          <w:u w:val="single"/>
        </w:rPr>
        <w:t>Gamintojas</w:t>
      </w:r>
    </w:p>
    <w:p w14:paraId="312621C9" w14:textId="77777777" w:rsidR="00FF57FD" w:rsidRPr="00FF57FD" w:rsidRDefault="00FF57FD" w:rsidP="00FF57FD">
      <w:pPr>
        <w:keepNext/>
        <w:keepLines/>
        <w:spacing w:after="0" w:line="240" w:lineRule="auto"/>
        <w:outlineLvl w:val="0"/>
        <w:rPr>
          <w:rFonts w:ascii="Times New Roman" w:eastAsia="Calibri" w:hAnsi="Times New Roman" w:cs="Times New Roman"/>
          <w:color w:val="000000"/>
          <w:kern w:val="2"/>
          <w:u w:color="000000"/>
          <w:lang w:val="et-EE" w:eastAsia="lt-LT"/>
          <w14:ligatures w14:val="standardContextual"/>
        </w:rPr>
      </w:pPr>
      <w:r w:rsidRPr="00FF57FD">
        <w:rPr>
          <w:rFonts w:ascii="Times New Roman" w:eastAsia="Calibri" w:hAnsi="Times New Roman" w:cs="Times New Roman"/>
          <w:color w:val="000000"/>
          <w:kern w:val="2"/>
          <w:u w:color="000000"/>
          <w:lang w:val="et-EE" w:eastAsia="lt-LT"/>
          <w14:ligatures w14:val="standardContextual"/>
        </w:rPr>
        <w:t>KeVaRo GROUP Ltd.</w:t>
      </w:r>
    </w:p>
    <w:p w14:paraId="1EEAEE38" w14:textId="77777777" w:rsidR="00FF57FD" w:rsidRPr="00FF57FD" w:rsidRDefault="00FF57FD" w:rsidP="00FF57FD">
      <w:pPr>
        <w:keepNext/>
        <w:keepLines/>
        <w:spacing w:after="0" w:line="240" w:lineRule="auto"/>
        <w:outlineLvl w:val="0"/>
        <w:rPr>
          <w:rFonts w:ascii="Times New Roman" w:eastAsia="Calibri" w:hAnsi="Times New Roman" w:cs="Times New Roman"/>
          <w:color w:val="000000"/>
          <w:kern w:val="2"/>
          <w:u w:color="000000"/>
          <w:lang w:val="et-EE" w:eastAsia="lt-LT"/>
          <w14:ligatures w14:val="standardContextual"/>
        </w:rPr>
      </w:pPr>
      <w:r w:rsidRPr="00FF57FD">
        <w:rPr>
          <w:rFonts w:ascii="Times New Roman" w:eastAsia="Calibri" w:hAnsi="Times New Roman" w:cs="Times New Roman"/>
          <w:color w:val="000000"/>
          <w:kern w:val="2"/>
          <w:u w:color="000000"/>
          <w:lang w:val="et-EE" w:eastAsia="lt-LT"/>
          <w14:ligatures w14:val="standardContextual"/>
        </w:rPr>
        <w:t>9, Tsaritsa Eleonora Str., office 23</w:t>
      </w:r>
    </w:p>
    <w:p w14:paraId="35C197C9" w14:textId="77777777" w:rsidR="00FF57FD" w:rsidRPr="00FF57FD" w:rsidRDefault="00FF57FD" w:rsidP="00FF57FD">
      <w:pPr>
        <w:spacing w:after="5" w:line="240" w:lineRule="auto"/>
        <w:ind w:left="-5" w:right="415" w:hanging="10"/>
        <w:rPr>
          <w:rFonts w:ascii="Times New Roman" w:eastAsia="Calibri" w:hAnsi="Times New Roman" w:cs="Times New Roman"/>
          <w:color w:val="000000"/>
          <w:kern w:val="2"/>
          <w:lang w:val="et-EE" w:eastAsia="lt-LT"/>
          <w14:ligatures w14:val="standardContextual"/>
        </w:rPr>
      </w:pPr>
      <w:r w:rsidRPr="00FF57FD">
        <w:rPr>
          <w:rFonts w:ascii="Times New Roman" w:eastAsia="Calibri" w:hAnsi="Times New Roman" w:cs="Times New Roman"/>
          <w:color w:val="000000"/>
          <w:kern w:val="2"/>
          <w:lang w:val="et-EE" w:eastAsia="lt-LT"/>
          <w14:ligatures w14:val="standardContextual"/>
        </w:rPr>
        <w:t>Sofia 1618</w:t>
      </w:r>
    </w:p>
    <w:p w14:paraId="1817798C" w14:textId="6F9C4650" w:rsidR="00FF57FD" w:rsidRPr="00DF20DE" w:rsidRDefault="00FF57FD" w:rsidP="0092059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Bulgarija</w:t>
      </w:r>
    </w:p>
    <w:p w14:paraId="6874C327" w14:textId="1CABCB8D" w:rsidR="0092059E" w:rsidRPr="006A7DC7" w:rsidRDefault="0092059E" w:rsidP="0092059E">
      <w:pPr>
        <w:spacing w:after="0" w:line="240" w:lineRule="auto"/>
        <w:rPr>
          <w:rFonts w:ascii="Times New Roman" w:hAnsi="Times New Roman"/>
        </w:rPr>
      </w:pPr>
    </w:p>
    <w:p w14:paraId="05AC9401" w14:textId="1390ACF3" w:rsidR="000B7B5A" w:rsidRPr="006A7DC7" w:rsidRDefault="000B7B5A" w:rsidP="0092059E">
      <w:pPr>
        <w:spacing w:after="0" w:line="240" w:lineRule="auto"/>
        <w:rPr>
          <w:rFonts w:ascii="Times New Roman" w:hAnsi="Times New Roman"/>
        </w:rPr>
      </w:pPr>
      <w:r w:rsidRPr="006A7DC7">
        <w:rPr>
          <w:rFonts w:ascii="Times New Roman" w:hAnsi="Times New Roman"/>
        </w:rPr>
        <w:t>arba</w:t>
      </w:r>
    </w:p>
    <w:p w14:paraId="31B1A5AC" w14:textId="77777777" w:rsidR="000B7B5A" w:rsidRPr="006A7DC7" w:rsidRDefault="000B7B5A" w:rsidP="0092059E">
      <w:pPr>
        <w:spacing w:after="0" w:line="240" w:lineRule="auto"/>
        <w:rPr>
          <w:rFonts w:ascii="Times New Roman" w:hAnsi="Times New Roman"/>
        </w:rPr>
      </w:pPr>
    </w:p>
    <w:p w14:paraId="626F9119" w14:textId="69331661" w:rsidR="0092059E" w:rsidRPr="006A7DC7" w:rsidRDefault="0092059E" w:rsidP="0092059E">
      <w:pPr>
        <w:spacing w:after="0" w:line="240" w:lineRule="auto"/>
        <w:rPr>
          <w:rFonts w:ascii="Times New Roman" w:hAnsi="Times New Roman"/>
        </w:rPr>
      </w:pPr>
      <w:r w:rsidRPr="006A7DC7">
        <w:rPr>
          <w:rFonts w:ascii="Times New Roman" w:hAnsi="Times New Roman"/>
        </w:rPr>
        <w:t>Adalvo L</w:t>
      </w:r>
      <w:r w:rsidR="00011549" w:rsidRPr="006A7DC7">
        <w:rPr>
          <w:rFonts w:ascii="Times New Roman" w:hAnsi="Times New Roman"/>
        </w:rPr>
        <w:t>imited</w:t>
      </w:r>
    </w:p>
    <w:p w14:paraId="0D54DF8D" w14:textId="67EE7E72" w:rsidR="000B7B5A" w:rsidRPr="00DF20DE" w:rsidRDefault="0092059E" w:rsidP="0092059E">
      <w:pPr>
        <w:spacing w:after="0" w:line="240" w:lineRule="auto"/>
        <w:rPr>
          <w:rFonts w:ascii="Times New Roman" w:eastAsia="Calibri" w:hAnsi="Times New Roman" w:cs="Times New Roman"/>
          <w:lang w:eastAsia="lt-LT"/>
        </w:rPr>
      </w:pPr>
      <w:r w:rsidRPr="00DF20DE">
        <w:rPr>
          <w:rFonts w:ascii="Times New Roman" w:eastAsia="Calibri" w:hAnsi="Times New Roman" w:cs="Times New Roman"/>
          <w:lang w:eastAsia="lt-LT"/>
        </w:rPr>
        <w:t>Malta Life Sciences Park, Building 1,</w:t>
      </w:r>
      <w:r w:rsidR="000B7B5A" w:rsidRPr="00DF20DE">
        <w:rPr>
          <w:rFonts w:ascii="Times New Roman" w:eastAsia="Calibri" w:hAnsi="Times New Roman" w:cs="Times New Roman"/>
          <w:lang w:eastAsia="lt-LT"/>
        </w:rPr>
        <w:t xml:space="preserve"> </w:t>
      </w:r>
      <w:r w:rsidRPr="00DF20DE">
        <w:rPr>
          <w:rFonts w:ascii="Times New Roman" w:eastAsia="Calibri" w:hAnsi="Times New Roman" w:cs="Times New Roman"/>
          <w:lang w:eastAsia="lt-LT"/>
        </w:rPr>
        <w:t>Level 4</w:t>
      </w:r>
    </w:p>
    <w:p w14:paraId="3FC045A3" w14:textId="4375DB3E" w:rsidR="0092059E" w:rsidRPr="00DF20DE" w:rsidRDefault="0092059E" w:rsidP="0092059E">
      <w:pPr>
        <w:spacing w:after="0" w:line="240" w:lineRule="auto"/>
        <w:rPr>
          <w:rFonts w:ascii="Times New Roman" w:eastAsia="Calibri" w:hAnsi="Times New Roman" w:cs="Times New Roman"/>
          <w:lang w:eastAsia="lt-LT"/>
        </w:rPr>
      </w:pPr>
      <w:r w:rsidRPr="00DF20DE">
        <w:rPr>
          <w:rFonts w:ascii="Times New Roman" w:eastAsia="Calibri" w:hAnsi="Times New Roman" w:cs="Times New Roman"/>
          <w:lang w:eastAsia="lt-LT"/>
        </w:rPr>
        <w:t>Sir Temi Zammit Buildings,</w:t>
      </w:r>
    </w:p>
    <w:p w14:paraId="4E3C4E9D" w14:textId="1A03907A" w:rsidR="0092059E" w:rsidRPr="00DF20DE" w:rsidRDefault="000B7B5A" w:rsidP="0092059E">
      <w:pPr>
        <w:spacing w:after="0" w:line="240" w:lineRule="auto"/>
        <w:rPr>
          <w:rFonts w:ascii="Times New Roman" w:eastAsia="Calibri" w:hAnsi="Times New Roman" w:cs="Times New Roman"/>
          <w:lang w:eastAsia="lt-LT"/>
        </w:rPr>
      </w:pPr>
      <w:r w:rsidRPr="00DF20DE">
        <w:rPr>
          <w:rFonts w:ascii="Times New Roman" w:eastAsia="Calibri" w:hAnsi="Times New Roman" w:cs="Times New Roman"/>
          <w:lang w:eastAsia="lt-LT"/>
        </w:rPr>
        <w:t xml:space="preserve">3000 </w:t>
      </w:r>
      <w:r w:rsidR="0092059E" w:rsidRPr="00DF20DE">
        <w:rPr>
          <w:rFonts w:ascii="Times New Roman" w:eastAsia="Calibri" w:hAnsi="Times New Roman" w:cs="Times New Roman"/>
          <w:lang w:eastAsia="lt-LT"/>
        </w:rPr>
        <w:t>San Ġwann</w:t>
      </w:r>
    </w:p>
    <w:p w14:paraId="4B4885C3" w14:textId="0201E7A6" w:rsidR="00F151B8" w:rsidRPr="00DF20DE" w:rsidRDefault="0092059E" w:rsidP="0092059E">
      <w:pPr>
        <w:widowControl w:val="0"/>
        <w:autoSpaceDE w:val="0"/>
        <w:autoSpaceDN w:val="0"/>
        <w:spacing w:after="0" w:line="240" w:lineRule="auto"/>
        <w:rPr>
          <w:rFonts w:ascii="Times New Roman" w:eastAsia="Times New Roman" w:hAnsi="Times New Roman" w:cs="Times New Roman"/>
          <w:sz w:val="19"/>
        </w:rPr>
      </w:pPr>
      <w:r w:rsidRPr="00DF20DE">
        <w:rPr>
          <w:rFonts w:ascii="Times New Roman" w:eastAsia="Calibri" w:hAnsi="Times New Roman" w:cs="Times New Roman"/>
          <w:lang w:eastAsia="lt-LT"/>
        </w:rPr>
        <w:t>Malta</w:t>
      </w:r>
    </w:p>
    <w:p w14:paraId="38407776" w14:textId="77777777" w:rsidR="00F151B8" w:rsidRDefault="00F151B8" w:rsidP="00F151B8">
      <w:pPr>
        <w:widowControl w:val="0"/>
        <w:autoSpaceDE w:val="0"/>
        <w:autoSpaceDN w:val="0"/>
        <w:spacing w:after="0" w:line="240" w:lineRule="auto"/>
        <w:rPr>
          <w:rFonts w:ascii="Times New Roman" w:eastAsia="Times New Roman" w:hAnsi="Times New Roman" w:cs="Times New Roman"/>
          <w:sz w:val="19"/>
        </w:rPr>
      </w:pPr>
    </w:p>
    <w:p w14:paraId="1E939ED1" w14:textId="77777777" w:rsidR="00B11F6F" w:rsidRDefault="00B11F6F" w:rsidP="00B11F6F">
      <w:pPr>
        <w:tabs>
          <w:tab w:val="left" w:pos="567"/>
        </w:tabs>
        <w:spacing w:after="0" w:line="260" w:lineRule="exact"/>
        <w:rPr>
          <w:rFonts w:ascii="Times New Roman" w:hAnsi="Times New Roman"/>
        </w:rPr>
      </w:pPr>
      <w:r>
        <w:rPr>
          <w:rFonts w:ascii="Times New Roman" w:hAnsi="Times New Roman"/>
        </w:rPr>
        <w:t>a</w:t>
      </w:r>
      <w:r w:rsidRPr="00DF20DE">
        <w:rPr>
          <w:rFonts w:ascii="Times New Roman" w:hAnsi="Times New Roman"/>
        </w:rPr>
        <w:t>rba</w:t>
      </w:r>
    </w:p>
    <w:p w14:paraId="20406EDA" w14:textId="77777777" w:rsidR="00B11F6F" w:rsidRPr="00DF20DE" w:rsidRDefault="00B11F6F" w:rsidP="00B11F6F">
      <w:pPr>
        <w:tabs>
          <w:tab w:val="left" w:pos="567"/>
        </w:tabs>
        <w:spacing w:after="0" w:line="260" w:lineRule="exact"/>
        <w:rPr>
          <w:rFonts w:ascii="Times New Roman" w:eastAsia="Times New Roman" w:hAnsi="Times New Roman" w:cs="Times New Roman"/>
          <w:snapToGrid w:val="0"/>
          <w:szCs w:val="24"/>
        </w:rPr>
      </w:pPr>
    </w:p>
    <w:p w14:paraId="62E95A24" w14:textId="77777777" w:rsidR="00B11F6F" w:rsidRPr="00B11F6F" w:rsidRDefault="00B11F6F" w:rsidP="00B11F6F">
      <w:pPr>
        <w:tabs>
          <w:tab w:val="left" w:pos="567"/>
        </w:tabs>
        <w:spacing w:after="0" w:line="260" w:lineRule="exact"/>
        <w:rPr>
          <w:rFonts w:ascii="Times New Roman" w:eastAsia="Calibri" w:hAnsi="Times New Roman" w:cs="Times New Roman"/>
          <w:noProof/>
          <w:snapToGrid w:val="0"/>
          <w:szCs w:val="24"/>
          <w:lang w:val="hu-HU"/>
        </w:rPr>
      </w:pPr>
      <w:r w:rsidRPr="00B11F6F">
        <w:rPr>
          <w:rFonts w:ascii="Times New Roman" w:eastAsia="Calibri" w:hAnsi="Times New Roman" w:cs="Times New Roman"/>
          <w:noProof/>
          <w:snapToGrid w:val="0"/>
          <w:szCs w:val="24"/>
          <w:lang w:val="hu-HU"/>
        </w:rPr>
        <w:t>PGF Pharma International d.o.o.</w:t>
      </w:r>
    </w:p>
    <w:p w14:paraId="2D33F2B8" w14:textId="28CCE873" w:rsidR="00B11F6F" w:rsidRPr="00B11F6F" w:rsidRDefault="00B11F6F" w:rsidP="00B11F6F">
      <w:pPr>
        <w:tabs>
          <w:tab w:val="left" w:pos="567"/>
        </w:tabs>
        <w:spacing w:after="0" w:line="260" w:lineRule="exact"/>
        <w:rPr>
          <w:rFonts w:ascii="Times New Roman" w:eastAsia="Calibri" w:hAnsi="Times New Roman" w:cs="Times New Roman"/>
          <w:noProof/>
          <w:snapToGrid w:val="0"/>
          <w:szCs w:val="24"/>
          <w:lang w:val="hu-HU"/>
        </w:rPr>
      </w:pPr>
      <w:r w:rsidRPr="00B11F6F">
        <w:rPr>
          <w:rFonts w:ascii="Times New Roman" w:eastAsia="Calibri" w:hAnsi="Times New Roman" w:cs="Times New Roman"/>
          <w:noProof/>
          <w:snapToGrid w:val="0"/>
          <w:szCs w:val="24"/>
          <w:lang w:val="hu-HU"/>
        </w:rPr>
        <w:t>Ulica Roberta Frangesa-Mihanovica 9</w:t>
      </w:r>
    </w:p>
    <w:p w14:paraId="3CF335F1" w14:textId="76A2662C" w:rsidR="00B11F6F" w:rsidRPr="00B11F6F" w:rsidRDefault="00B11F6F" w:rsidP="00B11F6F">
      <w:pPr>
        <w:tabs>
          <w:tab w:val="left" w:pos="567"/>
        </w:tabs>
        <w:spacing w:after="0" w:line="260" w:lineRule="exact"/>
        <w:rPr>
          <w:rFonts w:ascii="Times New Roman" w:eastAsia="Calibri" w:hAnsi="Times New Roman" w:cs="Times New Roman"/>
          <w:noProof/>
          <w:snapToGrid w:val="0"/>
          <w:szCs w:val="24"/>
          <w:lang w:val="hu-HU"/>
        </w:rPr>
      </w:pPr>
      <w:r w:rsidRPr="00B11F6F">
        <w:rPr>
          <w:rFonts w:ascii="Times New Roman" w:eastAsia="Calibri" w:hAnsi="Times New Roman" w:cs="Times New Roman"/>
          <w:noProof/>
          <w:snapToGrid w:val="0"/>
          <w:szCs w:val="24"/>
          <w:lang w:val="hu-HU"/>
        </w:rPr>
        <w:t xml:space="preserve">Zagreb, 10110 </w:t>
      </w:r>
    </w:p>
    <w:p w14:paraId="055FE341" w14:textId="596921C3" w:rsidR="00B11F6F" w:rsidRDefault="00B11F6F" w:rsidP="00B11F6F">
      <w:pPr>
        <w:widowControl w:val="0"/>
        <w:autoSpaceDE w:val="0"/>
        <w:autoSpaceDN w:val="0"/>
        <w:spacing w:after="0" w:line="240" w:lineRule="auto"/>
        <w:rPr>
          <w:rFonts w:ascii="Times New Roman" w:eastAsia="Calibri" w:hAnsi="Times New Roman" w:cs="Times New Roman"/>
          <w:noProof/>
          <w:snapToGrid w:val="0"/>
          <w:szCs w:val="24"/>
        </w:rPr>
      </w:pPr>
      <w:r>
        <w:rPr>
          <w:rFonts w:ascii="Times New Roman" w:eastAsia="Calibri" w:hAnsi="Times New Roman" w:cs="Times New Roman"/>
          <w:noProof/>
          <w:snapToGrid w:val="0"/>
          <w:szCs w:val="24"/>
        </w:rPr>
        <w:t>Kroatij</w:t>
      </w:r>
      <w:r w:rsidRPr="00B11F6F">
        <w:rPr>
          <w:rFonts w:ascii="Times New Roman" w:eastAsia="Calibri" w:hAnsi="Times New Roman" w:cs="Times New Roman"/>
          <w:noProof/>
          <w:snapToGrid w:val="0"/>
          <w:szCs w:val="24"/>
        </w:rPr>
        <w:t>a</w:t>
      </w:r>
    </w:p>
    <w:p w14:paraId="1145870D" w14:textId="77777777" w:rsidR="00B11F6F" w:rsidRPr="00DF20DE" w:rsidRDefault="00B11F6F" w:rsidP="00B11F6F">
      <w:pPr>
        <w:widowControl w:val="0"/>
        <w:autoSpaceDE w:val="0"/>
        <w:autoSpaceDN w:val="0"/>
        <w:spacing w:after="0" w:line="240" w:lineRule="auto"/>
        <w:rPr>
          <w:rFonts w:ascii="Times New Roman" w:eastAsia="Times New Roman" w:hAnsi="Times New Roman" w:cs="Times New Roman"/>
          <w:sz w:val="19"/>
        </w:rPr>
      </w:pPr>
    </w:p>
    <w:p w14:paraId="31DC2022" w14:textId="77777777" w:rsidR="00AE1C6C" w:rsidRPr="00DF20DE" w:rsidRDefault="00AE1C6C" w:rsidP="00AE1C6C">
      <w:pPr>
        <w:spacing w:after="0" w:line="240" w:lineRule="auto"/>
        <w:rPr>
          <w:rFonts w:ascii="Times New Roman" w:eastAsia="Calibri" w:hAnsi="Times New Roman" w:cs="Times New Roman"/>
        </w:rPr>
      </w:pPr>
      <w:r w:rsidRPr="00DF20DE">
        <w:rPr>
          <w:rFonts w:ascii="Times New Roman" w:eastAsia="Calibri" w:hAnsi="Times New Roman" w:cs="Times New Roman"/>
        </w:rPr>
        <w:t xml:space="preserve">Jeigu apie šį vaistą norite sužinoti daugiau, kreipkitės į vietinį </w:t>
      </w:r>
      <w:r w:rsidRPr="00DF20DE">
        <w:rPr>
          <w:rFonts w:ascii="Times New Roman" w:eastAsia="Times New Roman" w:hAnsi="Times New Roman" w:cs="Times New Roman"/>
          <w:noProof/>
          <w:snapToGrid w:val="0"/>
          <w:szCs w:val="24"/>
        </w:rPr>
        <w:t>registruotojo</w:t>
      </w:r>
      <w:r w:rsidRPr="00DF20DE">
        <w:rPr>
          <w:rFonts w:ascii="Times New Roman" w:eastAsia="Calibri" w:hAnsi="Times New Roman" w:cs="Times New Roman"/>
        </w:rPr>
        <w:t xml:space="preserve"> atstovą.</w:t>
      </w:r>
    </w:p>
    <w:p w14:paraId="64C983CD" w14:textId="77777777" w:rsidR="00AE1C6C" w:rsidRPr="00DF20DE" w:rsidRDefault="00AE1C6C" w:rsidP="00AE1C6C">
      <w:pPr>
        <w:spacing w:after="0" w:line="240" w:lineRule="auto"/>
        <w:rPr>
          <w:rFonts w:ascii="Times New Roman" w:eastAsia="Calibri" w:hAnsi="Times New Roman" w:cs="Times New Roman"/>
        </w:rPr>
      </w:pPr>
    </w:p>
    <w:p w14:paraId="21D24C4E" w14:textId="77777777" w:rsidR="00AE1C6C" w:rsidRPr="00DF20DE" w:rsidRDefault="00AE1C6C" w:rsidP="00AE1C6C">
      <w:pPr>
        <w:spacing w:after="0" w:line="240" w:lineRule="auto"/>
        <w:rPr>
          <w:rFonts w:ascii="Times New Roman" w:eastAsia="Calibri" w:hAnsi="Times New Roman" w:cs="Times New Roman"/>
        </w:rPr>
      </w:pPr>
      <w:r w:rsidRPr="00DF20DE">
        <w:rPr>
          <w:rFonts w:ascii="Times New Roman" w:eastAsia="Calibri" w:hAnsi="Times New Roman" w:cs="Times New Roman"/>
        </w:rPr>
        <w:t>Egis Pharmaceuticals PLC atstovybė</w:t>
      </w:r>
    </w:p>
    <w:p w14:paraId="1BC61757" w14:textId="77777777" w:rsidR="00AE1C6C" w:rsidRPr="00DF20DE" w:rsidRDefault="00AE1C6C" w:rsidP="00AE1C6C">
      <w:pPr>
        <w:spacing w:after="0" w:line="240" w:lineRule="auto"/>
        <w:rPr>
          <w:rFonts w:ascii="Times New Roman" w:eastAsia="Calibri" w:hAnsi="Times New Roman" w:cs="Times New Roman"/>
        </w:rPr>
      </w:pPr>
      <w:r w:rsidRPr="00DF20DE">
        <w:rPr>
          <w:rFonts w:ascii="Times New Roman" w:eastAsia="Calibri" w:hAnsi="Times New Roman" w:cs="Times New Roman"/>
        </w:rPr>
        <w:t>Latvių g.11-2</w:t>
      </w:r>
    </w:p>
    <w:p w14:paraId="197A37A1" w14:textId="77777777" w:rsidR="00AE1C6C" w:rsidRPr="00DF20DE" w:rsidRDefault="00AE1C6C" w:rsidP="00AE1C6C">
      <w:pPr>
        <w:spacing w:after="0" w:line="240" w:lineRule="auto"/>
        <w:rPr>
          <w:rFonts w:ascii="Times New Roman" w:eastAsia="Calibri" w:hAnsi="Times New Roman" w:cs="Times New Roman"/>
        </w:rPr>
      </w:pPr>
      <w:r w:rsidRPr="00DF20DE">
        <w:rPr>
          <w:rFonts w:ascii="Times New Roman" w:eastAsia="Calibri" w:hAnsi="Times New Roman" w:cs="Times New Roman"/>
        </w:rPr>
        <w:t>Vilnius LT-08123</w:t>
      </w:r>
    </w:p>
    <w:p w14:paraId="00B4D8DC" w14:textId="77777777" w:rsidR="00AE1C6C" w:rsidRPr="00DF20DE" w:rsidRDefault="00AE1C6C" w:rsidP="00AE1C6C">
      <w:pPr>
        <w:spacing w:after="0" w:line="240" w:lineRule="auto"/>
        <w:rPr>
          <w:rFonts w:ascii="Times New Roman" w:eastAsia="Calibri" w:hAnsi="Times New Roman" w:cs="Times New Roman"/>
        </w:rPr>
      </w:pPr>
      <w:r w:rsidRPr="00DF20DE">
        <w:rPr>
          <w:rFonts w:ascii="Times New Roman" w:eastAsia="Calibri" w:hAnsi="Times New Roman" w:cs="Times New Roman"/>
        </w:rPr>
        <w:t>Tel: (8 5) 23 14 658</w:t>
      </w:r>
    </w:p>
    <w:p w14:paraId="076979A1"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snapToGrid w:val="0"/>
          <w:szCs w:val="24"/>
        </w:rPr>
      </w:pPr>
    </w:p>
    <w:p w14:paraId="51E50477" w14:textId="09A47E28" w:rsidR="00F151B8" w:rsidRPr="00DF20DE" w:rsidRDefault="001C139D" w:rsidP="00F151B8">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snapToGrid w:val="0"/>
          <w:szCs w:val="20"/>
        </w:rPr>
        <w:t>Šis vaistas Europos ekonominės erdvės valstybėse narėse registruotas tokiais pavadinimais</w:t>
      </w:r>
    </w:p>
    <w:tbl>
      <w:tblPr>
        <w:tblW w:w="9180" w:type="dxa"/>
        <w:tblInd w:w="108" w:type="dxa"/>
        <w:tblLook w:val="04A0" w:firstRow="1" w:lastRow="0" w:firstColumn="1" w:lastColumn="0" w:noHBand="0" w:noVBand="1"/>
      </w:tblPr>
      <w:tblGrid>
        <w:gridCol w:w="2520"/>
        <w:gridCol w:w="6660"/>
      </w:tblGrid>
      <w:tr w:rsidR="00475A15" w:rsidRPr="00DF20DE" w14:paraId="5B6A012C" w14:textId="77777777" w:rsidTr="00C536DB">
        <w:trPr>
          <w:cantSplit/>
          <w:trHeight w:val="86"/>
        </w:trPr>
        <w:tc>
          <w:tcPr>
            <w:tcW w:w="2520" w:type="dxa"/>
            <w:hideMark/>
          </w:tcPr>
          <w:p w14:paraId="0E49E21D" w14:textId="77777777" w:rsidR="00475A15" w:rsidRPr="00DF20DE" w:rsidRDefault="00475A15" w:rsidP="00C536DB">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Estija</w:t>
            </w:r>
          </w:p>
        </w:tc>
        <w:tc>
          <w:tcPr>
            <w:tcW w:w="6660" w:type="dxa"/>
          </w:tcPr>
          <w:p w14:paraId="43743034" w14:textId="77777777" w:rsidR="00475A15" w:rsidRPr="00DF20DE" w:rsidRDefault="00475A15" w:rsidP="00C536DB">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Plategra</w:t>
            </w:r>
          </w:p>
        </w:tc>
      </w:tr>
      <w:tr w:rsidR="00475A15" w:rsidRPr="00DF20DE" w14:paraId="7CC4F654" w14:textId="77777777" w:rsidTr="00C536DB">
        <w:trPr>
          <w:cantSplit/>
          <w:trHeight w:val="86"/>
        </w:trPr>
        <w:tc>
          <w:tcPr>
            <w:tcW w:w="2520" w:type="dxa"/>
          </w:tcPr>
          <w:p w14:paraId="0CBBDD5D" w14:textId="77777777" w:rsidR="00475A15" w:rsidRPr="00DF20DE" w:rsidRDefault="00475A15" w:rsidP="00C536DB">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Čekija</w:t>
            </w:r>
          </w:p>
        </w:tc>
        <w:tc>
          <w:tcPr>
            <w:tcW w:w="6660" w:type="dxa"/>
          </w:tcPr>
          <w:p w14:paraId="1E27ED3D" w14:textId="77777777" w:rsidR="00475A15" w:rsidRPr="00DF20DE" w:rsidRDefault="00475A15" w:rsidP="00C536DB">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Plategra</w:t>
            </w:r>
          </w:p>
        </w:tc>
      </w:tr>
      <w:tr w:rsidR="00475A15" w:rsidRPr="00DF20DE" w14:paraId="3C1B1C99" w14:textId="77777777" w:rsidTr="00C536DB">
        <w:trPr>
          <w:cantSplit/>
          <w:trHeight w:val="86"/>
        </w:trPr>
        <w:tc>
          <w:tcPr>
            <w:tcW w:w="2520" w:type="dxa"/>
            <w:hideMark/>
          </w:tcPr>
          <w:p w14:paraId="2B2AE50F" w14:textId="77777777" w:rsidR="00475A15" w:rsidRPr="00DF20DE" w:rsidRDefault="00475A15" w:rsidP="00C536DB">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Slovakija</w:t>
            </w:r>
          </w:p>
        </w:tc>
        <w:tc>
          <w:tcPr>
            <w:tcW w:w="6660" w:type="dxa"/>
          </w:tcPr>
          <w:p w14:paraId="170BD5F0" w14:textId="7C6530C5" w:rsidR="00475A15" w:rsidRPr="00DF20DE" w:rsidRDefault="00475A15" w:rsidP="00B43C6C">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Plategra 60 mg</w:t>
            </w:r>
          </w:p>
        </w:tc>
      </w:tr>
      <w:tr w:rsidR="00475A15" w:rsidRPr="00DF20DE" w14:paraId="4F101422" w14:textId="77777777" w:rsidTr="00C536DB">
        <w:trPr>
          <w:cantSplit/>
          <w:trHeight w:val="86"/>
        </w:trPr>
        <w:tc>
          <w:tcPr>
            <w:tcW w:w="2520" w:type="dxa"/>
            <w:hideMark/>
          </w:tcPr>
          <w:p w14:paraId="7724ED33" w14:textId="77777777" w:rsidR="00475A15" w:rsidRPr="00DF20DE" w:rsidRDefault="00475A15" w:rsidP="00C536DB">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Rumunija</w:t>
            </w:r>
          </w:p>
          <w:p w14:paraId="5EACB2A4" w14:textId="77777777" w:rsidR="00475A15" w:rsidRPr="00DF20DE" w:rsidRDefault="00475A15" w:rsidP="00C536DB">
            <w:pPr>
              <w:tabs>
                <w:tab w:val="left" w:pos="567"/>
              </w:tabs>
              <w:spacing w:after="0" w:line="240" w:lineRule="auto"/>
              <w:rPr>
                <w:rFonts w:ascii="Times New Roman" w:eastAsia="Calibri" w:hAnsi="Times New Roman" w:cs="Times New Roman"/>
                <w:color w:val="000000"/>
              </w:rPr>
            </w:pPr>
          </w:p>
        </w:tc>
        <w:tc>
          <w:tcPr>
            <w:tcW w:w="6660" w:type="dxa"/>
          </w:tcPr>
          <w:p w14:paraId="285B3BC1" w14:textId="47409300" w:rsidR="00475A15" w:rsidRPr="00DF20DE" w:rsidRDefault="00475A15" w:rsidP="00E3613C">
            <w:pPr>
              <w:autoSpaceDE w:val="0"/>
              <w:autoSpaceDN w:val="0"/>
              <w:adjustRightInd w:val="0"/>
              <w:spacing w:after="0" w:line="240" w:lineRule="auto"/>
              <w:rPr>
                <w:rFonts w:ascii="Times New Roman" w:eastAsia="Calibri" w:hAnsi="Times New Roman" w:cs="Times New Roman"/>
                <w:color w:val="000000"/>
              </w:rPr>
            </w:pPr>
            <w:r w:rsidRPr="00DF20DE">
              <w:rPr>
                <w:rFonts w:ascii="Times New Roman" w:hAnsi="Times New Roman" w:cs="Times New Roman"/>
              </w:rPr>
              <w:t>Plategra 60 mg comprimate filmate</w:t>
            </w:r>
          </w:p>
        </w:tc>
      </w:tr>
      <w:tr w:rsidR="00475A15" w:rsidRPr="00DF20DE" w14:paraId="532D3A6E" w14:textId="77777777" w:rsidTr="00C536DB">
        <w:trPr>
          <w:cantSplit/>
          <w:trHeight w:val="86"/>
        </w:trPr>
        <w:tc>
          <w:tcPr>
            <w:tcW w:w="2520" w:type="dxa"/>
            <w:hideMark/>
          </w:tcPr>
          <w:p w14:paraId="36E13EF5" w14:textId="77777777" w:rsidR="00475A15" w:rsidRPr="00DF20DE" w:rsidRDefault="00475A15" w:rsidP="00C536DB">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Lietuva</w:t>
            </w:r>
          </w:p>
        </w:tc>
        <w:tc>
          <w:tcPr>
            <w:tcW w:w="6660" w:type="dxa"/>
          </w:tcPr>
          <w:p w14:paraId="7B67AB8D" w14:textId="77B61576" w:rsidR="00475A15" w:rsidRPr="00DF20DE" w:rsidRDefault="00475A15" w:rsidP="00B43C6C">
            <w:pPr>
              <w:autoSpaceDE w:val="0"/>
              <w:autoSpaceDN w:val="0"/>
              <w:adjustRightInd w:val="0"/>
              <w:spacing w:after="0" w:line="240" w:lineRule="auto"/>
              <w:rPr>
                <w:rFonts w:ascii="Times New Roman" w:eastAsia="Calibri" w:hAnsi="Times New Roman" w:cs="Times New Roman"/>
                <w:color w:val="000000"/>
              </w:rPr>
            </w:pPr>
            <w:r w:rsidRPr="00DF20DE">
              <w:rPr>
                <w:rFonts w:ascii="Times New Roman" w:hAnsi="Times New Roman" w:cs="Times New Roman"/>
              </w:rPr>
              <w:t>Plategra 60 mg plėvele dengtos tabletės</w:t>
            </w:r>
          </w:p>
        </w:tc>
      </w:tr>
      <w:tr w:rsidR="00475A15" w:rsidRPr="00DF20DE" w14:paraId="2A5AC55F" w14:textId="77777777" w:rsidTr="00C536DB">
        <w:trPr>
          <w:cantSplit/>
          <w:trHeight w:val="86"/>
        </w:trPr>
        <w:tc>
          <w:tcPr>
            <w:tcW w:w="2520" w:type="dxa"/>
          </w:tcPr>
          <w:p w14:paraId="092771B2" w14:textId="77777777" w:rsidR="00475A15" w:rsidRPr="00DF20DE" w:rsidRDefault="00475A15" w:rsidP="00C536DB">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Bulgarija</w:t>
            </w:r>
          </w:p>
        </w:tc>
        <w:tc>
          <w:tcPr>
            <w:tcW w:w="6660" w:type="dxa"/>
          </w:tcPr>
          <w:p w14:paraId="49416413" w14:textId="0583C127" w:rsidR="00475A15" w:rsidRPr="00DF20DE" w:rsidRDefault="00475A15" w:rsidP="00C536DB">
            <w:pPr>
              <w:autoSpaceDE w:val="0"/>
              <w:autoSpaceDN w:val="0"/>
              <w:adjustRightInd w:val="0"/>
              <w:spacing w:after="0" w:line="240" w:lineRule="auto"/>
              <w:rPr>
                <w:rFonts w:ascii="Times New Roman" w:hAnsi="Times New Roman" w:cs="Times New Roman"/>
              </w:rPr>
            </w:pPr>
            <w:r w:rsidRPr="00DF20DE">
              <w:rPr>
                <w:rFonts w:ascii="Times New Roman" w:hAnsi="Times New Roman" w:cs="Times New Roman"/>
              </w:rPr>
              <w:t>Платегра 60 mg филмирани таблетки</w:t>
            </w:r>
          </w:p>
          <w:p w14:paraId="6CA8FF65" w14:textId="5A5C1FCE" w:rsidR="00475A15" w:rsidRPr="00DF20DE" w:rsidRDefault="00475A15" w:rsidP="00C536DB">
            <w:pPr>
              <w:autoSpaceDE w:val="0"/>
              <w:autoSpaceDN w:val="0"/>
              <w:adjustRightInd w:val="0"/>
              <w:spacing w:after="0" w:line="240" w:lineRule="auto"/>
              <w:rPr>
                <w:rFonts w:ascii="Times New Roman" w:eastAsia="Calibri" w:hAnsi="Times New Roman" w:cs="Times New Roman"/>
                <w:color w:val="000000"/>
              </w:rPr>
            </w:pPr>
            <w:r w:rsidRPr="00DF20DE">
              <w:rPr>
                <w:rFonts w:ascii="Times New Roman" w:hAnsi="Times New Roman" w:cs="Times New Roman"/>
              </w:rPr>
              <w:t>Plategra 60 mg film-coated tablets</w:t>
            </w:r>
          </w:p>
        </w:tc>
      </w:tr>
      <w:tr w:rsidR="00475A15" w:rsidRPr="00DF20DE" w14:paraId="32CEDDD0" w14:textId="77777777" w:rsidTr="00C536DB">
        <w:trPr>
          <w:cantSplit/>
          <w:trHeight w:val="86"/>
        </w:trPr>
        <w:tc>
          <w:tcPr>
            <w:tcW w:w="2520" w:type="dxa"/>
            <w:hideMark/>
          </w:tcPr>
          <w:p w14:paraId="775294C4" w14:textId="77777777" w:rsidR="00475A15" w:rsidRPr="00DF20DE" w:rsidRDefault="00475A15" w:rsidP="00C536DB">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Latvija</w:t>
            </w:r>
          </w:p>
        </w:tc>
        <w:tc>
          <w:tcPr>
            <w:tcW w:w="6660" w:type="dxa"/>
          </w:tcPr>
          <w:p w14:paraId="36221971" w14:textId="77777777" w:rsidR="00475A15" w:rsidRPr="00DF20DE" w:rsidRDefault="00475A15" w:rsidP="00C536DB">
            <w:pPr>
              <w:autoSpaceDE w:val="0"/>
              <w:autoSpaceDN w:val="0"/>
              <w:adjustRightInd w:val="0"/>
              <w:spacing w:after="0" w:line="240" w:lineRule="auto"/>
              <w:rPr>
                <w:rFonts w:ascii="Times New Roman" w:hAnsi="Times New Roman" w:cs="Times New Roman"/>
              </w:rPr>
            </w:pPr>
            <w:r w:rsidRPr="00DF20DE">
              <w:rPr>
                <w:rFonts w:ascii="Times New Roman" w:hAnsi="Times New Roman" w:cs="Times New Roman"/>
              </w:rPr>
              <w:t>Plategra 60 mg apvalkotās tabletes</w:t>
            </w:r>
          </w:p>
          <w:p w14:paraId="5536CFCD" w14:textId="4D30B58D" w:rsidR="00475A15" w:rsidRPr="00DF20DE" w:rsidRDefault="00475A15" w:rsidP="00C536DB">
            <w:pPr>
              <w:tabs>
                <w:tab w:val="left" w:pos="567"/>
              </w:tabs>
              <w:spacing w:after="0" w:line="240" w:lineRule="auto"/>
              <w:rPr>
                <w:rFonts w:ascii="Times New Roman" w:eastAsia="Calibri" w:hAnsi="Times New Roman" w:cs="Times New Roman"/>
              </w:rPr>
            </w:pPr>
          </w:p>
        </w:tc>
      </w:tr>
      <w:tr w:rsidR="00D2344B" w14:paraId="5F93ADF4" w14:textId="77777777" w:rsidTr="00D2344B">
        <w:trPr>
          <w:cantSplit/>
          <w:trHeight w:val="86"/>
        </w:trPr>
        <w:tc>
          <w:tcPr>
            <w:tcW w:w="2520" w:type="dxa"/>
            <w:hideMark/>
          </w:tcPr>
          <w:p w14:paraId="148686E5" w14:textId="77777777" w:rsidR="00D2344B" w:rsidRDefault="00D2344B">
            <w:pPr>
              <w:tabs>
                <w:tab w:val="left" w:pos="567"/>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Vengrija</w:t>
            </w:r>
          </w:p>
        </w:tc>
        <w:tc>
          <w:tcPr>
            <w:tcW w:w="6660" w:type="dxa"/>
          </w:tcPr>
          <w:p w14:paraId="07F1BAB0" w14:textId="77777777" w:rsidR="00D2344B" w:rsidRDefault="00D2344B" w:rsidP="00D2344B">
            <w:pPr>
              <w:autoSpaceDE w:val="0"/>
              <w:autoSpaceDN w:val="0"/>
              <w:adjustRightInd w:val="0"/>
              <w:spacing w:line="240" w:lineRule="auto"/>
              <w:rPr>
                <w:rFonts w:ascii="Times New Roman" w:hAnsi="Times New Roman" w:cs="Times New Roman"/>
              </w:rPr>
            </w:pPr>
            <w:r w:rsidRPr="00D2344B">
              <w:rPr>
                <w:rFonts w:ascii="Times New Roman" w:hAnsi="Times New Roman" w:cs="Times New Roman"/>
              </w:rPr>
              <w:t>Plategra 60 mg filmtabletta</w:t>
            </w:r>
          </w:p>
        </w:tc>
      </w:tr>
    </w:tbl>
    <w:p w14:paraId="1338474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71129FE4" w14:textId="3D8312EA"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b/>
        </w:rPr>
        <w:t>Šis pakuotės lapelis paskutinį kartą peržiūrėtas</w:t>
      </w:r>
      <w:r w:rsidR="00650B70">
        <w:rPr>
          <w:rFonts w:ascii="Times New Roman" w:eastAsia="Times New Roman" w:hAnsi="Times New Roman" w:cs="Times New Roman"/>
          <w:b/>
        </w:rPr>
        <w:t xml:space="preserve"> </w:t>
      </w:r>
      <w:r w:rsidR="00743471">
        <w:rPr>
          <w:rFonts w:ascii="Times New Roman" w:eastAsia="Times New Roman" w:hAnsi="Times New Roman" w:cs="Times New Roman"/>
          <w:b/>
        </w:rPr>
        <w:t>2024-11-08</w:t>
      </w:r>
      <w:r w:rsidR="001102CA" w:rsidRPr="00DF20DE">
        <w:rPr>
          <w:rFonts w:ascii="Times New Roman" w:eastAsia="Times New Roman" w:hAnsi="Times New Roman" w:cs="Times New Roman"/>
          <w:b/>
        </w:rPr>
        <w:t>.</w:t>
      </w:r>
    </w:p>
    <w:p w14:paraId="728CE3C3" w14:textId="77777777" w:rsidR="00F151B8" w:rsidRPr="00DF20DE" w:rsidRDefault="00F151B8" w:rsidP="00F151B8">
      <w:pPr>
        <w:widowControl w:val="0"/>
        <w:autoSpaceDE w:val="0"/>
        <w:autoSpaceDN w:val="0"/>
        <w:spacing w:after="0" w:line="240" w:lineRule="auto"/>
        <w:rPr>
          <w:rFonts w:ascii="Times New Roman" w:eastAsia="Times New Roman" w:hAnsi="Times New Roman" w:cs="Times New Roman"/>
        </w:rPr>
      </w:pPr>
    </w:p>
    <w:p w14:paraId="220AAC73" w14:textId="15792689" w:rsidR="00F151B8" w:rsidRPr="00DF20DE" w:rsidRDefault="00F151B8" w:rsidP="00F151B8">
      <w:pPr>
        <w:widowControl w:val="0"/>
        <w:autoSpaceDE w:val="0"/>
        <w:autoSpaceDN w:val="0"/>
        <w:spacing w:after="0" w:line="240" w:lineRule="auto"/>
        <w:rPr>
          <w:rFonts w:ascii="Times New Roman" w:eastAsia="Times New Roman" w:hAnsi="Times New Roman" w:cs="Times New Roman"/>
          <w:b/>
        </w:rPr>
      </w:pPr>
      <w:r w:rsidRPr="00DF20DE">
        <w:rPr>
          <w:rFonts w:ascii="Times New Roman" w:eastAsia="Times New Roman" w:hAnsi="Times New Roman" w:cs="Times New Roman"/>
        </w:rPr>
        <w:t xml:space="preserve">Išsami informacija apie šį </w:t>
      </w:r>
      <w:r w:rsidRPr="00DF20DE">
        <w:rPr>
          <w:rFonts w:ascii="Times New Roman" w:eastAsia="Times New Roman" w:hAnsi="Times New Roman" w:cs="Times New Roman"/>
          <w:szCs w:val="24"/>
        </w:rPr>
        <w:t>vaistą</w:t>
      </w:r>
      <w:r w:rsidRPr="00DF20DE">
        <w:rPr>
          <w:rFonts w:ascii="Times New Roman" w:eastAsia="Times New Roman" w:hAnsi="Times New Roman" w:cs="Times New Roman"/>
        </w:rPr>
        <w:t xml:space="preserve"> pateikiama Valstybinės vaistų kontrolės tarnybos prie Lietuvos Respublikos sveikatos apsaugos ministerijos tinklalapyje</w:t>
      </w:r>
      <w:r w:rsidRPr="00DF20DE">
        <w:rPr>
          <w:rFonts w:ascii="Times New Roman" w:eastAsia="Times New Roman" w:hAnsi="Times New Roman" w:cs="Times New Roman"/>
          <w:i/>
          <w:szCs w:val="24"/>
        </w:rPr>
        <w:t xml:space="preserve"> </w:t>
      </w:r>
      <w:hyperlink r:id="rId19" w:history="1">
        <w:r w:rsidR="00980ED0" w:rsidRPr="005137EA">
          <w:rPr>
            <w:rStyle w:val="Hipersaitas"/>
            <w:rFonts w:ascii="Times New Roman" w:hAnsi="Times New Roman" w:cs="Times New Roman"/>
            <w:lang w:eastAsia="lt-LT"/>
          </w:rPr>
          <w:t>https://vvkt.lrv.lt/lt/</w:t>
        </w:r>
      </w:hyperlink>
      <w:r w:rsidR="00980ED0" w:rsidRPr="005137EA">
        <w:rPr>
          <w:rFonts w:ascii="Times New Roman" w:hAnsi="Times New Roman" w:cs="Times New Roman"/>
          <w:color w:val="0000EE"/>
          <w:u w:val="single"/>
          <w:lang w:eastAsia="lt-LT"/>
        </w:rPr>
        <w:t xml:space="preserve">. </w:t>
      </w:r>
    </w:p>
    <w:p w14:paraId="3113B521" w14:textId="3ECB0887" w:rsidR="001C139D" w:rsidRPr="00DF20DE" w:rsidRDefault="001C139D">
      <w:r w:rsidRPr="00DF20DE">
        <w:br w:type="page"/>
      </w:r>
    </w:p>
    <w:p w14:paraId="17E846B0" w14:textId="77777777" w:rsidR="001C139D" w:rsidRPr="00DF20DE" w:rsidRDefault="001C139D" w:rsidP="001C139D">
      <w:pPr>
        <w:widowControl w:val="0"/>
        <w:autoSpaceDE w:val="0"/>
        <w:autoSpaceDN w:val="0"/>
        <w:spacing w:after="0" w:line="240" w:lineRule="auto"/>
        <w:jc w:val="center"/>
        <w:outlineLvl w:val="1"/>
        <w:rPr>
          <w:rFonts w:ascii="Times New Roman" w:eastAsia="Times New Roman" w:hAnsi="Times New Roman" w:cs="Times New Roman"/>
          <w:b/>
          <w:bCs/>
        </w:rPr>
      </w:pPr>
      <w:r w:rsidRPr="00DF20DE">
        <w:rPr>
          <w:rFonts w:ascii="Times New Roman" w:eastAsia="Times New Roman" w:hAnsi="Times New Roman" w:cs="Times New Roman"/>
          <w:b/>
          <w:bCs/>
        </w:rPr>
        <w:lastRenderedPageBreak/>
        <w:t>Pakuotės lapelis: informacija vartotojui</w:t>
      </w:r>
    </w:p>
    <w:p w14:paraId="44EC7D4B"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b/>
          <w:sz w:val="21"/>
        </w:rPr>
      </w:pPr>
    </w:p>
    <w:p w14:paraId="3F8F784B" w14:textId="17399829" w:rsidR="001C139D" w:rsidRPr="00DF20DE" w:rsidRDefault="008B0463" w:rsidP="001C139D">
      <w:pPr>
        <w:widowControl w:val="0"/>
        <w:autoSpaceDE w:val="0"/>
        <w:autoSpaceDN w:val="0"/>
        <w:spacing w:after="0" w:line="240" w:lineRule="auto"/>
        <w:jc w:val="center"/>
        <w:rPr>
          <w:rFonts w:ascii="Times New Roman" w:eastAsia="Times New Roman" w:hAnsi="Times New Roman" w:cs="Times New Roman"/>
          <w:b/>
        </w:rPr>
      </w:pPr>
      <w:r w:rsidRPr="00DF20DE">
        <w:rPr>
          <w:rFonts w:ascii="Times New Roman" w:eastAsia="Times New Roman" w:hAnsi="Times New Roman" w:cs="Times New Roman"/>
          <w:b/>
        </w:rPr>
        <w:t>Plategra</w:t>
      </w:r>
      <w:r w:rsidR="001C139D" w:rsidRPr="00DF20DE">
        <w:rPr>
          <w:rFonts w:ascii="Times New Roman" w:eastAsia="Times New Roman" w:hAnsi="Times New Roman" w:cs="Times New Roman"/>
          <w:b/>
        </w:rPr>
        <w:t xml:space="preserve"> 90 mg plėvele dengtos tabletės</w:t>
      </w:r>
    </w:p>
    <w:p w14:paraId="7E06AB1C" w14:textId="77777777" w:rsidR="001C139D" w:rsidRPr="00DF20DE" w:rsidRDefault="001C139D" w:rsidP="001C139D">
      <w:pPr>
        <w:widowControl w:val="0"/>
        <w:autoSpaceDE w:val="0"/>
        <w:autoSpaceDN w:val="0"/>
        <w:spacing w:after="0" w:line="240" w:lineRule="auto"/>
        <w:jc w:val="center"/>
        <w:rPr>
          <w:rFonts w:ascii="Times New Roman" w:eastAsia="Times New Roman" w:hAnsi="Times New Roman" w:cs="Times New Roman"/>
        </w:rPr>
      </w:pPr>
      <w:r w:rsidRPr="00DF20DE">
        <w:rPr>
          <w:rFonts w:ascii="Times New Roman" w:eastAsia="Times New Roman" w:hAnsi="Times New Roman" w:cs="Times New Roman"/>
        </w:rPr>
        <w:t>tikagreloras</w:t>
      </w:r>
    </w:p>
    <w:p w14:paraId="60DF5784"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732D5704" w14:textId="7777777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Atidžiai perskaitykite visą šį lapelį, prieš pradėdami vartoti vaistą, nes jame pateikiama Jums svarbi informacija.</w:t>
      </w:r>
    </w:p>
    <w:p w14:paraId="2D701C28" w14:textId="77777777" w:rsidR="001C139D" w:rsidRPr="00DF20DE" w:rsidRDefault="001C139D" w:rsidP="00B61CB8">
      <w:pPr>
        <w:widowControl w:val="0"/>
        <w:numPr>
          <w:ilvl w:val="0"/>
          <w:numId w:val="7"/>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Neišmeskite šio lapelio, nes vėl gali prireikti jį perskaityti.</w:t>
      </w:r>
    </w:p>
    <w:p w14:paraId="40F4ECFE" w14:textId="77777777" w:rsidR="001C139D" w:rsidRPr="00DF20DE" w:rsidRDefault="001C139D" w:rsidP="00B61CB8">
      <w:pPr>
        <w:widowControl w:val="0"/>
        <w:numPr>
          <w:ilvl w:val="0"/>
          <w:numId w:val="7"/>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Jeigu kiltų daugiau klausimų, kreipkitės į gydytoją arba vaistininką.</w:t>
      </w:r>
    </w:p>
    <w:p w14:paraId="0F34AA89" w14:textId="77777777" w:rsidR="001C139D" w:rsidRPr="00DF20DE" w:rsidRDefault="001C139D" w:rsidP="00B61CB8">
      <w:pPr>
        <w:widowControl w:val="0"/>
        <w:numPr>
          <w:ilvl w:val="0"/>
          <w:numId w:val="7"/>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Šis vaistas skirtas tik Jums, todėl kitiems žmonėms jo duoti negalima. Vaistas gali jiems pakenkti (net tiems, kurių ligos požymiai yra tokie patys kaip Jūsų).</w:t>
      </w:r>
    </w:p>
    <w:p w14:paraId="727F1093" w14:textId="77777777" w:rsidR="001C139D" w:rsidRPr="00DF20DE" w:rsidRDefault="001C139D" w:rsidP="00B61CB8">
      <w:pPr>
        <w:widowControl w:val="0"/>
        <w:numPr>
          <w:ilvl w:val="0"/>
          <w:numId w:val="7"/>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Jeigu pasireiškė šalutinis poveikis (net jeigu jis šiame lapelyje nenurodytas), kreipkitės į gydytoją arba vaistininką. Žr. 4 skyrių.</w:t>
      </w:r>
    </w:p>
    <w:p w14:paraId="0FABCA32"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4C789E21" w14:textId="7777777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Apie ką rašoma šiame lapelyje?</w:t>
      </w:r>
    </w:p>
    <w:p w14:paraId="4A573A25" w14:textId="6A92CEB8" w:rsidR="001C139D" w:rsidRPr="00DF20DE" w:rsidRDefault="001C139D" w:rsidP="00B61CB8">
      <w:pPr>
        <w:widowControl w:val="0"/>
        <w:numPr>
          <w:ilvl w:val="0"/>
          <w:numId w:val="15"/>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 xml:space="preserve">Kas yra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ir kam jis vartojamas</w:t>
      </w:r>
    </w:p>
    <w:p w14:paraId="0F5E7556" w14:textId="3D76BFDF" w:rsidR="001C139D" w:rsidRPr="00DF20DE" w:rsidRDefault="001C139D" w:rsidP="00B61CB8">
      <w:pPr>
        <w:widowControl w:val="0"/>
        <w:numPr>
          <w:ilvl w:val="0"/>
          <w:numId w:val="15"/>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 xml:space="preserve">Kas žinotina prieš vartojant </w:t>
      </w:r>
      <w:r w:rsidR="008B0463" w:rsidRPr="00DF20DE">
        <w:rPr>
          <w:rFonts w:ascii="Times New Roman" w:eastAsia="Times New Roman" w:hAnsi="Times New Roman" w:cs="Times New Roman"/>
        </w:rPr>
        <w:t>Plategra</w:t>
      </w:r>
    </w:p>
    <w:p w14:paraId="35C81A31" w14:textId="46FFCB9E" w:rsidR="001C139D" w:rsidRPr="00DF20DE" w:rsidRDefault="001C139D" w:rsidP="00B61CB8">
      <w:pPr>
        <w:widowControl w:val="0"/>
        <w:numPr>
          <w:ilvl w:val="0"/>
          <w:numId w:val="15"/>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 xml:space="preserve">Kaip vartoti </w:t>
      </w:r>
      <w:r w:rsidR="008B0463" w:rsidRPr="00DF20DE">
        <w:rPr>
          <w:rFonts w:ascii="Times New Roman" w:eastAsia="Times New Roman" w:hAnsi="Times New Roman" w:cs="Times New Roman"/>
        </w:rPr>
        <w:t>Plategra</w:t>
      </w:r>
    </w:p>
    <w:p w14:paraId="58A19B3F" w14:textId="77777777" w:rsidR="001C139D" w:rsidRPr="00DF20DE" w:rsidRDefault="001C139D" w:rsidP="00B61CB8">
      <w:pPr>
        <w:widowControl w:val="0"/>
        <w:numPr>
          <w:ilvl w:val="0"/>
          <w:numId w:val="15"/>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Galimas šalutinis poveikis</w:t>
      </w:r>
    </w:p>
    <w:p w14:paraId="4ACDAABC" w14:textId="70B2BCFA" w:rsidR="001C139D" w:rsidRPr="00DF20DE" w:rsidRDefault="001C139D" w:rsidP="00B61CB8">
      <w:pPr>
        <w:widowControl w:val="0"/>
        <w:numPr>
          <w:ilvl w:val="0"/>
          <w:numId w:val="15"/>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 xml:space="preserve">Kaip laikyti </w:t>
      </w:r>
      <w:r w:rsidR="008B0463" w:rsidRPr="00DF20DE">
        <w:rPr>
          <w:rFonts w:ascii="Times New Roman" w:eastAsia="Times New Roman" w:hAnsi="Times New Roman" w:cs="Times New Roman"/>
        </w:rPr>
        <w:t>Plategra</w:t>
      </w:r>
    </w:p>
    <w:p w14:paraId="4F1BC8E2" w14:textId="77777777" w:rsidR="001C139D" w:rsidRPr="00DF20DE" w:rsidRDefault="001C139D" w:rsidP="00B61CB8">
      <w:pPr>
        <w:widowControl w:val="0"/>
        <w:numPr>
          <w:ilvl w:val="0"/>
          <w:numId w:val="15"/>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Pakuotės turinys ir kita informacija</w:t>
      </w:r>
    </w:p>
    <w:p w14:paraId="77F67717"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4543AA43" w14:textId="2B20DDB1" w:rsidR="001C139D" w:rsidRPr="00DF20DE" w:rsidRDefault="001C139D" w:rsidP="00B61CB8">
      <w:pPr>
        <w:widowControl w:val="0"/>
        <w:numPr>
          <w:ilvl w:val="0"/>
          <w:numId w:val="16"/>
        </w:numPr>
        <w:tabs>
          <w:tab w:val="left" w:pos="567"/>
        </w:tabs>
        <w:autoSpaceDE w:val="0"/>
        <w:autoSpaceDN w:val="0"/>
        <w:spacing w:after="0" w:line="240" w:lineRule="auto"/>
        <w:ind w:left="567"/>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Kas yra </w:t>
      </w:r>
      <w:r w:rsidR="008B0463" w:rsidRPr="00DF20DE">
        <w:rPr>
          <w:rFonts w:ascii="Times New Roman" w:eastAsia="Times New Roman" w:hAnsi="Times New Roman" w:cs="Times New Roman"/>
          <w:b/>
          <w:bCs/>
        </w:rPr>
        <w:t>Plategra</w:t>
      </w:r>
      <w:r w:rsidRPr="00DF20DE">
        <w:rPr>
          <w:rFonts w:ascii="Times New Roman" w:eastAsia="Times New Roman" w:hAnsi="Times New Roman" w:cs="Times New Roman"/>
          <w:b/>
          <w:bCs/>
        </w:rPr>
        <w:t xml:space="preserve"> ir kam jis vartojamas </w:t>
      </w:r>
    </w:p>
    <w:p w14:paraId="4FE79E63" w14:textId="77777777" w:rsidR="001C139D" w:rsidRPr="00DF20DE" w:rsidRDefault="001C139D" w:rsidP="001C139D">
      <w:pPr>
        <w:widowControl w:val="0"/>
        <w:tabs>
          <w:tab w:val="left" w:pos="782"/>
          <w:tab w:val="left" w:pos="783"/>
        </w:tabs>
        <w:autoSpaceDE w:val="0"/>
        <w:autoSpaceDN w:val="0"/>
        <w:spacing w:after="0" w:line="240" w:lineRule="auto"/>
        <w:outlineLvl w:val="1"/>
        <w:rPr>
          <w:rFonts w:ascii="Times New Roman" w:eastAsia="Times New Roman" w:hAnsi="Times New Roman" w:cs="Times New Roman"/>
          <w:b/>
          <w:bCs/>
        </w:rPr>
      </w:pPr>
    </w:p>
    <w:p w14:paraId="03B411D6" w14:textId="4E97754D" w:rsidR="001C139D" w:rsidRPr="00DF20DE" w:rsidRDefault="001C139D" w:rsidP="001C139D">
      <w:pPr>
        <w:widowControl w:val="0"/>
        <w:tabs>
          <w:tab w:val="left" w:pos="782"/>
          <w:tab w:val="left" w:pos="783"/>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Kas yra </w:t>
      </w:r>
      <w:r w:rsidR="008B0463" w:rsidRPr="00DF20DE">
        <w:rPr>
          <w:rFonts w:ascii="Times New Roman" w:eastAsia="Times New Roman" w:hAnsi="Times New Roman" w:cs="Times New Roman"/>
          <w:b/>
          <w:bCs/>
        </w:rPr>
        <w:t>Plategra</w:t>
      </w:r>
    </w:p>
    <w:p w14:paraId="2E1CF85D" w14:textId="61D23F12" w:rsidR="001C139D" w:rsidRPr="00DF20DE" w:rsidRDefault="008B0463"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1C139D" w:rsidRPr="00DF20DE">
        <w:rPr>
          <w:rFonts w:ascii="Times New Roman" w:eastAsia="Times New Roman" w:hAnsi="Times New Roman" w:cs="Times New Roman"/>
        </w:rPr>
        <w:t xml:space="preserve"> sudėtyje yra veikliosios medžiagos, vadinamos tikagreloru. Ji priklauso vaistų, vadinamų antitrombocitiniais vaistais, grupei.</w:t>
      </w:r>
    </w:p>
    <w:p w14:paraId="2870D56A"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1"/>
        </w:rPr>
      </w:pPr>
    </w:p>
    <w:p w14:paraId="0BB7FDE1" w14:textId="48E5ADF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Kam vartojamas </w:t>
      </w:r>
      <w:r w:rsidR="008B0463" w:rsidRPr="00DF20DE">
        <w:rPr>
          <w:rFonts w:ascii="Times New Roman" w:eastAsia="Times New Roman" w:hAnsi="Times New Roman" w:cs="Times New Roman"/>
          <w:b/>
          <w:bCs/>
        </w:rPr>
        <w:t>Plategra</w:t>
      </w:r>
    </w:p>
    <w:p w14:paraId="64264577" w14:textId="45B99294" w:rsidR="00110E79" w:rsidRPr="00DF20DE" w:rsidRDefault="008B0463"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1C139D" w:rsidRPr="00DF20DE">
        <w:rPr>
          <w:rFonts w:ascii="Times New Roman" w:eastAsia="Times New Roman" w:hAnsi="Times New Roman" w:cs="Times New Roman"/>
        </w:rPr>
        <w:t xml:space="preserve"> skirtas tik suaugusiems žmonėms vartoti kartu su kitu trombocitų funkciją slopinančiu vaistu – acetilsalicilo rūgštimi. Šis vaistas Jums paskirtas dėl</w:t>
      </w:r>
      <w:r w:rsidR="00110E79" w:rsidRPr="00DF20DE">
        <w:rPr>
          <w:rFonts w:ascii="Times New Roman" w:eastAsia="Times New Roman" w:hAnsi="Times New Roman" w:cs="Times New Roman"/>
        </w:rPr>
        <w:t>:</w:t>
      </w:r>
    </w:p>
    <w:p w14:paraId="0F2EC362" w14:textId="53299882" w:rsidR="00EC707B" w:rsidRPr="00DF20DE" w:rsidRDefault="00EC707B" w:rsidP="00B61CB8">
      <w:pPr>
        <w:widowControl w:val="0"/>
        <w:numPr>
          <w:ilvl w:val="0"/>
          <w:numId w:val="18"/>
        </w:numPr>
        <w:autoSpaceDE w:val="0"/>
        <w:autoSpaceDN w:val="0"/>
        <w:spacing w:after="0" w:line="240" w:lineRule="auto"/>
        <w:ind w:left="567" w:hanging="567"/>
        <w:rPr>
          <w:rFonts w:ascii="Times New Roman" w:eastAsia="Times New Roman" w:hAnsi="Times New Roman" w:cs="Times New Roman"/>
        </w:rPr>
      </w:pPr>
      <w:r w:rsidRPr="00DF20DE">
        <w:rPr>
          <w:rFonts w:ascii="Times New Roman" w:eastAsia="Times New Roman" w:hAnsi="Times New Roman" w:cs="Times New Roman"/>
        </w:rPr>
        <w:t>ištikusio širdies priepuolio arba;</w:t>
      </w:r>
    </w:p>
    <w:p w14:paraId="1CCDD831" w14:textId="77777777" w:rsidR="00EC707B" w:rsidRPr="00DF20DE" w:rsidRDefault="00EC707B" w:rsidP="00B61CB8">
      <w:pPr>
        <w:widowControl w:val="0"/>
        <w:numPr>
          <w:ilvl w:val="0"/>
          <w:numId w:val="18"/>
        </w:numPr>
        <w:autoSpaceDE w:val="0"/>
        <w:autoSpaceDN w:val="0"/>
        <w:spacing w:after="0" w:line="240" w:lineRule="auto"/>
        <w:ind w:left="567" w:hanging="567"/>
        <w:rPr>
          <w:rFonts w:ascii="Times New Roman" w:eastAsia="Times New Roman" w:hAnsi="Times New Roman" w:cs="Times New Roman"/>
        </w:rPr>
      </w:pPr>
      <w:r w:rsidRPr="00DF20DE">
        <w:rPr>
          <w:rFonts w:ascii="Times New Roman" w:eastAsia="Times New Roman" w:hAnsi="Times New Roman" w:cs="Times New Roman"/>
        </w:rPr>
        <w:t>nestabilios krūtinės anginos (krūtinės skausmas, kuris nėra gerai valdomas).</w:t>
      </w:r>
    </w:p>
    <w:p w14:paraId="3014B7B2" w14:textId="77777777" w:rsidR="001C139D" w:rsidRPr="00DF20DE" w:rsidRDefault="001C139D" w:rsidP="005D637C">
      <w:pPr>
        <w:pStyle w:val="Sraopastraipa"/>
        <w:ind w:left="0" w:firstLine="0"/>
      </w:pPr>
      <w:r w:rsidRPr="00DF20DE">
        <w:t>Šis vaistas mažina riziką patirti dar vieną širdies priepuolį, insultą ir mirti nuo širdies ar kraujagyslių ligos.</w:t>
      </w:r>
    </w:p>
    <w:p w14:paraId="25D7F511"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68E15900" w14:textId="5728DBB2"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Kaip veikia </w:t>
      </w:r>
      <w:r w:rsidR="008B0463" w:rsidRPr="00DF20DE">
        <w:rPr>
          <w:rFonts w:ascii="Times New Roman" w:eastAsia="Times New Roman" w:hAnsi="Times New Roman" w:cs="Times New Roman"/>
          <w:b/>
          <w:bCs/>
        </w:rPr>
        <w:t>Plategra</w:t>
      </w:r>
    </w:p>
    <w:p w14:paraId="28204E50" w14:textId="11B1A3FB" w:rsidR="001C139D" w:rsidRPr="00DF20DE" w:rsidRDefault="008B0463"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1C139D" w:rsidRPr="00DF20DE">
        <w:rPr>
          <w:rFonts w:ascii="Times New Roman" w:eastAsia="Times New Roman" w:hAnsi="Times New Roman" w:cs="Times New Roman"/>
        </w:rPr>
        <w:t xml:space="preserve"> veikia ląsteles, vadinamas kraujo plokštelėmis (taip pat vadinamas trombocitais). Trombocitai yra labai mažos kraujo ląstelės, kurios padeda stabdyti kraujavimą, sulipdamos viena su kita ir užkimšdamos mažas skylutes įpjautose ar kitaip pažeistose kraujagyslėse.</w:t>
      </w:r>
    </w:p>
    <w:p w14:paraId="7A690975"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1"/>
        </w:rPr>
      </w:pPr>
    </w:p>
    <w:p w14:paraId="2A9CC8C3"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Deja, kraujo plokštelės taip pat gali sudaryti krešulių pažeistų širdies ir smegenų kraujagyslių viduje. Tai gali būti labai pavojinga, kadangi:</w:t>
      </w:r>
    </w:p>
    <w:p w14:paraId="5BCEB309" w14:textId="77777777" w:rsidR="001C139D" w:rsidRPr="00DF20DE" w:rsidRDefault="001C139D" w:rsidP="00B61CB8">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rPr>
      </w:pPr>
      <w:r w:rsidRPr="00DF20DE">
        <w:rPr>
          <w:rFonts w:ascii="Times New Roman" w:eastAsia="Times New Roman" w:hAnsi="Times New Roman" w:cs="Times New Roman"/>
        </w:rPr>
        <w:t>krešulys gali visai užkirsti kelią kraujo tėkmei – tuomet gali ištikti širdies priepuolis (miokardo infarktas) arba insultas arba</w:t>
      </w:r>
    </w:p>
    <w:p w14:paraId="23B74413" w14:textId="77777777" w:rsidR="001C139D" w:rsidRPr="00DF20DE" w:rsidRDefault="001C139D" w:rsidP="00B61CB8">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rPr>
      </w:pPr>
      <w:r w:rsidRPr="00DF20DE">
        <w:rPr>
          <w:rFonts w:ascii="Times New Roman" w:eastAsia="Times New Roman" w:hAnsi="Times New Roman" w:cs="Times New Roman"/>
        </w:rPr>
        <w:t>krešulys gali dalinai užkirsti kelią kraujo tėkmei į širdį ir pabloginti jos kraujotaką – tuomet gali prasidėti krūtinės skausmas, kuris atsiranda ir išnyksta (taip vadinama nestabili krūtinės angina).</w:t>
      </w:r>
    </w:p>
    <w:p w14:paraId="48BB64A5"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1"/>
        </w:rPr>
      </w:pPr>
    </w:p>
    <w:p w14:paraId="5810DC51" w14:textId="66EC875C" w:rsidR="001C139D" w:rsidRPr="00DF20DE" w:rsidRDefault="008B0463"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1C139D" w:rsidRPr="00DF20DE">
        <w:rPr>
          <w:rFonts w:ascii="Times New Roman" w:eastAsia="Times New Roman" w:hAnsi="Times New Roman" w:cs="Times New Roman"/>
        </w:rPr>
        <w:t xml:space="preserve"> padeda neleisti kraujo plokštelėms sulipti </w:t>
      </w:r>
      <w:r w:rsidR="00F70EB6" w:rsidRPr="00DF20DE">
        <w:rPr>
          <w:rFonts w:ascii="Times New Roman" w:eastAsia="Times New Roman" w:hAnsi="Times New Roman" w:cs="Times New Roman"/>
        </w:rPr>
        <w:t>tarpusavyje</w:t>
      </w:r>
      <w:r w:rsidR="001C139D" w:rsidRPr="00DF20DE">
        <w:rPr>
          <w:rFonts w:ascii="Times New Roman" w:eastAsia="Times New Roman" w:hAnsi="Times New Roman" w:cs="Times New Roman"/>
        </w:rPr>
        <w:t xml:space="preserve"> ir tokiu būdu trukdo susidaryti kraujo krešuliui, kuris gali pabloginti kraujotaką.</w:t>
      </w:r>
    </w:p>
    <w:p w14:paraId="19E0E91E"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645BE7A2"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34D2137C" w14:textId="52AA87A4" w:rsidR="001C139D" w:rsidRPr="00DF20DE" w:rsidRDefault="001C139D" w:rsidP="00B61CB8">
      <w:pPr>
        <w:widowControl w:val="0"/>
        <w:numPr>
          <w:ilvl w:val="0"/>
          <w:numId w:val="16"/>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Kas žinotina prieš vartojant </w:t>
      </w:r>
      <w:r w:rsidR="008B0463" w:rsidRPr="00DF20DE">
        <w:rPr>
          <w:rFonts w:ascii="Times New Roman" w:eastAsia="Times New Roman" w:hAnsi="Times New Roman" w:cs="Times New Roman"/>
          <w:b/>
          <w:bCs/>
        </w:rPr>
        <w:t>Plategra</w:t>
      </w:r>
      <w:r w:rsidRPr="00DF20DE">
        <w:rPr>
          <w:rFonts w:ascii="Times New Roman" w:eastAsia="Times New Roman" w:hAnsi="Times New Roman" w:cs="Times New Roman"/>
          <w:b/>
          <w:bCs/>
        </w:rPr>
        <w:t xml:space="preserve"> </w:t>
      </w:r>
    </w:p>
    <w:p w14:paraId="7A424985" w14:textId="77777777" w:rsidR="001C139D" w:rsidRPr="00DF20DE" w:rsidRDefault="001C139D" w:rsidP="001C139D">
      <w:pPr>
        <w:widowControl w:val="0"/>
        <w:tabs>
          <w:tab w:val="left" w:pos="782"/>
          <w:tab w:val="left" w:pos="783"/>
        </w:tabs>
        <w:autoSpaceDE w:val="0"/>
        <w:autoSpaceDN w:val="0"/>
        <w:spacing w:after="0" w:line="240" w:lineRule="auto"/>
        <w:rPr>
          <w:rFonts w:ascii="Times New Roman" w:eastAsia="Times New Roman" w:hAnsi="Times New Roman" w:cs="Times New Roman"/>
        </w:rPr>
      </w:pPr>
    </w:p>
    <w:p w14:paraId="5C0B6C79" w14:textId="0E60DC4D" w:rsidR="001C139D" w:rsidRPr="00DF20DE" w:rsidRDefault="008B0463" w:rsidP="001C139D">
      <w:pPr>
        <w:widowControl w:val="0"/>
        <w:tabs>
          <w:tab w:val="left" w:pos="782"/>
          <w:tab w:val="left" w:pos="783"/>
        </w:tabs>
        <w:autoSpaceDE w:val="0"/>
        <w:autoSpaceDN w:val="0"/>
        <w:spacing w:after="0" w:line="240" w:lineRule="auto"/>
        <w:rPr>
          <w:rFonts w:ascii="Times New Roman" w:eastAsia="Times New Roman" w:hAnsi="Times New Roman" w:cs="Times New Roman"/>
          <w:b/>
          <w:bCs/>
        </w:rPr>
      </w:pPr>
      <w:r w:rsidRPr="00DF20DE">
        <w:rPr>
          <w:rFonts w:ascii="Times New Roman" w:eastAsia="Times New Roman" w:hAnsi="Times New Roman" w:cs="Times New Roman"/>
          <w:b/>
          <w:bCs/>
        </w:rPr>
        <w:t>Plategra</w:t>
      </w:r>
      <w:r w:rsidR="001C139D" w:rsidRPr="00DF20DE">
        <w:rPr>
          <w:rFonts w:ascii="Times New Roman" w:eastAsia="Times New Roman" w:hAnsi="Times New Roman" w:cs="Times New Roman"/>
          <w:b/>
          <w:bCs/>
        </w:rPr>
        <w:t xml:space="preserve"> vartoti draudžiama:</w:t>
      </w:r>
    </w:p>
    <w:p w14:paraId="3D4D5338" w14:textId="77777777" w:rsidR="001C139D" w:rsidRPr="00DF20DE" w:rsidRDefault="001C139D"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jeigu yra alergija tikagrelorui arba bet kuriai pagalbinei šio vaisto medžiagai (jos išvardytos 6 skyriuje);</w:t>
      </w:r>
    </w:p>
    <w:p w14:paraId="5A7E6F72" w14:textId="77777777" w:rsidR="001C139D" w:rsidRPr="00DF20DE" w:rsidRDefault="001C139D"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lastRenderedPageBreak/>
        <w:t>jeigu Jūsų organizme dabar vyksta kraujavimas;</w:t>
      </w:r>
    </w:p>
    <w:p w14:paraId="3F865C07" w14:textId="77777777" w:rsidR="001C139D" w:rsidRPr="00DF20DE" w:rsidRDefault="001C139D"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jeigu Jus buvo ištikęs insultas dėl kraujavimo į smegenis;</w:t>
      </w:r>
    </w:p>
    <w:p w14:paraId="20855CCD" w14:textId="77777777" w:rsidR="001C139D" w:rsidRPr="00DF20DE" w:rsidRDefault="001C139D"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jeigu Jūs sergate sunkia kepenų liga;</w:t>
      </w:r>
    </w:p>
    <w:p w14:paraId="3745D94C" w14:textId="1B11B096" w:rsidR="001C139D" w:rsidRPr="00DF20DE" w:rsidRDefault="001C139D" w:rsidP="00B61CB8">
      <w:pPr>
        <w:widowControl w:val="0"/>
        <w:numPr>
          <w:ilvl w:val="0"/>
          <w:numId w:val="8"/>
        </w:numPr>
        <w:tabs>
          <w:tab w:val="left" w:pos="783"/>
        </w:tabs>
        <w:autoSpaceDE w:val="0"/>
        <w:autoSpaceDN w:val="0"/>
        <w:spacing w:after="0" w:line="240" w:lineRule="auto"/>
        <w:ind w:left="540" w:hanging="540"/>
        <w:jc w:val="both"/>
        <w:rPr>
          <w:rFonts w:ascii="Times New Roman" w:eastAsia="Times New Roman" w:hAnsi="Times New Roman" w:cs="Times New Roman"/>
        </w:rPr>
      </w:pPr>
      <w:r w:rsidRPr="00DF20DE">
        <w:rPr>
          <w:rFonts w:ascii="Times New Roman" w:eastAsia="Times New Roman" w:hAnsi="Times New Roman" w:cs="Times New Roman"/>
        </w:rPr>
        <w:t>jeigu Jūs vartojate kur</w:t>
      </w:r>
      <w:r w:rsidR="00F70EB6"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nors iš šių vaistų: </w:t>
      </w:r>
    </w:p>
    <w:p w14:paraId="0DAE14A0" w14:textId="10B02E01" w:rsidR="001C139D" w:rsidRPr="00DF20DE" w:rsidRDefault="001C139D" w:rsidP="00B61CB8">
      <w:pPr>
        <w:widowControl w:val="0"/>
        <w:numPr>
          <w:ilvl w:val="1"/>
          <w:numId w:val="8"/>
        </w:numPr>
        <w:tabs>
          <w:tab w:val="left" w:pos="783"/>
        </w:tabs>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ketokonazol</w:t>
      </w:r>
      <w:r w:rsidR="00F70EB6" w:rsidRPr="00DF20DE">
        <w:rPr>
          <w:rFonts w:ascii="Times New Roman" w:eastAsia="Times New Roman" w:hAnsi="Times New Roman" w:cs="Times New Roman"/>
        </w:rPr>
        <w:t>o</w:t>
      </w:r>
      <w:r w:rsidRPr="00DF20DE">
        <w:rPr>
          <w:rFonts w:ascii="Times New Roman" w:eastAsia="Times New Roman" w:hAnsi="Times New Roman" w:cs="Times New Roman"/>
        </w:rPr>
        <w:t xml:space="preserve"> (nuo grybelių infekcijos);</w:t>
      </w:r>
    </w:p>
    <w:p w14:paraId="6A59F3B2" w14:textId="51E1A917" w:rsidR="001C139D" w:rsidRPr="00DF20DE" w:rsidRDefault="001C139D" w:rsidP="00B61CB8">
      <w:pPr>
        <w:widowControl w:val="0"/>
        <w:numPr>
          <w:ilvl w:val="1"/>
          <w:numId w:val="8"/>
        </w:numPr>
        <w:tabs>
          <w:tab w:val="left" w:pos="783"/>
        </w:tabs>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klaritromicin</w:t>
      </w:r>
      <w:r w:rsidR="00F70EB6" w:rsidRPr="00DF20DE">
        <w:rPr>
          <w:rFonts w:ascii="Times New Roman" w:eastAsia="Times New Roman" w:hAnsi="Times New Roman" w:cs="Times New Roman"/>
        </w:rPr>
        <w:t>o</w:t>
      </w:r>
      <w:r w:rsidRPr="00DF20DE">
        <w:rPr>
          <w:rFonts w:ascii="Times New Roman" w:eastAsia="Times New Roman" w:hAnsi="Times New Roman" w:cs="Times New Roman"/>
        </w:rPr>
        <w:t xml:space="preserve"> (nuo bakterijų infekcijos);</w:t>
      </w:r>
    </w:p>
    <w:p w14:paraId="17E6EF00" w14:textId="5920B131" w:rsidR="001C139D" w:rsidRPr="00DF20DE" w:rsidRDefault="001C139D" w:rsidP="00B61CB8">
      <w:pPr>
        <w:widowControl w:val="0"/>
        <w:numPr>
          <w:ilvl w:val="1"/>
          <w:numId w:val="8"/>
        </w:numPr>
        <w:tabs>
          <w:tab w:val="left" w:pos="783"/>
        </w:tabs>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nefazodon</w:t>
      </w:r>
      <w:r w:rsidR="00F70EB6" w:rsidRPr="00DF20DE">
        <w:rPr>
          <w:rFonts w:ascii="Times New Roman" w:eastAsia="Times New Roman" w:hAnsi="Times New Roman" w:cs="Times New Roman"/>
        </w:rPr>
        <w:t>o</w:t>
      </w:r>
      <w:r w:rsidRPr="00DF20DE">
        <w:rPr>
          <w:rFonts w:ascii="Times New Roman" w:eastAsia="Times New Roman" w:hAnsi="Times New Roman" w:cs="Times New Roman"/>
        </w:rPr>
        <w:t xml:space="preserve"> (nuo depresijos);</w:t>
      </w:r>
    </w:p>
    <w:p w14:paraId="116B85BB" w14:textId="219F9722" w:rsidR="001C139D" w:rsidRPr="00DF20DE" w:rsidRDefault="001C139D" w:rsidP="00B61CB8">
      <w:pPr>
        <w:widowControl w:val="0"/>
        <w:numPr>
          <w:ilvl w:val="1"/>
          <w:numId w:val="8"/>
        </w:numPr>
        <w:tabs>
          <w:tab w:val="left" w:pos="783"/>
        </w:tabs>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ritonavir</w:t>
      </w:r>
      <w:r w:rsidR="00F70EB6" w:rsidRPr="00DF20DE">
        <w:rPr>
          <w:rFonts w:ascii="Times New Roman" w:eastAsia="Times New Roman" w:hAnsi="Times New Roman" w:cs="Times New Roman"/>
        </w:rPr>
        <w:t>o</w:t>
      </w:r>
      <w:r w:rsidRPr="00DF20DE">
        <w:rPr>
          <w:rFonts w:ascii="Times New Roman" w:eastAsia="Times New Roman" w:hAnsi="Times New Roman" w:cs="Times New Roman"/>
        </w:rPr>
        <w:t xml:space="preserve"> arba atazanavir</w:t>
      </w:r>
      <w:r w:rsidR="00F70EB6" w:rsidRPr="00DF20DE">
        <w:rPr>
          <w:rFonts w:ascii="Times New Roman" w:eastAsia="Times New Roman" w:hAnsi="Times New Roman" w:cs="Times New Roman"/>
        </w:rPr>
        <w:t>o</w:t>
      </w:r>
      <w:r w:rsidRPr="00DF20DE">
        <w:rPr>
          <w:rFonts w:ascii="Times New Roman" w:eastAsia="Times New Roman" w:hAnsi="Times New Roman" w:cs="Times New Roman"/>
        </w:rPr>
        <w:t xml:space="preserve"> (nuo ŽIV infekcijos ir AIDS).</w:t>
      </w:r>
    </w:p>
    <w:p w14:paraId="64F60949" w14:textId="0275C195" w:rsidR="001C139D" w:rsidRPr="00DF20DE" w:rsidRDefault="001C139D" w:rsidP="005D637C">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Jeigu turite kurią nors iš aukščiau išvardytų problemų,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Jums vartoti </w:t>
      </w:r>
      <w:r w:rsidR="00F70EB6" w:rsidRPr="00DF20DE">
        <w:rPr>
          <w:rFonts w:ascii="Times New Roman" w:eastAsia="Times New Roman" w:hAnsi="Times New Roman" w:cs="Times New Roman"/>
        </w:rPr>
        <w:t>draudžiama</w:t>
      </w:r>
      <w:r w:rsidRPr="00DF20DE">
        <w:rPr>
          <w:rFonts w:ascii="Times New Roman" w:eastAsia="Times New Roman" w:hAnsi="Times New Roman" w:cs="Times New Roman"/>
        </w:rPr>
        <w:t>. Jei abejojate, prieš pradėdami vartoti šį vaistą,</w:t>
      </w:r>
      <w:r w:rsidRPr="00DF20DE" w:rsidDel="00471A4C">
        <w:rPr>
          <w:rFonts w:ascii="Times New Roman" w:eastAsia="Times New Roman" w:hAnsi="Times New Roman" w:cs="Times New Roman"/>
        </w:rPr>
        <w:t xml:space="preserve"> </w:t>
      </w:r>
      <w:r w:rsidRPr="00DF20DE">
        <w:rPr>
          <w:rFonts w:ascii="Times New Roman" w:eastAsia="Times New Roman" w:hAnsi="Times New Roman" w:cs="Times New Roman"/>
        </w:rPr>
        <w:t>pasikonsultuokite su gydytoju arba vaistininku.</w:t>
      </w:r>
    </w:p>
    <w:p w14:paraId="4DCF11C1" w14:textId="77777777" w:rsidR="001C139D" w:rsidRPr="00DF20DE" w:rsidRDefault="001C139D" w:rsidP="001C139D">
      <w:pPr>
        <w:widowControl w:val="0"/>
        <w:autoSpaceDE w:val="0"/>
        <w:autoSpaceDN w:val="0"/>
        <w:spacing w:after="0" w:line="240" w:lineRule="auto"/>
        <w:ind w:left="540" w:hanging="540"/>
        <w:rPr>
          <w:rFonts w:ascii="Times New Roman" w:eastAsia="Times New Roman" w:hAnsi="Times New Roman" w:cs="Times New Roman"/>
        </w:rPr>
      </w:pPr>
    </w:p>
    <w:p w14:paraId="1BE909F5" w14:textId="7777777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Įspėjimai ir atsargumo priemonės</w:t>
      </w:r>
    </w:p>
    <w:p w14:paraId="562FC49C" w14:textId="73BB9873"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noProof/>
          <w:snapToGrid w:val="0"/>
          <w:szCs w:val="24"/>
        </w:rPr>
        <w:t>Pasitarkite su gydytoju arba vaistininku, prieš pradėdami vartoti</w:t>
      </w:r>
      <w:r w:rsidRPr="00DF20DE" w:rsidDel="006D6B4A">
        <w:rPr>
          <w:rFonts w:ascii="Times New Roman" w:eastAsia="Times New Roman" w:hAnsi="Times New Roman" w:cs="Times New Roman"/>
        </w:rPr>
        <w:t xml:space="preserv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jeigu:</w:t>
      </w:r>
    </w:p>
    <w:p w14:paraId="01966EE4" w14:textId="77777777" w:rsidR="001C139D" w:rsidRPr="00DF20DE" w:rsidRDefault="001C139D"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Jums padidėjusi kraujavimo rizika dėl:</w:t>
      </w:r>
    </w:p>
    <w:p w14:paraId="0328C89E" w14:textId="77777777" w:rsidR="001C139D" w:rsidRPr="00DF20DE" w:rsidRDefault="001C139D" w:rsidP="00B61CB8">
      <w:pPr>
        <w:widowControl w:val="0"/>
        <w:numPr>
          <w:ilvl w:val="0"/>
          <w:numId w:val="3"/>
        </w:numPr>
        <w:tabs>
          <w:tab w:val="left" w:pos="1210"/>
        </w:tabs>
        <w:autoSpaceDE w:val="0"/>
        <w:autoSpaceDN w:val="0"/>
        <w:spacing w:after="0" w:line="240" w:lineRule="auto"/>
        <w:ind w:left="1080" w:hanging="540"/>
        <w:rPr>
          <w:rFonts w:ascii="Times New Roman" w:eastAsia="Times New Roman" w:hAnsi="Times New Roman" w:cs="Times New Roman"/>
        </w:rPr>
      </w:pPr>
      <w:r w:rsidRPr="00DF20DE">
        <w:rPr>
          <w:rFonts w:ascii="Times New Roman" w:eastAsia="Times New Roman" w:hAnsi="Times New Roman" w:cs="Times New Roman"/>
        </w:rPr>
        <w:t>neseniai patirtos didelės traumos;</w:t>
      </w:r>
    </w:p>
    <w:p w14:paraId="4EA51A2F" w14:textId="77777777" w:rsidR="001C139D" w:rsidRPr="00DF20DE" w:rsidRDefault="001C139D" w:rsidP="00B61CB8">
      <w:pPr>
        <w:widowControl w:val="0"/>
        <w:numPr>
          <w:ilvl w:val="0"/>
          <w:numId w:val="3"/>
        </w:numPr>
        <w:tabs>
          <w:tab w:val="left" w:pos="1210"/>
        </w:tabs>
        <w:autoSpaceDE w:val="0"/>
        <w:autoSpaceDN w:val="0"/>
        <w:spacing w:after="0" w:line="240" w:lineRule="auto"/>
        <w:ind w:left="1080" w:hanging="540"/>
        <w:rPr>
          <w:rFonts w:ascii="Times New Roman" w:eastAsia="Times New Roman" w:hAnsi="Times New Roman" w:cs="Times New Roman"/>
        </w:rPr>
      </w:pPr>
      <w:r w:rsidRPr="00DF20DE">
        <w:rPr>
          <w:rFonts w:ascii="Times New Roman" w:eastAsia="Times New Roman" w:hAnsi="Times New Roman" w:cs="Times New Roman"/>
        </w:rPr>
        <w:t>neseniai atliktos operacijos (įskaitant dantų – apie tai klauskite odontologo);</w:t>
      </w:r>
    </w:p>
    <w:p w14:paraId="2EEA58AC" w14:textId="77777777" w:rsidR="001C139D" w:rsidRPr="00DF20DE" w:rsidRDefault="001C139D" w:rsidP="00B61CB8">
      <w:pPr>
        <w:widowControl w:val="0"/>
        <w:numPr>
          <w:ilvl w:val="0"/>
          <w:numId w:val="3"/>
        </w:numPr>
        <w:tabs>
          <w:tab w:val="left" w:pos="1210"/>
        </w:tabs>
        <w:autoSpaceDE w:val="0"/>
        <w:autoSpaceDN w:val="0"/>
        <w:spacing w:after="0" w:line="240" w:lineRule="auto"/>
        <w:ind w:left="1080" w:hanging="540"/>
        <w:rPr>
          <w:rFonts w:ascii="Times New Roman" w:eastAsia="Times New Roman" w:hAnsi="Times New Roman" w:cs="Times New Roman"/>
        </w:rPr>
      </w:pPr>
      <w:r w:rsidRPr="00DF20DE">
        <w:rPr>
          <w:rFonts w:ascii="Times New Roman" w:eastAsia="Times New Roman" w:hAnsi="Times New Roman" w:cs="Times New Roman"/>
        </w:rPr>
        <w:t>ligos, dėl kurios sutrinka kraujo krešėjimas;</w:t>
      </w:r>
    </w:p>
    <w:p w14:paraId="6F5896AC" w14:textId="77777777" w:rsidR="001C139D" w:rsidRPr="00DF20DE" w:rsidRDefault="001C139D" w:rsidP="00B61CB8">
      <w:pPr>
        <w:widowControl w:val="0"/>
        <w:numPr>
          <w:ilvl w:val="0"/>
          <w:numId w:val="3"/>
        </w:numPr>
        <w:tabs>
          <w:tab w:val="left" w:pos="1210"/>
        </w:tabs>
        <w:autoSpaceDE w:val="0"/>
        <w:autoSpaceDN w:val="0"/>
        <w:spacing w:after="0" w:line="240" w:lineRule="auto"/>
        <w:ind w:left="1080" w:hanging="540"/>
        <w:rPr>
          <w:rFonts w:ascii="Times New Roman" w:eastAsia="Times New Roman" w:hAnsi="Times New Roman" w:cs="Times New Roman"/>
        </w:rPr>
      </w:pPr>
      <w:r w:rsidRPr="00DF20DE">
        <w:rPr>
          <w:rFonts w:ascii="Times New Roman" w:eastAsia="Times New Roman" w:hAnsi="Times New Roman" w:cs="Times New Roman"/>
        </w:rPr>
        <w:t>neseniai buvusio kraujavimo iš skrandžio arba žarnyno (pvz., dėl skrandžio opos arba storosios žarnos polipų);</w:t>
      </w:r>
    </w:p>
    <w:p w14:paraId="34993CAC" w14:textId="350831A9" w:rsidR="001C139D" w:rsidRPr="00DF20DE" w:rsidRDefault="001C139D" w:rsidP="00B61CB8">
      <w:pPr>
        <w:widowControl w:val="0"/>
        <w:numPr>
          <w:ilvl w:val="0"/>
          <w:numId w:val="8"/>
        </w:numPr>
        <w:tabs>
          <w:tab w:val="left" w:pos="783"/>
        </w:tabs>
        <w:autoSpaceDE w:val="0"/>
        <w:autoSpaceDN w:val="0"/>
        <w:spacing w:after="0" w:line="240" w:lineRule="auto"/>
        <w:ind w:left="540" w:hanging="540"/>
        <w:jc w:val="both"/>
        <w:rPr>
          <w:rFonts w:ascii="Times New Roman" w:eastAsia="Times New Roman" w:hAnsi="Times New Roman" w:cs="Times New Roman"/>
        </w:rPr>
      </w:pPr>
      <w:r w:rsidRPr="00DF20DE">
        <w:rPr>
          <w:rFonts w:ascii="Times New Roman" w:eastAsia="Times New Roman" w:hAnsi="Times New Roman" w:cs="Times New Roman"/>
        </w:rPr>
        <w:t xml:space="preserve">ruošiatės operacijai (įskaitant dantų)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vartojimo laikotarpiu. Tai svarbu dėl kraujavimo rizikos padidėjimo. Gydytojas gali Jums nurodyti nutraukti šio vaisto vartojimą likus 5 paroms iki operacijos;</w:t>
      </w:r>
    </w:p>
    <w:p w14:paraId="75B95372" w14:textId="77777777" w:rsidR="001C139D" w:rsidRPr="00DF20DE" w:rsidRDefault="001C139D" w:rsidP="00B61CB8">
      <w:pPr>
        <w:widowControl w:val="0"/>
        <w:numPr>
          <w:ilvl w:val="0"/>
          <w:numId w:val="8"/>
        </w:numPr>
        <w:tabs>
          <w:tab w:val="left" w:pos="783"/>
        </w:tabs>
        <w:autoSpaceDE w:val="0"/>
        <w:autoSpaceDN w:val="0"/>
        <w:spacing w:after="0" w:line="240" w:lineRule="auto"/>
        <w:ind w:left="540" w:hanging="540"/>
        <w:jc w:val="both"/>
        <w:rPr>
          <w:rFonts w:ascii="Times New Roman" w:eastAsia="Times New Roman" w:hAnsi="Times New Roman" w:cs="Times New Roman"/>
        </w:rPr>
      </w:pPr>
      <w:r w:rsidRPr="00DF20DE">
        <w:rPr>
          <w:rFonts w:ascii="Times New Roman" w:eastAsia="Times New Roman" w:hAnsi="Times New Roman" w:cs="Times New Roman"/>
        </w:rPr>
        <w:t>Jūsų širdies susitraukimų dažnis yra per mažas (mažesnis kaip 60 kartų per minutę) ir neturite įdėto širdies ritmą reguliuojančio prietaiso (stimuliatoriaus);</w:t>
      </w:r>
    </w:p>
    <w:p w14:paraId="61C328C2" w14:textId="77777777" w:rsidR="001C139D" w:rsidRPr="00DF20DE" w:rsidRDefault="001C139D"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Jūs sergate astma ar kita plaučių liga arba Jūsų kvėpavimas sutrikęs dėl kitos priežasties;</w:t>
      </w:r>
    </w:p>
    <w:p w14:paraId="16FF8D7F" w14:textId="77777777" w:rsidR="001C139D" w:rsidRPr="00DF20DE" w:rsidRDefault="001C139D"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Jūsų kvėpavimas pasidarytų netaisyklingas, pvz., pagreitėtų, sulėtėtų arba atsirastų trumpų</w:t>
      </w:r>
    </w:p>
    <w:p w14:paraId="64E3EDA4" w14:textId="77777777" w:rsidR="001C139D" w:rsidRPr="00DF20DE" w:rsidRDefault="001C139D" w:rsidP="005D637C">
      <w:pPr>
        <w:widowControl w:val="0"/>
        <w:tabs>
          <w:tab w:val="left" w:pos="782"/>
          <w:tab w:val="left" w:pos="783"/>
        </w:tabs>
        <w:autoSpaceDE w:val="0"/>
        <w:autoSpaceDN w:val="0"/>
        <w:spacing w:after="0" w:line="240" w:lineRule="auto"/>
        <w:ind w:left="540"/>
        <w:rPr>
          <w:rFonts w:ascii="Times New Roman" w:eastAsia="Times New Roman" w:hAnsi="Times New Roman" w:cs="Times New Roman"/>
        </w:rPr>
      </w:pPr>
      <w:r w:rsidRPr="00DF20DE">
        <w:rPr>
          <w:rFonts w:ascii="Times New Roman" w:eastAsia="Times New Roman" w:hAnsi="Times New Roman" w:cs="Times New Roman"/>
        </w:rPr>
        <w:t>kvėpavimo pauzių. Tokiu atveju gydytojas nuspręs, ar Jums reikia išsamesnių tyrimų;</w:t>
      </w:r>
    </w:p>
    <w:p w14:paraId="1720A8BD" w14:textId="77777777" w:rsidR="001C139D" w:rsidRPr="00DF20DE" w:rsidRDefault="001C139D" w:rsidP="00B61CB8">
      <w:pPr>
        <w:widowControl w:val="0"/>
        <w:numPr>
          <w:ilvl w:val="0"/>
          <w:numId w:val="8"/>
        </w:numPr>
        <w:tabs>
          <w:tab w:val="left" w:pos="758"/>
          <w:tab w:val="left" w:pos="759"/>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turite kokių nors kepenų sutrikimų arba anksčiau sirgote kokia nors galėjusia jas pažeisti liga;</w:t>
      </w:r>
    </w:p>
    <w:p w14:paraId="5AF60D4F" w14:textId="77777777" w:rsidR="001C139D" w:rsidRPr="00DF20DE" w:rsidRDefault="001C139D" w:rsidP="00B61CB8">
      <w:pPr>
        <w:widowControl w:val="0"/>
        <w:numPr>
          <w:ilvl w:val="0"/>
          <w:numId w:val="8"/>
        </w:numPr>
        <w:tabs>
          <w:tab w:val="left" w:pos="758"/>
          <w:tab w:val="left" w:pos="759"/>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Jūsų kraujo tyrimas parodė padidėjusį šlapimo rūgšties kiekį.</w:t>
      </w:r>
    </w:p>
    <w:p w14:paraId="2C6987D0" w14:textId="05A760E9" w:rsidR="001C139D" w:rsidRPr="00DF20DE" w:rsidRDefault="001C139D" w:rsidP="005D637C">
      <w:pPr>
        <w:spacing w:after="0" w:line="240" w:lineRule="auto"/>
        <w:rPr>
          <w:rFonts w:ascii="Times New Roman" w:eastAsia="Times New Roman" w:hAnsi="Times New Roman" w:cs="Times New Roman"/>
        </w:rPr>
      </w:pPr>
      <w:r w:rsidRPr="00DF20DE">
        <w:rPr>
          <w:rFonts w:ascii="Times New Roman" w:hAnsi="Times New Roman" w:cs="Times New Roman"/>
        </w:rPr>
        <w:t>Jeigu kuri nors iš anksčiau išvardytų būklių Jums tinka arba dėl to abejojate, prieš pradėdami vartoti š</w:t>
      </w:r>
      <w:r w:rsidR="00FD006B" w:rsidRPr="00DF20DE">
        <w:rPr>
          <w:rFonts w:ascii="Times New Roman" w:hAnsi="Times New Roman" w:cs="Times New Roman"/>
        </w:rPr>
        <w:t>į</w:t>
      </w:r>
      <w:r w:rsidRPr="00DF20DE">
        <w:rPr>
          <w:rFonts w:ascii="Times New Roman" w:hAnsi="Times New Roman" w:cs="Times New Roman"/>
        </w:rPr>
        <w:t xml:space="preserve"> vaist</w:t>
      </w:r>
      <w:r w:rsidR="00FD006B" w:rsidRPr="00DF20DE">
        <w:rPr>
          <w:rFonts w:ascii="Times New Roman" w:hAnsi="Times New Roman" w:cs="Times New Roman"/>
        </w:rPr>
        <w:t>ą</w:t>
      </w:r>
      <w:r w:rsidRPr="00DF20DE">
        <w:rPr>
          <w:rFonts w:ascii="Times New Roman" w:hAnsi="Times New Roman" w:cs="Times New Roman"/>
        </w:rPr>
        <w:t>, pasitarkite su gydytoju arba vaistininku</w:t>
      </w:r>
      <w:r w:rsidRPr="00DF20DE">
        <w:rPr>
          <w:rFonts w:ascii="Times New Roman" w:eastAsia="Times New Roman" w:hAnsi="Times New Roman" w:cs="Times New Roman"/>
        </w:rPr>
        <w:t>.</w:t>
      </w:r>
    </w:p>
    <w:p w14:paraId="678BF08E"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1"/>
        </w:rPr>
      </w:pPr>
    </w:p>
    <w:p w14:paraId="7E98680D" w14:textId="61BC1BC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Jeigu Jūs kartu vartojate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ir heparino:</w:t>
      </w:r>
    </w:p>
    <w:p w14:paraId="37DCAD37" w14:textId="7A901684" w:rsidR="001C139D" w:rsidRPr="00DF20DE" w:rsidRDefault="001C139D" w:rsidP="00B61CB8">
      <w:pPr>
        <w:widowControl w:val="0"/>
        <w:numPr>
          <w:ilvl w:val="0"/>
          <w:numId w:val="8"/>
        </w:numPr>
        <w:tabs>
          <w:tab w:val="left" w:pos="567"/>
          <w:tab w:val="left" w:pos="782"/>
          <w:tab w:val="left" w:pos="783"/>
        </w:tabs>
        <w:autoSpaceDE w:val="0"/>
        <w:autoSpaceDN w:val="0"/>
        <w:spacing w:after="0" w:line="240" w:lineRule="auto"/>
        <w:ind w:left="0" w:firstLine="0"/>
        <w:rPr>
          <w:rFonts w:ascii="Times New Roman" w:eastAsia="Times New Roman" w:hAnsi="Times New Roman" w:cs="Times New Roman"/>
        </w:rPr>
      </w:pPr>
      <w:r w:rsidRPr="00DF20DE">
        <w:rPr>
          <w:rFonts w:ascii="Times New Roman" w:eastAsia="Times New Roman" w:hAnsi="Times New Roman" w:cs="Times New Roman"/>
        </w:rPr>
        <w:t xml:space="preserve">jeigu Jūsų gydytojas įtaria heparino sukeltą retą kraujo plokštelių funkcijos sutrikimą, jis gali nurodyti paimti diagnostinį kraujo mėginį.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gali iškreipti šio diagnostinio mėginio duomenis, todėl svarbu pasakyti gydytojui, jog kartu vartojate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ir heparin</w:t>
      </w:r>
      <w:r w:rsidR="00F70EB6" w:rsidRPr="00DF20DE">
        <w:rPr>
          <w:rFonts w:ascii="Times New Roman" w:eastAsia="Times New Roman" w:hAnsi="Times New Roman" w:cs="Times New Roman"/>
        </w:rPr>
        <w:t>o</w:t>
      </w:r>
      <w:r w:rsidRPr="00DF20DE">
        <w:rPr>
          <w:rFonts w:ascii="Times New Roman" w:eastAsia="Times New Roman" w:hAnsi="Times New Roman" w:cs="Times New Roman"/>
        </w:rPr>
        <w:t>.</w:t>
      </w:r>
    </w:p>
    <w:p w14:paraId="27EDDF70"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6BA197F6" w14:textId="7777777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Vaikams ir paaugliams</w:t>
      </w:r>
    </w:p>
    <w:p w14:paraId="314FB520" w14:textId="30DCA8C3"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Šio vaisto nerekomenduojama vartoti vaikams ir jaunesniems kaip 18 metų paaugliams.</w:t>
      </w:r>
    </w:p>
    <w:p w14:paraId="59E450BC"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26FA1A69" w14:textId="4937F0F2" w:rsidR="001C139D" w:rsidRPr="00DF20DE" w:rsidRDefault="001C139D" w:rsidP="001C139D">
      <w:pPr>
        <w:widowControl w:val="0"/>
        <w:autoSpaceDE w:val="0"/>
        <w:autoSpaceDN w:val="0"/>
        <w:spacing w:after="0" w:line="240" w:lineRule="auto"/>
        <w:jc w:val="both"/>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Kiti vaistai ir </w:t>
      </w:r>
      <w:r w:rsidR="008B0463" w:rsidRPr="00DF20DE">
        <w:rPr>
          <w:rFonts w:ascii="Times New Roman" w:eastAsia="Times New Roman" w:hAnsi="Times New Roman" w:cs="Times New Roman"/>
          <w:b/>
          <w:bCs/>
        </w:rPr>
        <w:t>Plategra</w:t>
      </w:r>
    </w:p>
    <w:p w14:paraId="63D3E703" w14:textId="49F3C2FC" w:rsidR="001C139D" w:rsidRPr="00DF20DE" w:rsidRDefault="001C139D" w:rsidP="001C139D">
      <w:pPr>
        <w:widowControl w:val="0"/>
        <w:autoSpaceDE w:val="0"/>
        <w:autoSpaceDN w:val="0"/>
        <w:spacing w:after="0" w:line="240" w:lineRule="auto"/>
        <w:jc w:val="both"/>
        <w:rPr>
          <w:rFonts w:ascii="Times New Roman" w:eastAsia="Times New Roman" w:hAnsi="Times New Roman" w:cs="Times New Roman"/>
        </w:rPr>
      </w:pPr>
      <w:r w:rsidRPr="00DF20DE">
        <w:rPr>
          <w:rFonts w:ascii="Times New Roman" w:eastAsia="Times New Roman" w:hAnsi="Times New Roman" w:cs="Times New Roman"/>
        </w:rPr>
        <w:t xml:space="preserve">Jeigu vartojate arba neseniai vartojote kitų vaistų arba jeigu dėl to nesate tikri, pasakykite gydytojui arba vaistininkui. Tai svarbu dėl to, kad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gali keisti kai kurių kitų vaistų veikimą, o kai kurie kiti vaistai –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veikimą.</w:t>
      </w:r>
    </w:p>
    <w:p w14:paraId="5352591F"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1"/>
        </w:rPr>
      </w:pPr>
    </w:p>
    <w:p w14:paraId="1931DDD8" w14:textId="1C42FD29"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Pasakykite gydytojui arba vaistininkui, jeigu vartojate kurio nors iš šių vaistų:</w:t>
      </w:r>
    </w:p>
    <w:p w14:paraId="29186A4E" w14:textId="77777777" w:rsidR="001C139D" w:rsidRPr="00DF20DE" w:rsidRDefault="001C139D"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rozuvastatino (vaisto padidėjusiam cholesterolio kiekiui mažinti);</w:t>
      </w:r>
    </w:p>
    <w:p w14:paraId="28B30D13" w14:textId="77777777" w:rsidR="001C139D" w:rsidRPr="00DF20DE" w:rsidRDefault="001C139D"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daugiau kaip 40 mg per parą simvastatino ar lovastatino (vaistų padidėjusiai cholesterolio koncentracijai mažinti);</w:t>
      </w:r>
    </w:p>
    <w:p w14:paraId="78096A77" w14:textId="77777777" w:rsidR="001C139D" w:rsidRPr="00DF20DE" w:rsidRDefault="001C139D"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rifampicino (antibiotiko);</w:t>
      </w:r>
    </w:p>
    <w:p w14:paraId="1C464BE5" w14:textId="77777777" w:rsidR="001C139D" w:rsidRPr="00DF20DE" w:rsidRDefault="001C139D"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fenitoino, karbamazepino ar fenobarbitalio (jų skiriama norint išvengti traukulių);</w:t>
      </w:r>
    </w:p>
    <w:p w14:paraId="4FDA62FD" w14:textId="77777777" w:rsidR="001C139D" w:rsidRPr="00DF20DE" w:rsidRDefault="001C139D"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digoksino (jo skiriama širdies nepakankamumui gydyti);</w:t>
      </w:r>
    </w:p>
    <w:p w14:paraId="081452BD" w14:textId="04BCB84D" w:rsidR="001C139D" w:rsidRPr="00DF20DE" w:rsidRDefault="001C139D"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 xml:space="preserve">ciklosporino (jo skiriama Jūsų organizmo savigynai </w:t>
      </w:r>
      <w:r w:rsidR="00F70EB6" w:rsidRPr="00DF20DE">
        <w:rPr>
          <w:rFonts w:ascii="Times New Roman" w:eastAsia="Times New Roman" w:hAnsi="Times New Roman" w:cs="Times New Roman"/>
        </w:rPr>
        <w:t>(imuninei sistemai) slopinti</w:t>
      </w:r>
      <w:r w:rsidRPr="00DF20DE">
        <w:rPr>
          <w:rFonts w:ascii="Times New Roman" w:eastAsia="Times New Roman" w:hAnsi="Times New Roman" w:cs="Times New Roman"/>
        </w:rPr>
        <w:t>);</w:t>
      </w:r>
    </w:p>
    <w:p w14:paraId="0EB6D370" w14:textId="77777777" w:rsidR="001C139D" w:rsidRPr="00DF20DE" w:rsidRDefault="001C139D"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chinidino ar diltiazemo (jų skiriama nuo širdies ritmo sutrikimų);</w:t>
      </w:r>
    </w:p>
    <w:p w14:paraId="16DA1AB3" w14:textId="77777777" w:rsidR="001C139D" w:rsidRPr="00DF20DE" w:rsidRDefault="001C139D"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beta blokatorių ar verapamilio (jų skiriama padidėjusiam kraujospūdžiui mažinti);</w:t>
      </w:r>
    </w:p>
    <w:p w14:paraId="483F028B" w14:textId="77777777" w:rsidR="001C139D" w:rsidRPr="00DF20DE" w:rsidRDefault="001C139D" w:rsidP="00B61CB8">
      <w:pPr>
        <w:widowControl w:val="0"/>
        <w:numPr>
          <w:ilvl w:val="1"/>
          <w:numId w:val="12"/>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morfino ar kitų opioidų (jų skiriama stipriam skausmui malšinti).</w:t>
      </w:r>
    </w:p>
    <w:p w14:paraId="34516D35"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1"/>
        </w:rPr>
      </w:pPr>
    </w:p>
    <w:p w14:paraId="32D75482" w14:textId="50F6D55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Pasakyti gydytojui arba vaistininkui ypač svarbu, jeigu vartojate kurio nors iš šių vaistų, galinčių didinti kraujavimo pavojų:</w:t>
      </w:r>
    </w:p>
    <w:p w14:paraId="09D1D94B" w14:textId="77777777" w:rsidR="001C139D" w:rsidRPr="00DF20DE" w:rsidRDefault="001C139D" w:rsidP="00B61CB8">
      <w:pPr>
        <w:widowControl w:val="0"/>
        <w:numPr>
          <w:ilvl w:val="1"/>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per burną vartojamų antikoaguliantų, dažnai vadinamų „kraują skystinančiais vaistais“ (varfarino);</w:t>
      </w:r>
    </w:p>
    <w:p w14:paraId="5289D275" w14:textId="77777777" w:rsidR="001C139D" w:rsidRPr="00DF20DE" w:rsidRDefault="001C139D" w:rsidP="00B61CB8">
      <w:pPr>
        <w:widowControl w:val="0"/>
        <w:numPr>
          <w:ilvl w:val="1"/>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nesteroidinių vaistų nuo uždegimo (santrumpa – NVNU), dažnai vartojamų skausmui malšinti (pvz., ibuprofeno ar naprokseno);</w:t>
      </w:r>
    </w:p>
    <w:p w14:paraId="0C5BC5E6" w14:textId="77777777" w:rsidR="001C139D" w:rsidRPr="00DF20DE" w:rsidRDefault="001C139D" w:rsidP="00B61CB8">
      <w:pPr>
        <w:widowControl w:val="0"/>
        <w:numPr>
          <w:ilvl w:val="1"/>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selektyvių serotonino reabsorbcijos inhibitorių (santrumpa – SSRI), pvz., paroksetino, sertralino arba citalopramo (jų skiriama nuo depresijos);</w:t>
      </w:r>
    </w:p>
    <w:p w14:paraId="37C3B18B" w14:textId="77777777" w:rsidR="001C139D" w:rsidRPr="00DF20DE" w:rsidRDefault="001C139D" w:rsidP="00B61CB8">
      <w:pPr>
        <w:widowControl w:val="0"/>
        <w:numPr>
          <w:ilvl w:val="1"/>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kitų vaistų, ypač ketokonazolo (nuo grybelių infekcijos), klaritromicino (nuo bakterijų infekcijos), nefazodono (nuo depresijos), ritonaviro arba atazanaviro (nuo ŽIV infekcijos ir AIDS), cizaprido (nuo rėmens), skalsių alkaloidų (nuo migrenos ir galvos skausmo).</w:t>
      </w:r>
    </w:p>
    <w:p w14:paraId="697EE2AE" w14:textId="77777777" w:rsidR="001C139D" w:rsidRPr="00DF20DE" w:rsidRDefault="001C139D" w:rsidP="001C139D">
      <w:pPr>
        <w:widowControl w:val="0"/>
        <w:autoSpaceDE w:val="0"/>
        <w:autoSpaceDN w:val="0"/>
        <w:spacing w:after="0" w:line="240" w:lineRule="auto"/>
        <w:ind w:left="540" w:hanging="540"/>
        <w:rPr>
          <w:rFonts w:ascii="Times New Roman" w:eastAsia="Times New Roman" w:hAnsi="Times New Roman" w:cs="Times New Roman"/>
        </w:rPr>
      </w:pPr>
    </w:p>
    <w:p w14:paraId="43CB2E76" w14:textId="5EC27CAC"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Priminkite gydytojui, kad vartojate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jeigu jis Jums skiria fibrinolizę skatinančių vaistų, dažnai vadinamų tirpdančiais krešulius (pvz., streptokinazės ar alteplazės), kadangi gali padidėti kraujavimo pavojus.</w:t>
      </w:r>
    </w:p>
    <w:p w14:paraId="64C24B5E"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0CD24193" w14:textId="7777777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Nėštumas ir žindymo laikotarpis</w:t>
      </w:r>
    </w:p>
    <w:p w14:paraId="792A5182"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hAnsi="Times New Roman" w:cs="Times New Roman"/>
          <w:noProof/>
          <w:snapToGrid w:val="0"/>
          <w:szCs w:val="24"/>
        </w:rPr>
        <w:t>Jeigu esate nėščia, žindote kūdikį, manote, kad galbūt esate nėščia, arba planuojate pastoti, tai prieš vartodama šį vaistą pasitarkite su gydytoju arba vaistininku</w:t>
      </w:r>
      <w:r w:rsidRPr="00DF20DE">
        <w:rPr>
          <w:rFonts w:ascii="Times New Roman" w:eastAsia="Times New Roman" w:hAnsi="Times New Roman" w:cs="Times New Roman"/>
        </w:rPr>
        <w:t>.</w:t>
      </w:r>
    </w:p>
    <w:p w14:paraId="6785CF67"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137280E8" w14:textId="1BA3D24A"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Jeigu esate nėščia arba galite pastoti,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vartoti negalima. Kol vartoja šio vaisto, moterys turi taikyti atitinkamą kontracepciją, kad nepastotų.</w:t>
      </w:r>
    </w:p>
    <w:p w14:paraId="2AC7F9A2"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1"/>
        </w:rPr>
      </w:pPr>
    </w:p>
    <w:p w14:paraId="54C07BEA" w14:textId="38C1088B"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Jeigu žindote kūdikį, prieš pradėdama vartoti š</w:t>
      </w:r>
      <w:r w:rsidR="003C20D9"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vaist</w:t>
      </w:r>
      <w:r w:rsidR="003C20D9" w:rsidRPr="00DF20DE">
        <w:rPr>
          <w:rFonts w:ascii="Times New Roman" w:eastAsia="Times New Roman" w:hAnsi="Times New Roman" w:cs="Times New Roman"/>
        </w:rPr>
        <w:t>o</w:t>
      </w:r>
      <w:r w:rsidRPr="00DF20DE">
        <w:rPr>
          <w:rFonts w:ascii="Times New Roman" w:eastAsia="Times New Roman" w:hAnsi="Times New Roman" w:cs="Times New Roman"/>
        </w:rPr>
        <w:t xml:space="preserve"> apie tai pasakykite gydytojui, kuris papasakos apie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vartojimo žindymo laikotarpiu naudą ir riziką.</w:t>
      </w:r>
    </w:p>
    <w:p w14:paraId="775EA575"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1"/>
        </w:rPr>
      </w:pPr>
    </w:p>
    <w:p w14:paraId="0C4A3424" w14:textId="7777777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Vairavimas ir mechanizmų valdymas</w:t>
      </w:r>
    </w:p>
    <w:p w14:paraId="15BF07F2" w14:textId="21B9D1E5"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Šis vaistas neturėtų įtakoti gebėjimo vairuoti ir valdyti mechanizmus. Vis dėlto, jeigu vartojant šį vaistą jaučiate svaigulį ar sumišimą, vairuokite ir valdykite mechanizmus atsargiai.</w:t>
      </w:r>
    </w:p>
    <w:p w14:paraId="5CA09199"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16FE8DC0" w14:textId="1CEF4EA2" w:rsidR="001C139D" w:rsidRPr="00DF20DE" w:rsidRDefault="008B0463"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Plategra</w:t>
      </w:r>
      <w:r w:rsidR="001C139D" w:rsidRPr="00DF20DE">
        <w:rPr>
          <w:rFonts w:ascii="Times New Roman" w:eastAsia="Times New Roman" w:hAnsi="Times New Roman" w:cs="Times New Roman"/>
          <w:b/>
          <w:bCs/>
        </w:rPr>
        <w:t xml:space="preserve"> sudėtyje yra natrio</w:t>
      </w:r>
    </w:p>
    <w:p w14:paraId="3E90B932" w14:textId="3D1C5F09"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Šio vaisto </w:t>
      </w:r>
      <w:r w:rsidR="00E87AD2" w:rsidRPr="00DF20DE">
        <w:rPr>
          <w:rFonts w:ascii="Times New Roman" w:eastAsia="Times New Roman" w:hAnsi="Times New Roman" w:cs="Times New Roman"/>
        </w:rPr>
        <w:t xml:space="preserve">tabletėje </w:t>
      </w:r>
      <w:r w:rsidRPr="00DF20DE">
        <w:rPr>
          <w:rFonts w:ascii="Times New Roman" w:eastAsia="Times New Roman" w:hAnsi="Times New Roman" w:cs="Times New Roman"/>
        </w:rPr>
        <w:t xml:space="preserve">yra mažiau kaip </w:t>
      </w:r>
      <w:r w:rsidR="00601C23" w:rsidRPr="00DF20DE">
        <w:rPr>
          <w:rFonts w:ascii="Times New Roman" w:eastAsia="Times New Roman" w:hAnsi="Times New Roman" w:cs="Times New Roman"/>
        </w:rPr>
        <w:t>1</w:t>
      </w:r>
      <w:r w:rsidR="00601C23">
        <w:rPr>
          <w:rFonts w:ascii="Times New Roman" w:eastAsia="Times New Roman" w:hAnsi="Times New Roman" w:cs="Times New Roman"/>
        </w:rPr>
        <w:t> </w:t>
      </w:r>
      <w:r w:rsidRPr="00DF20DE">
        <w:rPr>
          <w:rFonts w:ascii="Times New Roman" w:eastAsia="Times New Roman" w:hAnsi="Times New Roman" w:cs="Times New Roman"/>
        </w:rPr>
        <w:t>mmol (23 mg) natrio, t. y. jis beveik neturi reikšmės.</w:t>
      </w:r>
    </w:p>
    <w:p w14:paraId="511D80B7"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4"/>
        </w:rPr>
      </w:pPr>
    </w:p>
    <w:p w14:paraId="73DFC63E"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0"/>
        </w:rPr>
      </w:pPr>
    </w:p>
    <w:p w14:paraId="6AC52997" w14:textId="0F404899" w:rsidR="001C139D" w:rsidRPr="00DF20DE" w:rsidRDefault="001C139D" w:rsidP="00B61CB8">
      <w:pPr>
        <w:widowControl w:val="0"/>
        <w:numPr>
          <w:ilvl w:val="0"/>
          <w:numId w:val="16"/>
        </w:numPr>
        <w:tabs>
          <w:tab w:val="left" w:pos="782"/>
          <w:tab w:val="left" w:pos="783"/>
        </w:tabs>
        <w:autoSpaceDE w:val="0"/>
        <w:autoSpaceDN w:val="0"/>
        <w:spacing w:after="0" w:line="240" w:lineRule="auto"/>
        <w:ind w:left="567"/>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Kaip vartoti </w:t>
      </w:r>
      <w:r w:rsidR="008B0463" w:rsidRPr="00DF20DE">
        <w:rPr>
          <w:rFonts w:ascii="Times New Roman" w:eastAsia="Times New Roman" w:hAnsi="Times New Roman" w:cs="Times New Roman"/>
          <w:b/>
          <w:bCs/>
        </w:rPr>
        <w:t>Plategra</w:t>
      </w:r>
    </w:p>
    <w:p w14:paraId="28D96371"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b/>
          <w:sz w:val="21"/>
        </w:rPr>
      </w:pPr>
    </w:p>
    <w:p w14:paraId="36C8BAF2"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Visada vartokite šį vaistą tiksliai kaip nurodė gydytojas ar vaistininkas. Jeigu abejojate, kreipkitės į gydytoją arba vaistininką.</w:t>
      </w:r>
    </w:p>
    <w:p w14:paraId="4DB8A809"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40133E1B" w14:textId="7777777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Kokią dozę vartoti</w:t>
      </w:r>
    </w:p>
    <w:p w14:paraId="3D426DAC" w14:textId="2B73C215" w:rsidR="001C139D" w:rsidRPr="00DF20DE" w:rsidRDefault="001C139D"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Pradinę dozę sudaro 2 tabletės, kurios išgeriamos iš karto (tai taip vadinama 180 mg įsotinimo</w:t>
      </w:r>
    </w:p>
    <w:p w14:paraId="38762D7C" w14:textId="77777777" w:rsidR="001C139D" w:rsidRPr="00DF20DE" w:rsidRDefault="001C139D" w:rsidP="005D637C">
      <w:pPr>
        <w:widowControl w:val="0"/>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dozė). Paprastai ji vartojama ligoninėje.</w:t>
      </w:r>
    </w:p>
    <w:p w14:paraId="28BBCB42" w14:textId="77777777" w:rsidR="001C139D" w:rsidRPr="00DF20DE" w:rsidRDefault="001C139D"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Po šios pradinės dozės paprastai vartojama po vieną 90 mg tabletę 2 kartus per parą iki 12 mėn.</w:t>
      </w:r>
    </w:p>
    <w:p w14:paraId="47717B51" w14:textId="77777777" w:rsidR="001C139D" w:rsidRPr="00DF20DE" w:rsidRDefault="001C139D" w:rsidP="005D637C">
      <w:pPr>
        <w:widowControl w:val="0"/>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(išskyrus atvejus, kai gydytojas nurodo kitaip).</w:t>
      </w:r>
    </w:p>
    <w:p w14:paraId="6794B22F" w14:textId="77777777" w:rsidR="001C139D" w:rsidRPr="00DF20DE" w:rsidRDefault="001C139D"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Gerkite šį vaistą kasdien maždaug tuo pačiu laiku (pvz., po vieną tabletę ryte ir vakare).</w:t>
      </w:r>
    </w:p>
    <w:p w14:paraId="4E849428"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4F34AFA0" w14:textId="6A27B7DB" w:rsidR="001C139D" w:rsidRPr="00DF20DE" w:rsidRDefault="008B0463"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Plategra</w:t>
      </w:r>
      <w:r w:rsidR="001C139D" w:rsidRPr="00DF20DE">
        <w:rPr>
          <w:rFonts w:ascii="Times New Roman" w:eastAsia="Times New Roman" w:hAnsi="Times New Roman" w:cs="Times New Roman"/>
          <w:b/>
          <w:bCs/>
        </w:rPr>
        <w:t xml:space="preserve"> vartojimas kartu su kitais vaistais, skirtais apsaugoti nuo kraujo krešulių</w:t>
      </w:r>
    </w:p>
    <w:p w14:paraId="334278F3"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Gydytojas paprastai nurodo kartu vartoti acetilsalicilo rūgšties, kurios yra daugelio vaistų, vartojamų norint išvengti kraujo krešulių susidarymo, sudėtyje. Taip pat gydytojas nurodys reikalingą acetilsalicilo rūgšties dozę (paprastai ji būna 75-150 mg per parą).</w:t>
      </w:r>
    </w:p>
    <w:p w14:paraId="1826C45E"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1"/>
        </w:rPr>
      </w:pPr>
    </w:p>
    <w:p w14:paraId="22480592" w14:textId="7B443056"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Kaip vartoti </w:t>
      </w:r>
      <w:r w:rsidR="008B0463" w:rsidRPr="00DF20DE">
        <w:rPr>
          <w:rFonts w:ascii="Times New Roman" w:eastAsia="Times New Roman" w:hAnsi="Times New Roman" w:cs="Times New Roman"/>
          <w:b/>
          <w:bCs/>
        </w:rPr>
        <w:t>Plategra</w:t>
      </w:r>
    </w:p>
    <w:p w14:paraId="400A6717" w14:textId="77777777" w:rsidR="001C139D" w:rsidRPr="00DF20DE" w:rsidRDefault="001C139D" w:rsidP="005D637C">
      <w:pPr>
        <w:widowControl w:val="0"/>
        <w:tabs>
          <w:tab w:val="left" w:pos="782"/>
          <w:tab w:val="left" w:pos="783"/>
        </w:tabs>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Šį vaistą galima gerti valgio metu arba nevalgius.</w:t>
      </w:r>
    </w:p>
    <w:p w14:paraId="28336538"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56BEEB6F" w14:textId="7777777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Jeigu sunku nuryti tabletę</w:t>
      </w:r>
    </w:p>
    <w:p w14:paraId="755AF636"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Jeigu tabletę Jums nuryti sunku, tai ją galite susmulkinti ir sumaišyti su vandeniu kaip aprašyta </w:t>
      </w:r>
      <w:r w:rsidRPr="00DF20DE">
        <w:rPr>
          <w:rFonts w:ascii="Times New Roman" w:eastAsia="Times New Roman" w:hAnsi="Times New Roman" w:cs="Times New Roman"/>
        </w:rPr>
        <w:lastRenderedPageBreak/>
        <w:t>žemiau:</w:t>
      </w:r>
    </w:p>
    <w:p w14:paraId="3DA45D3E" w14:textId="77777777" w:rsidR="001C139D" w:rsidRPr="00DF20DE" w:rsidRDefault="001C139D"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susmulkinkite tabletę į smulkius miltelius;</w:t>
      </w:r>
    </w:p>
    <w:p w14:paraId="6599F574" w14:textId="77777777" w:rsidR="001C139D" w:rsidRPr="00DF20DE" w:rsidRDefault="001C139D"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supilkite miltelius į pusę stiklinės vandens;</w:t>
      </w:r>
    </w:p>
    <w:p w14:paraId="5E6A4C7D" w14:textId="77777777" w:rsidR="001C139D" w:rsidRPr="00DF20DE" w:rsidRDefault="001C139D"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išmaišykite ir nedelsdami išgerkite;</w:t>
      </w:r>
    </w:p>
    <w:p w14:paraId="2F054016" w14:textId="77777777" w:rsidR="001C139D" w:rsidRPr="00DF20DE" w:rsidRDefault="001C139D"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kad tuščioje stiklinėje neliktų vaisto, praskalaukite ją dar puse stiklinės vandens ir išgerkite.</w:t>
      </w:r>
    </w:p>
    <w:p w14:paraId="77785C50"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Jei esate ligoninėje, tai šią tabletę Jums gali paduoti sumaišytą su vandeniu per pro nosį į skrandį įkištą (nazogastrinį) vamzdelį.</w:t>
      </w:r>
    </w:p>
    <w:p w14:paraId="5F7A5E79"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74873A12" w14:textId="3C114413"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Pavartojus per didelę </w:t>
      </w:r>
      <w:r w:rsidR="008B0463" w:rsidRPr="00DF20DE">
        <w:rPr>
          <w:rFonts w:ascii="Times New Roman" w:eastAsia="Times New Roman" w:hAnsi="Times New Roman" w:cs="Times New Roman"/>
          <w:b/>
          <w:bCs/>
        </w:rPr>
        <w:t>Plategra</w:t>
      </w:r>
      <w:r w:rsidRPr="00DF20DE">
        <w:rPr>
          <w:rFonts w:ascii="Times New Roman" w:eastAsia="Times New Roman" w:hAnsi="Times New Roman" w:cs="Times New Roman"/>
          <w:b/>
          <w:bCs/>
        </w:rPr>
        <w:t xml:space="preserve"> dozę</w:t>
      </w:r>
    </w:p>
    <w:p w14:paraId="02CBB6E2" w14:textId="67D7DD89"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Išgėrę daugiau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negu reikia, nedelsdami kreipkitės į savo gydytoją arba vykite į ligoninę, pasiėmę vaisto pakuotę. Pavartojus per didelę šio vaisto dozę, gali padidėti kraujavimo pavojus.</w:t>
      </w:r>
    </w:p>
    <w:p w14:paraId="5C33B6C5"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46F78606" w14:textId="35BFE3CA"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Pamiršus pavartoti </w:t>
      </w:r>
      <w:r w:rsidR="008B0463" w:rsidRPr="00DF20DE">
        <w:rPr>
          <w:rFonts w:ascii="Times New Roman" w:eastAsia="Times New Roman" w:hAnsi="Times New Roman" w:cs="Times New Roman"/>
          <w:b/>
          <w:bCs/>
        </w:rPr>
        <w:t>Plategra</w:t>
      </w:r>
    </w:p>
    <w:p w14:paraId="20DD7896" w14:textId="77777777" w:rsidR="001C139D" w:rsidRPr="00DF20DE" w:rsidRDefault="001C139D"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Užmiršę išgerti vieną dozę, kitą gerkite įprastu laiku įprasto dydžio.</w:t>
      </w:r>
    </w:p>
    <w:p w14:paraId="6B67D540" w14:textId="77777777" w:rsidR="001C139D" w:rsidRPr="00DF20DE" w:rsidRDefault="001C139D" w:rsidP="00B61CB8">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rPr>
      </w:pPr>
      <w:r w:rsidRPr="00DF20DE">
        <w:rPr>
          <w:rFonts w:ascii="Times New Roman" w:eastAsia="Times New Roman" w:hAnsi="Times New Roman" w:cs="Times New Roman"/>
        </w:rPr>
        <w:t>Negalima vartoti dvigubos dozės (dviejų dozių iš karto) norint kompensuoti praleistą dozę.</w:t>
      </w:r>
    </w:p>
    <w:p w14:paraId="096CF263"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339B7670" w14:textId="1CF88A9B"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Nustojus vartoti </w:t>
      </w:r>
      <w:r w:rsidR="008B0463" w:rsidRPr="00DF20DE">
        <w:rPr>
          <w:rFonts w:ascii="Times New Roman" w:eastAsia="Times New Roman" w:hAnsi="Times New Roman" w:cs="Times New Roman"/>
          <w:b/>
          <w:bCs/>
        </w:rPr>
        <w:t>Plategra</w:t>
      </w:r>
    </w:p>
    <w:p w14:paraId="6E1B828C" w14:textId="7EBFEB73"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 xml:space="preserve">Nenutraukite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vartojimo nepasitarę su gydytoju. Vartokite šį vaistą reguliariai, kol gydytojas jo skiria. Nutraukus šio vaisto vartojimą gali padidėti rizika patirti naują širdies priepuolį ar insultą, taip pat numirti nuo ligos, susijusios su Jūsų širdimi ar kraujagyslėmis.</w:t>
      </w:r>
    </w:p>
    <w:p w14:paraId="306C2939"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1"/>
        </w:rPr>
      </w:pPr>
    </w:p>
    <w:p w14:paraId="40764CFE"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Jeigu kiltų daugiau klausimų dėl šio vaisto vartojimo, kreipkitės į gydytoją arba vaistininką.</w:t>
      </w:r>
    </w:p>
    <w:p w14:paraId="15748B96"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4"/>
        </w:rPr>
      </w:pPr>
    </w:p>
    <w:p w14:paraId="331BAEC4"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0"/>
        </w:rPr>
      </w:pPr>
    </w:p>
    <w:p w14:paraId="480C74A9" w14:textId="77777777" w:rsidR="001C139D" w:rsidRPr="00DF20DE" w:rsidRDefault="001C139D" w:rsidP="00B61CB8">
      <w:pPr>
        <w:widowControl w:val="0"/>
        <w:numPr>
          <w:ilvl w:val="0"/>
          <w:numId w:val="16"/>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Galimas šalutinis poveikis</w:t>
      </w:r>
    </w:p>
    <w:p w14:paraId="20E460F9"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b/>
          <w:sz w:val="21"/>
        </w:rPr>
      </w:pPr>
    </w:p>
    <w:p w14:paraId="7468E14F" w14:textId="1F971F60"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Šis vaistas, kaip ir kiti, gali sukelti šalutinį poveikį, nors jis pasireiškia ne visiems žmonėms. Vartojant š</w:t>
      </w:r>
      <w:r w:rsidR="003C20D9" w:rsidRPr="00DF20DE">
        <w:rPr>
          <w:rFonts w:ascii="Times New Roman" w:eastAsia="Times New Roman" w:hAnsi="Times New Roman" w:cs="Times New Roman"/>
        </w:rPr>
        <w:t>io</w:t>
      </w:r>
      <w:r w:rsidRPr="00DF20DE">
        <w:rPr>
          <w:rFonts w:ascii="Times New Roman" w:eastAsia="Times New Roman" w:hAnsi="Times New Roman" w:cs="Times New Roman"/>
        </w:rPr>
        <w:t xml:space="preserve"> vaist</w:t>
      </w:r>
      <w:r w:rsidR="003C20D9" w:rsidRPr="00DF20DE">
        <w:rPr>
          <w:rFonts w:ascii="Times New Roman" w:eastAsia="Times New Roman" w:hAnsi="Times New Roman" w:cs="Times New Roman"/>
        </w:rPr>
        <w:t>o</w:t>
      </w:r>
      <w:r w:rsidRPr="00DF20DE">
        <w:rPr>
          <w:rFonts w:ascii="Times New Roman" w:eastAsia="Times New Roman" w:hAnsi="Times New Roman" w:cs="Times New Roman"/>
        </w:rPr>
        <w:t xml:space="preserve">, gali pasireikšti </w:t>
      </w:r>
      <w:r w:rsidR="003C20D9" w:rsidRPr="00DF20DE">
        <w:rPr>
          <w:rFonts w:ascii="Times New Roman" w:eastAsia="Times New Roman" w:hAnsi="Times New Roman" w:cs="Times New Roman"/>
        </w:rPr>
        <w:t xml:space="preserve">toliau </w:t>
      </w:r>
      <w:r w:rsidRPr="00DF20DE">
        <w:rPr>
          <w:rFonts w:ascii="Times New Roman" w:eastAsia="Times New Roman" w:hAnsi="Times New Roman" w:cs="Times New Roman"/>
        </w:rPr>
        <w:t>išvardytas šalutinis poveikis.</w:t>
      </w:r>
    </w:p>
    <w:p w14:paraId="76987E05"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1"/>
        </w:rPr>
      </w:pPr>
    </w:p>
    <w:p w14:paraId="53277C6D" w14:textId="78DCC66F" w:rsidR="001C139D" w:rsidRPr="00DF20DE" w:rsidRDefault="008B0463"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Plategra</w:t>
      </w:r>
      <w:r w:rsidR="001C139D" w:rsidRPr="00DF20DE">
        <w:rPr>
          <w:rFonts w:ascii="Times New Roman" w:eastAsia="Times New Roman" w:hAnsi="Times New Roman" w:cs="Times New Roman"/>
        </w:rPr>
        <w:t xml:space="preserve"> veikia kraujo krešėjimą, todėl dauguma šalutinių poveikių yra susiję su kraujavimu. Kraujavimas galimas bet kurioje kūno vietoje. Kai kurie kraujavimai (pvz., kraujosruvos, kraujavimas iš nosies) pasitaiko dažnai. Stiprus kraujavimas pasitaiko nedažnai, bet gali kelti pavojų gyvybei.</w:t>
      </w:r>
    </w:p>
    <w:p w14:paraId="2CDD501E"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415765AA" w14:textId="7777777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Nedelsdami kreipkitės į gydytoją pastebėję bent vieną iš žemiau išvardytų sutrikimų, kadangi Jums gali reikėti skubios gydytojo pagalbos.</w:t>
      </w:r>
    </w:p>
    <w:p w14:paraId="50E411A2"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b/>
        </w:rPr>
      </w:pPr>
    </w:p>
    <w:p w14:paraId="58855CC0" w14:textId="77777777" w:rsidR="001C139D" w:rsidRPr="00DF20DE" w:rsidRDefault="001C139D" w:rsidP="00B61CB8">
      <w:pPr>
        <w:widowControl w:val="0"/>
        <w:numPr>
          <w:ilvl w:val="0"/>
          <w:numId w:val="8"/>
        </w:numPr>
        <w:tabs>
          <w:tab w:val="left" w:pos="782"/>
          <w:tab w:val="left" w:pos="783"/>
        </w:tabs>
        <w:autoSpaceDE w:val="0"/>
        <w:autoSpaceDN w:val="0"/>
        <w:spacing w:after="0" w:line="240" w:lineRule="auto"/>
        <w:ind w:left="540" w:hanging="540"/>
        <w:rPr>
          <w:rFonts w:ascii="Times New Roman" w:eastAsia="Times New Roman" w:hAnsi="Times New Roman" w:cs="Times New Roman"/>
          <w:b/>
        </w:rPr>
      </w:pPr>
      <w:r w:rsidRPr="00DF20DE">
        <w:rPr>
          <w:rFonts w:ascii="Times New Roman" w:eastAsia="Times New Roman" w:hAnsi="Times New Roman" w:cs="Times New Roman"/>
          <w:b/>
        </w:rPr>
        <w:t>Kraujavimas į smegenis arba kaukolės viduje yra nedažnas šalutinis poveikis, dėl kurio gali pasireikšti insulto požymių, pvz.:</w:t>
      </w:r>
    </w:p>
    <w:p w14:paraId="0F4416FB" w14:textId="77777777" w:rsidR="001C139D" w:rsidRPr="00DF20DE" w:rsidRDefault="001C139D" w:rsidP="00B61CB8">
      <w:pPr>
        <w:widowControl w:val="0"/>
        <w:numPr>
          <w:ilvl w:val="0"/>
          <w:numId w:val="2"/>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staiga pasireiškę rankos, kojos arba veido nejautra ar silpnumas, ypač jei šie sutrikimai yra tik vienoje kūno pusėje;</w:t>
      </w:r>
    </w:p>
    <w:p w14:paraId="42325DDF" w14:textId="77777777" w:rsidR="001C139D" w:rsidRPr="00DF20DE" w:rsidRDefault="001C139D" w:rsidP="00B61CB8">
      <w:pPr>
        <w:widowControl w:val="0"/>
        <w:numPr>
          <w:ilvl w:val="0"/>
          <w:numId w:val="2"/>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staiga atsiradęs sumišimas, pasunkėjusi kalba ar pablogėjęs gebėjimas suprasti kitus žmones;</w:t>
      </w:r>
    </w:p>
    <w:p w14:paraId="214800D1" w14:textId="77777777" w:rsidR="001C139D" w:rsidRPr="00DF20DE" w:rsidRDefault="001C139D" w:rsidP="00B61CB8">
      <w:pPr>
        <w:widowControl w:val="0"/>
        <w:numPr>
          <w:ilvl w:val="0"/>
          <w:numId w:val="2"/>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staiga pasunkėjęs ėjimas arba sutrikusi pusiausvyra ar koordinacija;</w:t>
      </w:r>
    </w:p>
    <w:p w14:paraId="62540C5E" w14:textId="77777777" w:rsidR="001C139D" w:rsidRPr="00DF20DE" w:rsidRDefault="001C139D" w:rsidP="00B61CB8">
      <w:pPr>
        <w:widowControl w:val="0"/>
        <w:numPr>
          <w:ilvl w:val="0"/>
          <w:numId w:val="2"/>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staiga be aiškios priežasties prasidėjęs galvos svaigimas arba stiprus galvos skausmas.</w:t>
      </w:r>
    </w:p>
    <w:p w14:paraId="4D6B6610"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1"/>
        </w:rPr>
      </w:pPr>
    </w:p>
    <w:p w14:paraId="2C374D94" w14:textId="77777777" w:rsidR="001C139D" w:rsidRPr="00DF20DE" w:rsidRDefault="001C139D" w:rsidP="00B61CB8">
      <w:pPr>
        <w:widowControl w:val="0"/>
        <w:numPr>
          <w:ilvl w:val="0"/>
          <w:numId w:val="8"/>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Cs/>
        </w:rPr>
      </w:pPr>
      <w:r w:rsidRPr="00DF20DE">
        <w:rPr>
          <w:rFonts w:ascii="Times New Roman" w:eastAsia="Times New Roman" w:hAnsi="Times New Roman" w:cs="Times New Roman"/>
          <w:b/>
          <w:bCs/>
        </w:rPr>
        <w:t>Kraujavimo požymiai, pvz.:</w:t>
      </w:r>
    </w:p>
    <w:p w14:paraId="60A7F178" w14:textId="77777777" w:rsidR="001C139D" w:rsidRPr="00DF20DE" w:rsidRDefault="001C139D" w:rsidP="00B61CB8">
      <w:pPr>
        <w:widowControl w:val="0"/>
        <w:numPr>
          <w:ilvl w:val="0"/>
          <w:numId w:val="1"/>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stiprus ar nekontroliuojamas kraujavimas;</w:t>
      </w:r>
    </w:p>
    <w:p w14:paraId="25E7661B" w14:textId="77777777" w:rsidR="001C139D" w:rsidRPr="00DF20DE" w:rsidRDefault="001C139D" w:rsidP="00B61CB8">
      <w:pPr>
        <w:widowControl w:val="0"/>
        <w:numPr>
          <w:ilvl w:val="0"/>
          <w:numId w:val="1"/>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netikėtas ar ilgalaikis kraujavimas;</w:t>
      </w:r>
    </w:p>
    <w:p w14:paraId="3944E7A9" w14:textId="77777777" w:rsidR="001C139D" w:rsidRPr="00DF20DE" w:rsidRDefault="001C139D" w:rsidP="00B61CB8">
      <w:pPr>
        <w:widowControl w:val="0"/>
        <w:numPr>
          <w:ilvl w:val="0"/>
          <w:numId w:val="1"/>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rožinis, raudonas arba rudas šlapimas;</w:t>
      </w:r>
    </w:p>
    <w:p w14:paraId="23780DAC" w14:textId="77777777" w:rsidR="001C139D" w:rsidRPr="00DF20DE" w:rsidRDefault="001C139D" w:rsidP="00B61CB8">
      <w:pPr>
        <w:widowControl w:val="0"/>
        <w:numPr>
          <w:ilvl w:val="0"/>
          <w:numId w:val="1"/>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vėmimas raudonu krauju arba panašiu į kavos tirščius turiniu;</w:t>
      </w:r>
    </w:p>
    <w:p w14:paraId="4FB139B4" w14:textId="77777777" w:rsidR="001C139D" w:rsidRPr="00DF20DE" w:rsidRDefault="001C139D" w:rsidP="00B61CB8">
      <w:pPr>
        <w:widowControl w:val="0"/>
        <w:numPr>
          <w:ilvl w:val="0"/>
          <w:numId w:val="1"/>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raudonos ar juodos kaip degutas išmatos;</w:t>
      </w:r>
    </w:p>
    <w:p w14:paraId="5CFF8D66" w14:textId="77777777" w:rsidR="001C139D" w:rsidRPr="00DF20DE" w:rsidRDefault="001C139D" w:rsidP="00B61CB8">
      <w:pPr>
        <w:widowControl w:val="0"/>
        <w:numPr>
          <w:ilvl w:val="0"/>
          <w:numId w:val="1"/>
        </w:numPr>
        <w:tabs>
          <w:tab w:val="left" w:pos="1348"/>
          <w:tab w:val="left" w:pos="1349"/>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kraujo atkosėjimas ar vėmimas kraujo krešuliais.</w:t>
      </w:r>
    </w:p>
    <w:p w14:paraId="52E0682E"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06099CA8" w14:textId="77777777" w:rsidR="001C139D" w:rsidRPr="00DF20DE" w:rsidRDefault="001C139D" w:rsidP="00B61CB8">
      <w:pPr>
        <w:widowControl w:val="0"/>
        <w:numPr>
          <w:ilvl w:val="0"/>
          <w:numId w:val="8"/>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Cs/>
        </w:rPr>
      </w:pPr>
      <w:r w:rsidRPr="00DF20DE">
        <w:rPr>
          <w:rFonts w:ascii="Times New Roman" w:eastAsia="Times New Roman" w:hAnsi="Times New Roman" w:cs="Times New Roman"/>
          <w:b/>
          <w:bCs/>
        </w:rPr>
        <w:t>Apalpimas (sinkopė)</w:t>
      </w:r>
      <w:r w:rsidRPr="00DF20DE">
        <w:rPr>
          <w:rFonts w:ascii="Times New Roman" w:eastAsia="Times New Roman" w:hAnsi="Times New Roman" w:cs="Times New Roman"/>
          <w:bCs/>
        </w:rPr>
        <w:t>:</w:t>
      </w:r>
    </w:p>
    <w:p w14:paraId="39CB9ABE" w14:textId="77777777" w:rsidR="001C139D" w:rsidRPr="00DF20DE" w:rsidRDefault="001C139D" w:rsidP="001C139D">
      <w:pPr>
        <w:widowControl w:val="0"/>
        <w:tabs>
          <w:tab w:val="left" w:pos="1348"/>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w:t>
      </w:r>
      <w:r w:rsidRPr="00DF20DE">
        <w:rPr>
          <w:rFonts w:ascii="Times New Roman" w:eastAsia="Times New Roman" w:hAnsi="Times New Roman" w:cs="Times New Roman"/>
        </w:rPr>
        <w:tab/>
        <w:t>laikinas sąmonės netekimas dėl staigaus smegenų kraujotakos sutrikimo (pasitaiko dažnai).</w:t>
      </w:r>
    </w:p>
    <w:p w14:paraId="52FC5053"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3"/>
        </w:rPr>
      </w:pPr>
    </w:p>
    <w:p w14:paraId="34A2702C" w14:textId="77777777" w:rsidR="001C139D" w:rsidRPr="00DF20DE" w:rsidRDefault="001C139D" w:rsidP="00B61CB8">
      <w:pPr>
        <w:widowControl w:val="0"/>
        <w:numPr>
          <w:ilvl w:val="0"/>
          <w:numId w:val="8"/>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lastRenderedPageBreak/>
        <w:t>Krešėjimo sutrikimo, vadinamo trombine trombocitopenine purpura (TTP), požymiai, pvz.:</w:t>
      </w:r>
    </w:p>
    <w:p w14:paraId="56B610AA" w14:textId="77777777" w:rsidR="001C139D" w:rsidRPr="00DF20DE" w:rsidRDefault="001C139D" w:rsidP="001C139D">
      <w:pPr>
        <w:widowControl w:val="0"/>
        <w:tabs>
          <w:tab w:val="left" w:pos="1348"/>
        </w:tabs>
        <w:autoSpaceDE w:val="0"/>
        <w:autoSpaceDN w:val="0"/>
        <w:spacing w:after="0" w:line="240" w:lineRule="auto"/>
        <w:ind w:left="900" w:hanging="360"/>
        <w:rPr>
          <w:rFonts w:ascii="Times New Roman" w:eastAsia="Times New Roman" w:hAnsi="Times New Roman" w:cs="Times New Roman"/>
        </w:rPr>
      </w:pPr>
      <w:r w:rsidRPr="00DF20DE">
        <w:rPr>
          <w:rFonts w:ascii="Times New Roman" w:eastAsia="Times New Roman" w:hAnsi="Times New Roman" w:cs="Times New Roman"/>
        </w:rPr>
        <w:t>-</w:t>
      </w:r>
      <w:r w:rsidRPr="00DF20DE">
        <w:rPr>
          <w:rFonts w:ascii="Times New Roman" w:eastAsia="Times New Roman" w:hAnsi="Times New Roman" w:cs="Times New Roman"/>
        </w:rPr>
        <w:tab/>
        <w:t>karščiavimas ir purpurinės dėmės (vadinamos purpura) odoje ar burnos ertmėje, kartu gali pagelsti oda ir akys (gelta), be aiškios priežasties pasireikšti labai didelis nuovargis arba sutrikti orientacija.</w:t>
      </w:r>
    </w:p>
    <w:p w14:paraId="21AA2AF1"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183E2995" w14:textId="6FEAD75B"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Pasakykite gydytojui pajutę šį sutrikimą:</w:t>
      </w:r>
    </w:p>
    <w:p w14:paraId="23CDFE4A" w14:textId="1576D008" w:rsidR="001C139D" w:rsidRPr="00DF20DE" w:rsidRDefault="001C139D" w:rsidP="00B61CB8">
      <w:pPr>
        <w:widowControl w:val="0"/>
        <w:numPr>
          <w:ilvl w:val="0"/>
          <w:numId w:val="8"/>
        </w:numPr>
        <w:tabs>
          <w:tab w:val="left" w:pos="782"/>
          <w:tab w:val="left" w:pos="783"/>
        </w:tabs>
        <w:autoSpaceDE w:val="0"/>
        <w:autoSpaceDN w:val="0"/>
        <w:spacing w:after="0" w:line="240" w:lineRule="auto"/>
        <w:ind w:left="540" w:hanging="360"/>
        <w:rPr>
          <w:rFonts w:ascii="Times New Roman" w:eastAsia="Times New Roman" w:hAnsi="Times New Roman" w:cs="Times New Roman"/>
        </w:rPr>
      </w:pPr>
      <w:r w:rsidRPr="00DF20DE">
        <w:rPr>
          <w:rFonts w:ascii="Times New Roman" w:eastAsia="Times New Roman" w:hAnsi="Times New Roman" w:cs="Times New Roman"/>
          <w:b/>
        </w:rPr>
        <w:t xml:space="preserve">dusulys (oro trūkumas). Jis pasireiškia labai dažnai. </w:t>
      </w:r>
      <w:r w:rsidRPr="00DF20DE">
        <w:rPr>
          <w:rFonts w:ascii="Times New Roman" w:eastAsia="Times New Roman" w:hAnsi="Times New Roman" w:cs="Times New Roman"/>
        </w:rPr>
        <w:t xml:space="preserve">Dusulio priežastis gali būti širdies liga, </w:t>
      </w:r>
      <w:r w:rsidR="008B0463" w:rsidRPr="00DF20DE">
        <w:rPr>
          <w:rFonts w:ascii="Times New Roman" w:eastAsia="Times New Roman" w:hAnsi="Times New Roman" w:cs="Times New Roman"/>
        </w:rPr>
        <w:t>Plategra</w:t>
      </w:r>
      <w:r w:rsidR="00DB2F0E" w:rsidRPr="00DF20DE">
        <w:rPr>
          <w:rFonts w:ascii="Times New Roman" w:eastAsia="Times New Roman" w:hAnsi="Times New Roman" w:cs="Times New Roman"/>
        </w:rPr>
        <w:t xml:space="preserve"> </w:t>
      </w:r>
      <w:r w:rsidRPr="00DF20DE">
        <w:rPr>
          <w:rFonts w:ascii="Times New Roman" w:eastAsia="Times New Roman" w:hAnsi="Times New Roman" w:cs="Times New Roman"/>
        </w:rPr>
        <w:t xml:space="preserve">šalutinis poveikis ir kt. Su </w:t>
      </w:r>
      <w:r w:rsidR="008B0463" w:rsidRPr="00DF20DE">
        <w:rPr>
          <w:rFonts w:ascii="Times New Roman" w:eastAsia="Times New Roman" w:hAnsi="Times New Roman" w:cs="Times New Roman"/>
        </w:rPr>
        <w:t>Plategra</w:t>
      </w:r>
      <w:r w:rsidRPr="00DF20DE">
        <w:rPr>
          <w:rFonts w:ascii="Times New Roman" w:eastAsia="Times New Roman" w:hAnsi="Times New Roman" w:cs="Times New Roman"/>
        </w:rPr>
        <w:t xml:space="preserve"> susijęs dusulys paprastai būna lengvas, pasireiškia staigiu ir netikėtu oro trūkumu, dažniausiai atsirandančiu ramybėje. Jis gali prasidėti pirmą gydymo savaitę ir paskui išnykti. Jeigu dusulys sunkėja arba ilgai nepraeina, apie jį pasakykite gydytojui, kuris nuspręs, ar nereikia keisti gydymo arba atlikti papildomų tyrimų.</w:t>
      </w:r>
    </w:p>
    <w:p w14:paraId="30A12976"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31C05FC5" w14:textId="7777777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Kitas galimas šalutinis poveikis</w:t>
      </w:r>
    </w:p>
    <w:p w14:paraId="3C26E27B"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b/>
        </w:rPr>
      </w:pPr>
    </w:p>
    <w:p w14:paraId="3ACB6153"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b/>
        </w:rPr>
      </w:pPr>
      <w:r w:rsidRPr="00DF20DE">
        <w:rPr>
          <w:rFonts w:ascii="Times New Roman" w:eastAsia="Times New Roman" w:hAnsi="Times New Roman" w:cs="Times New Roman"/>
          <w:b/>
        </w:rPr>
        <w:t>Labai dažni šalutinio poveikio reiškiniai (gali pasireikšti ne rečiau kaip 1 iš 10 asmenų):</w:t>
      </w:r>
    </w:p>
    <w:p w14:paraId="2761826C"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padidėjusi šlapimo rūgšties koncentracija kraujyje (nustatoma tam tikru tyrimu);</w:t>
      </w:r>
    </w:p>
    <w:p w14:paraId="62D537D5"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kraujavimas dėl kraujo sutrikimų.</w:t>
      </w:r>
    </w:p>
    <w:p w14:paraId="28CBD4FA"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2EB63232" w14:textId="7777777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Dažni šalutinio poveikio reiškiniai (gali pasireikšti rečiau kaip 1 iš 10 asmenų):</w:t>
      </w:r>
    </w:p>
    <w:p w14:paraId="1EB0648F"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kraujosruvos;</w:t>
      </w:r>
    </w:p>
    <w:p w14:paraId="700E84DC"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galvos skausmas;</w:t>
      </w:r>
    </w:p>
    <w:p w14:paraId="780BCDA0"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galvos svaigimas arba sukimasis (lyg suktųsi kambarys);</w:t>
      </w:r>
    </w:p>
    <w:p w14:paraId="77DC6DEE"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viduriavimas ar nevirškinimas;</w:t>
      </w:r>
    </w:p>
    <w:p w14:paraId="5E723893"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pykinimas;</w:t>
      </w:r>
    </w:p>
    <w:p w14:paraId="5EF135A5"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vidurių užkietėjimas;</w:t>
      </w:r>
    </w:p>
    <w:p w14:paraId="66A3D767"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išbėrimas;</w:t>
      </w:r>
    </w:p>
    <w:p w14:paraId="368B69CD"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niežėjimas;</w:t>
      </w:r>
    </w:p>
    <w:p w14:paraId="1D66C015"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stiprus sąnarių skausmas ir patinimas (podagros požymiai);</w:t>
      </w:r>
    </w:p>
    <w:p w14:paraId="09E39A9B"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svaigulys ar apsvaigimas arba neaiškus matymas (rodo sumažėjusį kraujospūdį);</w:t>
      </w:r>
    </w:p>
    <w:p w14:paraId="7BAEEFE4"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kraujavimas iš nosies;</w:t>
      </w:r>
    </w:p>
    <w:p w14:paraId="0135F7E4"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kraujavimas po operacijos arba įsipjovus (pvz., skutantis) ir žaizdų daugiau negu normaliai;</w:t>
      </w:r>
    </w:p>
    <w:p w14:paraId="0E739543"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kraujavimas iš skrandžio (opos);</w:t>
      </w:r>
    </w:p>
    <w:p w14:paraId="0331DDFF"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kraujavimas iš dantenų.</w:t>
      </w:r>
    </w:p>
    <w:p w14:paraId="2B1E3686"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411E7B53" w14:textId="7777777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Nedažni šalutinio poveikio reiškiniai (gali pasireikšti rečiau kaip 1 iš 100 asmenų):</w:t>
      </w:r>
    </w:p>
    <w:p w14:paraId="496E00AC"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alerginė reakcija – jos požymiai gali būti išbėrimas, niežėjimas arba veido, lūpų ar liežuvio patinimas;</w:t>
      </w:r>
    </w:p>
    <w:p w14:paraId="1C1C9CA8"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sutrikusi orientacija;</w:t>
      </w:r>
    </w:p>
    <w:p w14:paraId="10B2882A"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sutrikęs regėjimas dėl kraujo akyje;</w:t>
      </w:r>
    </w:p>
    <w:p w14:paraId="2C1E7067"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kraujavimas iš makšties – gausesnis arba ne mėnesinių metu;</w:t>
      </w:r>
    </w:p>
    <w:p w14:paraId="26CADB4A"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kraujavimas į sąnarius ir raumenis, dėl kurio gali atsirasti skausmingas patinimas;</w:t>
      </w:r>
    </w:p>
    <w:p w14:paraId="4F4B5E61"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kraujas ausyje;</w:t>
      </w:r>
    </w:p>
    <w:p w14:paraId="1970876E" w14:textId="77777777" w:rsidR="001C139D" w:rsidRPr="00DF20DE" w:rsidRDefault="001C139D" w:rsidP="00B61CB8">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vidinis kraujavimas, dėl kurio gali pasireikšti svaigulys ar apsvaigimas.</w:t>
      </w:r>
    </w:p>
    <w:p w14:paraId="294AF91D" w14:textId="77777777" w:rsidR="00F301DB" w:rsidRDefault="00F301DB" w:rsidP="00F301DB">
      <w:pPr>
        <w:widowControl w:val="0"/>
        <w:autoSpaceDE w:val="0"/>
        <w:autoSpaceDN w:val="0"/>
        <w:spacing w:after="0" w:line="240" w:lineRule="auto"/>
        <w:rPr>
          <w:rFonts w:ascii="Times New Roman" w:eastAsia="Times New Roman" w:hAnsi="Times New Roman" w:cs="Times New Roman"/>
          <w:sz w:val="21"/>
        </w:rPr>
      </w:pPr>
    </w:p>
    <w:p w14:paraId="778A4919" w14:textId="0476B883" w:rsidR="00F301DB" w:rsidRPr="006A7DC7" w:rsidRDefault="00601C23" w:rsidP="00F301DB">
      <w:pPr>
        <w:widowControl w:val="0"/>
        <w:autoSpaceDE w:val="0"/>
        <w:autoSpaceDN w:val="0"/>
        <w:spacing w:after="0" w:line="240" w:lineRule="auto"/>
        <w:rPr>
          <w:rFonts w:ascii="Times New Roman" w:eastAsia="Times New Roman" w:hAnsi="Times New Roman" w:cs="Times New Roman"/>
          <w:b/>
          <w:bCs/>
          <w:sz w:val="21"/>
        </w:rPr>
      </w:pPr>
      <w:r>
        <w:rPr>
          <w:rFonts w:ascii="Times New Roman" w:eastAsia="Times New Roman" w:hAnsi="Times New Roman" w:cs="Times New Roman"/>
          <w:b/>
          <w:bCs/>
          <w:sz w:val="21"/>
        </w:rPr>
        <w:t>Šalutinio poveikio reiškiniai, kurių d</w:t>
      </w:r>
      <w:r w:rsidR="00F301DB" w:rsidRPr="006A7DC7">
        <w:rPr>
          <w:rFonts w:ascii="Times New Roman" w:eastAsia="Times New Roman" w:hAnsi="Times New Roman" w:cs="Times New Roman"/>
          <w:b/>
          <w:bCs/>
          <w:sz w:val="21"/>
        </w:rPr>
        <w:t>ažnis nežinomas (negali būti apskaičiuotas pagal turimus duomenis):</w:t>
      </w:r>
    </w:p>
    <w:p w14:paraId="0D0858C9" w14:textId="77EB9299" w:rsidR="001C139D" w:rsidRDefault="00F301DB" w:rsidP="00F301DB">
      <w:pPr>
        <w:widowControl w:val="0"/>
        <w:numPr>
          <w:ilvl w:val="1"/>
          <w:numId w:val="8"/>
        </w:numPr>
        <w:tabs>
          <w:tab w:val="left" w:pos="783"/>
        </w:tabs>
        <w:autoSpaceDE w:val="0"/>
        <w:autoSpaceDN w:val="0"/>
        <w:spacing w:after="0" w:line="240" w:lineRule="auto"/>
        <w:ind w:left="540" w:hanging="540"/>
        <w:rPr>
          <w:rFonts w:ascii="Times New Roman" w:eastAsia="Times New Roman" w:hAnsi="Times New Roman" w:cs="Times New Roman"/>
        </w:rPr>
      </w:pPr>
      <w:r w:rsidRPr="006A7DC7">
        <w:rPr>
          <w:rFonts w:ascii="Times New Roman" w:eastAsia="Times New Roman" w:hAnsi="Times New Roman" w:cs="Times New Roman"/>
        </w:rPr>
        <w:t>nenormaliai retas pulsas (dažniausiai retesnis kaip 60 dūžių per minutę).</w:t>
      </w:r>
    </w:p>
    <w:p w14:paraId="2363F3F7" w14:textId="77777777" w:rsidR="00F301DB" w:rsidRPr="006A7DC7" w:rsidRDefault="00F301DB" w:rsidP="006A7DC7">
      <w:pPr>
        <w:widowControl w:val="0"/>
        <w:tabs>
          <w:tab w:val="left" w:pos="783"/>
        </w:tabs>
        <w:autoSpaceDE w:val="0"/>
        <w:autoSpaceDN w:val="0"/>
        <w:spacing w:after="0" w:line="240" w:lineRule="auto"/>
        <w:rPr>
          <w:rFonts w:ascii="Times New Roman" w:eastAsia="Times New Roman" w:hAnsi="Times New Roman" w:cs="Times New Roman"/>
        </w:rPr>
      </w:pPr>
    </w:p>
    <w:p w14:paraId="2ACC27CD" w14:textId="77777777" w:rsidR="001C139D"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Pranešimas apie šalutinį poveikį</w:t>
      </w:r>
    </w:p>
    <w:p w14:paraId="3451322E" w14:textId="30577A0C" w:rsidR="001423E0" w:rsidRPr="001423E0" w:rsidRDefault="001423E0" w:rsidP="001C139D">
      <w:pPr>
        <w:widowControl w:val="0"/>
        <w:autoSpaceDE w:val="0"/>
        <w:autoSpaceDN w:val="0"/>
        <w:spacing w:after="0" w:line="240" w:lineRule="auto"/>
        <w:outlineLvl w:val="1"/>
        <w:rPr>
          <w:rFonts w:ascii="Times New Roman" w:eastAsia="Times New Roman" w:hAnsi="Times New Roman" w:cs="Times New Roman"/>
          <w:b/>
          <w:bCs/>
        </w:rPr>
      </w:pPr>
      <w:r w:rsidRPr="005137EA">
        <w:rPr>
          <w:rFonts w:ascii="Times New Roman" w:hAnsi="Times New Roman" w:cs="Times New Roman"/>
          <w:lang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5137EA">
        <w:rPr>
          <w:rFonts w:ascii="Times New Roman" w:hAnsi="Times New Roman" w:cs="Times New Roman"/>
          <w:color w:val="0000EE"/>
          <w:u w:val="single"/>
          <w:lang w:eastAsia="lt-LT"/>
        </w:rPr>
        <w:t>https://vvkt.lrv.lt/lt/</w:t>
      </w:r>
      <w:r w:rsidRPr="005137EA">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p>
    <w:p w14:paraId="5D721A73"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4"/>
        </w:rPr>
      </w:pPr>
    </w:p>
    <w:p w14:paraId="7D6D910E"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0"/>
        </w:rPr>
      </w:pPr>
    </w:p>
    <w:p w14:paraId="6F62B9C6" w14:textId="07D61E55" w:rsidR="001C139D" w:rsidRPr="00DF20DE" w:rsidRDefault="001C139D" w:rsidP="00B61CB8">
      <w:pPr>
        <w:widowControl w:val="0"/>
        <w:numPr>
          <w:ilvl w:val="0"/>
          <w:numId w:val="16"/>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lastRenderedPageBreak/>
        <w:t xml:space="preserve">Kaip laikyti </w:t>
      </w:r>
      <w:r w:rsidR="008B0463" w:rsidRPr="00DF20DE">
        <w:rPr>
          <w:rFonts w:ascii="Times New Roman" w:eastAsia="Times New Roman" w:hAnsi="Times New Roman" w:cs="Times New Roman"/>
          <w:b/>
          <w:bCs/>
        </w:rPr>
        <w:t>Plategra</w:t>
      </w:r>
    </w:p>
    <w:p w14:paraId="397DCC27"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2A0DCB50"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Šį vaistą laikykite vaikams nepastebimoje ir nepasiekiamoje vietoje.</w:t>
      </w:r>
    </w:p>
    <w:p w14:paraId="6E3D790D"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4759E261" w14:textId="3A29CCD9"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Ant lizdinės plokštelės ir dėžutės po „EXP“ nurodytam tinkamumo laikui pasibaigus, šio vaisto vartoti negalima. Vaistas tinkamas vartoti iki paskutinės nurodyto mėnesio dienos.</w:t>
      </w:r>
    </w:p>
    <w:p w14:paraId="5E4E8A6A"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0620E2EC"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Šiam vaistui specialių laikymo sąlygų nereikia.</w:t>
      </w:r>
    </w:p>
    <w:p w14:paraId="36AE261E"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51F91115"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Vaistų negalima išmesti į kanalizaciją arba su buitinėmis atliekomis. Kaip tvarkyti nereikalingus vaistus, klauskite vaistininko. Šios priemonės padės apsaugoti aplinką.</w:t>
      </w:r>
    </w:p>
    <w:p w14:paraId="5B1137B5"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3"/>
        </w:rPr>
      </w:pPr>
    </w:p>
    <w:p w14:paraId="3E92F5DE"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23"/>
        </w:rPr>
      </w:pPr>
    </w:p>
    <w:p w14:paraId="26EF1AB2" w14:textId="77777777" w:rsidR="001C139D" w:rsidRPr="00DF20DE" w:rsidRDefault="001C139D" w:rsidP="00B61CB8">
      <w:pPr>
        <w:widowControl w:val="0"/>
        <w:numPr>
          <w:ilvl w:val="0"/>
          <w:numId w:val="16"/>
        </w:numPr>
        <w:tabs>
          <w:tab w:val="left" w:pos="782"/>
          <w:tab w:val="left" w:pos="783"/>
        </w:tabs>
        <w:autoSpaceDE w:val="0"/>
        <w:autoSpaceDN w:val="0"/>
        <w:spacing w:after="0" w:line="240" w:lineRule="auto"/>
        <w:ind w:left="540" w:hanging="540"/>
        <w:outlineLvl w:val="1"/>
        <w:rPr>
          <w:rFonts w:ascii="Times New Roman" w:eastAsia="Times New Roman" w:hAnsi="Times New Roman" w:cs="Times New Roman"/>
          <w:b/>
          <w:bCs/>
        </w:rPr>
      </w:pPr>
      <w:r w:rsidRPr="00DF20DE">
        <w:rPr>
          <w:rFonts w:ascii="Times New Roman" w:eastAsia="Times New Roman" w:hAnsi="Times New Roman" w:cs="Times New Roman"/>
          <w:b/>
          <w:bCs/>
        </w:rPr>
        <w:t xml:space="preserve">Pakuotės turinys ir kita informacija </w:t>
      </w:r>
    </w:p>
    <w:p w14:paraId="3DDFD85C" w14:textId="77777777" w:rsidR="001C139D" w:rsidRPr="00DF20DE" w:rsidRDefault="001C139D" w:rsidP="001C139D">
      <w:pPr>
        <w:widowControl w:val="0"/>
        <w:tabs>
          <w:tab w:val="left" w:pos="782"/>
          <w:tab w:val="left" w:pos="783"/>
        </w:tabs>
        <w:autoSpaceDE w:val="0"/>
        <w:autoSpaceDN w:val="0"/>
        <w:spacing w:after="0" w:line="240" w:lineRule="auto"/>
        <w:outlineLvl w:val="1"/>
        <w:rPr>
          <w:rFonts w:ascii="Times New Roman" w:eastAsia="Times New Roman" w:hAnsi="Times New Roman" w:cs="Times New Roman"/>
          <w:b/>
          <w:bCs/>
        </w:rPr>
      </w:pPr>
    </w:p>
    <w:p w14:paraId="4F7C1604" w14:textId="5DA4A232" w:rsidR="001C139D" w:rsidRPr="00DF20DE" w:rsidRDefault="008B0463" w:rsidP="001C139D">
      <w:pPr>
        <w:widowControl w:val="0"/>
        <w:tabs>
          <w:tab w:val="left" w:pos="782"/>
          <w:tab w:val="left" w:pos="783"/>
        </w:tabs>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Plategra</w:t>
      </w:r>
      <w:r w:rsidR="001C139D" w:rsidRPr="00DF20DE">
        <w:rPr>
          <w:rFonts w:ascii="Times New Roman" w:eastAsia="Times New Roman" w:hAnsi="Times New Roman" w:cs="Times New Roman"/>
          <w:b/>
          <w:bCs/>
        </w:rPr>
        <w:t xml:space="preserve"> sudėtis</w:t>
      </w:r>
    </w:p>
    <w:p w14:paraId="5D227722" w14:textId="00B28DAE" w:rsidR="001C139D" w:rsidRPr="00DF20DE" w:rsidRDefault="001C139D" w:rsidP="00B61CB8">
      <w:pPr>
        <w:widowControl w:val="0"/>
        <w:numPr>
          <w:ilvl w:val="0"/>
          <w:numId w:val="7"/>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 xml:space="preserve">Veiklioji medžiaga yra tikagreloras. Kiekvienoje plėvele dengtoje tabletėje yra </w:t>
      </w:r>
      <w:r w:rsidR="00DB2F0E" w:rsidRPr="00DF20DE">
        <w:rPr>
          <w:rFonts w:ascii="Times New Roman" w:eastAsia="Times New Roman" w:hAnsi="Times New Roman" w:cs="Times New Roman"/>
        </w:rPr>
        <w:t>9</w:t>
      </w:r>
      <w:r w:rsidRPr="00DF20DE">
        <w:rPr>
          <w:rFonts w:ascii="Times New Roman" w:eastAsia="Times New Roman" w:hAnsi="Times New Roman" w:cs="Times New Roman"/>
        </w:rPr>
        <w:t>0 mg tikagreloro.</w:t>
      </w:r>
    </w:p>
    <w:p w14:paraId="7583A190" w14:textId="77777777" w:rsidR="001C139D" w:rsidRPr="00DF20DE" w:rsidRDefault="001C139D" w:rsidP="00B61CB8">
      <w:pPr>
        <w:widowControl w:val="0"/>
        <w:numPr>
          <w:ilvl w:val="0"/>
          <w:numId w:val="7"/>
        </w:numPr>
        <w:tabs>
          <w:tab w:val="left" w:pos="782"/>
          <w:tab w:val="left" w:pos="783"/>
        </w:tabs>
        <w:autoSpaceDE w:val="0"/>
        <w:autoSpaceDN w:val="0"/>
        <w:spacing w:after="0" w:line="240" w:lineRule="auto"/>
        <w:ind w:left="540" w:hanging="540"/>
        <w:rPr>
          <w:rFonts w:ascii="Times New Roman" w:eastAsia="Times New Roman" w:hAnsi="Times New Roman" w:cs="Times New Roman"/>
        </w:rPr>
      </w:pPr>
      <w:r w:rsidRPr="00DF20DE">
        <w:rPr>
          <w:rFonts w:ascii="Times New Roman" w:eastAsia="Times New Roman" w:hAnsi="Times New Roman" w:cs="Times New Roman"/>
        </w:rPr>
        <w:t>Pagalbinės medžiagos yra:</w:t>
      </w:r>
    </w:p>
    <w:p w14:paraId="55DA1A95" w14:textId="60BF8C06" w:rsidR="001C139D" w:rsidRPr="00DF20DE" w:rsidRDefault="001C139D" w:rsidP="001C139D">
      <w:pPr>
        <w:widowControl w:val="0"/>
        <w:autoSpaceDE w:val="0"/>
        <w:autoSpaceDN w:val="0"/>
        <w:spacing w:after="0" w:line="240" w:lineRule="auto"/>
        <w:ind w:left="540"/>
        <w:rPr>
          <w:rFonts w:ascii="Times New Roman" w:eastAsia="Times New Roman" w:hAnsi="Times New Roman" w:cs="Times New Roman"/>
        </w:rPr>
      </w:pPr>
      <w:r w:rsidRPr="00DF20DE">
        <w:rPr>
          <w:rFonts w:ascii="Times New Roman" w:eastAsia="Times New Roman" w:hAnsi="Times New Roman" w:cs="Times New Roman"/>
          <w:iCs/>
          <w:u w:val="single"/>
        </w:rPr>
        <w:t>Tabletės šerdis</w:t>
      </w:r>
      <w:r w:rsidRPr="00DF20DE">
        <w:rPr>
          <w:rFonts w:ascii="Times New Roman" w:eastAsia="Times New Roman" w:hAnsi="Times New Roman" w:cs="Times New Roman"/>
        </w:rPr>
        <w:t>: manitolis (E421), kalcio-vandenilio fosfatas dihidratas (E341), karboksimetilkrakmolo natrio druska, hipromeliozė, magnio stearatas (E470b).</w:t>
      </w:r>
    </w:p>
    <w:p w14:paraId="01BECE4A" w14:textId="6E27D783" w:rsidR="001C139D" w:rsidRPr="00DF20DE" w:rsidRDefault="001C139D" w:rsidP="005D637C">
      <w:pPr>
        <w:widowControl w:val="0"/>
        <w:autoSpaceDE w:val="0"/>
        <w:autoSpaceDN w:val="0"/>
        <w:spacing w:after="0" w:line="240" w:lineRule="auto"/>
        <w:ind w:left="540"/>
        <w:rPr>
          <w:rFonts w:ascii="Times New Roman" w:eastAsia="Times New Roman" w:hAnsi="Times New Roman" w:cs="Times New Roman"/>
          <w:iCs/>
        </w:rPr>
      </w:pPr>
      <w:r w:rsidRPr="00DF20DE">
        <w:rPr>
          <w:rFonts w:ascii="Times New Roman" w:eastAsia="Times New Roman" w:hAnsi="Times New Roman" w:cs="Times New Roman"/>
          <w:iCs/>
          <w:u w:val="single"/>
        </w:rPr>
        <w:t>Tabletės plėvelė:</w:t>
      </w:r>
      <w:r w:rsidRPr="00DF20DE">
        <w:rPr>
          <w:rFonts w:ascii="Times New Roman" w:eastAsia="Times New Roman" w:hAnsi="Times New Roman" w:cs="Times New Roman"/>
          <w:iCs/>
        </w:rPr>
        <w:t xml:space="preserve"> hipromeliozė, titano dioksidas (E171), makrogolis, </w:t>
      </w:r>
      <w:r w:rsidR="005D637C" w:rsidRPr="00DF20DE">
        <w:rPr>
          <w:rFonts w:ascii="Times New Roman" w:eastAsia="Times New Roman" w:hAnsi="Times New Roman" w:cs="Times New Roman"/>
          <w:iCs/>
        </w:rPr>
        <w:t>geltonasis</w:t>
      </w:r>
      <w:r w:rsidRPr="00DF20DE">
        <w:rPr>
          <w:rFonts w:ascii="Times New Roman" w:eastAsia="Times New Roman" w:hAnsi="Times New Roman" w:cs="Times New Roman"/>
          <w:iCs/>
        </w:rPr>
        <w:t xml:space="preserve"> geležies oksidas (E172), </w:t>
      </w:r>
      <w:r w:rsidR="005D637C" w:rsidRPr="00DF20DE">
        <w:rPr>
          <w:rFonts w:ascii="Times New Roman" w:eastAsia="Times New Roman" w:hAnsi="Times New Roman" w:cs="Times New Roman"/>
          <w:iCs/>
        </w:rPr>
        <w:t>talkas</w:t>
      </w:r>
      <w:r w:rsidRPr="00DF20DE">
        <w:rPr>
          <w:rFonts w:ascii="Times New Roman" w:eastAsia="Times New Roman" w:hAnsi="Times New Roman" w:cs="Times New Roman"/>
          <w:iCs/>
        </w:rPr>
        <w:t xml:space="preserve"> (E</w:t>
      </w:r>
      <w:r w:rsidR="005D637C" w:rsidRPr="00DF20DE">
        <w:rPr>
          <w:rFonts w:ascii="Times New Roman" w:eastAsia="Times New Roman" w:hAnsi="Times New Roman" w:cs="Times New Roman"/>
          <w:iCs/>
        </w:rPr>
        <w:t>553b</w:t>
      </w:r>
      <w:r w:rsidRPr="00DF20DE">
        <w:rPr>
          <w:rFonts w:ascii="Times New Roman" w:eastAsia="Times New Roman" w:hAnsi="Times New Roman" w:cs="Times New Roman"/>
          <w:iCs/>
        </w:rPr>
        <w:t>).</w:t>
      </w:r>
    </w:p>
    <w:p w14:paraId="0FFC9BB7"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68EE831D" w14:textId="6A467507" w:rsidR="001C139D" w:rsidRPr="00DF20DE" w:rsidRDefault="008B0463"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Plategra</w:t>
      </w:r>
      <w:r w:rsidR="001C139D" w:rsidRPr="00DF20DE">
        <w:rPr>
          <w:rFonts w:ascii="Times New Roman" w:eastAsia="Times New Roman" w:hAnsi="Times New Roman" w:cs="Times New Roman"/>
          <w:b/>
          <w:bCs/>
        </w:rPr>
        <w:t xml:space="preserve"> išvaizda ir kiekis pakuotėje</w:t>
      </w:r>
    </w:p>
    <w:p w14:paraId="2C922024" w14:textId="6D3CF9CD"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rPr>
        <w:t>Plėvele dengta tabletė (tabletė): tabletės yra apvalios, abipus išgaubtos, geltonos, 9 mm skersmens tabletės, kurių vienoje pusėje yra įspaudas „90“.</w:t>
      </w:r>
    </w:p>
    <w:p w14:paraId="362F4920" w14:textId="7CE7CBE2"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52EFB8DE" w14:textId="59C66A4F" w:rsidR="001C139D" w:rsidRPr="00DF20DE" w:rsidRDefault="001C139D" w:rsidP="001C139D">
      <w:pPr>
        <w:tabs>
          <w:tab w:val="left" w:pos="567"/>
        </w:tabs>
        <w:spacing w:after="0" w:line="240" w:lineRule="auto"/>
        <w:rPr>
          <w:rFonts w:ascii="Times New Roman" w:eastAsia="Times New Roman" w:hAnsi="Times New Roman" w:cs="Times New Roman"/>
          <w:snapToGrid w:val="0"/>
        </w:rPr>
      </w:pPr>
      <w:r w:rsidRPr="00DF20DE">
        <w:rPr>
          <w:rFonts w:ascii="Times New Roman" w:eastAsia="Times New Roman" w:hAnsi="Times New Roman" w:cs="Times New Roman"/>
          <w:snapToGrid w:val="0"/>
        </w:rPr>
        <w:t>Kartono dėžutė, kurioje yra 14 plėvele dengtų tablečių permatomose PVC-PVDC / Al lizdinėse plokštelėse.</w:t>
      </w:r>
    </w:p>
    <w:p w14:paraId="51940B3E" w14:textId="77777777" w:rsidR="001C139D" w:rsidRPr="00DF20DE" w:rsidRDefault="001C139D" w:rsidP="001C139D">
      <w:pPr>
        <w:tabs>
          <w:tab w:val="left" w:pos="567"/>
        </w:tabs>
        <w:spacing w:after="0" w:line="240" w:lineRule="auto"/>
        <w:rPr>
          <w:rFonts w:ascii="Times New Roman" w:eastAsia="Times New Roman" w:hAnsi="Times New Roman" w:cs="Times New Roman"/>
          <w:snapToGrid w:val="0"/>
          <w:highlight w:val="yellow"/>
        </w:rPr>
      </w:pPr>
    </w:p>
    <w:p w14:paraId="255D0D48" w14:textId="77777777" w:rsidR="001C139D" w:rsidRPr="00DF20DE" w:rsidRDefault="001C139D" w:rsidP="001C139D">
      <w:pPr>
        <w:tabs>
          <w:tab w:val="left" w:pos="567"/>
        </w:tabs>
        <w:spacing w:after="0" w:line="240" w:lineRule="auto"/>
        <w:rPr>
          <w:rFonts w:ascii="Times New Roman" w:eastAsia="Times New Roman" w:hAnsi="Times New Roman" w:cs="Times New Roman"/>
          <w:snapToGrid w:val="0"/>
        </w:rPr>
      </w:pPr>
      <w:r w:rsidRPr="00DF20DE">
        <w:rPr>
          <w:rFonts w:ascii="Times New Roman" w:eastAsia="Times New Roman" w:hAnsi="Times New Roman" w:cs="Times New Roman"/>
          <w:snapToGrid w:val="0"/>
        </w:rPr>
        <w:t>Pakuotėje yra 56 plėvele dengtos tabletės</w:t>
      </w:r>
      <w:r w:rsidRPr="00DF20DE">
        <w:rPr>
          <w:rFonts w:ascii="Times New Roman" w:eastAsia="TimesNewRoman" w:hAnsi="Times New Roman" w:cs="Times New Roman"/>
          <w:snapToGrid w:val="0"/>
          <w:lang w:eastAsia="pl-PL"/>
        </w:rPr>
        <w:t>.</w:t>
      </w:r>
    </w:p>
    <w:p w14:paraId="73D3B2C7"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1B7E7D3F" w14:textId="7777777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bCs/>
        </w:rPr>
        <w:t>Registruotojas ir gamintojas</w:t>
      </w:r>
    </w:p>
    <w:p w14:paraId="5E97A497"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b/>
          <w:sz w:val="21"/>
        </w:rPr>
      </w:pPr>
    </w:p>
    <w:p w14:paraId="7A92125D"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u w:val="single"/>
        </w:rPr>
      </w:pPr>
      <w:r w:rsidRPr="00DF20DE">
        <w:rPr>
          <w:rFonts w:ascii="Times New Roman" w:eastAsia="Times New Roman" w:hAnsi="Times New Roman" w:cs="Times New Roman"/>
          <w:u w:val="single"/>
        </w:rPr>
        <w:t xml:space="preserve">Registruotojas </w:t>
      </w:r>
    </w:p>
    <w:p w14:paraId="50D76E00" w14:textId="77777777" w:rsidR="001C139D" w:rsidRPr="00DF20DE" w:rsidRDefault="001C139D" w:rsidP="001C139D">
      <w:pPr>
        <w:spacing w:after="0" w:line="240" w:lineRule="auto"/>
        <w:rPr>
          <w:rFonts w:ascii="Times New Roman" w:hAnsi="Times New Roman" w:cs="Times New Roman"/>
        </w:rPr>
      </w:pPr>
      <w:r w:rsidRPr="00DF20DE">
        <w:rPr>
          <w:rFonts w:ascii="Times New Roman" w:hAnsi="Times New Roman" w:cs="Times New Roman"/>
        </w:rPr>
        <w:t>Egis Pharmaceuticals PLC</w:t>
      </w:r>
    </w:p>
    <w:p w14:paraId="6CD6CEE1" w14:textId="77777777" w:rsidR="001C139D" w:rsidRPr="00DF20DE" w:rsidRDefault="001C139D" w:rsidP="001C139D">
      <w:pPr>
        <w:spacing w:after="0" w:line="240" w:lineRule="auto"/>
        <w:rPr>
          <w:rFonts w:ascii="Times New Roman" w:hAnsi="Times New Roman" w:cs="Times New Roman"/>
        </w:rPr>
      </w:pPr>
      <w:r w:rsidRPr="00DF20DE">
        <w:rPr>
          <w:rFonts w:ascii="Times New Roman" w:hAnsi="Times New Roman" w:cs="Times New Roman"/>
        </w:rPr>
        <w:t>Keresztúri út 30–38</w:t>
      </w:r>
    </w:p>
    <w:p w14:paraId="23E985D3" w14:textId="039B6BDD" w:rsidR="00E87AD2" w:rsidRPr="00DF20DE" w:rsidRDefault="00E87AD2" w:rsidP="00E87AD2">
      <w:pPr>
        <w:spacing w:after="0" w:line="240" w:lineRule="auto"/>
        <w:rPr>
          <w:rFonts w:ascii="Times New Roman" w:hAnsi="Times New Roman" w:cs="Times New Roman"/>
        </w:rPr>
      </w:pPr>
      <w:r w:rsidRPr="00DF20DE">
        <w:rPr>
          <w:rFonts w:ascii="Times New Roman" w:hAnsi="Times New Roman" w:cs="Times New Roman"/>
        </w:rPr>
        <w:t>1106 Budapest</w:t>
      </w:r>
    </w:p>
    <w:p w14:paraId="07CB8F25" w14:textId="77777777" w:rsidR="001C139D" w:rsidRPr="00DF20DE" w:rsidRDefault="001C139D" w:rsidP="001C139D">
      <w:pPr>
        <w:widowControl w:val="0"/>
        <w:autoSpaceDE w:val="0"/>
        <w:autoSpaceDN w:val="0"/>
        <w:spacing w:after="0" w:line="240" w:lineRule="auto"/>
        <w:rPr>
          <w:rFonts w:ascii="Times New Roman" w:hAnsi="Times New Roman" w:cs="Times New Roman"/>
        </w:rPr>
      </w:pPr>
      <w:r w:rsidRPr="00DF20DE">
        <w:rPr>
          <w:rFonts w:ascii="Times New Roman" w:hAnsi="Times New Roman" w:cs="Times New Roman"/>
        </w:rPr>
        <w:t>Vengrija</w:t>
      </w:r>
    </w:p>
    <w:p w14:paraId="273F263B"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z w:val="19"/>
        </w:rPr>
      </w:pPr>
    </w:p>
    <w:p w14:paraId="3CAA6A38"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u w:val="single"/>
        </w:rPr>
      </w:pPr>
      <w:bookmarkStart w:id="12" w:name="_Hlk94106321"/>
      <w:r w:rsidRPr="00DF20DE">
        <w:rPr>
          <w:rFonts w:ascii="Times New Roman" w:eastAsia="Times New Roman" w:hAnsi="Times New Roman" w:cs="Times New Roman"/>
          <w:u w:val="single"/>
        </w:rPr>
        <w:t>Gamintojas</w:t>
      </w:r>
    </w:p>
    <w:p w14:paraId="5ABD03BC" w14:textId="77777777" w:rsidR="00FF57FD" w:rsidRPr="00FF57FD" w:rsidRDefault="00FF57FD" w:rsidP="00FF57FD">
      <w:pPr>
        <w:keepNext/>
        <w:keepLines/>
        <w:spacing w:after="0" w:line="240" w:lineRule="auto"/>
        <w:outlineLvl w:val="0"/>
        <w:rPr>
          <w:rFonts w:ascii="Times New Roman" w:eastAsia="Calibri" w:hAnsi="Times New Roman" w:cs="Times New Roman"/>
          <w:color w:val="000000"/>
          <w:kern w:val="2"/>
          <w:u w:color="000000"/>
          <w:lang w:val="et-EE" w:eastAsia="lt-LT"/>
          <w14:ligatures w14:val="standardContextual"/>
        </w:rPr>
      </w:pPr>
      <w:r w:rsidRPr="00FF57FD">
        <w:rPr>
          <w:rFonts w:ascii="Times New Roman" w:eastAsia="Calibri" w:hAnsi="Times New Roman" w:cs="Times New Roman"/>
          <w:color w:val="000000"/>
          <w:kern w:val="2"/>
          <w:u w:color="000000"/>
          <w:lang w:val="et-EE" w:eastAsia="lt-LT"/>
          <w14:ligatures w14:val="standardContextual"/>
        </w:rPr>
        <w:t>KeVaRo GROUP Ltd.</w:t>
      </w:r>
    </w:p>
    <w:p w14:paraId="20453ACF" w14:textId="77777777" w:rsidR="00FF57FD" w:rsidRPr="00FF57FD" w:rsidRDefault="00FF57FD" w:rsidP="00FF57FD">
      <w:pPr>
        <w:keepNext/>
        <w:keepLines/>
        <w:spacing w:after="0" w:line="240" w:lineRule="auto"/>
        <w:outlineLvl w:val="0"/>
        <w:rPr>
          <w:rFonts w:ascii="Times New Roman" w:eastAsia="Calibri" w:hAnsi="Times New Roman" w:cs="Times New Roman"/>
          <w:color w:val="000000"/>
          <w:kern w:val="2"/>
          <w:u w:color="000000"/>
          <w:lang w:val="et-EE" w:eastAsia="lt-LT"/>
          <w14:ligatures w14:val="standardContextual"/>
        </w:rPr>
      </w:pPr>
      <w:r w:rsidRPr="00FF57FD">
        <w:rPr>
          <w:rFonts w:ascii="Times New Roman" w:eastAsia="Calibri" w:hAnsi="Times New Roman" w:cs="Times New Roman"/>
          <w:color w:val="000000"/>
          <w:kern w:val="2"/>
          <w:u w:color="000000"/>
          <w:lang w:val="et-EE" w:eastAsia="lt-LT"/>
          <w14:ligatures w14:val="standardContextual"/>
        </w:rPr>
        <w:t>9, Tsaritsa Eleonora Str., office 23</w:t>
      </w:r>
    </w:p>
    <w:p w14:paraId="1AEDE62D" w14:textId="77777777" w:rsidR="00FF57FD" w:rsidRPr="00FF57FD" w:rsidRDefault="00FF57FD" w:rsidP="00FF57FD">
      <w:pPr>
        <w:spacing w:after="5" w:line="240" w:lineRule="auto"/>
        <w:ind w:left="-5" w:right="415" w:hanging="10"/>
        <w:rPr>
          <w:rFonts w:ascii="Times New Roman" w:eastAsia="Calibri" w:hAnsi="Times New Roman" w:cs="Times New Roman"/>
          <w:color w:val="000000"/>
          <w:kern w:val="2"/>
          <w:lang w:val="et-EE" w:eastAsia="lt-LT"/>
          <w14:ligatures w14:val="standardContextual"/>
        </w:rPr>
      </w:pPr>
      <w:r w:rsidRPr="00FF57FD">
        <w:rPr>
          <w:rFonts w:ascii="Times New Roman" w:eastAsia="Calibri" w:hAnsi="Times New Roman" w:cs="Times New Roman"/>
          <w:color w:val="000000"/>
          <w:kern w:val="2"/>
          <w:lang w:val="et-EE" w:eastAsia="lt-LT"/>
          <w14:ligatures w14:val="standardContextual"/>
        </w:rPr>
        <w:t>Sofia 1618</w:t>
      </w:r>
    </w:p>
    <w:p w14:paraId="5CF4B981" w14:textId="24341C2C" w:rsidR="00FF57FD" w:rsidRPr="00DF20DE" w:rsidRDefault="00FF57FD" w:rsidP="0092059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Bulgarija</w:t>
      </w:r>
    </w:p>
    <w:p w14:paraId="5B20F173" w14:textId="77777777" w:rsidR="00FF57FD" w:rsidRDefault="00FF57FD" w:rsidP="0092059E">
      <w:pPr>
        <w:spacing w:after="0" w:line="240" w:lineRule="auto"/>
        <w:rPr>
          <w:rFonts w:ascii="Times New Roman" w:eastAsia="Calibri" w:hAnsi="Times New Roman" w:cs="Times New Roman"/>
          <w:lang w:eastAsia="lt-LT"/>
        </w:rPr>
      </w:pPr>
    </w:p>
    <w:p w14:paraId="6170A223" w14:textId="60E6E14F" w:rsidR="00FF57FD" w:rsidRPr="00DF20DE" w:rsidRDefault="00FF57FD" w:rsidP="0092059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arba</w:t>
      </w:r>
    </w:p>
    <w:p w14:paraId="3977A5F3" w14:textId="77777777" w:rsidR="0092059E" w:rsidRPr="00DF20DE" w:rsidRDefault="0092059E" w:rsidP="0092059E">
      <w:pPr>
        <w:spacing w:after="0" w:line="240" w:lineRule="auto"/>
        <w:rPr>
          <w:rFonts w:ascii="Times New Roman" w:hAnsi="Times New Roman"/>
        </w:rPr>
      </w:pPr>
    </w:p>
    <w:p w14:paraId="3E26332B" w14:textId="235F4830" w:rsidR="0092059E" w:rsidRPr="00DF20DE" w:rsidRDefault="0092059E" w:rsidP="0092059E">
      <w:pPr>
        <w:spacing w:after="0" w:line="240" w:lineRule="auto"/>
        <w:rPr>
          <w:rFonts w:ascii="Times New Roman" w:hAnsi="Times New Roman"/>
        </w:rPr>
      </w:pPr>
      <w:r w:rsidRPr="00DF20DE">
        <w:rPr>
          <w:rFonts w:ascii="Times New Roman" w:hAnsi="Times New Roman"/>
        </w:rPr>
        <w:t>Adalvo L</w:t>
      </w:r>
      <w:r w:rsidR="00011549" w:rsidRPr="00DF20DE">
        <w:rPr>
          <w:rFonts w:ascii="Times New Roman" w:hAnsi="Times New Roman"/>
        </w:rPr>
        <w:t>imited</w:t>
      </w:r>
    </w:p>
    <w:p w14:paraId="00A86D7A" w14:textId="3E0D9E17" w:rsidR="00E87AD2" w:rsidRPr="00DF20DE" w:rsidRDefault="0092059E" w:rsidP="0092059E">
      <w:pPr>
        <w:spacing w:after="0" w:line="240" w:lineRule="auto"/>
        <w:rPr>
          <w:rFonts w:ascii="Times New Roman" w:eastAsia="Calibri" w:hAnsi="Times New Roman" w:cs="Times New Roman"/>
          <w:lang w:eastAsia="lt-LT"/>
        </w:rPr>
      </w:pPr>
      <w:r w:rsidRPr="00DF20DE">
        <w:rPr>
          <w:rFonts w:ascii="Times New Roman" w:eastAsia="Calibri" w:hAnsi="Times New Roman" w:cs="Times New Roman"/>
          <w:lang w:eastAsia="lt-LT"/>
        </w:rPr>
        <w:t>Malta Life Sciences Park, Building 1,</w:t>
      </w:r>
      <w:r w:rsidR="00E87AD2" w:rsidRPr="00DF20DE">
        <w:rPr>
          <w:rFonts w:ascii="Times New Roman" w:eastAsia="Calibri" w:hAnsi="Times New Roman" w:cs="Times New Roman"/>
          <w:lang w:eastAsia="lt-LT"/>
        </w:rPr>
        <w:t xml:space="preserve"> </w:t>
      </w:r>
      <w:r w:rsidRPr="00DF20DE">
        <w:rPr>
          <w:rFonts w:ascii="Times New Roman" w:eastAsia="Calibri" w:hAnsi="Times New Roman" w:cs="Times New Roman"/>
          <w:lang w:eastAsia="lt-LT"/>
        </w:rPr>
        <w:t>Level 4</w:t>
      </w:r>
    </w:p>
    <w:p w14:paraId="5B46A645" w14:textId="57CA22DD" w:rsidR="0092059E" w:rsidRPr="00DF20DE" w:rsidRDefault="0092059E" w:rsidP="0092059E">
      <w:pPr>
        <w:spacing w:after="0" w:line="240" w:lineRule="auto"/>
        <w:rPr>
          <w:rFonts w:ascii="Times New Roman" w:eastAsia="Calibri" w:hAnsi="Times New Roman" w:cs="Times New Roman"/>
          <w:lang w:eastAsia="lt-LT"/>
        </w:rPr>
      </w:pPr>
      <w:r w:rsidRPr="00DF20DE">
        <w:rPr>
          <w:rFonts w:ascii="Times New Roman" w:eastAsia="Calibri" w:hAnsi="Times New Roman" w:cs="Times New Roman"/>
          <w:lang w:eastAsia="lt-LT"/>
        </w:rPr>
        <w:t>Sir Temi Zammit Buildings,</w:t>
      </w:r>
    </w:p>
    <w:p w14:paraId="40658FEA" w14:textId="03263F46" w:rsidR="0092059E" w:rsidRPr="00DF20DE" w:rsidRDefault="00E87AD2" w:rsidP="0092059E">
      <w:pPr>
        <w:spacing w:after="0" w:line="240" w:lineRule="auto"/>
        <w:rPr>
          <w:rFonts w:ascii="Times New Roman" w:eastAsia="Calibri" w:hAnsi="Times New Roman" w:cs="Times New Roman"/>
          <w:lang w:eastAsia="lt-LT"/>
        </w:rPr>
      </w:pPr>
      <w:r w:rsidRPr="00DF20DE">
        <w:rPr>
          <w:rFonts w:ascii="Times New Roman" w:eastAsia="Calibri" w:hAnsi="Times New Roman" w:cs="Times New Roman"/>
          <w:lang w:eastAsia="lt-LT"/>
        </w:rPr>
        <w:t xml:space="preserve">3000 </w:t>
      </w:r>
      <w:r w:rsidR="0092059E" w:rsidRPr="00DF20DE">
        <w:rPr>
          <w:rFonts w:ascii="Times New Roman" w:eastAsia="Calibri" w:hAnsi="Times New Roman" w:cs="Times New Roman"/>
          <w:lang w:eastAsia="lt-LT"/>
        </w:rPr>
        <w:t>San Ġwann</w:t>
      </w:r>
    </w:p>
    <w:p w14:paraId="1F98ED90" w14:textId="2C7C96F8" w:rsidR="001C139D" w:rsidRPr="00DF20DE" w:rsidRDefault="0092059E" w:rsidP="0092059E">
      <w:pPr>
        <w:widowControl w:val="0"/>
        <w:autoSpaceDE w:val="0"/>
        <w:autoSpaceDN w:val="0"/>
        <w:spacing w:after="0" w:line="240" w:lineRule="auto"/>
        <w:rPr>
          <w:rFonts w:ascii="Calibri" w:eastAsia="Calibri" w:hAnsi="Calibri" w:cs="Calibri"/>
          <w:lang w:eastAsia="lt-LT"/>
        </w:rPr>
      </w:pPr>
      <w:r w:rsidRPr="00DF20DE">
        <w:rPr>
          <w:rFonts w:ascii="Times New Roman" w:eastAsia="Calibri" w:hAnsi="Times New Roman" w:cs="Times New Roman"/>
          <w:lang w:eastAsia="lt-LT"/>
        </w:rPr>
        <w:t>Malta</w:t>
      </w:r>
      <w:bookmarkEnd w:id="12"/>
    </w:p>
    <w:p w14:paraId="42B8701A" w14:textId="77777777" w:rsidR="0092059E" w:rsidRPr="00DF20DE" w:rsidRDefault="0092059E" w:rsidP="0092059E">
      <w:pPr>
        <w:widowControl w:val="0"/>
        <w:autoSpaceDE w:val="0"/>
        <w:autoSpaceDN w:val="0"/>
        <w:spacing w:after="0" w:line="240" w:lineRule="auto"/>
        <w:rPr>
          <w:rFonts w:ascii="Times New Roman" w:eastAsia="Times New Roman" w:hAnsi="Times New Roman" w:cs="Times New Roman"/>
          <w:sz w:val="19"/>
        </w:rPr>
      </w:pPr>
    </w:p>
    <w:p w14:paraId="328A8810" w14:textId="77777777" w:rsidR="00B11F6F" w:rsidRDefault="00B11F6F" w:rsidP="00B11F6F">
      <w:pPr>
        <w:tabs>
          <w:tab w:val="left" w:pos="567"/>
        </w:tabs>
        <w:spacing w:after="0" w:line="260" w:lineRule="exact"/>
        <w:rPr>
          <w:rFonts w:ascii="Times New Roman" w:hAnsi="Times New Roman"/>
        </w:rPr>
      </w:pPr>
      <w:r>
        <w:rPr>
          <w:rFonts w:ascii="Times New Roman" w:hAnsi="Times New Roman"/>
        </w:rPr>
        <w:t>a</w:t>
      </w:r>
      <w:r w:rsidRPr="00DF20DE">
        <w:rPr>
          <w:rFonts w:ascii="Times New Roman" w:hAnsi="Times New Roman"/>
        </w:rPr>
        <w:t>rba</w:t>
      </w:r>
    </w:p>
    <w:p w14:paraId="0792A927" w14:textId="77777777" w:rsidR="00B11F6F" w:rsidRPr="00DF20DE" w:rsidRDefault="00B11F6F" w:rsidP="00B11F6F">
      <w:pPr>
        <w:tabs>
          <w:tab w:val="left" w:pos="567"/>
        </w:tabs>
        <w:spacing w:after="0" w:line="260" w:lineRule="exact"/>
        <w:rPr>
          <w:rFonts w:ascii="Times New Roman" w:eastAsia="Times New Roman" w:hAnsi="Times New Roman" w:cs="Times New Roman"/>
          <w:snapToGrid w:val="0"/>
          <w:szCs w:val="24"/>
        </w:rPr>
      </w:pPr>
    </w:p>
    <w:p w14:paraId="207000C1" w14:textId="77777777" w:rsidR="00B11F6F" w:rsidRPr="00B11F6F" w:rsidRDefault="00B11F6F" w:rsidP="00B11F6F">
      <w:pPr>
        <w:tabs>
          <w:tab w:val="left" w:pos="567"/>
        </w:tabs>
        <w:spacing w:after="0" w:line="260" w:lineRule="exact"/>
        <w:rPr>
          <w:rFonts w:ascii="Times New Roman" w:eastAsia="Calibri" w:hAnsi="Times New Roman" w:cs="Times New Roman"/>
          <w:noProof/>
          <w:snapToGrid w:val="0"/>
          <w:szCs w:val="24"/>
          <w:lang w:val="hu-HU"/>
        </w:rPr>
      </w:pPr>
      <w:r w:rsidRPr="00B11F6F">
        <w:rPr>
          <w:rFonts w:ascii="Times New Roman" w:eastAsia="Calibri" w:hAnsi="Times New Roman" w:cs="Times New Roman"/>
          <w:noProof/>
          <w:snapToGrid w:val="0"/>
          <w:szCs w:val="24"/>
          <w:lang w:val="hu-HU"/>
        </w:rPr>
        <w:lastRenderedPageBreak/>
        <w:t>PGF Pharma International d.o.o.</w:t>
      </w:r>
    </w:p>
    <w:p w14:paraId="03D9BFD0" w14:textId="77777777" w:rsidR="00B11F6F" w:rsidRPr="00B11F6F" w:rsidRDefault="00B11F6F" w:rsidP="00B11F6F">
      <w:pPr>
        <w:tabs>
          <w:tab w:val="left" w:pos="567"/>
        </w:tabs>
        <w:spacing w:after="0" w:line="260" w:lineRule="exact"/>
        <w:rPr>
          <w:rFonts w:ascii="Times New Roman" w:eastAsia="Calibri" w:hAnsi="Times New Roman" w:cs="Times New Roman"/>
          <w:noProof/>
          <w:snapToGrid w:val="0"/>
          <w:szCs w:val="24"/>
          <w:lang w:val="hu-HU"/>
        </w:rPr>
      </w:pPr>
      <w:r w:rsidRPr="00B11F6F">
        <w:rPr>
          <w:rFonts w:ascii="Times New Roman" w:eastAsia="Calibri" w:hAnsi="Times New Roman" w:cs="Times New Roman"/>
          <w:noProof/>
          <w:snapToGrid w:val="0"/>
          <w:szCs w:val="24"/>
          <w:lang w:val="hu-HU"/>
        </w:rPr>
        <w:t>Ulica Roberta Frangesa-Mihanovica 9</w:t>
      </w:r>
    </w:p>
    <w:p w14:paraId="53A03DEB" w14:textId="77777777" w:rsidR="00B11F6F" w:rsidRPr="00B11F6F" w:rsidRDefault="00B11F6F" w:rsidP="00B11F6F">
      <w:pPr>
        <w:tabs>
          <w:tab w:val="left" w:pos="567"/>
        </w:tabs>
        <w:spacing w:after="0" w:line="260" w:lineRule="exact"/>
        <w:rPr>
          <w:rFonts w:ascii="Times New Roman" w:eastAsia="Calibri" w:hAnsi="Times New Roman" w:cs="Times New Roman"/>
          <w:noProof/>
          <w:snapToGrid w:val="0"/>
          <w:szCs w:val="24"/>
          <w:lang w:val="hu-HU"/>
        </w:rPr>
      </w:pPr>
      <w:r w:rsidRPr="00B11F6F">
        <w:rPr>
          <w:rFonts w:ascii="Times New Roman" w:eastAsia="Calibri" w:hAnsi="Times New Roman" w:cs="Times New Roman"/>
          <w:noProof/>
          <w:snapToGrid w:val="0"/>
          <w:szCs w:val="24"/>
          <w:lang w:val="hu-HU"/>
        </w:rPr>
        <w:t xml:space="preserve">Zagreb, 10110 </w:t>
      </w:r>
    </w:p>
    <w:p w14:paraId="4574326B" w14:textId="77777777" w:rsidR="00B11F6F" w:rsidRDefault="00B11F6F" w:rsidP="00B11F6F">
      <w:pPr>
        <w:widowControl w:val="0"/>
        <w:autoSpaceDE w:val="0"/>
        <w:autoSpaceDN w:val="0"/>
        <w:spacing w:after="0" w:line="240" w:lineRule="auto"/>
        <w:rPr>
          <w:rFonts w:ascii="Times New Roman" w:eastAsia="Calibri" w:hAnsi="Times New Roman" w:cs="Times New Roman"/>
          <w:noProof/>
          <w:snapToGrid w:val="0"/>
          <w:szCs w:val="24"/>
        </w:rPr>
      </w:pPr>
      <w:r>
        <w:rPr>
          <w:rFonts w:ascii="Times New Roman" w:eastAsia="Calibri" w:hAnsi="Times New Roman" w:cs="Times New Roman"/>
          <w:noProof/>
          <w:snapToGrid w:val="0"/>
          <w:szCs w:val="24"/>
        </w:rPr>
        <w:t>Kroatij</w:t>
      </w:r>
      <w:r w:rsidRPr="00B11F6F">
        <w:rPr>
          <w:rFonts w:ascii="Times New Roman" w:eastAsia="Calibri" w:hAnsi="Times New Roman" w:cs="Times New Roman"/>
          <w:noProof/>
          <w:snapToGrid w:val="0"/>
          <w:szCs w:val="24"/>
        </w:rPr>
        <w:t>a</w:t>
      </w:r>
    </w:p>
    <w:p w14:paraId="01EAB5D8" w14:textId="77777777" w:rsidR="00B11F6F" w:rsidRDefault="00B11F6F" w:rsidP="00E02D36">
      <w:pPr>
        <w:spacing w:after="0" w:line="240" w:lineRule="auto"/>
        <w:rPr>
          <w:rFonts w:ascii="Times New Roman" w:eastAsia="Calibri" w:hAnsi="Times New Roman" w:cs="Times New Roman"/>
        </w:rPr>
      </w:pPr>
    </w:p>
    <w:p w14:paraId="63C41AFD" w14:textId="297ED629" w:rsidR="00E02D36" w:rsidRPr="00DF20DE" w:rsidRDefault="00E02D36" w:rsidP="00E02D36">
      <w:pPr>
        <w:spacing w:after="0" w:line="240" w:lineRule="auto"/>
        <w:rPr>
          <w:rFonts w:ascii="Times New Roman" w:eastAsia="Calibri" w:hAnsi="Times New Roman" w:cs="Times New Roman"/>
        </w:rPr>
      </w:pPr>
      <w:r w:rsidRPr="00DF20DE">
        <w:rPr>
          <w:rFonts w:ascii="Times New Roman" w:eastAsia="Calibri" w:hAnsi="Times New Roman" w:cs="Times New Roman"/>
        </w:rPr>
        <w:t xml:space="preserve">Jeigu apie šį vaistą norite sužinoti daugiau, kreipkitės į vietinį </w:t>
      </w:r>
      <w:r w:rsidRPr="00DF20DE">
        <w:rPr>
          <w:rFonts w:ascii="Times New Roman" w:eastAsia="Times New Roman" w:hAnsi="Times New Roman" w:cs="Times New Roman"/>
          <w:noProof/>
          <w:snapToGrid w:val="0"/>
          <w:szCs w:val="24"/>
        </w:rPr>
        <w:t>registruotojo</w:t>
      </w:r>
      <w:r w:rsidRPr="00DF20DE">
        <w:rPr>
          <w:rFonts w:ascii="Times New Roman" w:eastAsia="Calibri" w:hAnsi="Times New Roman" w:cs="Times New Roman"/>
        </w:rPr>
        <w:t xml:space="preserve"> atstovą.</w:t>
      </w:r>
    </w:p>
    <w:p w14:paraId="754C494D" w14:textId="77777777" w:rsidR="00E02D36" w:rsidRPr="00DF20DE" w:rsidRDefault="00E02D36" w:rsidP="00E02D36">
      <w:pPr>
        <w:spacing w:after="0" w:line="240" w:lineRule="auto"/>
        <w:rPr>
          <w:rFonts w:ascii="Times New Roman" w:eastAsia="Calibri" w:hAnsi="Times New Roman" w:cs="Times New Roman"/>
        </w:rPr>
      </w:pPr>
    </w:p>
    <w:p w14:paraId="0AA516AC" w14:textId="77777777" w:rsidR="00E02D36" w:rsidRPr="00DF20DE" w:rsidRDefault="00E02D36" w:rsidP="00E02D36">
      <w:pPr>
        <w:spacing w:after="0" w:line="240" w:lineRule="auto"/>
        <w:rPr>
          <w:rFonts w:ascii="Times New Roman" w:eastAsia="Calibri" w:hAnsi="Times New Roman" w:cs="Times New Roman"/>
        </w:rPr>
      </w:pPr>
      <w:bookmarkStart w:id="13" w:name="_Hlk153523657"/>
      <w:r w:rsidRPr="00DF20DE">
        <w:rPr>
          <w:rFonts w:ascii="Times New Roman" w:eastAsia="Calibri" w:hAnsi="Times New Roman" w:cs="Times New Roman"/>
        </w:rPr>
        <w:t>Egis Pharmaceuticals PLC atstovybė</w:t>
      </w:r>
    </w:p>
    <w:p w14:paraId="556E6DCC" w14:textId="77777777" w:rsidR="00E02D36" w:rsidRPr="00DF20DE" w:rsidRDefault="00E02D36" w:rsidP="00E02D36">
      <w:pPr>
        <w:spacing w:after="0" w:line="240" w:lineRule="auto"/>
        <w:rPr>
          <w:rFonts w:ascii="Times New Roman" w:eastAsia="Calibri" w:hAnsi="Times New Roman" w:cs="Times New Roman"/>
        </w:rPr>
      </w:pPr>
      <w:r w:rsidRPr="00DF20DE">
        <w:rPr>
          <w:rFonts w:ascii="Times New Roman" w:eastAsia="Calibri" w:hAnsi="Times New Roman" w:cs="Times New Roman"/>
        </w:rPr>
        <w:t>Tel: (8 5) 23 14 658</w:t>
      </w:r>
    </w:p>
    <w:bookmarkEnd w:id="13"/>
    <w:p w14:paraId="15EEFA29"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snapToGrid w:val="0"/>
          <w:szCs w:val="24"/>
        </w:rPr>
      </w:pPr>
    </w:p>
    <w:p w14:paraId="0BFFC01A" w14:textId="77777777" w:rsidR="001C139D" w:rsidRPr="00DF20DE" w:rsidRDefault="001C139D" w:rsidP="001C139D">
      <w:pPr>
        <w:widowControl w:val="0"/>
        <w:autoSpaceDE w:val="0"/>
        <w:autoSpaceDN w:val="0"/>
        <w:spacing w:after="0" w:line="240" w:lineRule="auto"/>
        <w:outlineLvl w:val="1"/>
        <w:rPr>
          <w:rFonts w:ascii="Times New Roman" w:eastAsia="Times New Roman" w:hAnsi="Times New Roman" w:cs="Times New Roman"/>
          <w:b/>
          <w:bCs/>
        </w:rPr>
      </w:pPr>
      <w:r w:rsidRPr="00DF20DE">
        <w:rPr>
          <w:rFonts w:ascii="Times New Roman" w:eastAsia="Times New Roman" w:hAnsi="Times New Roman" w:cs="Times New Roman"/>
          <w:b/>
          <w:snapToGrid w:val="0"/>
          <w:szCs w:val="20"/>
        </w:rPr>
        <w:t>Šis vaistas Europos ekonominės erdvės valstybėse narėse registruotas tokiais pavadinimais</w:t>
      </w:r>
    </w:p>
    <w:p w14:paraId="6D796AAD" w14:textId="38B15E4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tbl>
      <w:tblPr>
        <w:tblW w:w="9180" w:type="dxa"/>
        <w:tblInd w:w="108" w:type="dxa"/>
        <w:tblLook w:val="04A0" w:firstRow="1" w:lastRow="0" w:firstColumn="1" w:lastColumn="0" w:noHBand="0" w:noVBand="1"/>
      </w:tblPr>
      <w:tblGrid>
        <w:gridCol w:w="2520"/>
        <w:gridCol w:w="6660"/>
      </w:tblGrid>
      <w:tr w:rsidR="00EB7419" w:rsidRPr="00DF20DE" w14:paraId="39B0FA77" w14:textId="77777777" w:rsidTr="00EB7419">
        <w:trPr>
          <w:cantSplit/>
          <w:trHeight w:val="86"/>
        </w:trPr>
        <w:tc>
          <w:tcPr>
            <w:tcW w:w="2520" w:type="dxa"/>
            <w:hideMark/>
          </w:tcPr>
          <w:p w14:paraId="601A91FA" w14:textId="7DE1F1D9" w:rsidR="00EB7419" w:rsidRPr="00DF20DE" w:rsidRDefault="00EB7419" w:rsidP="00EB7419">
            <w:pPr>
              <w:tabs>
                <w:tab w:val="left" w:pos="567"/>
              </w:tabs>
              <w:spacing w:after="0" w:line="240" w:lineRule="auto"/>
              <w:rPr>
                <w:rFonts w:ascii="Times New Roman" w:eastAsia="Calibri" w:hAnsi="Times New Roman" w:cs="Times New Roman"/>
                <w:color w:val="000000"/>
              </w:rPr>
            </w:pPr>
            <w:bookmarkStart w:id="14" w:name="_Hlk94107403"/>
            <w:r w:rsidRPr="00DF20DE">
              <w:rPr>
                <w:rFonts w:ascii="Times New Roman" w:eastAsia="Calibri" w:hAnsi="Times New Roman" w:cs="Times New Roman"/>
                <w:color w:val="000000"/>
              </w:rPr>
              <w:t>Estija</w:t>
            </w:r>
          </w:p>
        </w:tc>
        <w:tc>
          <w:tcPr>
            <w:tcW w:w="6660" w:type="dxa"/>
          </w:tcPr>
          <w:p w14:paraId="765F1B8D" w14:textId="32BEAD70" w:rsidR="00EB7419" w:rsidRPr="00DF20DE" w:rsidRDefault="00EB7419" w:rsidP="00EB7419">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Plategra</w:t>
            </w:r>
          </w:p>
        </w:tc>
      </w:tr>
      <w:tr w:rsidR="00475A15" w:rsidRPr="00DF20DE" w14:paraId="1C65AF10" w14:textId="77777777" w:rsidTr="00EB7419">
        <w:trPr>
          <w:cantSplit/>
          <w:trHeight w:val="86"/>
        </w:trPr>
        <w:tc>
          <w:tcPr>
            <w:tcW w:w="2520" w:type="dxa"/>
          </w:tcPr>
          <w:p w14:paraId="4F0C2E3E" w14:textId="271E5454" w:rsidR="00475A15" w:rsidRPr="00DF20DE" w:rsidRDefault="00475A15" w:rsidP="00EB7419">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Čekija</w:t>
            </w:r>
          </w:p>
        </w:tc>
        <w:tc>
          <w:tcPr>
            <w:tcW w:w="6660" w:type="dxa"/>
          </w:tcPr>
          <w:p w14:paraId="2156DCEA" w14:textId="4002DAC0" w:rsidR="00475A15" w:rsidRPr="00DF20DE" w:rsidRDefault="00475A15" w:rsidP="00EB7419">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Plategra</w:t>
            </w:r>
          </w:p>
        </w:tc>
      </w:tr>
      <w:tr w:rsidR="00EB7419" w:rsidRPr="00DF20DE" w14:paraId="799D5462" w14:textId="77777777" w:rsidTr="00EB7419">
        <w:trPr>
          <w:cantSplit/>
          <w:trHeight w:val="86"/>
        </w:trPr>
        <w:tc>
          <w:tcPr>
            <w:tcW w:w="2520" w:type="dxa"/>
            <w:hideMark/>
          </w:tcPr>
          <w:p w14:paraId="62217E68" w14:textId="77777777" w:rsidR="00EB7419" w:rsidRPr="00DF20DE" w:rsidRDefault="00EB7419" w:rsidP="00EB7419">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Slovakija</w:t>
            </w:r>
          </w:p>
        </w:tc>
        <w:tc>
          <w:tcPr>
            <w:tcW w:w="6660" w:type="dxa"/>
          </w:tcPr>
          <w:p w14:paraId="39FB529E" w14:textId="2B8F8482" w:rsidR="00EB7419" w:rsidRPr="00DF20DE" w:rsidRDefault="00EB7419" w:rsidP="00EB7419">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Plategra 90</w:t>
            </w:r>
            <w:r w:rsidR="00475A15" w:rsidRPr="00DF20DE">
              <w:rPr>
                <w:rFonts w:ascii="Times New Roman" w:eastAsia="Calibri" w:hAnsi="Times New Roman" w:cs="Times New Roman"/>
                <w:color w:val="000000"/>
              </w:rPr>
              <w:t> </w:t>
            </w:r>
            <w:r w:rsidRPr="00DF20DE">
              <w:rPr>
                <w:rFonts w:ascii="Times New Roman" w:eastAsia="Calibri" w:hAnsi="Times New Roman" w:cs="Times New Roman"/>
                <w:color w:val="000000"/>
              </w:rPr>
              <w:t>mg</w:t>
            </w:r>
          </w:p>
        </w:tc>
      </w:tr>
      <w:tr w:rsidR="00EB7419" w:rsidRPr="00DF20DE" w14:paraId="10E5F0A0" w14:textId="77777777" w:rsidTr="00EB7419">
        <w:trPr>
          <w:cantSplit/>
          <w:trHeight w:val="86"/>
        </w:trPr>
        <w:tc>
          <w:tcPr>
            <w:tcW w:w="2520" w:type="dxa"/>
            <w:hideMark/>
          </w:tcPr>
          <w:p w14:paraId="23BB1D67" w14:textId="7EB32915" w:rsidR="00EB7419" w:rsidRPr="00DF20DE" w:rsidRDefault="00EB7419" w:rsidP="00EB7419">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Rumunija</w:t>
            </w:r>
          </w:p>
          <w:p w14:paraId="5C63BE2D" w14:textId="77B0202E" w:rsidR="00EB7419" w:rsidRPr="00DF20DE" w:rsidRDefault="00EB7419" w:rsidP="00EB7419">
            <w:pPr>
              <w:tabs>
                <w:tab w:val="left" w:pos="567"/>
              </w:tabs>
              <w:spacing w:after="0" w:line="240" w:lineRule="auto"/>
              <w:rPr>
                <w:rFonts w:ascii="Times New Roman" w:eastAsia="Calibri" w:hAnsi="Times New Roman" w:cs="Times New Roman"/>
                <w:color w:val="000000"/>
              </w:rPr>
            </w:pPr>
          </w:p>
        </w:tc>
        <w:tc>
          <w:tcPr>
            <w:tcW w:w="6660" w:type="dxa"/>
          </w:tcPr>
          <w:p w14:paraId="49F681FF" w14:textId="6E03EA71" w:rsidR="00EB7419" w:rsidRPr="00DF20DE" w:rsidRDefault="00EB7419" w:rsidP="00EB7419">
            <w:pPr>
              <w:tabs>
                <w:tab w:val="left" w:pos="567"/>
              </w:tabs>
              <w:spacing w:after="0" w:line="240" w:lineRule="auto"/>
              <w:rPr>
                <w:rFonts w:ascii="Times New Roman" w:eastAsia="Calibri" w:hAnsi="Times New Roman" w:cs="Times New Roman"/>
                <w:color w:val="000000"/>
              </w:rPr>
            </w:pPr>
            <w:r w:rsidRPr="00DF20DE">
              <w:rPr>
                <w:rFonts w:ascii="Times New Roman" w:hAnsi="Times New Roman" w:cs="Times New Roman"/>
              </w:rPr>
              <w:t>Plategra 90</w:t>
            </w:r>
            <w:r w:rsidR="00475A15" w:rsidRPr="00DF20DE">
              <w:rPr>
                <w:rFonts w:ascii="Times New Roman" w:hAnsi="Times New Roman" w:cs="Times New Roman"/>
              </w:rPr>
              <w:t> </w:t>
            </w:r>
            <w:r w:rsidRPr="00DF20DE">
              <w:rPr>
                <w:rFonts w:ascii="Times New Roman" w:hAnsi="Times New Roman" w:cs="Times New Roman"/>
              </w:rPr>
              <w:t>mg comprimate filmate</w:t>
            </w:r>
          </w:p>
        </w:tc>
      </w:tr>
      <w:tr w:rsidR="00EB7419" w:rsidRPr="00DF20DE" w14:paraId="4A455780" w14:textId="77777777" w:rsidTr="00EB7419">
        <w:trPr>
          <w:cantSplit/>
          <w:trHeight w:val="86"/>
        </w:trPr>
        <w:tc>
          <w:tcPr>
            <w:tcW w:w="2520" w:type="dxa"/>
            <w:hideMark/>
          </w:tcPr>
          <w:p w14:paraId="604CED8F" w14:textId="77777777" w:rsidR="00EB7419" w:rsidRPr="00DF20DE" w:rsidRDefault="00EB7419" w:rsidP="00EB7419">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Lietuva</w:t>
            </w:r>
          </w:p>
        </w:tc>
        <w:tc>
          <w:tcPr>
            <w:tcW w:w="6660" w:type="dxa"/>
          </w:tcPr>
          <w:p w14:paraId="02427313" w14:textId="60356221" w:rsidR="00EB7419" w:rsidRPr="00DF20DE" w:rsidRDefault="00475A15" w:rsidP="00475A15">
            <w:pPr>
              <w:autoSpaceDE w:val="0"/>
              <w:autoSpaceDN w:val="0"/>
              <w:adjustRightInd w:val="0"/>
              <w:spacing w:after="0" w:line="240" w:lineRule="auto"/>
              <w:rPr>
                <w:rFonts w:ascii="Times New Roman" w:eastAsia="Calibri" w:hAnsi="Times New Roman" w:cs="Times New Roman"/>
                <w:color w:val="000000"/>
              </w:rPr>
            </w:pPr>
            <w:r w:rsidRPr="00DF20DE">
              <w:rPr>
                <w:rFonts w:ascii="Times New Roman" w:hAnsi="Times New Roman" w:cs="Times New Roman"/>
              </w:rPr>
              <w:t>Plategra 90 mg plėvele dengtos tabletės</w:t>
            </w:r>
          </w:p>
        </w:tc>
      </w:tr>
      <w:tr w:rsidR="00EB7419" w:rsidRPr="00DF20DE" w14:paraId="06943425" w14:textId="77777777" w:rsidTr="00EB7419">
        <w:trPr>
          <w:cantSplit/>
          <w:trHeight w:val="86"/>
        </w:trPr>
        <w:tc>
          <w:tcPr>
            <w:tcW w:w="2520" w:type="dxa"/>
          </w:tcPr>
          <w:p w14:paraId="76BEE5FB" w14:textId="2517637F" w:rsidR="00EB7419" w:rsidRPr="00DF20DE" w:rsidRDefault="00EB7419" w:rsidP="00EB7419">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Bulgarija</w:t>
            </w:r>
          </w:p>
        </w:tc>
        <w:tc>
          <w:tcPr>
            <w:tcW w:w="6660" w:type="dxa"/>
          </w:tcPr>
          <w:p w14:paraId="4D57B545" w14:textId="4C080F65" w:rsidR="00EB7419" w:rsidRPr="00DF20DE" w:rsidRDefault="00EB7419" w:rsidP="00EB7419">
            <w:pPr>
              <w:autoSpaceDE w:val="0"/>
              <w:autoSpaceDN w:val="0"/>
              <w:adjustRightInd w:val="0"/>
              <w:spacing w:after="0" w:line="240" w:lineRule="auto"/>
              <w:rPr>
                <w:rFonts w:ascii="Times New Roman" w:hAnsi="Times New Roman" w:cs="Times New Roman"/>
              </w:rPr>
            </w:pPr>
            <w:r w:rsidRPr="00DF20DE">
              <w:rPr>
                <w:rFonts w:ascii="Times New Roman" w:hAnsi="Times New Roman" w:cs="Times New Roman"/>
              </w:rPr>
              <w:t>Платегра 90</w:t>
            </w:r>
            <w:r w:rsidR="00475A15" w:rsidRPr="00DF20DE">
              <w:rPr>
                <w:rFonts w:ascii="Times New Roman" w:hAnsi="Times New Roman" w:cs="Times New Roman"/>
              </w:rPr>
              <w:t> </w:t>
            </w:r>
            <w:r w:rsidRPr="00DF20DE">
              <w:rPr>
                <w:rFonts w:ascii="Times New Roman" w:hAnsi="Times New Roman" w:cs="Times New Roman"/>
              </w:rPr>
              <w:t>mg</w:t>
            </w:r>
            <w:r w:rsidR="00475A15" w:rsidRPr="00DF20DE">
              <w:rPr>
                <w:rFonts w:ascii="Times New Roman" w:hAnsi="Times New Roman" w:cs="Times New Roman"/>
              </w:rPr>
              <w:t xml:space="preserve"> </w:t>
            </w:r>
            <w:r w:rsidRPr="00DF20DE">
              <w:rPr>
                <w:rFonts w:ascii="Times New Roman" w:hAnsi="Times New Roman" w:cs="Times New Roman"/>
              </w:rPr>
              <w:t>филмирани таблетки</w:t>
            </w:r>
          </w:p>
          <w:p w14:paraId="1489D3EF" w14:textId="0BE6C341" w:rsidR="00EB7419" w:rsidRPr="00DF20DE" w:rsidRDefault="00EB7419" w:rsidP="00475A15">
            <w:pPr>
              <w:autoSpaceDE w:val="0"/>
              <w:autoSpaceDN w:val="0"/>
              <w:adjustRightInd w:val="0"/>
              <w:spacing w:after="0" w:line="240" w:lineRule="auto"/>
              <w:rPr>
                <w:rFonts w:ascii="Times New Roman" w:eastAsia="Calibri" w:hAnsi="Times New Roman" w:cs="Times New Roman"/>
                <w:color w:val="000000"/>
              </w:rPr>
            </w:pPr>
            <w:r w:rsidRPr="00DF20DE">
              <w:rPr>
                <w:rFonts w:ascii="Times New Roman" w:hAnsi="Times New Roman" w:cs="Times New Roman"/>
              </w:rPr>
              <w:t>Plategra 90</w:t>
            </w:r>
            <w:r w:rsidR="00475A15" w:rsidRPr="00DF20DE">
              <w:rPr>
                <w:rFonts w:ascii="Times New Roman" w:hAnsi="Times New Roman" w:cs="Times New Roman"/>
              </w:rPr>
              <w:t> </w:t>
            </w:r>
            <w:r w:rsidRPr="00DF20DE">
              <w:rPr>
                <w:rFonts w:ascii="Times New Roman" w:hAnsi="Times New Roman" w:cs="Times New Roman"/>
              </w:rPr>
              <w:t>mg film-coated</w:t>
            </w:r>
            <w:r w:rsidR="00475A15" w:rsidRPr="00DF20DE">
              <w:rPr>
                <w:rFonts w:ascii="Times New Roman" w:hAnsi="Times New Roman" w:cs="Times New Roman"/>
              </w:rPr>
              <w:t xml:space="preserve"> </w:t>
            </w:r>
            <w:r w:rsidRPr="00DF20DE">
              <w:rPr>
                <w:rFonts w:ascii="Times New Roman" w:hAnsi="Times New Roman" w:cs="Times New Roman"/>
              </w:rPr>
              <w:t>tablets</w:t>
            </w:r>
          </w:p>
        </w:tc>
      </w:tr>
      <w:tr w:rsidR="00EB7419" w:rsidRPr="00DF20DE" w14:paraId="707657F1" w14:textId="77777777" w:rsidTr="00EB7419">
        <w:trPr>
          <w:cantSplit/>
          <w:trHeight w:val="86"/>
        </w:trPr>
        <w:tc>
          <w:tcPr>
            <w:tcW w:w="2520" w:type="dxa"/>
            <w:hideMark/>
          </w:tcPr>
          <w:p w14:paraId="613A9ACC" w14:textId="77777777" w:rsidR="00EB7419" w:rsidRPr="00DF20DE" w:rsidRDefault="00EB7419" w:rsidP="00EB7419">
            <w:pPr>
              <w:tabs>
                <w:tab w:val="left" w:pos="567"/>
              </w:tabs>
              <w:spacing w:after="0" w:line="240" w:lineRule="auto"/>
              <w:rPr>
                <w:rFonts w:ascii="Times New Roman" w:eastAsia="Calibri" w:hAnsi="Times New Roman" w:cs="Times New Roman"/>
                <w:color w:val="000000"/>
              </w:rPr>
            </w:pPr>
            <w:r w:rsidRPr="00DF20DE">
              <w:rPr>
                <w:rFonts w:ascii="Times New Roman" w:eastAsia="Calibri" w:hAnsi="Times New Roman" w:cs="Times New Roman"/>
                <w:color w:val="000000"/>
              </w:rPr>
              <w:t>Latvija</w:t>
            </w:r>
          </w:p>
        </w:tc>
        <w:tc>
          <w:tcPr>
            <w:tcW w:w="6660" w:type="dxa"/>
          </w:tcPr>
          <w:p w14:paraId="20517807" w14:textId="761E7FCA" w:rsidR="00EB7419" w:rsidRPr="00DF20DE" w:rsidRDefault="00475A15" w:rsidP="00475A15">
            <w:pPr>
              <w:tabs>
                <w:tab w:val="left" w:pos="567"/>
              </w:tabs>
              <w:spacing w:after="0" w:line="240" w:lineRule="auto"/>
              <w:rPr>
                <w:rFonts w:ascii="Times New Roman" w:eastAsia="Calibri" w:hAnsi="Times New Roman" w:cs="Times New Roman"/>
              </w:rPr>
            </w:pPr>
            <w:r w:rsidRPr="00DF20DE">
              <w:rPr>
                <w:rFonts w:ascii="Times New Roman" w:hAnsi="Times New Roman" w:cs="Times New Roman"/>
              </w:rPr>
              <w:t>Plategra 90 mg apvalkotās tabletes</w:t>
            </w:r>
          </w:p>
        </w:tc>
      </w:tr>
      <w:bookmarkEnd w:id="14"/>
      <w:tr w:rsidR="00205007" w14:paraId="2DCE93FB" w14:textId="77777777" w:rsidTr="00205007">
        <w:trPr>
          <w:cantSplit/>
          <w:trHeight w:val="86"/>
        </w:trPr>
        <w:tc>
          <w:tcPr>
            <w:tcW w:w="2520" w:type="dxa"/>
            <w:hideMark/>
          </w:tcPr>
          <w:p w14:paraId="74DCC91B" w14:textId="77777777" w:rsidR="00205007" w:rsidRDefault="00205007">
            <w:pPr>
              <w:tabs>
                <w:tab w:val="left" w:pos="567"/>
              </w:tabs>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Vengrija</w:t>
            </w:r>
          </w:p>
        </w:tc>
        <w:tc>
          <w:tcPr>
            <w:tcW w:w="6660" w:type="dxa"/>
          </w:tcPr>
          <w:p w14:paraId="551BFD3B" w14:textId="77777777" w:rsidR="00205007" w:rsidRDefault="00205007" w:rsidP="00205007">
            <w:pPr>
              <w:tabs>
                <w:tab w:val="left" w:pos="567"/>
              </w:tabs>
              <w:spacing w:line="240" w:lineRule="auto"/>
              <w:rPr>
                <w:rFonts w:ascii="Times New Roman" w:hAnsi="Times New Roman" w:cs="Times New Roman"/>
              </w:rPr>
            </w:pPr>
            <w:r w:rsidRPr="00205007">
              <w:rPr>
                <w:rFonts w:ascii="Times New Roman" w:hAnsi="Times New Roman" w:cs="Times New Roman"/>
              </w:rPr>
              <w:t>Plategra 90 mg filmtabletta</w:t>
            </w:r>
          </w:p>
        </w:tc>
      </w:tr>
    </w:tbl>
    <w:p w14:paraId="077A928D" w14:textId="0454ED03" w:rsidR="0092059E" w:rsidRPr="00DF20DE" w:rsidRDefault="0092059E" w:rsidP="001C139D">
      <w:pPr>
        <w:widowControl w:val="0"/>
        <w:autoSpaceDE w:val="0"/>
        <w:autoSpaceDN w:val="0"/>
        <w:spacing w:after="0" w:line="240" w:lineRule="auto"/>
        <w:rPr>
          <w:rFonts w:ascii="Times New Roman" w:eastAsia="Times New Roman" w:hAnsi="Times New Roman" w:cs="Times New Roman"/>
        </w:rPr>
      </w:pPr>
    </w:p>
    <w:p w14:paraId="491551FF" w14:textId="77777777" w:rsidR="0092059E" w:rsidRPr="00DF20DE" w:rsidRDefault="0092059E" w:rsidP="001C139D">
      <w:pPr>
        <w:widowControl w:val="0"/>
        <w:autoSpaceDE w:val="0"/>
        <w:autoSpaceDN w:val="0"/>
        <w:spacing w:after="0" w:line="240" w:lineRule="auto"/>
        <w:rPr>
          <w:rFonts w:ascii="Times New Roman" w:eastAsia="Times New Roman" w:hAnsi="Times New Roman" w:cs="Times New Roman"/>
        </w:rPr>
      </w:pPr>
    </w:p>
    <w:p w14:paraId="65FE68C1" w14:textId="0117C76A"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r w:rsidRPr="00DF20DE">
        <w:rPr>
          <w:rFonts w:ascii="Times New Roman" w:eastAsia="Times New Roman" w:hAnsi="Times New Roman" w:cs="Times New Roman"/>
          <w:b/>
        </w:rPr>
        <w:t>Šis pakuotės lapelis paskutinį kartą peržiūrėtas</w:t>
      </w:r>
      <w:r w:rsidR="001914AA">
        <w:rPr>
          <w:rFonts w:ascii="Times New Roman" w:eastAsia="Times New Roman" w:hAnsi="Times New Roman" w:cs="Times New Roman"/>
          <w:b/>
        </w:rPr>
        <w:t xml:space="preserve"> </w:t>
      </w:r>
      <w:r w:rsidR="00F77643">
        <w:rPr>
          <w:rFonts w:ascii="Times New Roman" w:eastAsia="Times New Roman" w:hAnsi="Times New Roman" w:cs="Times New Roman"/>
          <w:b/>
        </w:rPr>
        <w:t>2024-11-08</w:t>
      </w:r>
      <w:r w:rsidR="00495582">
        <w:rPr>
          <w:rFonts w:ascii="Times New Roman" w:eastAsia="Times New Roman" w:hAnsi="Times New Roman" w:cs="Times New Roman"/>
          <w:b/>
        </w:rPr>
        <w:t>.</w:t>
      </w:r>
    </w:p>
    <w:p w14:paraId="6C05A255" w14:textId="77777777" w:rsidR="001C139D" w:rsidRPr="00DF20DE" w:rsidRDefault="001C139D" w:rsidP="001C139D">
      <w:pPr>
        <w:widowControl w:val="0"/>
        <w:autoSpaceDE w:val="0"/>
        <w:autoSpaceDN w:val="0"/>
        <w:spacing w:after="0" w:line="240" w:lineRule="auto"/>
        <w:rPr>
          <w:rFonts w:ascii="Times New Roman" w:eastAsia="Times New Roman" w:hAnsi="Times New Roman" w:cs="Times New Roman"/>
        </w:rPr>
      </w:pPr>
    </w:p>
    <w:p w14:paraId="2F317823" w14:textId="162EEAE0" w:rsidR="001C139D" w:rsidRPr="00DF20DE" w:rsidRDefault="001C139D" w:rsidP="001C139D">
      <w:pPr>
        <w:widowControl w:val="0"/>
        <w:autoSpaceDE w:val="0"/>
        <w:autoSpaceDN w:val="0"/>
        <w:spacing w:after="0" w:line="240" w:lineRule="auto"/>
        <w:rPr>
          <w:rFonts w:ascii="Times New Roman" w:eastAsia="Times New Roman" w:hAnsi="Times New Roman" w:cs="Times New Roman"/>
          <w:b/>
        </w:rPr>
      </w:pPr>
      <w:r w:rsidRPr="00DF20DE">
        <w:rPr>
          <w:rFonts w:ascii="Times New Roman" w:eastAsia="Times New Roman" w:hAnsi="Times New Roman" w:cs="Times New Roman"/>
        </w:rPr>
        <w:t xml:space="preserve">Išsami informacija apie šį </w:t>
      </w:r>
      <w:r w:rsidRPr="00DF20DE">
        <w:rPr>
          <w:rFonts w:ascii="Times New Roman" w:eastAsia="Times New Roman" w:hAnsi="Times New Roman" w:cs="Times New Roman"/>
          <w:szCs w:val="24"/>
        </w:rPr>
        <w:t>vaistą</w:t>
      </w:r>
      <w:r w:rsidRPr="00DF20DE">
        <w:rPr>
          <w:rFonts w:ascii="Times New Roman" w:eastAsia="Times New Roman" w:hAnsi="Times New Roman" w:cs="Times New Roman"/>
        </w:rPr>
        <w:t xml:space="preserve"> pateikiama Valstybinės vaistų kontrolės tarnybos prie Lietuvos Respublikos sveikatos apsaugos ministerijos tinklalapyje</w:t>
      </w:r>
      <w:r w:rsidRPr="00DF20DE">
        <w:rPr>
          <w:rFonts w:ascii="Times New Roman" w:eastAsia="Times New Roman" w:hAnsi="Times New Roman" w:cs="Times New Roman"/>
          <w:i/>
          <w:szCs w:val="24"/>
        </w:rPr>
        <w:t xml:space="preserve"> </w:t>
      </w:r>
      <w:hyperlink r:id="rId20" w:history="1">
        <w:r w:rsidR="00980ED0" w:rsidRPr="005137EA">
          <w:rPr>
            <w:rStyle w:val="Hipersaitas"/>
            <w:rFonts w:ascii="Times New Roman" w:hAnsi="Times New Roman" w:cs="Times New Roman"/>
            <w:lang w:eastAsia="lt-LT"/>
          </w:rPr>
          <w:t>https://vvkt.lrv.lt/lt/</w:t>
        </w:r>
      </w:hyperlink>
      <w:r w:rsidR="00980ED0" w:rsidRPr="005137EA">
        <w:rPr>
          <w:rFonts w:ascii="Times New Roman" w:hAnsi="Times New Roman" w:cs="Times New Roman"/>
          <w:color w:val="0000EE"/>
          <w:u w:val="single"/>
          <w:lang w:eastAsia="lt-LT"/>
        </w:rPr>
        <w:t>.</w:t>
      </w:r>
      <w:r w:rsidR="00980ED0">
        <w:rPr>
          <w:color w:val="0000EE"/>
          <w:u w:val="single"/>
          <w:lang w:eastAsia="lt-LT"/>
        </w:rPr>
        <w:t xml:space="preserve"> </w:t>
      </w:r>
    </w:p>
    <w:p w14:paraId="0E12EA27" w14:textId="77777777" w:rsidR="00867275" w:rsidRPr="00DF20DE" w:rsidRDefault="00867275"/>
    <w:sectPr w:rsidR="00867275" w:rsidRPr="00DF20DE" w:rsidSect="00C536DB">
      <w:pgSz w:w="11910" w:h="16840"/>
      <w:pgMar w:top="1134" w:right="1418" w:bottom="1134" w:left="1418" w:header="0" w:footer="6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45F880" w14:textId="77777777" w:rsidR="00E00A75" w:rsidRDefault="00E00A75">
      <w:pPr>
        <w:spacing w:after="0" w:line="240" w:lineRule="auto"/>
      </w:pPr>
      <w:r>
        <w:separator/>
      </w:r>
    </w:p>
  </w:endnote>
  <w:endnote w:type="continuationSeparator" w:id="0">
    <w:p w14:paraId="22D22857" w14:textId="77777777" w:rsidR="00E00A75" w:rsidRDefault="00E00A75">
      <w:pPr>
        <w:spacing w:after="0" w:line="240" w:lineRule="auto"/>
      </w:pPr>
      <w:r>
        <w:continuationSeparator/>
      </w:r>
    </w:p>
  </w:endnote>
  <w:endnote w:type="continuationNotice" w:id="1">
    <w:p w14:paraId="20D230D2" w14:textId="77777777" w:rsidR="00E00A75" w:rsidRDefault="00E00A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TimesNewRoman">
    <w:altName w:val="MS Gothic"/>
    <w:panose1 w:val="00000000000000000000"/>
    <w:charset w:val="00"/>
    <w:family w:val="roman"/>
    <w:notTrueType/>
    <w:pitch w:val="default"/>
    <w:sig w:usb0="00000003" w:usb1="08070000" w:usb2="00000010" w:usb3="00000000" w:csb0="00020001" w:csb1="00000000"/>
  </w:font>
  <w:font w:name="TimesNewRoman,Italic">
    <w:altName w:val="Times New Roman"/>
    <w:panose1 w:val="00000000000000000000"/>
    <w:charset w:val="EE"/>
    <w:family w:val="auto"/>
    <w:notTrueType/>
    <w:pitch w:val="default"/>
    <w:sig w:usb0="00000005" w:usb1="00000000" w:usb2="00000000" w:usb3="00000000" w:csb0="00000002"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9644064"/>
      <w:docPartObj>
        <w:docPartGallery w:val="Page Numbers (Bottom of Page)"/>
        <w:docPartUnique/>
      </w:docPartObj>
    </w:sdtPr>
    <w:sdtEndPr>
      <w:rPr>
        <w:noProof/>
      </w:rPr>
    </w:sdtEndPr>
    <w:sdtContent>
      <w:p w14:paraId="10BC6107" w14:textId="0B12E569" w:rsidR="00C536DB" w:rsidRDefault="00C536DB">
        <w:pPr>
          <w:pStyle w:val="Porat"/>
          <w:jc w:val="center"/>
        </w:pPr>
        <w:r w:rsidRPr="00CE4497">
          <w:rPr>
            <w:sz w:val="20"/>
            <w:szCs w:val="20"/>
          </w:rPr>
          <w:fldChar w:fldCharType="begin"/>
        </w:r>
        <w:r w:rsidRPr="00CE4497">
          <w:rPr>
            <w:sz w:val="20"/>
            <w:szCs w:val="20"/>
          </w:rPr>
          <w:instrText xml:space="preserve"> PAGE   \* MERGEFORMAT </w:instrText>
        </w:r>
        <w:r w:rsidRPr="00CE4497">
          <w:rPr>
            <w:sz w:val="20"/>
            <w:szCs w:val="20"/>
          </w:rPr>
          <w:fldChar w:fldCharType="separate"/>
        </w:r>
        <w:r w:rsidR="000F57C3">
          <w:rPr>
            <w:noProof/>
            <w:sz w:val="20"/>
            <w:szCs w:val="20"/>
          </w:rPr>
          <w:t>49</w:t>
        </w:r>
        <w:r w:rsidRPr="00CE4497">
          <w:rPr>
            <w:noProof/>
            <w:sz w:val="20"/>
            <w:szCs w:val="20"/>
          </w:rPr>
          <w:fldChar w:fldCharType="end"/>
        </w:r>
      </w:p>
    </w:sdtContent>
  </w:sdt>
  <w:p w14:paraId="25E30C88" w14:textId="77777777" w:rsidR="00C536DB" w:rsidRDefault="00C536DB">
    <w:pPr>
      <w:pStyle w:val="Pagrindinistekstas"/>
      <w:spacing w:line="14" w:lineRule="auto"/>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04CD31" w14:textId="77777777" w:rsidR="00E00A75" w:rsidRDefault="00E00A75">
      <w:pPr>
        <w:spacing w:after="0" w:line="240" w:lineRule="auto"/>
      </w:pPr>
      <w:r>
        <w:separator/>
      </w:r>
    </w:p>
  </w:footnote>
  <w:footnote w:type="continuationSeparator" w:id="0">
    <w:p w14:paraId="32B0A6CA" w14:textId="77777777" w:rsidR="00E00A75" w:rsidRDefault="00E00A75">
      <w:pPr>
        <w:spacing w:after="0" w:line="240" w:lineRule="auto"/>
      </w:pPr>
      <w:r>
        <w:continuationSeparator/>
      </w:r>
    </w:p>
  </w:footnote>
  <w:footnote w:type="continuationNotice" w:id="1">
    <w:p w14:paraId="71BF53B2" w14:textId="77777777" w:rsidR="00E00A75" w:rsidRDefault="00E00A7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B896D1" w14:textId="77777777" w:rsidR="00E3613C" w:rsidRDefault="00E3613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F5966"/>
    <w:multiLevelType w:val="hybridMultilevel"/>
    <w:tmpl w:val="86AAC014"/>
    <w:lvl w:ilvl="0" w:tplc="02EEC3C8">
      <w:numFmt w:val="bullet"/>
      <w:lvlText w:val=""/>
      <w:lvlJc w:val="left"/>
      <w:pPr>
        <w:ind w:left="782" w:hanging="567"/>
      </w:pPr>
      <w:rPr>
        <w:rFonts w:ascii="Symbol" w:eastAsia="Symbol" w:hAnsi="Symbol" w:cs="Symbol"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 w15:restartNumberingAfterBreak="0">
    <w:nsid w:val="07D76E24"/>
    <w:multiLevelType w:val="multilevel"/>
    <w:tmpl w:val="4FFCCC98"/>
    <w:lvl w:ilvl="0">
      <w:start w:val="1"/>
      <w:numFmt w:val="decimal"/>
      <w:lvlText w:val="%1."/>
      <w:lvlJc w:val="left"/>
      <w:pPr>
        <w:ind w:left="78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782" w:hanging="567"/>
      </w:pPr>
      <w:rPr>
        <w:rFonts w:ascii="Times New Roman" w:eastAsia="Times New Roman" w:hAnsi="Times New Roman" w:cs="Times New Roman" w:hint="default"/>
        <w:b/>
        <w:bCs/>
        <w:i w:val="0"/>
        <w:iCs w:val="0"/>
        <w:spacing w:val="0"/>
        <w:w w:val="100"/>
        <w:sz w:val="22"/>
        <w:szCs w:val="22"/>
      </w:rPr>
    </w:lvl>
    <w:lvl w:ilvl="2">
      <w:numFmt w:val="bullet"/>
      <w:lvlText w:val=""/>
      <w:lvlJc w:val="left"/>
      <w:pPr>
        <w:ind w:left="782" w:hanging="207"/>
      </w:pPr>
      <w:rPr>
        <w:rFonts w:ascii="Symbol" w:eastAsia="Symbol" w:hAnsi="Symbol" w:cs="Symbol" w:hint="default"/>
        <w:b w:val="0"/>
        <w:bCs w:val="0"/>
        <w:i w:val="0"/>
        <w:iCs w:val="0"/>
        <w:w w:val="100"/>
        <w:sz w:val="22"/>
        <w:szCs w:val="22"/>
      </w:rPr>
    </w:lvl>
    <w:lvl w:ilvl="3">
      <w:numFmt w:val="bullet"/>
      <w:lvlText w:val="•"/>
      <w:lvlJc w:val="left"/>
      <w:pPr>
        <w:ind w:left="3637" w:hanging="207"/>
      </w:pPr>
      <w:rPr>
        <w:rFonts w:hint="default"/>
      </w:rPr>
    </w:lvl>
    <w:lvl w:ilvl="4">
      <w:numFmt w:val="bullet"/>
      <w:lvlText w:val="•"/>
      <w:lvlJc w:val="left"/>
      <w:pPr>
        <w:ind w:left="4590" w:hanging="207"/>
      </w:pPr>
      <w:rPr>
        <w:rFonts w:hint="default"/>
      </w:rPr>
    </w:lvl>
    <w:lvl w:ilvl="5">
      <w:numFmt w:val="bullet"/>
      <w:lvlText w:val="•"/>
      <w:lvlJc w:val="left"/>
      <w:pPr>
        <w:ind w:left="5542" w:hanging="207"/>
      </w:pPr>
      <w:rPr>
        <w:rFonts w:hint="default"/>
      </w:rPr>
    </w:lvl>
    <w:lvl w:ilvl="6">
      <w:numFmt w:val="bullet"/>
      <w:lvlText w:val="•"/>
      <w:lvlJc w:val="left"/>
      <w:pPr>
        <w:ind w:left="6495" w:hanging="207"/>
      </w:pPr>
      <w:rPr>
        <w:rFonts w:hint="default"/>
      </w:rPr>
    </w:lvl>
    <w:lvl w:ilvl="7">
      <w:numFmt w:val="bullet"/>
      <w:lvlText w:val="•"/>
      <w:lvlJc w:val="left"/>
      <w:pPr>
        <w:ind w:left="7447" w:hanging="207"/>
      </w:pPr>
      <w:rPr>
        <w:rFonts w:hint="default"/>
      </w:rPr>
    </w:lvl>
    <w:lvl w:ilvl="8">
      <w:numFmt w:val="bullet"/>
      <w:lvlText w:val="•"/>
      <w:lvlJc w:val="left"/>
      <w:pPr>
        <w:ind w:left="8400" w:hanging="207"/>
      </w:pPr>
      <w:rPr>
        <w:rFonts w:hint="default"/>
      </w:rPr>
    </w:lvl>
  </w:abstractNum>
  <w:abstractNum w:abstractNumId="2" w15:restartNumberingAfterBreak="0">
    <w:nsid w:val="0E643D79"/>
    <w:multiLevelType w:val="hybridMultilevel"/>
    <w:tmpl w:val="2F6E13C0"/>
    <w:lvl w:ilvl="0" w:tplc="26607456">
      <w:start w:val="1"/>
      <w:numFmt w:val="bullet"/>
      <w:lvlText w:val="-"/>
      <w:lvlJc w:val="left"/>
      <w:pPr>
        <w:ind w:left="782" w:hanging="284"/>
      </w:pPr>
      <w:rPr>
        <w:rFonts w:ascii="Segoe UI Symbol" w:eastAsia="Segoe UI Symbol" w:hAnsi="Segoe UI Symbol" w:cs="Segoe UI Symbol" w:hint="default"/>
        <w:b w:val="0"/>
        <w:bCs w:val="0"/>
        <w:i w:val="0"/>
        <w:iCs w:val="0"/>
        <w:strike w:val="0"/>
        <w:dstrike w:val="0"/>
        <w:color w:val="000000"/>
        <w:w w:val="100"/>
        <w:sz w:val="22"/>
        <w:szCs w:val="22"/>
        <w:u w:val="none" w:color="000000"/>
        <w:vertAlign w:val="baseline"/>
      </w:rPr>
    </w:lvl>
    <w:lvl w:ilvl="1" w:tplc="FFFFFFFF">
      <w:numFmt w:val="bullet"/>
      <w:lvlText w:val="•"/>
      <w:lvlJc w:val="left"/>
      <w:pPr>
        <w:ind w:left="1732" w:hanging="284"/>
      </w:pPr>
      <w:rPr>
        <w:rFonts w:hint="default"/>
      </w:rPr>
    </w:lvl>
    <w:lvl w:ilvl="2" w:tplc="FFFFFFFF">
      <w:numFmt w:val="bullet"/>
      <w:lvlText w:val="•"/>
      <w:lvlJc w:val="left"/>
      <w:pPr>
        <w:ind w:left="2685" w:hanging="284"/>
      </w:pPr>
      <w:rPr>
        <w:rFonts w:hint="default"/>
      </w:rPr>
    </w:lvl>
    <w:lvl w:ilvl="3" w:tplc="FFFFFFFF">
      <w:numFmt w:val="bullet"/>
      <w:lvlText w:val="•"/>
      <w:lvlJc w:val="left"/>
      <w:pPr>
        <w:ind w:left="3637" w:hanging="284"/>
      </w:pPr>
      <w:rPr>
        <w:rFonts w:hint="default"/>
      </w:rPr>
    </w:lvl>
    <w:lvl w:ilvl="4" w:tplc="FFFFFFFF">
      <w:numFmt w:val="bullet"/>
      <w:lvlText w:val="•"/>
      <w:lvlJc w:val="left"/>
      <w:pPr>
        <w:ind w:left="4590" w:hanging="284"/>
      </w:pPr>
      <w:rPr>
        <w:rFonts w:hint="default"/>
      </w:rPr>
    </w:lvl>
    <w:lvl w:ilvl="5" w:tplc="FFFFFFFF">
      <w:numFmt w:val="bullet"/>
      <w:lvlText w:val="•"/>
      <w:lvlJc w:val="left"/>
      <w:pPr>
        <w:ind w:left="5542" w:hanging="284"/>
      </w:pPr>
      <w:rPr>
        <w:rFonts w:hint="default"/>
      </w:rPr>
    </w:lvl>
    <w:lvl w:ilvl="6" w:tplc="FFFFFFFF">
      <w:numFmt w:val="bullet"/>
      <w:lvlText w:val="•"/>
      <w:lvlJc w:val="left"/>
      <w:pPr>
        <w:ind w:left="6495" w:hanging="284"/>
      </w:pPr>
      <w:rPr>
        <w:rFonts w:hint="default"/>
      </w:rPr>
    </w:lvl>
    <w:lvl w:ilvl="7" w:tplc="FFFFFFFF">
      <w:numFmt w:val="bullet"/>
      <w:lvlText w:val="•"/>
      <w:lvlJc w:val="left"/>
      <w:pPr>
        <w:ind w:left="7447" w:hanging="284"/>
      </w:pPr>
      <w:rPr>
        <w:rFonts w:hint="default"/>
      </w:rPr>
    </w:lvl>
    <w:lvl w:ilvl="8" w:tplc="FFFFFFFF">
      <w:numFmt w:val="bullet"/>
      <w:lvlText w:val="•"/>
      <w:lvlJc w:val="left"/>
      <w:pPr>
        <w:ind w:left="8400" w:hanging="284"/>
      </w:pPr>
      <w:rPr>
        <w:rFonts w:hint="default"/>
      </w:rPr>
    </w:lvl>
  </w:abstractNum>
  <w:abstractNum w:abstractNumId="3" w15:restartNumberingAfterBreak="0">
    <w:nsid w:val="0F6007AA"/>
    <w:multiLevelType w:val="hybridMultilevel"/>
    <w:tmpl w:val="4F1C414A"/>
    <w:lvl w:ilvl="0" w:tplc="357883B0">
      <w:start w:val="1"/>
      <w:numFmt w:val="decimal"/>
      <w:lvlText w:val="%1."/>
      <w:lvlJc w:val="left"/>
      <w:pPr>
        <w:ind w:left="851" w:hanging="567"/>
      </w:pPr>
      <w:rPr>
        <w:rFonts w:ascii="Times New Roman" w:eastAsia="Times New Roman" w:hAnsi="Times New Roman" w:cs="Times New Roman" w:hint="default"/>
        <w:b w:val="0"/>
        <w:bCs w:val="0"/>
        <w:i w:val="0"/>
        <w:iCs w:val="0"/>
        <w:w w:val="100"/>
        <w:sz w:val="22"/>
        <w:szCs w:val="22"/>
      </w:rPr>
    </w:lvl>
    <w:lvl w:ilvl="1" w:tplc="8FE841B0">
      <w:numFmt w:val="bullet"/>
      <w:lvlText w:val="•"/>
      <w:lvlJc w:val="left"/>
      <w:pPr>
        <w:ind w:left="1732" w:hanging="567"/>
      </w:pPr>
      <w:rPr>
        <w:rFonts w:hint="default"/>
      </w:rPr>
    </w:lvl>
    <w:lvl w:ilvl="2" w:tplc="62A6EFCC">
      <w:numFmt w:val="bullet"/>
      <w:lvlText w:val="•"/>
      <w:lvlJc w:val="left"/>
      <w:pPr>
        <w:ind w:left="2685" w:hanging="567"/>
      </w:pPr>
      <w:rPr>
        <w:rFonts w:hint="default"/>
      </w:rPr>
    </w:lvl>
    <w:lvl w:ilvl="3" w:tplc="EF5065AA">
      <w:numFmt w:val="bullet"/>
      <w:lvlText w:val="•"/>
      <w:lvlJc w:val="left"/>
      <w:pPr>
        <w:ind w:left="3637" w:hanging="567"/>
      </w:pPr>
      <w:rPr>
        <w:rFonts w:hint="default"/>
      </w:rPr>
    </w:lvl>
    <w:lvl w:ilvl="4" w:tplc="AD9008BE">
      <w:numFmt w:val="bullet"/>
      <w:lvlText w:val="•"/>
      <w:lvlJc w:val="left"/>
      <w:pPr>
        <w:ind w:left="4590" w:hanging="567"/>
      </w:pPr>
      <w:rPr>
        <w:rFonts w:hint="default"/>
      </w:rPr>
    </w:lvl>
    <w:lvl w:ilvl="5" w:tplc="E4B49024">
      <w:numFmt w:val="bullet"/>
      <w:lvlText w:val="•"/>
      <w:lvlJc w:val="left"/>
      <w:pPr>
        <w:ind w:left="5542" w:hanging="567"/>
      </w:pPr>
      <w:rPr>
        <w:rFonts w:hint="default"/>
      </w:rPr>
    </w:lvl>
    <w:lvl w:ilvl="6" w:tplc="168E9BC8">
      <w:numFmt w:val="bullet"/>
      <w:lvlText w:val="•"/>
      <w:lvlJc w:val="left"/>
      <w:pPr>
        <w:ind w:left="6495" w:hanging="567"/>
      </w:pPr>
      <w:rPr>
        <w:rFonts w:hint="default"/>
      </w:rPr>
    </w:lvl>
    <w:lvl w:ilvl="7" w:tplc="D71C105A">
      <w:numFmt w:val="bullet"/>
      <w:lvlText w:val="•"/>
      <w:lvlJc w:val="left"/>
      <w:pPr>
        <w:ind w:left="7447" w:hanging="567"/>
      </w:pPr>
      <w:rPr>
        <w:rFonts w:hint="default"/>
      </w:rPr>
    </w:lvl>
    <w:lvl w:ilvl="8" w:tplc="CE08A094">
      <w:numFmt w:val="bullet"/>
      <w:lvlText w:val="•"/>
      <w:lvlJc w:val="left"/>
      <w:pPr>
        <w:ind w:left="8400" w:hanging="567"/>
      </w:pPr>
      <w:rPr>
        <w:rFonts w:hint="default"/>
      </w:rPr>
    </w:lvl>
  </w:abstractNum>
  <w:abstractNum w:abstractNumId="4" w15:restartNumberingAfterBreak="0">
    <w:nsid w:val="1967476B"/>
    <w:multiLevelType w:val="hybridMultilevel"/>
    <w:tmpl w:val="4F1C414A"/>
    <w:lvl w:ilvl="0" w:tplc="FFFFFFFF">
      <w:start w:val="1"/>
      <w:numFmt w:val="decimal"/>
      <w:lvlText w:val="%1."/>
      <w:lvlJc w:val="left"/>
      <w:pPr>
        <w:ind w:left="851" w:hanging="567"/>
      </w:pPr>
      <w:rPr>
        <w:rFonts w:ascii="Times New Roman" w:eastAsia="Times New Roman" w:hAnsi="Times New Roman" w:cs="Times New Roman" w:hint="default"/>
        <w:b w:val="0"/>
        <w:bCs w:val="0"/>
        <w:i w:val="0"/>
        <w:iCs w:val="0"/>
        <w:w w:val="100"/>
        <w:sz w:val="22"/>
        <w:szCs w:val="22"/>
      </w:rPr>
    </w:lvl>
    <w:lvl w:ilvl="1" w:tplc="FFFFFFFF">
      <w:numFmt w:val="bullet"/>
      <w:lvlText w:val="•"/>
      <w:lvlJc w:val="left"/>
      <w:pPr>
        <w:ind w:left="1732" w:hanging="567"/>
      </w:pPr>
      <w:rPr>
        <w:rFonts w:hint="default"/>
      </w:rPr>
    </w:lvl>
    <w:lvl w:ilvl="2" w:tplc="FFFFFFFF">
      <w:numFmt w:val="bullet"/>
      <w:lvlText w:val="•"/>
      <w:lvlJc w:val="left"/>
      <w:pPr>
        <w:ind w:left="2685" w:hanging="567"/>
      </w:pPr>
      <w:rPr>
        <w:rFonts w:hint="default"/>
      </w:rPr>
    </w:lvl>
    <w:lvl w:ilvl="3" w:tplc="FFFFFFFF">
      <w:numFmt w:val="bullet"/>
      <w:lvlText w:val="•"/>
      <w:lvlJc w:val="left"/>
      <w:pPr>
        <w:ind w:left="3637" w:hanging="567"/>
      </w:pPr>
      <w:rPr>
        <w:rFonts w:hint="default"/>
      </w:rPr>
    </w:lvl>
    <w:lvl w:ilvl="4" w:tplc="FFFFFFFF">
      <w:numFmt w:val="bullet"/>
      <w:lvlText w:val="•"/>
      <w:lvlJc w:val="left"/>
      <w:pPr>
        <w:ind w:left="4590" w:hanging="567"/>
      </w:pPr>
      <w:rPr>
        <w:rFonts w:hint="default"/>
      </w:rPr>
    </w:lvl>
    <w:lvl w:ilvl="5" w:tplc="FFFFFFFF">
      <w:numFmt w:val="bullet"/>
      <w:lvlText w:val="•"/>
      <w:lvlJc w:val="left"/>
      <w:pPr>
        <w:ind w:left="5542" w:hanging="567"/>
      </w:pPr>
      <w:rPr>
        <w:rFonts w:hint="default"/>
      </w:rPr>
    </w:lvl>
    <w:lvl w:ilvl="6" w:tplc="FFFFFFFF">
      <w:numFmt w:val="bullet"/>
      <w:lvlText w:val="•"/>
      <w:lvlJc w:val="left"/>
      <w:pPr>
        <w:ind w:left="6495" w:hanging="567"/>
      </w:pPr>
      <w:rPr>
        <w:rFonts w:hint="default"/>
      </w:rPr>
    </w:lvl>
    <w:lvl w:ilvl="7" w:tplc="FFFFFFFF">
      <w:numFmt w:val="bullet"/>
      <w:lvlText w:val="•"/>
      <w:lvlJc w:val="left"/>
      <w:pPr>
        <w:ind w:left="7447" w:hanging="567"/>
      </w:pPr>
      <w:rPr>
        <w:rFonts w:hint="default"/>
      </w:rPr>
    </w:lvl>
    <w:lvl w:ilvl="8" w:tplc="FFFFFFFF">
      <w:numFmt w:val="bullet"/>
      <w:lvlText w:val="•"/>
      <w:lvlJc w:val="left"/>
      <w:pPr>
        <w:ind w:left="8400" w:hanging="567"/>
      </w:pPr>
      <w:rPr>
        <w:rFonts w:hint="default"/>
      </w:rPr>
    </w:lvl>
  </w:abstractNum>
  <w:abstractNum w:abstractNumId="5" w15:restartNumberingAfterBreak="0">
    <w:nsid w:val="261A7A32"/>
    <w:multiLevelType w:val="hybridMultilevel"/>
    <w:tmpl w:val="4D8C74A6"/>
    <w:lvl w:ilvl="0" w:tplc="8B801EEE">
      <w:numFmt w:val="bullet"/>
      <w:lvlText w:val="-"/>
      <w:lvlJc w:val="left"/>
      <w:pPr>
        <w:ind w:left="1209" w:hanging="428"/>
      </w:pPr>
      <w:rPr>
        <w:rFonts w:ascii="Courier New" w:eastAsia="Courier New" w:hAnsi="Courier New" w:cs="Courier New" w:hint="default"/>
        <w:b w:val="0"/>
        <w:bCs w:val="0"/>
        <w:i w:val="0"/>
        <w:iCs w:val="0"/>
        <w:w w:val="100"/>
        <w:sz w:val="22"/>
        <w:szCs w:val="22"/>
      </w:rPr>
    </w:lvl>
    <w:lvl w:ilvl="1" w:tplc="F26CCF46">
      <w:numFmt w:val="bullet"/>
      <w:lvlText w:val="•"/>
      <w:lvlJc w:val="left"/>
      <w:pPr>
        <w:ind w:left="2110" w:hanging="428"/>
      </w:pPr>
      <w:rPr>
        <w:rFonts w:hint="default"/>
      </w:rPr>
    </w:lvl>
    <w:lvl w:ilvl="2" w:tplc="2970F3CC">
      <w:numFmt w:val="bullet"/>
      <w:lvlText w:val="•"/>
      <w:lvlJc w:val="left"/>
      <w:pPr>
        <w:ind w:left="3021" w:hanging="428"/>
      </w:pPr>
      <w:rPr>
        <w:rFonts w:hint="default"/>
      </w:rPr>
    </w:lvl>
    <w:lvl w:ilvl="3" w:tplc="7526AC6E">
      <w:numFmt w:val="bullet"/>
      <w:lvlText w:val="•"/>
      <w:lvlJc w:val="left"/>
      <w:pPr>
        <w:ind w:left="3931" w:hanging="428"/>
      </w:pPr>
      <w:rPr>
        <w:rFonts w:hint="default"/>
      </w:rPr>
    </w:lvl>
    <w:lvl w:ilvl="4" w:tplc="A58680AA">
      <w:numFmt w:val="bullet"/>
      <w:lvlText w:val="•"/>
      <w:lvlJc w:val="left"/>
      <w:pPr>
        <w:ind w:left="4842" w:hanging="428"/>
      </w:pPr>
      <w:rPr>
        <w:rFonts w:hint="default"/>
      </w:rPr>
    </w:lvl>
    <w:lvl w:ilvl="5" w:tplc="8F4835A8">
      <w:numFmt w:val="bullet"/>
      <w:lvlText w:val="•"/>
      <w:lvlJc w:val="left"/>
      <w:pPr>
        <w:ind w:left="5752" w:hanging="428"/>
      </w:pPr>
      <w:rPr>
        <w:rFonts w:hint="default"/>
      </w:rPr>
    </w:lvl>
    <w:lvl w:ilvl="6" w:tplc="EC0ABF4A">
      <w:numFmt w:val="bullet"/>
      <w:lvlText w:val="•"/>
      <w:lvlJc w:val="left"/>
      <w:pPr>
        <w:ind w:left="6663" w:hanging="428"/>
      </w:pPr>
      <w:rPr>
        <w:rFonts w:hint="default"/>
      </w:rPr>
    </w:lvl>
    <w:lvl w:ilvl="7" w:tplc="310ABC9C">
      <w:numFmt w:val="bullet"/>
      <w:lvlText w:val="•"/>
      <w:lvlJc w:val="left"/>
      <w:pPr>
        <w:ind w:left="7573" w:hanging="428"/>
      </w:pPr>
      <w:rPr>
        <w:rFonts w:hint="default"/>
      </w:rPr>
    </w:lvl>
    <w:lvl w:ilvl="8" w:tplc="36B89AD0">
      <w:numFmt w:val="bullet"/>
      <w:lvlText w:val="•"/>
      <w:lvlJc w:val="left"/>
      <w:pPr>
        <w:ind w:left="8484" w:hanging="428"/>
      </w:pPr>
      <w:rPr>
        <w:rFonts w:hint="default"/>
      </w:rPr>
    </w:lvl>
  </w:abstractNum>
  <w:abstractNum w:abstractNumId="6" w15:restartNumberingAfterBreak="0">
    <w:nsid w:val="289B08E6"/>
    <w:multiLevelType w:val="hybridMultilevel"/>
    <w:tmpl w:val="C8B09F2E"/>
    <w:lvl w:ilvl="0" w:tplc="FFFFFFFF">
      <w:start w:val="1"/>
      <w:numFmt w:val="decimal"/>
      <w:lvlText w:val="%1."/>
      <w:lvlJc w:val="left"/>
      <w:pPr>
        <w:ind w:left="216" w:hanging="567"/>
      </w:pPr>
      <w:rPr>
        <w:rFonts w:ascii="Times New Roman" w:eastAsia="Times New Roman" w:hAnsi="Times New Roman" w:cs="Times New Roman" w:hint="default"/>
        <w:b/>
        <w:bCs/>
        <w:i w:val="0"/>
        <w:iCs w:val="0"/>
        <w:w w:val="100"/>
        <w:sz w:val="22"/>
        <w:szCs w:val="22"/>
      </w:rPr>
    </w:lvl>
    <w:lvl w:ilvl="1" w:tplc="FFFFFFFF">
      <w:numFmt w:val="bullet"/>
      <w:lvlText w:val="•"/>
      <w:lvlJc w:val="left"/>
      <w:pPr>
        <w:ind w:left="1228" w:hanging="567"/>
      </w:pPr>
      <w:rPr>
        <w:rFonts w:hint="default"/>
      </w:rPr>
    </w:lvl>
    <w:lvl w:ilvl="2" w:tplc="FFFFFFFF">
      <w:numFmt w:val="bullet"/>
      <w:lvlText w:val="•"/>
      <w:lvlJc w:val="left"/>
      <w:pPr>
        <w:ind w:left="2237" w:hanging="567"/>
      </w:pPr>
      <w:rPr>
        <w:rFonts w:hint="default"/>
      </w:rPr>
    </w:lvl>
    <w:lvl w:ilvl="3" w:tplc="FFFFFFFF">
      <w:numFmt w:val="bullet"/>
      <w:lvlText w:val="•"/>
      <w:lvlJc w:val="left"/>
      <w:pPr>
        <w:ind w:left="3245" w:hanging="567"/>
      </w:pPr>
      <w:rPr>
        <w:rFonts w:hint="default"/>
      </w:rPr>
    </w:lvl>
    <w:lvl w:ilvl="4" w:tplc="FFFFFFFF">
      <w:numFmt w:val="bullet"/>
      <w:lvlText w:val="•"/>
      <w:lvlJc w:val="left"/>
      <w:pPr>
        <w:ind w:left="4254" w:hanging="567"/>
      </w:pPr>
      <w:rPr>
        <w:rFonts w:hint="default"/>
      </w:rPr>
    </w:lvl>
    <w:lvl w:ilvl="5" w:tplc="FFFFFFFF">
      <w:numFmt w:val="bullet"/>
      <w:lvlText w:val="•"/>
      <w:lvlJc w:val="left"/>
      <w:pPr>
        <w:ind w:left="5262" w:hanging="567"/>
      </w:pPr>
      <w:rPr>
        <w:rFonts w:hint="default"/>
      </w:rPr>
    </w:lvl>
    <w:lvl w:ilvl="6" w:tplc="FFFFFFFF">
      <w:numFmt w:val="bullet"/>
      <w:lvlText w:val="•"/>
      <w:lvlJc w:val="left"/>
      <w:pPr>
        <w:ind w:left="6271" w:hanging="567"/>
      </w:pPr>
      <w:rPr>
        <w:rFonts w:hint="default"/>
      </w:rPr>
    </w:lvl>
    <w:lvl w:ilvl="7" w:tplc="FFFFFFFF">
      <w:numFmt w:val="bullet"/>
      <w:lvlText w:val="•"/>
      <w:lvlJc w:val="left"/>
      <w:pPr>
        <w:ind w:left="7279" w:hanging="567"/>
      </w:pPr>
      <w:rPr>
        <w:rFonts w:hint="default"/>
      </w:rPr>
    </w:lvl>
    <w:lvl w:ilvl="8" w:tplc="FFFFFFFF">
      <w:numFmt w:val="bullet"/>
      <w:lvlText w:val="•"/>
      <w:lvlJc w:val="left"/>
      <w:pPr>
        <w:ind w:left="8288" w:hanging="567"/>
      </w:pPr>
      <w:rPr>
        <w:rFonts w:hint="default"/>
      </w:rPr>
    </w:lvl>
  </w:abstractNum>
  <w:abstractNum w:abstractNumId="7" w15:restartNumberingAfterBreak="0">
    <w:nsid w:val="34234FC1"/>
    <w:multiLevelType w:val="hybridMultilevel"/>
    <w:tmpl w:val="B28C44CE"/>
    <w:lvl w:ilvl="0" w:tplc="0E60CCFC">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8BE4421E">
      <w:numFmt w:val="bullet"/>
      <w:lvlText w:val="•"/>
      <w:lvlJc w:val="left"/>
      <w:pPr>
        <w:ind w:left="2236" w:hanging="567"/>
      </w:pPr>
      <w:rPr>
        <w:rFonts w:hint="default"/>
      </w:rPr>
    </w:lvl>
    <w:lvl w:ilvl="2" w:tplc="D2AA5044">
      <w:numFmt w:val="bullet"/>
      <w:lvlText w:val="•"/>
      <w:lvlJc w:val="left"/>
      <w:pPr>
        <w:ind w:left="3133" w:hanging="567"/>
      </w:pPr>
      <w:rPr>
        <w:rFonts w:hint="default"/>
      </w:rPr>
    </w:lvl>
    <w:lvl w:ilvl="3" w:tplc="D6BA3912">
      <w:numFmt w:val="bullet"/>
      <w:lvlText w:val="•"/>
      <w:lvlJc w:val="left"/>
      <w:pPr>
        <w:ind w:left="4029" w:hanging="567"/>
      </w:pPr>
      <w:rPr>
        <w:rFonts w:hint="default"/>
      </w:rPr>
    </w:lvl>
    <w:lvl w:ilvl="4" w:tplc="EF0E7F4C">
      <w:numFmt w:val="bullet"/>
      <w:lvlText w:val="•"/>
      <w:lvlJc w:val="left"/>
      <w:pPr>
        <w:ind w:left="4926" w:hanging="567"/>
      </w:pPr>
      <w:rPr>
        <w:rFonts w:hint="default"/>
      </w:rPr>
    </w:lvl>
    <w:lvl w:ilvl="5" w:tplc="0360C220">
      <w:numFmt w:val="bullet"/>
      <w:lvlText w:val="•"/>
      <w:lvlJc w:val="left"/>
      <w:pPr>
        <w:ind w:left="5822" w:hanging="567"/>
      </w:pPr>
      <w:rPr>
        <w:rFonts w:hint="default"/>
      </w:rPr>
    </w:lvl>
    <w:lvl w:ilvl="6" w:tplc="CE565A28">
      <w:numFmt w:val="bullet"/>
      <w:lvlText w:val="•"/>
      <w:lvlJc w:val="left"/>
      <w:pPr>
        <w:ind w:left="6719" w:hanging="567"/>
      </w:pPr>
      <w:rPr>
        <w:rFonts w:hint="default"/>
      </w:rPr>
    </w:lvl>
    <w:lvl w:ilvl="7" w:tplc="29CA9D68">
      <w:numFmt w:val="bullet"/>
      <w:lvlText w:val="•"/>
      <w:lvlJc w:val="left"/>
      <w:pPr>
        <w:ind w:left="7615" w:hanging="567"/>
      </w:pPr>
      <w:rPr>
        <w:rFonts w:hint="default"/>
      </w:rPr>
    </w:lvl>
    <w:lvl w:ilvl="8" w:tplc="0B7A9638">
      <w:numFmt w:val="bullet"/>
      <w:lvlText w:val="•"/>
      <w:lvlJc w:val="left"/>
      <w:pPr>
        <w:ind w:left="8512" w:hanging="567"/>
      </w:pPr>
      <w:rPr>
        <w:rFonts w:hint="default"/>
      </w:rPr>
    </w:lvl>
  </w:abstractNum>
  <w:abstractNum w:abstractNumId="8" w15:restartNumberingAfterBreak="0">
    <w:nsid w:val="4B721960"/>
    <w:multiLevelType w:val="hybridMultilevel"/>
    <w:tmpl w:val="4F1689FA"/>
    <w:lvl w:ilvl="0" w:tplc="A3CAF996">
      <w:numFmt w:val="bullet"/>
      <w:lvlText w:val=""/>
      <w:lvlJc w:val="left"/>
      <w:pPr>
        <w:ind w:left="782" w:hanging="284"/>
      </w:pPr>
      <w:rPr>
        <w:rFonts w:ascii="Symbol" w:eastAsia="Symbol" w:hAnsi="Symbol" w:cs="Symbol" w:hint="default"/>
        <w:b w:val="0"/>
        <w:bCs w:val="0"/>
        <w:i w:val="0"/>
        <w:iCs w:val="0"/>
        <w:w w:val="100"/>
        <w:sz w:val="22"/>
        <w:szCs w:val="22"/>
      </w:rPr>
    </w:lvl>
    <w:lvl w:ilvl="1" w:tplc="9788B6E2">
      <w:numFmt w:val="bullet"/>
      <w:lvlText w:val="•"/>
      <w:lvlJc w:val="left"/>
      <w:pPr>
        <w:ind w:left="1732" w:hanging="284"/>
      </w:pPr>
      <w:rPr>
        <w:rFonts w:hint="default"/>
      </w:rPr>
    </w:lvl>
    <w:lvl w:ilvl="2" w:tplc="9E50E766">
      <w:numFmt w:val="bullet"/>
      <w:lvlText w:val="•"/>
      <w:lvlJc w:val="left"/>
      <w:pPr>
        <w:ind w:left="2685" w:hanging="284"/>
      </w:pPr>
      <w:rPr>
        <w:rFonts w:hint="default"/>
      </w:rPr>
    </w:lvl>
    <w:lvl w:ilvl="3" w:tplc="AF8E7EBC">
      <w:numFmt w:val="bullet"/>
      <w:lvlText w:val="•"/>
      <w:lvlJc w:val="left"/>
      <w:pPr>
        <w:ind w:left="3637" w:hanging="284"/>
      </w:pPr>
      <w:rPr>
        <w:rFonts w:hint="default"/>
      </w:rPr>
    </w:lvl>
    <w:lvl w:ilvl="4" w:tplc="88048B50">
      <w:numFmt w:val="bullet"/>
      <w:lvlText w:val="•"/>
      <w:lvlJc w:val="left"/>
      <w:pPr>
        <w:ind w:left="4590" w:hanging="284"/>
      </w:pPr>
      <w:rPr>
        <w:rFonts w:hint="default"/>
      </w:rPr>
    </w:lvl>
    <w:lvl w:ilvl="5" w:tplc="F6F82B12">
      <w:numFmt w:val="bullet"/>
      <w:lvlText w:val="•"/>
      <w:lvlJc w:val="left"/>
      <w:pPr>
        <w:ind w:left="5542" w:hanging="284"/>
      </w:pPr>
      <w:rPr>
        <w:rFonts w:hint="default"/>
      </w:rPr>
    </w:lvl>
    <w:lvl w:ilvl="6" w:tplc="BD2CE568">
      <w:numFmt w:val="bullet"/>
      <w:lvlText w:val="•"/>
      <w:lvlJc w:val="left"/>
      <w:pPr>
        <w:ind w:left="6495" w:hanging="284"/>
      </w:pPr>
      <w:rPr>
        <w:rFonts w:hint="default"/>
      </w:rPr>
    </w:lvl>
    <w:lvl w:ilvl="7" w:tplc="787C971E">
      <w:numFmt w:val="bullet"/>
      <w:lvlText w:val="•"/>
      <w:lvlJc w:val="left"/>
      <w:pPr>
        <w:ind w:left="7447" w:hanging="284"/>
      </w:pPr>
      <w:rPr>
        <w:rFonts w:hint="default"/>
      </w:rPr>
    </w:lvl>
    <w:lvl w:ilvl="8" w:tplc="EDC082C8">
      <w:numFmt w:val="bullet"/>
      <w:lvlText w:val="•"/>
      <w:lvlJc w:val="left"/>
      <w:pPr>
        <w:ind w:left="8400" w:hanging="284"/>
      </w:pPr>
      <w:rPr>
        <w:rFonts w:hint="default"/>
      </w:rPr>
    </w:lvl>
  </w:abstractNum>
  <w:abstractNum w:abstractNumId="9" w15:restartNumberingAfterBreak="0">
    <w:nsid w:val="4BD20B77"/>
    <w:multiLevelType w:val="hybridMultilevel"/>
    <w:tmpl w:val="2CB0D710"/>
    <w:lvl w:ilvl="0" w:tplc="734499EA">
      <w:start w:val="1"/>
      <w:numFmt w:val="decimal"/>
      <w:lvlText w:val="%1."/>
      <w:lvlJc w:val="left"/>
      <w:pPr>
        <w:ind w:left="1650" w:hanging="57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5D764432"/>
    <w:multiLevelType w:val="hybridMultilevel"/>
    <w:tmpl w:val="C8B09F2E"/>
    <w:lvl w:ilvl="0" w:tplc="2F147900">
      <w:start w:val="1"/>
      <w:numFmt w:val="decimal"/>
      <w:lvlText w:val="%1."/>
      <w:lvlJc w:val="left"/>
      <w:pPr>
        <w:ind w:left="216" w:hanging="567"/>
      </w:pPr>
      <w:rPr>
        <w:rFonts w:ascii="Times New Roman" w:eastAsia="Times New Roman" w:hAnsi="Times New Roman" w:cs="Times New Roman" w:hint="default"/>
        <w:b/>
        <w:bCs/>
        <w:i w:val="0"/>
        <w:iCs w:val="0"/>
        <w:w w:val="100"/>
        <w:sz w:val="22"/>
        <w:szCs w:val="22"/>
      </w:rPr>
    </w:lvl>
    <w:lvl w:ilvl="1" w:tplc="61FEB7B4">
      <w:numFmt w:val="bullet"/>
      <w:lvlText w:val="•"/>
      <w:lvlJc w:val="left"/>
      <w:pPr>
        <w:ind w:left="1228" w:hanging="567"/>
      </w:pPr>
      <w:rPr>
        <w:rFonts w:hint="default"/>
      </w:rPr>
    </w:lvl>
    <w:lvl w:ilvl="2" w:tplc="117C415C">
      <w:numFmt w:val="bullet"/>
      <w:lvlText w:val="•"/>
      <w:lvlJc w:val="left"/>
      <w:pPr>
        <w:ind w:left="2237" w:hanging="567"/>
      </w:pPr>
      <w:rPr>
        <w:rFonts w:hint="default"/>
      </w:rPr>
    </w:lvl>
    <w:lvl w:ilvl="3" w:tplc="CFE4F622">
      <w:numFmt w:val="bullet"/>
      <w:lvlText w:val="•"/>
      <w:lvlJc w:val="left"/>
      <w:pPr>
        <w:ind w:left="3245" w:hanging="567"/>
      </w:pPr>
      <w:rPr>
        <w:rFonts w:hint="default"/>
      </w:rPr>
    </w:lvl>
    <w:lvl w:ilvl="4" w:tplc="0B286160">
      <w:numFmt w:val="bullet"/>
      <w:lvlText w:val="•"/>
      <w:lvlJc w:val="left"/>
      <w:pPr>
        <w:ind w:left="4254" w:hanging="567"/>
      </w:pPr>
      <w:rPr>
        <w:rFonts w:hint="default"/>
      </w:rPr>
    </w:lvl>
    <w:lvl w:ilvl="5" w:tplc="27FA0350">
      <w:numFmt w:val="bullet"/>
      <w:lvlText w:val="•"/>
      <w:lvlJc w:val="left"/>
      <w:pPr>
        <w:ind w:left="5262" w:hanging="567"/>
      </w:pPr>
      <w:rPr>
        <w:rFonts w:hint="default"/>
      </w:rPr>
    </w:lvl>
    <w:lvl w:ilvl="6" w:tplc="8100826E">
      <w:numFmt w:val="bullet"/>
      <w:lvlText w:val="•"/>
      <w:lvlJc w:val="left"/>
      <w:pPr>
        <w:ind w:left="6271" w:hanging="567"/>
      </w:pPr>
      <w:rPr>
        <w:rFonts w:hint="default"/>
      </w:rPr>
    </w:lvl>
    <w:lvl w:ilvl="7" w:tplc="49D4D5A6">
      <w:numFmt w:val="bullet"/>
      <w:lvlText w:val="•"/>
      <w:lvlJc w:val="left"/>
      <w:pPr>
        <w:ind w:left="7279" w:hanging="567"/>
      </w:pPr>
      <w:rPr>
        <w:rFonts w:hint="default"/>
      </w:rPr>
    </w:lvl>
    <w:lvl w:ilvl="8" w:tplc="00F4E906">
      <w:numFmt w:val="bullet"/>
      <w:lvlText w:val="•"/>
      <w:lvlJc w:val="left"/>
      <w:pPr>
        <w:ind w:left="8288" w:hanging="567"/>
      </w:pPr>
      <w:rPr>
        <w:rFonts w:hint="default"/>
      </w:rPr>
    </w:lvl>
  </w:abstractNum>
  <w:abstractNum w:abstractNumId="11" w15:restartNumberingAfterBreak="0">
    <w:nsid w:val="5E2B682F"/>
    <w:multiLevelType w:val="multilevel"/>
    <w:tmpl w:val="8A764404"/>
    <w:lvl w:ilvl="0">
      <w:start w:val="1"/>
      <w:numFmt w:val="decimal"/>
      <w:lvlText w:val="%1."/>
      <w:lvlJc w:val="left"/>
      <w:pPr>
        <w:ind w:left="450" w:hanging="360"/>
      </w:pPr>
      <w:rPr>
        <w:rFonts w:hint="default"/>
      </w:rPr>
    </w:lvl>
    <w:lvl w:ilvl="1">
      <w:start w:val="3"/>
      <w:numFmt w:val="decimal"/>
      <w:isLgl/>
      <w:lvlText w:val="%1.%2"/>
      <w:lvlJc w:val="left"/>
      <w:pPr>
        <w:ind w:left="645" w:hanging="540"/>
      </w:pPr>
      <w:rPr>
        <w:rFonts w:hint="default"/>
      </w:rPr>
    </w:lvl>
    <w:lvl w:ilvl="2">
      <w:start w:val="1"/>
      <w:numFmt w:val="decimal"/>
      <w:isLgl/>
      <w:lvlText w:val="%1.%2.%3"/>
      <w:lvlJc w:val="left"/>
      <w:pPr>
        <w:ind w:left="825" w:hanging="720"/>
      </w:pPr>
      <w:rPr>
        <w:rFonts w:hint="default"/>
      </w:rPr>
    </w:lvl>
    <w:lvl w:ilvl="3">
      <w:start w:val="1"/>
      <w:numFmt w:val="decimal"/>
      <w:isLgl/>
      <w:lvlText w:val="%1.%2.%3.%4"/>
      <w:lvlJc w:val="left"/>
      <w:pPr>
        <w:ind w:left="825" w:hanging="720"/>
      </w:pPr>
      <w:rPr>
        <w:rFonts w:hint="default"/>
      </w:rPr>
    </w:lvl>
    <w:lvl w:ilvl="4">
      <w:start w:val="1"/>
      <w:numFmt w:val="decimal"/>
      <w:isLgl/>
      <w:lvlText w:val="%1.%2.%3.%4.%5"/>
      <w:lvlJc w:val="left"/>
      <w:pPr>
        <w:ind w:left="1185" w:hanging="1080"/>
      </w:pPr>
      <w:rPr>
        <w:rFonts w:hint="default"/>
      </w:rPr>
    </w:lvl>
    <w:lvl w:ilvl="5">
      <w:start w:val="1"/>
      <w:numFmt w:val="decimal"/>
      <w:isLgl/>
      <w:lvlText w:val="%1.%2.%3.%4.%5.%6"/>
      <w:lvlJc w:val="left"/>
      <w:pPr>
        <w:ind w:left="1185" w:hanging="1080"/>
      </w:pPr>
      <w:rPr>
        <w:rFonts w:hint="default"/>
      </w:rPr>
    </w:lvl>
    <w:lvl w:ilvl="6">
      <w:start w:val="1"/>
      <w:numFmt w:val="decimal"/>
      <w:isLgl/>
      <w:lvlText w:val="%1.%2.%3.%4.%5.%6.%7"/>
      <w:lvlJc w:val="left"/>
      <w:pPr>
        <w:ind w:left="1545" w:hanging="1440"/>
      </w:pPr>
      <w:rPr>
        <w:rFonts w:hint="default"/>
      </w:rPr>
    </w:lvl>
    <w:lvl w:ilvl="7">
      <w:start w:val="1"/>
      <w:numFmt w:val="decimal"/>
      <w:isLgl/>
      <w:lvlText w:val="%1.%2.%3.%4.%5.%6.%7.%8"/>
      <w:lvlJc w:val="left"/>
      <w:pPr>
        <w:ind w:left="1545" w:hanging="1440"/>
      </w:pPr>
      <w:rPr>
        <w:rFonts w:hint="default"/>
      </w:rPr>
    </w:lvl>
    <w:lvl w:ilvl="8">
      <w:start w:val="1"/>
      <w:numFmt w:val="decimal"/>
      <w:isLgl/>
      <w:lvlText w:val="%1.%2.%3.%4.%5.%6.%7.%8.%9"/>
      <w:lvlJc w:val="left"/>
      <w:pPr>
        <w:ind w:left="1545" w:hanging="1440"/>
      </w:pPr>
      <w:rPr>
        <w:rFonts w:hint="default"/>
      </w:rPr>
    </w:lvl>
  </w:abstractNum>
  <w:abstractNum w:abstractNumId="12" w15:restartNumberingAfterBreak="0">
    <w:nsid w:val="5E83155E"/>
    <w:multiLevelType w:val="hybridMultilevel"/>
    <w:tmpl w:val="B19C206A"/>
    <w:lvl w:ilvl="0" w:tplc="02EEC3C8">
      <w:numFmt w:val="bullet"/>
      <w:lvlText w:val=""/>
      <w:lvlJc w:val="left"/>
      <w:pPr>
        <w:ind w:left="782" w:hanging="567"/>
      </w:pPr>
      <w:rPr>
        <w:rFonts w:ascii="Symbol" w:eastAsia="Symbol" w:hAnsi="Symbol" w:cs="Symbol" w:hint="default"/>
        <w:b w:val="0"/>
        <w:bCs w:val="0"/>
        <w:i w:val="0"/>
        <w:iCs w:val="0"/>
        <w:w w:val="100"/>
        <w:sz w:val="22"/>
        <w:szCs w:val="22"/>
      </w:rPr>
    </w:lvl>
    <w:lvl w:ilvl="1" w:tplc="04090001">
      <w:start w:val="1"/>
      <w:numFmt w:val="bullet"/>
      <w:lvlText w:val=""/>
      <w:lvlJc w:val="left"/>
      <w:pPr>
        <w:ind w:left="936" w:hanging="360"/>
      </w:pPr>
      <w:rPr>
        <w:rFonts w:ascii="Symbol" w:hAnsi="Symbol"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3" w15:restartNumberingAfterBreak="0">
    <w:nsid w:val="5F0A48B9"/>
    <w:multiLevelType w:val="hybridMultilevel"/>
    <w:tmpl w:val="405A213E"/>
    <w:lvl w:ilvl="0" w:tplc="26607456">
      <w:start w:val="1"/>
      <w:numFmt w:val="bullet"/>
      <w:lvlText w:val="-"/>
      <w:lvlJc w:val="left"/>
      <w:pPr>
        <w:ind w:left="782" w:hanging="567"/>
      </w:pPr>
      <w:rPr>
        <w:rFonts w:ascii="Segoe UI Symbol" w:eastAsia="Segoe UI Symbol" w:hAnsi="Segoe UI Symbol" w:cs="Segoe UI Symbol" w:hint="default"/>
        <w:b w:val="0"/>
        <w:bCs w:val="0"/>
        <w:i w:val="0"/>
        <w:iCs w:val="0"/>
        <w:strike w:val="0"/>
        <w:dstrike w:val="0"/>
        <w:color w:val="000000"/>
        <w:w w:val="100"/>
        <w:sz w:val="22"/>
        <w:szCs w:val="22"/>
        <w:u w:val="none" w:color="000000"/>
        <w:vertAlign w:val="baseline"/>
      </w:rPr>
    </w:lvl>
    <w:lvl w:ilvl="1" w:tplc="FFFFFFFF">
      <w:start w:val="1"/>
      <w:numFmt w:val="bullet"/>
      <w:lvlText w:val="-"/>
      <w:lvlJc w:val="left"/>
      <w:pPr>
        <w:ind w:left="936" w:hanging="360"/>
      </w:pPr>
      <w:rPr>
        <w:rFonts w:hint="default"/>
        <w:b w:val="0"/>
        <w:bCs w:val="0"/>
        <w:i w:val="0"/>
        <w:iCs w:val="0"/>
        <w:w w:val="100"/>
        <w:sz w:val="22"/>
        <w:szCs w:val="22"/>
      </w:rPr>
    </w:lvl>
    <w:lvl w:ilvl="2" w:tplc="FFFFFFFF">
      <w:numFmt w:val="bullet"/>
      <w:lvlText w:val="•"/>
      <w:lvlJc w:val="left"/>
      <w:pPr>
        <w:ind w:left="1980" w:hanging="360"/>
      </w:pPr>
      <w:rPr>
        <w:rFonts w:hint="default"/>
      </w:rPr>
    </w:lvl>
    <w:lvl w:ilvl="3" w:tplc="FFFFFFFF">
      <w:numFmt w:val="bullet"/>
      <w:lvlText w:val="•"/>
      <w:lvlJc w:val="left"/>
      <w:pPr>
        <w:ind w:left="3021" w:hanging="360"/>
      </w:pPr>
      <w:rPr>
        <w:rFonts w:hint="default"/>
      </w:rPr>
    </w:lvl>
    <w:lvl w:ilvl="4" w:tplc="FFFFFFFF">
      <w:numFmt w:val="bullet"/>
      <w:lvlText w:val="•"/>
      <w:lvlJc w:val="left"/>
      <w:pPr>
        <w:ind w:left="4061" w:hanging="360"/>
      </w:pPr>
      <w:rPr>
        <w:rFonts w:hint="default"/>
      </w:rPr>
    </w:lvl>
    <w:lvl w:ilvl="5" w:tplc="FFFFFFFF">
      <w:numFmt w:val="bullet"/>
      <w:lvlText w:val="•"/>
      <w:lvlJc w:val="left"/>
      <w:pPr>
        <w:ind w:left="5102" w:hanging="360"/>
      </w:pPr>
      <w:rPr>
        <w:rFonts w:hint="default"/>
      </w:rPr>
    </w:lvl>
    <w:lvl w:ilvl="6" w:tplc="FFFFFFFF">
      <w:numFmt w:val="bullet"/>
      <w:lvlText w:val="•"/>
      <w:lvlJc w:val="left"/>
      <w:pPr>
        <w:ind w:left="6143" w:hanging="360"/>
      </w:pPr>
      <w:rPr>
        <w:rFonts w:hint="default"/>
      </w:rPr>
    </w:lvl>
    <w:lvl w:ilvl="7" w:tplc="FFFFFFFF">
      <w:numFmt w:val="bullet"/>
      <w:lvlText w:val="•"/>
      <w:lvlJc w:val="left"/>
      <w:pPr>
        <w:ind w:left="7183" w:hanging="360"/>
      </w:pPr>
      <w:rPr>
        <w:rFonts w:hint="default"/>
      </w:rPr>
    </w:lvl>
    <w:lvl w:ilvl="8" w:tplc="FFFFFFFF">
      <w:numFmt w:val="bullet"/>
      <w:lvlText w:val="•"/>
      <w:lvlJc w:val="left"/>
      <w:pPr>
        <w:ind w:left="8224" w:hanging="360"/>
      </w:pPr>
      <w:rPr>
        <w:rFonts w:hint="default"/>
      </w:rPr>
    </w:lvl>
  </w:abstractNum>
  <w:abstractNum w:abstractNumId="14" w15:restartNumberingAfterBreak="0">
    <w:nsid w:val="62C73F36"/>
    <w:multiLevelType w:val="hybridMultilevel"/>
    <w:tmpl w:val="5D609F82"/>
    <w:lvl w:ilvl="0" w:tplc="DC2AE72A">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E2CE7840">
      <w:numFmt w:val="bullet"/>
      <w:lvlText w:val="•"/>
      <w:lvlJc w:val="left"/>
      <w:pPr>
        <w:ind w:left="2236" w:hanging="567"/>
      </w:pPr>
      <w:rPr>
        <w:rFonts w:hint="default"/>
      </w:rPr>
    </w:lvl>
    <w:lvl w:ilvl="2" w:tplc="9722633C">
      <w:numFmt w:val="bullet"/>
      <w:lvlText w:val="•"/>
      <w:lvlJc w:val="left"/>
      <w:pPr>
        <w:ind w:left="3133" w:hanging="567"/>
      </w:pPr>
      <w:rPr>
        <w:rFonts w:hint="default"/>
      </w:rPr>
    </w:lvl>
    <w:lvl w:ilvl="3" w:tplc="6608BF98">
      <w:numFmt w:val="bullet"/>
      <w:lvlText w:val="•"/>
      <w:lvlJc w:val="left"/>
      <w:pPr>
        <w:ind w:left="4029" w:hanging="567"/>
      </w:pPr>
      <w:rPr>
        <w:rFonts w:hint="default"/>
      </w:rPr>
    </w:lvl>
    <w:lvl w:ilvl="4" w:tplc="BA2E0C3E">
      <w:numFmt w:val="bullet"/>
      <w:lvlText w:val="•"/>
      <w:lvlJc w:val="left"/>
      <w:pPr>
        <w:ind w:left="4926" w:hanging="567"/>
      </w:pPr>
      <w:rPr>
        <w:rFonts w:hint="default"/>
      </w:rPr>
    </w:lvl>
    <w:lvl w:ilvl="5" w:tplc="E1D6584A">
      <w:numFmt w:val="bullet"/>
      <w:lvlText w:val="•"/>
      <w:lvlJc w:val="left"/>
      <w:pPr>
        <w:ind w:left="5822" w:hanging="567"/>
      </w:pPr>
      <w:rPr>
        <w:rFonts w:hint="default"/>
      </w:rPr>
    </w:lvl>
    <w:lvl w:ilvl="6" w:tplc="A4A035CA">
      <w:numFmt w:val="bullet"/>
      <w:lvlText w:val="•"/>
      <w:lvlJc w:val="left"/>
      <w:pPr>
        <w:ind w:left="6719" w:hanging="567"/>
      </w:pPr>
      <w:rPr>
        <w:rFonts w:hint="default"/>
      </w:rPr>
    </w:lvl>
    <w:lvl w:ilvl="7" w:tplc="0356362E">
      <w:numFmt w:val="bullet"/>
      <w:lvlText w:val="•"/>
      <w:lvlJc w:val="left"/>
      <w:pPr>
        <w:ind w:left="7615" w:hanging="567"/>
      </w:pPr>
      <w:rPr>
        <w:rFonts w:hint="default"/>
      </w:rPr>
    </w:lvl>
    <w:lvl w:ilvl="8" w:tplc="ECFAB550">
      <w:numFmt w:val="bullet"/>
      <w:lvlText w:val="•"/>
      <w:lvlJc w:val="left"/>
      <w:pPr>
        <w:ind w:left="8512" w:hanging="567"/>
      </w:pPr>
      <w:rPr>
        <w:rFonts w:hint="default"/>
      </w:rPr>
    </w:lvl>
  </w:abstractNum>
  <w:abstractNum w:abstractNumId="15" w15:restartNumberingAfterBreak="0">
    <w:nsid w:val="6C4F6AFB"/>
    <w:multiLevelType w:val="multilevel"/>
    <w:tmpl w:val="8A764404"/>
    <w:lvl w:ilvl="0">
      <w:start w:val="1"/>
      <w:numFmt w:val="decimal"/>
      <w:lvlText w:val="%1."/>
      <w:lvlJc w:val="left"/>
      <w:pPr>
        <w:ind w:left="450" w:hanging="360"/>
      </w:pPr>
      <w:rPr>
        <w:rFonts w:hint="default"/>
      </w:rPr>
    </w:lvl>
    <w:lvl w:ilvl="1">
      <w:start w:val="3"/>
      <w:numFmt w:val="decimal"/>
      <w:isLgl/>
      <w:lvlText w:val="%1.%2"/>
      <w:lvlJc w:val="left"/>
      <w:pPr>
        <w:ind w:left="645" w:hanging="540"/>
      </w:pPr>
      <w:rPr>
        <w:rFonts w:hint="default"/>
      </w:rPr>
    </w:lvl>
    <w:lvl w:ilvl="2">
      <w:start w:val="1"/>
      <w:numFmt w:val="decimal"/>
      <w:isLgl/>
      <w:lvlText w:val="%1.%2.%3"/>
      <w:lvlJc w:val="left"/>
      <w:pPr>
        <w:ind w:left="825" w:hanging="720"/>
      </w:pPr>
      <w:rPr>
        <w:rFonts w:hint="default"/>
      </w:rPr>
    </w:lvl>
    <w:lvl w:ilvl="3">
      <w:start w:val="1"/>
      <w:numFmt w:val="decimal"/>
      <w:isLgl/>
      <w:lvlText w:val="%1.%2.%3.%4"/>
      <w:lvlJc w:val="left"/>
      <w:pPr>
        <w:ind w:left="825" w:hanging="720"/>
      </w:pPr>
      <w:rPr>
        <w:rFonts w:hint="default"/>
      </w:rPr>
    </w:lvl>
    <w:lvl w:ilvl="4">
      <w:start w:val="1"/>
      <w:numFmt w:val="decimal"/>
      <w:isLgl/>
      <w:lvlText w:val="%1.%2.%3.%4.%5"/>
      <w:lvlJc w:val="left"/>
      <w:pPr>
        <w:ind w:left="1185" w:hanging="1080"/>
      </w:pPr>
      <w:rPr>
        <w:rFonts w:hint="default"/>
      </w:rPr>
    </w:lvl>
    <w:lvl w:ilvl="5">
      <w:start w:val="1"/>
      <w:numFmt w:val="decimal"/>
      <w:isLgl/>
      <w:lvlText w:val="%1.%2.%3.%4.%5.%6"/>
      <w:lvlJc w:val="left"/>
      <w:pPr>
        <w:ind w:left="1185" w:hanging="1080"/>
      </w:pPr>
      <w:rPr>
        <w:rFonts w:hint="default"/>
      </w:rPr>
    </w:lvl>
    <w:lvl w:ilvl="6">
      <w:start w:val="1"/>
      <w:numFmt w:val="decimal"/>
      <w:isLgl/>
      <w:lvlText w:val="%1.%2.%3.%4.%5.%6.%7"/>
      <w:lvlJc w:val="left"/>
      <w:pPr>
        <w:ind w:left="1545" w:hanging="1440"/>
      </w:pPr>
      <w:rPr>
        <w:rFonts w:hint="default"/>
      </w:rPr>
    </w:lvl>
    <w:lvl w:ilvl="7">
      <w:start w:val="1"/>
      <w:numFmt w:val="decimal"/>
      <w:isLgl/>
      <w:lvlText w:val="%1.%2.%3.%4.%5.%6.%7.%8"/>
      <w:lvlJc w:val="left"/>
      <w:pPr>
        <w:ind w:left="1545" w:hanging="1440"/>
      </w:pPr>
      <w:rPr>
        <w:rFonts w:hint="default"/>
      </w:rPr>
    </w:lvl>
    <w:lvl w:ilvl="8">
      <w:start w:val="1"/>
      <w:numFmt w:val="decimal"/>
      <w:isLgl/>
      <w:lvlText w:val="%1.%2.%3.%4.%5.%6.%7.%8.%9"/>
      <w:lvlJc w:val="left"/>
      <w:pPr>
        <w:ind w:left="1545" w:hanging="1440"/>
      </w:pPr>
      <w:rPr>
        <w:rFonts w:hint="default"/>
      </w:rPr>
    </w:lvl>
  </w:abstractNum>
  <w:abstractNum w:abstractNumId="16" w15:restartNumberingAfterBreak="0">
    <w:nsid w:val="6F1C490D"/>
    <w:multiLevelType w:val="hybridMultilevel"/>
    <w:tmpl w:val="6060ADA8"/>
    <w:lvl w:ilvl="0" w:tplc="26607456">
      <w:start w:val="1"/>
      <w:numFmt w:val="bullet"/>
      <w:lvlText w:val="-"/>
      <w:lvlJc w:val="left"/>
      <w:pPr>
        <w:ind w:left="785" w:hanging="360"/>
      </w:pPr>
      <w:rPr>
        <w:rFonts w:ascii="Segoe UI Symbol" w:eastAsia="Segoe UI Symbol" w:hAnsi="Segoe UI Symbol" w:cs="Segoe UI Symbol" w:hint="default"/>
        <w:b w:val="0"/>
        <w:i w:val="0"/>
        <w:strike w:val="0"/>
        <w:dstrike w:val="0"/>
        <w:color w:val="000000"/>
        <w:w w:val="100"/>
        <w:sz w:val="22"/>
        <w:szCs w:val="22"/>
        <w:u w:val="none" w:color="000000"/>
        <w:vertAlign w:val="baseline"/>
        <w:lang w:val="en-GB"/>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A100D28"/>
    <w:multiLevelType w:val="hybridMultilevel"/>
    <w:tmpl w:val="2F94C0BA"/>
    <w:lvl w:ilvl="0" w:tplc="6824AC52">
      <w:start w:val="1"/>
      <w:numFmt w:val="upperLetter"/>
      <w:lvlText w:val="%1."/>
      <w:lvlJc w:val="left"/>
      <w:pPr>
        <w:ind w:left="5670" w:hanging="5670"/>
      </w:pPr>
      <w:rPr>
        <w:rFonts w:hint="default"/>
        <w:b/>
      </w:rPr>
    </w:lvl>
    <w:lvl w:ilvl="1" w:tplc="734499EA">
      <w:start w:val="1"/>
      <w:numFmt w:val="decimal"/>
      <w:lvlText w:val="%2."/>
      <w:lvlJc w:val="left"/>
      <w:pPr>
        <w:ind w:left="1650" w:hanging="570"/>
      </w:pPr>
      <w:rPr>
        <w:rFonts w:hint="default"/>
        <w:b/>
        <w:i w:val="0"/>
      </w:rPr>
    </w:lvl>
    <w:lvl w:ilvl="2" w:tplc="1D1E7D76" w:tentative="1">
      <w:start w:val="1"/>
      <w:numFmt w:val="lowerRoman"/>
      <w:lvlText w:val="%3."/>
      <w:lvlJc w:val="right"/>
      <w:pPr>
        <w:ind w:left="2160" w:hanging="180"/>
      </w:pPr>
    </w:lvl>
    <w:lvl w:ilvl="3" w:tplc="8B966694" w:tentative="1">
      <w:start w:val="1"/>
      <w:numFmt w:val="decimal"/>
      <w:lvlText w:val="%4."/>
      <w:lvlJc w:val="left"/>
      <w:pPr>
        <w:ind w:left="2880" w:hanging="360"/>
      </w:pPr>
    </w:lvl>
    <w:lvl w:ilvl="4" w:tplc="B1383E56" w:tentative="1">
      <w:start w:val="1"/>
      <w:numFmt w:val="lowerLetter"/>
      <w:lvlText w:val="%5."/>
      <w:lvlJc w:val="left"/>
      <w:pPr>
        <w:ind w:left="3600" w:hanging="360"/>
      </w:pPr>
    </w:lvl>
    <w:lvl w:ilvl="5" w:tplc="D40EABF4" w:tentative="1">
      <w:start w:val="1"/>
      <w:numFmt w:val="lowerRoman"/>
      <w:lvlText w:val="%6."/>
      <w:lvlJc w:val="right"/>
      <w:pPr>
        <w:ind w:left="4320" w:hanging="180"/>
      </w:pPr>
    </w:lvl>
    <w:lvl w:ilvl="6" w:tplc="41D86D92" w:tentative="1">
      <w:start w:val="1"/>
      <w:numFmt w:val="decimal"/>
      <w:lvlText w:val="%7."/>
      <w:lvlJc w:val="left"/>
      <w:pPr>
        <w:ind w:left="5040" w:hanging="360"/>
      </w:pPr>
    </w:lvl>
    <w:lvl w:ilvl="7" w:tplc="06C64B18" w:tentative="1">
      <w:start w:val="1"/>
      <w:numFmt w:val="lowerLetter"/>
      <w:lvlText w:val="%8."/>
      <w:lvlJc w:val="left"/>
      <w:pPr>
        <w:ind w:left="5760" w:hanging="360"/>
      </w:pPr>
    </w:lvl>
    <w:lvl w:ilvl="8" w:tplc="61FC6BF4" w:tentative="1">
      <w:start w:val="1"/>
      <w:numFmt w:val="lowerRoman"/>
      <w:lvlText w:val="%9."/>
      <w:lvlJc w:val="right"/>
      <w:pPr>
        <w:ind w:left="6480" w:hanging="180"/>
      </w:pPr>
    </w:lvl>
  </w:abstractNum>
  <w:abstractNum w:abstractNumId="18" w15:restartNumberingAfterBreak="0">
    <w:nsid w:val="7EA71004"/>
    <w:multiLevelType w:val="hybridMultilevel"/>
    <w:tmpl w:val="16B6B880"/>
    <w:lvl w:ilvl="0" w:tplc="7B32BEF0">
      <w:numFmt w:val="bullet"/>
      <w:lvlText w:val="-"/>
      <w:lvlJc w:val="left"/>
      <w:pPr>
        <w:ind w:left="782" w:hanging="567"/>
      </w:pPr>
      <w:rPr>
        <w:rFonts w:ascii="Times New Roman" w:eastAsia="Times New Roman" w:hAnsi="Times New Roman" w:cs="Times New Roman" w:hint="default"/>
        <w:b w:val="0"/>
        <w:bCs w:val="0"/>
        <w:i w:val="0"/>
        <w:iCs w:val="0"/>
        <w:w w:val="100"/>
        <w:sz w:val="22"/>
        <w:szCs w:val="22"/>
      </w:rPr>
    </w:lvl>
    <w:lvl w:ilvl="1" w:tplc="B008C0C6">
      <w:numFmt w:val="bullet"/>
      <w:lvlText w:val=""/>
      <w:lvlJc w:val="left"/>
      <w:pPr>
        <w:ind w:left="782" w:hanging="284"/>
      </w:pPr>
      <w:rPr>
        <w:rFonts w:ascii="Symbol" w:eastAsia="Symbol" w:hAnsi="Symbol" w:cs="Symbol" w:hint="default"/>
        <w:b w:val="0"/>
        <w:bCs w:val="0"/>
        <w:i w:val="0"/>
        <w:iCs w:val="0"/>
        <w:w w:val="100"/>
        <w:sz w:val="22"/>
        <w:szCs w:val="22"/>
      </w:rPr>
    </w:lvl>
    <w:lvl w:ilvl="2" w:tplc="E04446C4">
      <w:numFmt w:val="bullet"/>
      <w:lvlText w:val="•"/>
      <w:lvlJc w:val="left"/>
      <w:pPr>
        <w:ind w:left="2685" w:hanging="284"/>
      </w:pPr>
      <w:rPr>
        <w:rFonts w:hint="default"/>
      </w:rPr>
    </w:lvl>
    <w:lvl w:ilvl="3" w:tplc="396EC294">
      <w:numFmt w:val="bullet"/>
      <w:lvlText w:val="•"/>
      <w:lvlJc w:val="left"/>
      <w:pPr>
        <w:ind w:left="3637" w:hanging="284"/>
      </w:pPr>
      <w:rPr>
        <w:rFonts w:hint="default"/>
      </w:rPr>
    </w:lvl>
    <w:lvl w:ilvl="4" w:tplc="1FBCC7AE">
      <w:numFmt w:val="bullet"/>
      <w:lvlText w:val="•"/>
      <w:lvlJc w:val="left"/>
      <w:pPr>
        <w:ind w:left="4590" w:hanging="284"/>
      </w:pPr>
      <w:rPr>
        <w:rFonts w:hint="default"/>
      </w:rPr>
    </w:lvl>
    <w:lvl w:ilvl="5" w:tplc="18A83576">
      <w:numFmt w:val="bullet"/>
      <w:lvlText w:val="•"/>
      <w:lvlJc w:val="left"/>
      <w:pPr>
        <w:ind w:left="5542" w:hanging="284"/>
      </w:pPr>
      <w:rPr>
        <w:rFonts w:hint="default"/>
      </w:rPr>
    </w:lvl>
    <w:lvl w:ilvl="6" w:tplc="7EF296DA">
      <w:numFmt w:val="bullet"/>
      <w:lvlText w:val="•"/>
      <w:lvlJc w:val="left"/>
      <w:pPr>
        <w:ind w:left="6495" w:hanging="284"/>
      </w:pPr>
      <w:rPr>
        <w:rFonts w:hint="default"/>
      </w:rPr>
    </w:lvl>
    <w:lvl w:ilvl="7" w:tplc="D61A4334">
      <w:numFmt w:val="bullet"/>
      <w:lvlText w:val="•"/>
      <w:lvlJc w:val="left"/>
      <w:pPr>
        <w:ind w:left="7447" w:hanging="284"/>
      </w:pPr>
      <w:rPr>
        <w:rFonts w:hint="default"/>
      </w:rPr>
    </w:lvl>
    <w:lvl w:ilvl="8" w:tplc="A6A46CB8">
      <w:numFmt w:val="bullet"/>
      <w:lvlText w:val="•"/>
      <w:lvlJc w:val="left"/>
      <w:pPr>
        <w:ind w:left="8400" w:hanging="284"/>
      </w:pPr>
      <w:rPr>
        <w:rFonts w:hint="default"/>
      </w:rPr>
    </w:lvl>
  </w:abstractNum>
  <w:num w:numId="1">
    <w:abstractNumId w:val="14"/>
  </w:num>
  <w:num w:numId="2">
    <w:abstractNumId w:val="7"/>
  </w:num>
  <w:num w:numId="3">
    <w:abstractNumId w:val="5"/>
  </w:num>
  <w:num w:numId="4">
    <w:abstractNumId w:val="8"/>
  </w:num>
  <w:num w:numId="5">
    <w:abstractNumId w:val="10"/>
  </w:num>
  <w:num w:numId="6">
    <w:abstractNumId w:val="3"/>
  </w:num>
  <w:num w:numId="7">
    <w:abstractNumId w:val="18"/>
  </w:num>
  <w:num w:numId="8">
    <w:abstractNumId w:val="0"/>
  </w:num>
  <w:num w:numId="9">
    <w:abstractNumId w:val="1"/>
  </w:num>
  <w:num w:numId="10">
    <w:abstractNumId w:val="11"/>
  </w:num>
  <w:num w:numId="11">
    <w:abstractNumId w:val="17"/>
  </w:num>
  <w:num w:numId="12">
    <w:abstractNumId w:val="12"/>
  </w:num>
  <w:num w:numId="13">
    <w:abstractNumId w:val="9"/>
  </w:num>
  <w:num w:numId="14">
    <w:abstractNumId w:val="13"/>
  </w:num>
  <w:num w:numId="15">
    <w:abstractNumId w:val="4"/>
  </w:num>
  <w:num w:numId="16">
    <w:abstractNumId w:val="6"/>
  </w:num>
  <w:num w:numId="17">
    <w:abstractNumId w:val="2"/>
  </w:num>
  <w:num w:numId="18">
    <w:abstractNumId w:val="16"/>
  </w:num>
  <w:num w:numId="19">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1B8"/>
    <w:rsid w:val="0000166D"/>
    <w:rsid w:val="00003F78"/>
    <w:rsid w:val="00011549"/>
    <w:rsid w:val="00020879"/>
    <w:rsid w:val="00032F34"/>
    <w:rsid w:val="00051F08"/>
    <w:rsid w:val="000668FE"/>
    <w:rsid w:val="00071FFE"/>
    <w:rsid w:val="00072232"/>
    <w:rsid w:val="000A3862"/>
    <w:rsid w:val="000A7959"/>
    <w:rsid w:val="000B7B5A"/>
    <w:rsid w:val="000C46D4"/>
    <w:rsid w:val="000F48F1"/>
    <w:rsid w:val="000F57C3"/>
    <w:rsid w:val="001035A9"/>
    <w:rsid w:val="001102CA"/>
    <w:rsid w:val="00110E79"/>
    <w:rsid w:val="00123517"/>
    <w:rsid w:val="0013158C"/>
    <w:rsid w:val="001423E0"/>
    <w:rsid w:val="0015727D"/>
    <w:rsid w:val="00165FC2"/>
    <w:rsid w:val="001716B8"/>
    <w:rsid w:val="0017236D"/>
    <w:rsid w:val="001914AA"/>
    <w:rsid w:val="001C139D"/>
    <w:rsid w:val="00203303"/>
    <w:rsid w:val="0020486F"/>
    <w:rsid w:val="00205007"/>
    <w:rsid w:val="00214975"/>
    <w:rsid w:val="0023448E"/>
    <w:rsid w:val="002566A6"/>
    <w:rsid w:val="00262910"/>
    <w:rsid w:val="0026615C"/>
    <w:rsid w:val="00294202"/>
    <w:rsid w:val="00295062"/>
    <w:rsid w:val="00295C0B"/>
    <w:rsid w:val="00297F0E"/>
    <w:rsid w:val="002D13DF"/>
    <w:rsid w:val="002E1BA2"/>
    <w:rsid w:val="002F42C6"/>
    <w:rsid w:val="003404AF"/>
    <w:rsid w:val="00360249"/>
    <w:rsid w:val="00363D6E"/>
    <w:rsid w:val="003B6174"/>
    <w:rsid w:val="003C20D9"/>
    <w:rsid w:val="003E518D"/>
    <w:rsid w:val="003F33D9"/>
    <w:rsid w:val="00406123"/>
    <w:rsid w:val="004103A0"/>
    <w:rsid w:val="00416FC7"/>
    <w:rsid w:val="004213D9"/>
    <w:rsid w:val="004227E0"/>
    <w:rsid w:val="00471A4C"/>
    <w:rsid w:val="00475A15"/>
    <w:rsid w:val="00481212"/>
    <w:rsid w:val="00487102"/>
    <w:rsid w:val="00495582"/>
    <w:rsid w:val="004B0B9E"/>
    <w:rsid w:val="004C0D6E"/>
    <w:rsid w:val="004C4B84"/>
    <w:rsid w:val="004C70DE"/>
    <w:rsid w:val="004E4DA0"/>
    <w:rsid w:val="004E5FEA"/>
    <w:rsid w:val="004F2C2D"/>
    <w:rsid w:val="00505926"/>
    <w:rsid w:val="005137EA"/>
    <w:rsid w:val="00515D95"/>
    <w:rsid w:val="00520DBB"/>
    <w:rsid w:val="00530F03"/>
    <w:rsid w:val="00534CF3"/>
    <w:rsid w:val="0058593D"/>
    <w:rsid w:val="005A767A"/>
    <w:rsid w:val="005B7399"/>
    <w:rsid w:val="005C7487"/>
    <w:rsid w:val="005C7837"/>
    <w:rsid w:val="005D637C"/>
    <w:rsid w:val="005F2B9C"/>
    <w:rsid w:val="005F5780"/>
    <w:rsid w:val="00601C23"/>
    <w:rsid w:val="00603908"/>
    <w:rsid w:val="00606FD7"/>
    <w:rsid w:val="00607E97"/>
    <w:rsid w:val="00612152"/>
    <w:rsid w:val="00620499"/>
    <w:rsid w:val="00633137"/>
    <w:rsid w:val="00650B70"/>
    <w:rsid w:val="0065467C"/>
    <w:rsid w:val="0068104B"/>
    <w:rsid w:val="006934D8"/>
    <w:rsid w:val="006A6B50"/>
    <w:rsid w:val="006A7DC7"/>
    <w:rsid w:val="006B0A31"/>
    <w:rsid w:val="006D6B4A"/>
    <w:rsid w:val="006E7715"/>
    <w:rsid w:val="006F090F"/>
    <w:rsid w:val="006F5753"/>
    <w:rsid w:val="00700FB5"/>
    <w:rsid w:val="00713A98"/>
    <w:rsid w:val="00717FCC"/>
    <w:rsid w:val="00720CFD"/>
    <w:rsid w:val="00743471"/>
    <w:rsid w:val="007864BE"/>
    <w:rsid w:val="00786B55"/>
    <w:rsid w:val="0079232B"/>
    <w:rsid w:val="007A4CA5"/>
    <w:rsid w:val="007D2D6A"/>
    <w:rsid w:val="007E6752"/>
    <w:rsid w:val="008259C1"/>
    <w:rsid w:val="008272F0"/>
    <w:rsid w:val="00832414"/>
    <w:rsid w:val="008541DF"/>
    <w:rsid w:val="00864478"/>
    <w:rsid w:val="00867275"/>
    <w:rsid w:val="008B0463"/>
    <w:rsid w:val="008B7531"/>
    <w:rsid w:val="008C0B05"/>
    <w:rsid w:val="008D140F"/>
    <w:rsid w:val="008F1BE5"/>
    <w:rsid w:val="008F60E7"/>
    <w:rsid w:val="00904F26"/>
    <w:rsid w:val="00912DA9"/>
    <w:rsid w:val="00916006"/>
    <w:rsid w:val="0092059E"/>
    <w:rsid w:val="00920D54"/>
    <w:rsid w:val="00926745"/>
    <w:rsid w:val="00930228"/>
    <w:rsid w:val="00940761"/>
    <w:rsid w:val="00955FC5"/>
    <w:rsid w:val="00965AFF"/>
    <w:rsid w:val="00980ED0"/>
    <w:rsid w:val="00985E05"/>
    <w:rsid w:val="009866D5"/>
    <w:rsid w:val="009D54FA"/>
    <w:rsid w:val="00A037B5"/>
    <w:rsid w:val="00A24658"/>
    <w:rsid w:val="00A3525D"/>
    <w:rsid w:val="00A551B4"/>
    <w:rsid w:val="00A75FB8"/>
    <w:rsid w:val="00A8223A"/>
    <w:rsid w:val="00AD1E40"/>
    <w:rsid w:val="00AE0A64"/>
    <w:rsid w:val="00AE1C6C"/>
    <w:rsid w:val="00AF33B3"/>
    <w:rsid w:val="00B026C8"/>
    <w:rsid w:val="00B11F6F"/>
    <w:rsid w:val="00B14E8A"/>
    <w:rsid w:val="00B262E7"/>
    <w:rsid w:val="00B43C6C"/>
    <w:rsid w:val="00B55D84"/>
    <w:rsid w:val="00B61CB8"/>
    <w:rsid w:val="00B82128"/>
    <w:rsid w:val="00BC6335"/>
    <w:rsid w:val="00C536DB"/>
    <w:rsid w:val="00C60E15"/>
    <w:rsid w:val="00C61DE9"/>
    <w:rsid w:val="00C93A42"/>
    <w:rsid w:val="00C9460B"/>
    <w:rsid w:val="00C95746"/>
    <w:rsid w:val="00CB6008"/>
    <w:rsid w:val="00CD14E9"/>
    <w:rsid w:val="00CD45D0"/>
    <w:rsid w:val="00CF0204"/>
    <w:rsid w:val="00D23384"/>
    <w:rsid w:val="00D2344B"/>
    <w:rsid w:val="00D236C3"/>
    <w:rsid w:val="00D274DA"/>
    <w:rsid w:val="00D430D3"/>
    <w:rsid w:val="00D45B67"/>
    <w:rsid w:val="00D53B49"/>
    <w:rsid w:val="00D5400D"/>
    <w:rsid w:val="00D638FC"/>
    <w:rsid w:val="00D824B3"/>
    <w:rsid w:val="00D8359E"/>
    <w:rsid w:val="00D874BF"/>
    <w:rsid w:val="00DB2F0E"/>
    <w:rsid w:val="00DD10BC"/>
    <w:rsid w:val="00DF20DE"/>
    <w:rsid w:val="00DF4267"/>
    <w:rsid w:val="00E00A75"/>
    <w:rsid w:val="00E024B4"/>
    <w:rsid w:val="00E02D36"/>
    <w:rsid w:val="00E26BF4"/>
    <w:rsid w:val="00E3613C"/>
    <w:rsid w:val="00E65A9D"/>
    <w:rsid w:val="00E66ACF"/>
    <w:rsid w:val="00E710D1"/>
    <w:rsid w:val="00E87AD2"/>
    <w:rsid w:val="00EA3223"/>
    <w:rsid w:val="00EB7419"/>
    <w:rsid w:val="00EC707B"/>
    <w:rsid w:val="00ED0403"/>
    <w:rsid w:val="00F151B8"/>
    <w:rsid w:val="00F301DB"/>
    <w:rsid w:val="00F34E4F"/>
    <w:rsid w:val="00F510CC"/>
    <w:rsid w:val="00F676B7"/>
    <w:rsid w:val="00F70EB6"/>
    <w:rsid w:val="00F77643"/>
    <w:rsid w:val="00F951FE"/>
    <w:rsid w:val="00FA1B5D"/>
    <w:rsid w:val="00FB3982"/>
    <w:rsid w:val="00FC7C4D"/>
    <w:rsid w:val="00FD006B"/>
    <w:rsid w:val="00FE23EA"/>
    <w:rsid w:val="00FE3F4A"/>
    <w:rsid w:val="00FE799B"/>
    <w:rsid w:val="00FF57FD"/>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AD96A"/>
  <w15:docId w15:val="{B679E928-AEF0-4F08-9018-78F7FE5E8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2059E"/>
  </w:style>
  <w:style w:type="paragraph" w:styleId="Antrat1">
    <w:name w:val="heading 1"/>
    <w:basedOn w:val="prastasis"/>
    <w:link w:val="Antrat1Diagrama"/>
    <w:uiPriority w:val="1"/>
    <w:qFormat/>
    <w:rsid w:val="00F151B8"/>
    <w:pPr>
      <w:widowControl w:val="0"/>
      <w:autoSpaceDE w:val="0"/>
      <w:autoSpaceDN w:val="0"/>
      <w:spacing w:before="20" w:after="0" w:line="240" w:lineRule="auto"/>
      <w:ind w:left="105"/>
      <w:outlineLvl w:val="0"/>
    </w:pPr>
    <w:rPr>
      <w:rFonts w:ascii="Times New Roman" w:eastAsia="Times New Roman" w:hAnsi="Times New Roman" w:cs="Times New Roman"/>
      <w:b/>
      <w:bCs/>
    </w:rPr>
  </w:style>
  <w:style w:type="paragraph" w:styleId="Antrat2">
    <w:name w:val="heading 2"/>
    <w:basedOn w:val="prastasis"/>
    <w:link w:val="Antrat2Diagrama"/>
    <w:uiPriority w:val="1"/>
    <w:qFormat/>
    <w:rsid w:val="00F151B8"/>
    <w:pPr>
      <w:widowControl w:val="0"/>
      <w:autoSpaceDE w:val="0"/>
      <w:autoSpaceDN w:val="0"/>
      <w:spacing w:after="0" w:line="240" w:lineRule="auto"/>
      <w:ind w:left="215"/>
      <w:outlineLvl w:val="1"/>
    </w:pPr>
    <w:rPr>
      <w:rFonts w:ascii="Times New Roman" w:eastAsia="Times New Roman" w:hAnsi="Times New Roman" w:cs="Times New Roman"/>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1"/>
    <w:rsid w:val="00F151B8"/>
    <w:rPr>
      <w:rFonts w:ascii="Times New Roman" w:eastAsia="Times New Roman" w:hAnsi="Times New Roman" w:cs="Times New Roman"/>
      <w:b/>
      <w:bCs/>
    </w:rPr>
  </w:style>
  <w:style w:type="character" w:customStyle="1" w:styleId="Antrat2Diagrama">
    <w:name w:val="Antraštė 2 Diagrama"/>
    <w:basedOn w:val="Numatytasispastraiposriftas"/>
    <w:link w:val="Antrat2"/>
    <w:uiPriority w:val="1"/>
    <w:rsid w:val="00F151B8"/>
    <w:rPr>
      <w:rFonts w:ascii="Times New Roman" w:eastAsia="Times New Roman" w:hAnsi="Times New Roman" w:cs="Times New Roman"/>
      <w:b/>
      <w:bCs/>
    </w:rPr>
  </w:style>
  <w:style w:type="numbering" w:customStyle="1" w:styleId="NoList1">
    <w:name w:val="No List1"/>
    <w:next w:val="Sraonra"/>
    <w:uiPriority w:val="99"/>
    <w:semiHidden/>
    <w:unhideWhenUsed/>
    <w:rsid w:val="00F151B8"/>
  </w:style>
  <w:style w:type="paragraph" w:styleId="Pagrindinistekstas">
    <w:name w:val="Body Text"/>
    <w:basedOn w:val="prastasis"/>
    <w:link w:val="PagrindinistekstasDiagrama"/>
    <w:uiPriority w:val="1"/>
    <w:qFormat/>
    <w:rsid w:val="00F151B8"/>
    <w:pPr>
      <w:widowControl w:val="0"/>
      <w:autoSpaceDE w:val="0"/>
      <w:autoSpaceDN w:val="0"/>
      <w:spacing w:after="0" w:line="240" w:lineRule="auto"/>
    </w:pPr>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F151B8"/>
    <w:rPr>
      <w:rFonts w:ascii="Times New Roman" w:eastAsia="Times New Roman" w:hAnsi="Times New Roman" w:cs="Times New Roman"/>
    </w:rPr>
  </w:style>
  <w:style w:type="paragraph" w:styleId="Sraopastraipa">
    <w:name w:val="List Paragraph"/>
    <w:basedOn w:val="prastasis"/>
    <w:uiPriority w:val="1"/>
    <w:qFormat/>
    <w:rsid w:val="00F151B8"/>
    <w:pPr>
      <w:widowControl w:val="0"/>
      <w:autoSpaceDE w:val="0"/>
      <w:autoSpaceDN w:val="0"/>
      <w:spacing w:after="0" w:line="240" w:lineRule="auto"/>
      <w:ind w:left="782" w:hanging="568"/>
    </w:pPr>
    <w:rPr>
      <w:rFonts w:ascii="Times New Roman" w:eastAsia="Times New Roman" w:hAnsi="Times New Roman" w:cs="Times New Roman"/>
    </w:rPr>
  </w:style>
  <w:style w:type="paragraph" w:customStyle="1" w:styleId="TableParagraph">
    <w:name w:val="Table Paragraph"/>
    <w:basedOn w:val="prastasis"/>
    <w:uiPriority w:val="1"/>
    <w:qFormat/>
    <w:rsid w:val="00F151B8"/>
    <w:pPr>
      <w:widowControl w:val="0"/>
      <w:autoSpaceDE w:val="0"/>
      <w:autoSpaceDN w:val="0"/>
      <w:spacing w:after="0" w:line="240" w:lineRule="auto"/>
    </w:pPr>
    <w:rPr>
      <w:rFonts w:ascii="Times New Roman" w:eastAsia="Times New Roman" w:hAnsi="Times New Roman" w:cs="Times New Roman"/>
    </w:rPr>
  </w:style>
  <w:style w:type="paragraph" w:styleId="Debesliotekstas">
    <w:name w:val="Balloon Text"/>
    <w:basedOn w:val="prastasis"/>
    <w:link w:val="DebesliotekstasDiagrama"/>
    <w:uiPriority w:val="99"/>
    <w:semiHidden/>
    <w:unhideWhenUsed/>
    <w:rsid w:val="00F151B8"/>
    <w:pPr>
      <w:widowControl w:val="0"/>
      <w:autoSpaceDE w:val="0"/>
      <w:autoSpaceDN w:val="0"/>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uiPriority w:val="99"/>
    <w:semiHidden/>
    <w:rsid w:val="00F151B8"/>
    <w:rPr>
      <w:rFonts w:ascii="Tahoma" w:eastAsia="Times New Roman" w:hAnsi="Tahoma" w:cs="Tahoma"/>
      <w:sz w:val="16"/>
      <w:szCs w:val="16"/>
    </w:rPr>
  </w:style>
  <w:style w:type="character" w:styleId="Hipersaitas">
    <w:name w:val="Hyperlink"/>
    <w:uiPriority w:val="99"/>
    <w:rsid w:val="00F151B8"/>
    <w:rPr>
      <w:color w:val="0000FF"/>
      <w:u w:val="single"/>
    </w:rPr>
  </w:style>
  <w:style w:type="character" w:styleId="Komentaronuoroda">
    <w:name w:val="annotation reference"/>
    <w:basedOn w:val="Numatytasispastraiposriftas"/>
    <w:uiPriority w:val="99"/>
    <w:unhideWhenUsed/>
    <w:rsid w:val="00F151B8"/>
    <w:rPr>
      <w:sz w:val="16"/>
      <w:szCs w:val="16"/>
    </w:rPr>
  </w:style>
  <w:style w:type="paragraph" w:styleId="Komentarotekstas">
    <w:name w:val="annotation text"/>
    <w:basedOn w:val="prastasis"/>
    <w:link w:val="KomentarotekstasDiagrama"/>
    <w:uiPriority w:val="99"/>
    <w:unhideWhenUsed/>
    <w:rsid w:val="00F151B8"/>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uiPriority w:val="99"/>
    <w:rsid w:val="00F151B8"/>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F151B8"/>
    <w:rPr>
      <w:b/>
      <w:bCs/>
    </w:rPr>
  </w:style>
  <w:style w:type="character" w:customStyle="1" w:styleId="KomentarotemaDiagrama">
    <w:name w:val="Komentaro tema Diagrama"/>
    <w:basedOn w:val="KomentarotekstasDiagrama"/>
    <w:link w:val="Komentarotema"/>
    <w:uiPriority w:val="99"/>
    <w:semiHidden/>
    <w:rsid w:val="00F151B8"/>
    <w:rPr>
      <w:rFonts w:ascii="Times New Roman" w:eastAsia="Times New Roman" w:hAnsi="Times New Roman" w:cs="Times New Roman"/>
      <w:b/>
      <w:bCs/>
      <w:sz w:val="20"/>
      <w:szCs w:val="20"/>
    </w:rPr>
  </w:style>
  <w:style w:type="paragraph" w:styleId="Antrats">
    <w:name w:val="header"/>
    <w:basedOn w:val="prastasis"/>
    <w:link w:val="AntratsDiagrama"/>
    <w:uiPriority w:val="99"/>
    <w:unhideWhenUsed/>
    <w:rsid w:val="00F151B8"/>
    <w:pPr>
      <w:widowControl w:val="0"/>
      <w:tabs>
        <w:tab w:val="center" w:pos="4680"/>
        <w:tab w:val="right" w:pos="9360"/>
      </w:tabs>
      <w:autoSpaceDE w:val="0"/>
      <w:autoSpaceDN w:val="0"/>
      <w:spacing w:after="0" w:line="240" w:lineRule="auto"/>
    </w:pPr>
    <w:rPr>
      <w:rFonts w:ascii="Times New Roman" w:eastAsia="Times New Roman" w:hAnsi="Times New Roman" w:cs="Times New Roman"/>
    </w:rPr>
  </w:style>
  <w:style w:type="character" w:customStyle="1" w:styleId="AntratsDiagrama">
    <w:name w:val="Antraštės Diagrama"/>
    <w:basedOn w:val="Numatytasispastraiposriftas"/>
    <w:link w:val="Antrats"/>
    <w:uiPriority w:val="99"/>
    <w:rsid w:val="00F151B8"/>
    <w:rPr>
      <w:rFonts w:ascii="Times New Roman" w:eastAsia="Times New Roman" w:hAnsi="Times New Roman" w:cs="Times New Roman"/>
    </w:rPr>
  </w:style>
  <w:style w:type="paragraph" w:styleId="Porat">
    <w:name w:val="footer"/>
    <w:basedOn w:val="prastasis"/>
    <w:link w:val="PoratDiagrama"/>
    <w:uiPriority w:val="99"/>
    <w:unhideWhenUsed/>
    <w:rsid w:val="00F151B8"/>
    <w:pPr>
      <w:widowControl w:val="0"/>
      <w:tabs>
        <w:tab w:val="center" w:pos="4680"/>
        <w:tab w:val="right" w:pos="9360"/>
      </w:tabs>
      <w:autoSpaceDE w:val="0"/>
      <w:autoSpaceDN w:val="0"/>
      <w:spacing w:after="0" w:line="240" w:lineRule="auto"/>
    </w:pPr>
    <w:rPr>
      <w:rFonts w:ascii="Times New Roman" w:eastAsia="Times New Roman" w:hAnsi="Times New Roman" w:cs="Times New Roman"/>
    </w:rPr>
  </w:style>
  <w:style w:type="character" w:customStyle="1" w:styleId="PoratDiagrama">
    <w:name w:val="Poraštė Diagrama"/>
    <w:basedOn w:val="Numatytasispastraiposriftas"/>
    <w:link w:val="Porat"/>
    <w:uiPriority w:val="99"/>
    <w:rsid w:val="00F151B8"/>
    <w:rPr>
      <w:rFonts w:ascii="Times New Roman" w:eastAsia="Times New Roman" w:hAnsi="Times New Roman" w:cs="Times New Roman"/>
    </w:rPr>
  </w:style>
  <w:style w:type="table" w:styleId="Lentelstinklelis">
    <w:name w:val="Table Grid"/>
    <w:basedOn w:val="prastojilentel"/>
    <w:uiPriority w:val="59"/>
    <w:rsid w:val="00F151B8"/>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151B8"/>
    <w:pPr>
      <w:autoSpaceDE w:val="0"/>
      <w:autoSpaceDN w:val="0"/>
      <w:adjustRightInd w:val="0"/>
      <w:spacing w:after="0" w:line="240" w:lineRule="auto"/>
    </w:pPr>
    <w:rPr>
      <w:rFonts w:ascii="Times New Roman" w:hAnsi="Times New Roman" w:cs="Times New Roman"/>
      <w:color w:val="000000"/>
      <w:sz w:val="24"/>
      <w:szCs w:val="24"/>
    </w:rPr>
  </w:style>
  <w:style w:type="paragraph" w:styleId="Pataisymai">
    <w:name w:val="Revision"/>
    <w:hidden/>
    <w:uiPriority w:val="99"/>
    <w:semiHidden/>
    <w:rsid w:val="00F151B8"/>
    <w:pPr>
      <w:spacing w:after="0" w:line="240" w:lineRule="auto"/>
    </w:pPr>
    <w:rPr>
      <w:rFonts w:ascii="Times New Roman" w:eastAsia="Times New Roman" w:hAnsi="Times New Roman" w:cs="Times New Roman"/>
      <w:lang w:val="en-US"/>
    </w:rPr>
  </w:style>
  <w:style w:type="character" w:customStyle="1" w:styleId="UnresolvedMention1">
    <w:name w:val="Unresolved Mention1"/>
    <w:basedOn w:val="Numatytasispastraiposriftas"/>
    <w:uiPriority w:val="99"/>
    <w:semiHidden/>
    <w:unhideWhenUsed/>
    <w:rsid w:val="00F151B8"/>
    <w:rPr>
      <w:color w:val="605E5C"/>
      <w:shd w:val="clear" w:color="auto" w:fill="E1DFDD"/>
    </w:rPr>
  </w:style>
  <w:style w:type="character" w:customStyle="1" w:styleId="UnresolvedMention2">
    <w:name w:val="Unresolved Mention2"/>
    <w:basedOn w:val="Numatytasispastraiposriftas"/>
    <w:uiPriority w:val="99"/>
    <w:semiHidden/>
    <w:unhideWhenUsed/>
    <w:rsid w:val="007E6752"/>
    <w:rPr>
      <w:color w:val="605E5C"/>
      <w:shd w:val="clear" w:color="auto" w:fill="E1DFDD"/>
    </w:rPr>
  </w:style>
  <w:style w:type="character" w:customStyle="1" w:styleId="UnresolvedMention3">
    <w:name w:val="Unresolved Mention3"/>
    <w:basedOn w:val="Numatytasispastraiposriftas"/>
    <w:uiPriority w:val="99"/>
    <w:semiHidden/>
    <w:unhideWhenUsed/>
    <w:rsid w:val="001914AA"/>
    <w:rPr>
      <w:color w:val="605E5C"/>
      <w:shd w:val="clear" w:color="auto" w:fill="E1DFDD"/>
    </w:rPr>
  </w:style>
  <w:style w:type="paragraph" w:customStyle="1" w:styleId="xmsonormal">
    <w:name w:val="x_msonormal"/>
    <w:basedOn w:val="prastasis"/>
    <w:rsid w:val="00205007"/>
    <w:pPr>
      <w:spacing w:after="0" w:line="240" w:lineRule="auto"/>
    </w:pPr>
    <w:rPr>
      <w:rFonts w:ascii="Aptos" w:hAnsi="Aptos" w:cs="Aptos"/>
      <w:lang w:eastAsia="lt-LT"/>
    </w:rPr>
  </w:style>
  <w:style w:type="character" w:customStyle="1" w:styleId="UnresolvedMention">
    <w:name w:val="Unresolved Mention"/>
    <w:basedOn w:val="Numatytasispastraiposriftas"/>
    <w:uiPriority w:val="99"/>
    <w:semiHidden/>
    <w:unhideWhenUsed/>
    <w:rsid w:val="001716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6862994">
      <w:bodyDiv w:val="1"/>
      <w:marLeft w:val="0"/>
      <w:marRight w:val="0"/>
      <w:marTop w:val="0"/>
      <w:marBottom w:val="0"/>
      <w:divBdr>
        <w:top w:val="none" w:sz="0" w:space="0" w:color="auto"/>
        <w:left w:val="none" w:sz="0" w:space="0" w:color="auto"/>
        <w:bottom w:val="none" w:sz="0" w:space="0" w:color="auto"/>
        <w:right w:val="none" w:sz="0" w:space="0" w:color="auto"/>
      </w:divBdr>
    </w:div>
    <w:div w:id="717822350">
      <w:bodyDiv w:val="1"/>
      <w:marLeft w:val="0"/>
      <w:marRight w:val="0"/>
      <w:marTop w:val="0"/>
      <w:marBottom w:val="0"/>
      <w:divBdr>
        <w:top w:val="none" w:sz="0" w:space="0" w:color="auto"/>
        <w:left w:val="none" w:sz="0" w:space="0" w:color="auto"/>
        <w:bottom w:val="none" w:sz="0" w:space="0" w:color="auto"/>
        <w:right w:val="none" w:sz="0" w:space="0" w:color="auto"/>
      </w:divBdr>
    </w:div>
    <w:div w:id="845825005">
      <w:bodyDiv w:val="1"/>
      <w:marLeft w:val="0"/>
      <w:marRight w:val="0"/>
      <w:marTop w:val="0"/>
      <w:marBottom w:val="0"/>
      <w:divBdr>
        <w:top w:val="none" w:sz="0" w:space="0" w:color="auto"/>
        <w:left w:val="none" w:sz="0" w:space="0" w:color="auto"/>
        <w:bottom w:val="none" w:sz="0" w:space="0" w:color="auto"/>
        <w:right w:val="none" w:sz="0" w:space="0" w:color="auto"/>
      </w:divBdr>
    </w:div>
    <w:div w:id="943028278">
      <w:bodyDiv w:val="1"/>
      <w:marLeft w:val="0"/>
      <w:marRight w:val="0"/>
      <w:marTop w:val="0"/>
      <w:marBottom w:val="0"/>
      <w:divBdr>
        <w:top w:val="none" w:sz="0" w:space="0" w:color="auto"/>
        <w:left w:val="none" w:sz="0" w:space="0" w:color="auto"/>
        <w:bottom w:val="none" w:sz="0" w:space="0" w:color="auto"/>
        <w:right w:val="none" w:sz="0" w:space="0" w:color="auto"/>
      </w:divBdr>
    </w:div>
    <w:div w:id="1133448622">
      <w:bodyDiv w:val="1"/>
      <w:marLeft w:val="0"/>
      <w:marRight w:val="0"/>
      <w:marTop w:val="0"/>
      <w:marBottom w:val="0"/>
      <w:divBdr>
        <w:top w:val="none" w:sz="0" w:space="0" w:color="auto"/>
        <w:left w:val="none" w:sz="0" w:space="0" w:color="auto"/>
        <w:bottom w:val="none" w:sz="0" w:space="0" w:color="auto"/>
        <w:right w:val="none" w:sz="0" w:space="0" w:color="auto"/>
      </w:divBdr>
    </w:div>
    <w:div w:id="1148665227">
      <w:bodyDiv w:val="1"/>
      <w:marLeft w:val="0"/>
      <w:marRight w:val="0"/>
      <w:marTop w:val="0"/>
      <w:marBottom w:val="0"/>
      <w:divBdr>
        <w:top w:val="none" w:sz="0" w:space="0" w:color="auto"/>
        <w:left w:val="none" w:sz="0" w:space="0" w:color="auto"/>
        <w:bottom w:val="none" w:sz="0" w:space="0" w:color="auto"/>
        <w:right w:val="none" w:sz="0" w:space="0" w:color="auto"/>
      </w:divBdr>
    </w:div>
    <w:div w:id="1373116180">
      <w:bodyDiv w:val="1"/>
      <w:marLeft w:val="0"/>
      <w:marRight w:val="0"/>
      <w:marTop w:val="0"/>
      <w:marBottom w:val="0"/>
      <w:divBdr>
        <w:top w:val="none" w:sz="0" w:space="0" w:color="auto"/>
        <w:left w:val="none" w:sz="0" w:space="0" w:color="auto"/>
        <w:bottom w:val="none" w:sz="0" w:space="0" w:color="auto"/>
        <w:right w:val="none" w:sz="0" w:space="0" w:color="auto"/>
      </w:divBdr>
    </w:div>
    <w:div w:id="1483886166">
      <w:bodyDiv w:val="1"/>
      <w:marLeft w:val="0"/>
      <w:marRight w:val="0"/>
      <w:marTop w:val="0"/>
      <w:marBottom w:val="0"/>
      <w:divBdr>
        <w:top w:val="none" w:sz="0" w:space="0" w:color="auto"/>
        <w:left w:val="none" w:sz="0" w:space="0" w:color="auto"/>
        <w:bottom w:val="none" w:sz="0" w:space="0" w:color="auto"/>
        <w:right w:val="none" w:sz="0" w:space="0" w:color="auto"/>
      </w:divBdr>
    </w:div>
    <w:div w:id="1557856426">
      <w:bodyDiv w:val="1"/>
      <w:marLeft w:val="0"/>
      <w:marRight w:val="0"/>
      <w:marTop w:val="0"/>
      <w:marBottom w:val="0"/>
      <w:divBdr>
        <w:top w:val="none" w:sz="0" w:space="0" w:color="auto"/>
        <w:left w:val="none" w:sz="0" w:space="0" w:color="auto"/>
        <w:bottom w:val="none" w:sz="0" w:space="0" w:color="auto"/>
        <w:right w:val="none" w:sz="0" w:space="0" w:color="auto"/>
      </w:divBdr>
    </w:div>
    <w:div w:id="1589582358">
      <w:bodyDiv w:val="1"/>
      <w:marLeft w:val="0"/>
      <w:marRight w:val="0"/>
      <w:marTop w:val="0"/>
      <w:marBottom w:val="0"/>
      <w:divBdr>
        <w:top w:val="none" w:sz="0" w:space="0" w:color="auto"/>
        <w:left w:val="none" w:sz="0" w:space="0" w:color="auto"/>
        <w:bottom w:val="none" w:sz="0" w:space="0" w:color="auto"/>
        <w:right w:val="none" w:sz="0" w:space="0" w:color="auto"/>
      </w:divBdr>
    </w:div>
    <w:div w:id="1734502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vvkt.lt."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hyperlink" Target="https://vvkt.lrv.lt/l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jpeg"/><Relationship Id="rId10" Type="http://schemas.openxmlformats.org/officeDocument/2006/relationships/footnotes" Target="footnotes.xml"/><Relationship Id="rId19" Type="http://schemas.openxmlformats.org/officeDocument/2006/relationships/hyperlink" Target="https://vvkt.lrv.lt/l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f07165b42f59cac4d31ec2f663ca3d13">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40dfd735e353168392a4dab015f02e9"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cb0b4dfd-1452-42df-bcc2-835b32a0f63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5" ma:contentTypeDescription="Create a new document." ma:contentTypeScope="" ma:versionID="070b3dd127abcd0f6906275d52ac431c">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bfe215d088aca8a2e9fe788c71c8bf05"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6" ma:contentTypeDescription="Create a new document." ma:contentTypeScope="" ma:versionID="23687b793f297dc435fc48d395a4a6ef">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ee7948249fb5a51e1e23e2aedef88b2b"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BCBC94-F3D3-4C54-993D-A384F93BBE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412189D-D329-4CB9-A3DA-B992B9030FF3}">
  <ds:schemaRefs>
    <ds:schemaRef ds:uri="8c54d1d4-8a50-4b16-b050-2289fc7c4d80"/>
    <ds:schemaRef ds:uri="http://purl.org/dc/terms/"/>
    <ds:schemaRef ds:uri="http://schemas.microsoft.com/office/2006/documentManagement/types"/>
    <ds:schemaRef ds:uri="http://purl.org/dc/dcmitype/"/>
    <ds:schemaRef ds:uri="http://www.w3.org/XML/1998/namespace"/>
    <ds:schemaRef ds:uri="http://schemas.openxmlformats.org/package/2006/metadata/core-properties"/>
    <ds:schemaRef ds:uri="http://purl.org/dc/elements/1.1/"/>
    <ds:schemaRef ds:uri="http://schemas.microsoft.com/office/infopath/2007/PartnerControls"/>
    <ds:schemaRef ds:uri="cb0b4dfd-1452-42df-bcc2-835b32a0f636"/>
    <ds:schemaRef ds:uri="http://schemas.microsoft.com/office/2006/metadata/properties"/>
  </ds:schemaRefs>
</ds:datastoreItem>
</file>

<file path=customXml/itemProps3.xml><?xml version="1.0" encoding="utf-8"?>
<ds:datastoreItem xmlns:ds="http://schemas.openxmlformats.org/officeDocument/2006/customXml" ds:itemID="{EAF1054B-DF66-4586-A08D-2ACF37FDF322}">
  <ds:schemaRefs>
    <ds:schemaRef ds:uri="http://schemas.microsoft.com/sharepoint/v3/contenttype/forms"/>
  </ds:schemaRefs>
</ds:datastoreItem>
</file>

<file path=customXml/itemProps4.xml><?xml version="1.0" encoding="utf-8"?>
<ds:datastoreItem xmlns:ds="http://schemas.openxmlformats.org/officeDocument/2006/customXml" ds:itemID="{C655D1A9-B9CC-4345-96F4-64AE91D56C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A20AE0A-7E34-4946-AD63-B14C013D61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72</Pages>
  <Words>112108</Words>
  <Characters>63903</Characters>
  <Application>Microsoft Office Word</Application>
  <DocSecurity>4</DocSecurity>
  <Lines>532</Lines>
  <Paragraphs>351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175660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ITL</dc:creator>
  <cp:lastModifiedBy>Albina Burkauskaitė</cp:lastModifiedBy>
  <cp:revision>2</cp:revision>
  <dcterms:created xsi:type="dcterms:W3CDTF">2024-12-13T07:01:00Z</dcterms:created>
  <dcterms:modified xsi:type="dcterms:W3CDTF">2024-12-13T07:01:00Z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y fmtid="{D5CDD505-2E9C-101B-9397-08002B2CF9AE}" pid="3" name="MediaServiceImageTags">
    <vt:lpwstr/>
  </property>
</Properties>
</file>