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2D286" w14:textId="77777777" w:rsidR="009B5484" w:rsidRPr="00FF397D" w:rsidRDefault="009B5484" w:rsidP="00CE7EE6">
      <w:pPr>
        <w:widowControl w:val="0"/>
        <w:tabs>
          <w:tab w:val="clear" w:pos="567"/>
          <w:tab w:val="left" w:pos="9214"/>
        </w:tabs>
        <w:spacing w:line="240" w:lineRule="auto"/>
        <w:ind w:right="282"/>
        <w:rPr>
          <w:szCs w:val="22"/>
          <w:lang w:val="lt-LT"/>
        </w:rPr>
      </w:pPr>
    </w:p>
    <w:p w14:paraId="5BA32808" w14:textId="77777777" w:rsidR="009B5484" w:rsidRPr="00FF397D" w:rsidRDefault="009B5484" w:rsidP="00CE7EE6">
      <w:pPr>
        <w:tabs>
          <w:tab w:val="left" w:pos="9214"/>
        </w:tabs>
        <w:spacing w:line="240" w:lineRule="auto"/>
        <w:ind w:right="282"/>
        <w:outlineLvl w:val="0"/>
        <w:rPr>
          <w:b/>
          <w:szCs w:val="22"/>
          <w:lang w:val="lt-LT"/>
        </w:rPr>
      </w:pPr>
    </w:p>
    <w:p w14:paraId="1D43B471" w14:textId="77777777" w:rsidR="009B5484" w:rsidRPr="00FF397D" w:rsidRDefault="009B5484" w:rsidP="00CE7EE6">
      <w:pPr>
        <w:tabs>
          <w:tab w:val="left" w:pos="9214"/>
        </w:tabs>
        <w:spacing w:line="240" w:lineRule="auto"/>
        <w:ind w:right="282"/>
        <w:outlineLvl w:val="0"/>
        <w:rPr>
          <w:b/>
          <w:szCs w:val="22"/>
          <w:lang w:val="lt-LT"/>
        </w:rPr>
      </w:pPr>
    </w:p>
    <w:p w14:paraId="496E1E5A" w14:textId="77777777" w:rsidR="009B5484" w:rsidRPr="00FF397D" w:rsidRDefault="009B5484" w:rsidP="00CE7EE6">
      <w:pPr>
        <w:tabs>
          <w:tab w:val="left" w:pos="9214"/>
        </w:tabs>
        <w:spacing w:line="240" w:lineRule="auto"/>
        <w:ind w:right="282"/>
        <w:outlineLvl w:val="0"/>
        <w:rPr>
          <w:b/>
          <w:szCs w:val="22"/>
          <w:lang w:val="lt-LT"/>
        </w:rPr>
      </w:pPr>
    </w:p>
    <w:p w14:paraId="208F5197" w14:textId="77777777" w:rsidR="009B5484" w:rsidRPr="00FF397D" w:rsidRDefault="009B5484" w:rsidP="00CE7EE6">
      <w:pPr>
        <w:tabs>
          <w:tab w:val="left" w:pos="9214"/>
        </w:tabs>
        <w:spacing w:line="240" w:lineRule="auto"/>
        <w:ind w:right="282"/>
        <w:outlineLvl w:val="0"/>
        <w:rPr>
          <w:b/>
          <w:szCs w:val="22"/>
          <w:lang w:val="lt-LT"/>
        </w:rPr>
      </w:pPr>
    </w:p>
    <w:p w14:paraId="3539E11A"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087D74B8"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4FF37B41"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4ACC403C"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18C90C8D"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73F32D06"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53133B09"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23CCABDA"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7DE98D07"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03D446A6"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01A70096"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7ECE2965"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4616FCA8"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7AE78CDF"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20145108"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467569DC"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216B017A"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21247605" w14:textId="77777777" w:rsidR="009B5484" w:rsidRPr="00FF397D" w:rsidRDefault="009B5484" w:rsidP="00CE7EE6">
      <w:pPr>
        <w:tabs>
          <w:tab w:val="left" w:pos="-1440"/>
          <w:tab w:val="left" w:pos="-720"/>
          <w:tab w:val="left" w:pos="9214"/>
        </w:tabs>
        <w:spacing w:line="240" w:lineRule="auto"/>
        <w:ind w:right="282"/>
        <w:rPr>
          <w:b/>
          <w:szCs w:val="22"/>
          <w:lang w:val="lt-LT"/>
        </w:rPr>
      </w:pPr>
    </w:p>
    <w:p w14:paraId="0ED06959" w14:textId="77777777" w:rsidR="009B5484" w:rsidRPr="00FF397D"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2"/>
          <w:lang w:val="lt-LT"/>
        </w:rPr>
      </w:pPr>
      <w:r w:rsidRPr="00FF397D">
        <w:rPr>
          <w:rFonts w:ascii="Times New Roman" w:hAnsi="Times New Roman"/>
          <w:i w:val="0"/>
          <w:sz w:val="22"/>
          <w:szCs w:val="22"/>
          <w:lang w:val="lt-LT"/>
        </w:rPr>
        <w:t>I PRIEDAS</w:t>
      </w:r>
    </w:p>
    <w:p w14:paraId="6C663267" w14:textId="77777777" w:rsidR="009B5484" w:rsidRPr="00FF397D" w:rsidRDefault="009B5484" w:rsidP="00CE7EE6">
      <w:pPr>
        <w:tabs>
          <w:tab w:val="left" w:pos="9214"/>
        </w:tabs>
        <w:spacing w:line="240" w:lineRule="auto"/>
        <w:ind w:right="282"/>
        <w:rPr>
          <w:szCs w:val="22"/>
          <w:lang w:val="lt-LT"/>
        </w:rPr>
      </w:pPr>
    </w:p>
    <w:p w14:paraId="27A886AA" w14:textId="77777777" w:rsidR="009B5484" w:rsidRPr="00FF397D" w:rsidRDefault="009B5484" w:rsidP="00CE7EE6">
      <w:pPr>
        <w:tabs>
          <w:tab w:val="left" w:pos="-1440"/>
          <w:tab w:val="left" w:pos="-720"/>
          <w:tab w:val="left" w:pos="9214"/>
        </w:tabs>
        <w:spacing w:line="240" w:lineRule="auto"/>
        <w:ind w:right="282"/>
        <w:jc w:val="center"/>
        <w:rPr>
          <w:b/>
          <w:szCs w:val="22"/>
          <w:lang w:val="lt-LT"/>
        </w:rPr>
      </w:pPr>
      <w:r w:rsidRPr="00FF397D">
        <w:rPr>
          <w:b/>
          <w:szCs w:val="22"/>
          <w:lang w:val="lt-LT"/>
        </w:rPr>
        <w:t>PREPARATO CHARAKTERISTIKŲ SANTRAUKA</w:t>
      </w:r>
    </w:p>
    <w:p w14:paraId="0742FB4F" w14:textId="77777777" w:rsidR="0080416E" w:rsidRPr="00FF397D" w:rsidRDefault="009B5484" w:rsidP="0080416E">
      <w:pPr>
        <w:pStyle w:val="PI-1EMEASMCA"/>
        <w:rPr>
          <w:lang w:val="lt-LT"/>
        </w:rPr>
      </w:pPr>
      <w:r w:rsidRPr="00FF397D">
        <w:rPr>
          <w:lang w:val="lt-LT" w:eastAsia="zh-CN"/>
        </w:rPr>
        <w:br w:type="page"/>
      </w:r>
      <w:bookmarkStart w:id="0" w:name="_Toc129243098"/>
      <w:bookmarkStart w:id="1" w:name="_Toc129243223"/>
      <w:r w:rsidR="0080416E" w:rsidRPr="00FF397D">
        <w:rPr>
          <w:lang w:val="lt-LT"/>
        </w:rPr>
        <w:lastRenderedPageBreak/>
        <w:t>1.</w:t>
      </w:r>
      <w:r w:rsidR="0080416E" w:rsidRPr="00FF397D">
        <w:rPr>
          <w:lang w:val="lt-LT"/>
        </w:rPr>
        <w:tab/>
        <w:t>VAISTINIO PREPARATO PAVADINIMAS</w:t>
      </w:r>
      <w:bookmarkEnd w:id="0"/>
      <w:bookmarkEnd w:id="1"/>
    </w:p>
    <w:p w14:paraId="2FAFA71E" w14:textId="77777777" w:rsidR="0080416E" w:rsidRPr="00FF397D" w:rsidRDefault="0080416E" w:rsidP="00B45D31">
      <w:pPr>
        <w:pStyle w:val="BTEMEASMCA"/>
      </w:pPr>
    </w:p>
    <w:p w14:paraId="00AB0431" w14:textId="77777777" w:rsidR="0080416E" w:rsidRPr="00FF397D" w:rsidRDefault="0080416E" w:rsidP="00B45D31">
      <w:pPr>
        <w:pStyle w:val="BTEMEASMCA"/>
      </w:pPr>
      <w:r w:rsidRPr="00FF397D">
        <w:t>Teriflunomide Teva 14 mg plėvele dengtos tabletės</w:t>
      </w:r>
      <w:bookmarkStart w:id="2" w:name="_GoBack"/>
      <w:bookmarkEnd w:id="2"/>
      <w:r w:rsidRPr="00FF397D">
        <w:t xml:space="preserve">  </w:t>
      </w:r>
    </w:p>
    <w:p w14:paraId="3BCC7A8E" w14:textId="77777777" w:rsidR="0080416E" w:rsidRPr="00FF397D" w:rsidRDefault="0080416E" w:rsidP="00B45D31">
      <w:pPr>
        <w:pStyle w:val="BTEMEASMCA"/>
      </w:pPr>
    </w:p>
    <w:p w14:paraId="2E86809D" w14:textId="77777777" w:rsidR="0080416E" w:rsidRPr="00FF397D" w:rsidRDefault="0080416E" w:rsidP="00B45D31">
      <w:pPr>
        <w:pStyle w:val="BTEMEASMCA"/>
      </w:pPr>
    </w:p>
    <w:p w14:paraId="7900E2F8" w14:textId="119658B3" w:rsidR="0080416E" w:rsidRPr="00FF397D" w:rsidRDefault="0080416E" w:rsidP="0080416E">
      <w:pPr>
        <w:pStyle w:val="PI-1EMEASMCA"/>
        <w:rPr>
          <w:lang w:val="lt-LT"/>
        </w:rPr>
      </w:pPr>
      <w:bookmarkStart w:id="3" w:name="_Toc129243099"/>
      <w:bookmarkStart w:id="4" w:name="_Toc129243224"/>
      <w:r w:rsidRPr="00FF397D">
        <w:rPr>
          <w:lang w:val="lt-LT"/>
        </w:rPr>
        <w:t>2.</w:t>
      </w:r>
      <w:r w:rsidRPr="00FF397D">
        <w:rPr>
          <w:lang w:val="lt-LT"/>
        </w:rPr>
        <w:tab/>
        <w:t>KOKYBINĖ IR KIEKYBINĖ SUDĖTIS</w:t>
      </w:r>
      <w:bookmarkEnd w:id="3"/>
      <w:bookmarkEnd w:id="4"/>
    </w:p>
    <w:p w14:paraId="32103F6D" w14:textId="77777777" w:rsidR="0080416E" w:rsidRPr="00FF397D" w:rsidRDefault="0080416E" w:rsidP="00B45D31">
      <w:pPr>
        <w:pStyle w:val="BTEMEASMCA"/>
      </w:pPr>
    </w:p>
    <w:p w14:paraId="345E11D7" w14:textId="77777777" w:rsidR="0080416E" w:rsidRPr="00FF397D" w:rsidRDefault="0080416E" w:rsidP="00B45D31">
      <w:pPr>
        <w:pStyle w:val="BTEMEASMCA"/>
      </w:pPr>
      <w:r w:rsidRPr="00FF397D">
        <w:t>Kiekvienoje plėvele dengtoje tabletėje yra 14 mg teriflunomido.</w:t>
      </w:r>
    </w:p>
    <w:p w14:paraId="17DF2566" w14:textId="77777777" w:rsidR="0080416E" w:rsidRPr="00FF397D" w:rsidRDefault="0080416E" w:rsidP="00B45D31">
      <w:pPr>
        <w:pStyle w:val="BTEMEASMCA"/>
      </w:pPr>
    </w:p>
    <w:p w14:paraId="66AA67AF" w14:textId="77777777" w:rsidR="0080416E" w:rsidRPr="00FF397D" w:rsidRDefault="0080416E" w:rsidP="0080416E">
      <w:pPr>
        <w:autoSpaceDE w:val="0"/>
        <w:autoSpaceDN w:val="0"/>
        <w:adjustRightInd w:val="0"/>
        <w:spacing w:line="240" w:lineRule="auto"/>
        <w:rPr>
          <w:rFonts w:eastAsia="Calibri"/>
          <w:szCs w:val="22"/>
          <w:u w:val="single"/>
          <w:lang w:val="lt-LT"/>
        </w:rPr>
      </w:pPr>
      <w:r w:rsidRPr="00FF397D">
        <w:rPr>
          <w:rFonts w:eastAsia="Calibri"/>
          <w:szCs w:val="22"/>
          <w:u w:val="single"/>
          <w:lang w:val="lt-LT"/>
        </w:rPr>
        <w:t>Pagalbinės medžiagos, kurių poveikis žinomas</w:t>
      </w:r>
    </w:p>
    <w:p w14:paraId="3258962B" w14:textId="77777777" w:rsidR="0080416E" w:rsidRPr="00FF397D" w:rsidRDefault="0080416E" w:rsidP="00B45D31">
      <w:pPr>
        <w:pStyle w:val="BTEMEASMCA"/>
      </w:pPr>
      <w:r w:rsidRPr="00FF397D">
        <w:t>Kiekvienoje tabletėje yra 72,25 mg laktozės monohidrato (atitinka 68,64 mg laktozės).</w:t>
      </w:r>
    </w:p>
    <w:p w14:paraId="0B85B130" w14:textId="77777777" w:rsidR="0080416E" w:rsidRPr="00FF397D" w:rsidRDefault="0080416E" w:rsidP="00B45D31">
      <w:pPr>
        <w:pStyle w:val="BTEMEASMCA"/>
      </w:pPr>
    </w:p>
    <w:p w14:paraId="22EB2F71" w14:textId="77777777" w:rsidR="0080416E" w:rsidRPr="00FF397D" w:rsidRDefault="0080416E" w:rsidP="00B45D31">
      <w:pPr>
        <w:pStyle w:val="BTEMEASMCA"/>
      </w:pPr>
      <w:r w:rsidRPr="00FF397D">
        <w:t>Visos pagalbinės medžiagos išvardytos 6.1 skyriuje.</w:t>
      </w:r>
    </w:p>
    <w:p w14:paraId="3387D3F3" w14:textId="77777777" w:rsidR="0080416E" w:rsidRPr="00FF397D" w:rsidRDefault="0080416E" w:rsidP="00B45D31">
      <w:pPr>
        <w:pStyle w:val="BTEMEASMCA"/>
      </w:pPr>
    </w:p>
    <w:p w14:paraId="7CDAD935" w14:textId="77777777" w:rsidR="0080416E" w:rsidRPr="00FF397D" w:rsidRDefault="0080416E" w:rsidP="00B45D31">
      <w:pPr>
        <w:pStyle w:val="BTEMEASMCA"/>
      </w:pPr>
    </w:p>
    <w:p w14:paraId="72CBAE7A" w14:textId="1EFABE85" w:rsidR="0080416E" w:rsidRPr="00FF397D" w:rsidRDefault="0080416E" w:rsidP="0080416E">
      <w:pPr>
        <w:pStyle w:val="PI-1EMEASMCA"/>
        <w:rPr>
          <w:lang w:val="lt-LT"/>
        </w:rPr>
      </w:pPr>
      <w:bookmarkStart w:id="5" w:name="_Toc129243100"/>
      <w:bookmarkStart w:id="6" w:name="_Toc129243225"/>
      <w:r w:rsidRPr="00FF397D">
        <w:rPr>
          <w:lang w:val="lt-LT"/>
        </w:rPr>
        <w:t>3.</w:t>
      </w:r>
      <w:r w:rsidRPr="00FF397D">
        <w:rPr>
          <w:lang w:val="lt-LT"/>
        </w:rPr>
        <w:tab/>
        <w:t>FARMACINĖ FORMA</w:t>
      </w:r>
      <w:bookmarkEnd w:id="5"/>
      <w:bookmarkEnd w:id="6"/>
    </w:p>
    <w:p w14:paraId="0AF171A3" w14:textId="77777777" w:rsidR="0080416E" w:rsidRPr="00FF397D" w:rsidRDefault="0080416E" w:rsidP="00B45D31">
      <w:pPr>
        <w:pStyle w:val="BTEMEASMCA"/>
      </w:pPr>
    </w:p>
    <w:p w14:paraId="6BA142AB" w14:textId="77777777" w:rsidR="0080416E" w:rsidRPr="00FF397D" w:rsidRDefault="0080416E" w:rsidP="00B45D31">
      <w:pPr>
        <w:pStyle w:val="BTEMEASMCA"/>
      </w:pPr>
      <w:r w:rsidRPr="00FF397D">
        <w:t>Plėvele dengta tabletė (tabletė)</w:t>
      </w:r>
    </w:p>
    <w:p w14:paraId="24878CC3" w14:textId="77777777" w:rsidR="0080416E" w:rsidRPr="00FF397D" w:rsidRDefault="0080416E" w:rsidP="00B45D31">
      <w:pPr>
        <w:pStyle w:val="BTEMEASMCA"/>
      </w:pPr>
    </w:p>
    <w:p w14:paraId="7F2FEB61" w14:textId="77777777" w:rsidR="0080416E" w:rsidRPr="00FF397D" w:rsidRDefault="0080416E" w:rsidP="00B45D31">
      <w:pPr>
        <w:pStyle w:val="BTEMEASMCA"/>
      </w:pPr>
      <w:r w:rsidRPr="00FF397D">
        <w:t>Mėlynos, apvalios, apytikriai 6,6 mm skersmens ir 4,1 mm storio plėvele dengtos tabletės, kurių vienoje pusėje yra žyma „TV“, o kitoje „Y12“.</w:t>
      </w:r>
    </w:p>
    <w:p w14:paraId="6C65E092" w14:textId="77777777" w:rsidR="0080416E" w:rsidRPr="00FF397D" w:rsidRDefault="0080416E" w:rsidP="00B45D31">
      <w:pPr>
        <w:pStyle w:val="BTEMEASMCA"/>
      </w:pPr>
    </w:p>
    <w:p w14:paraId="1B653674" w14:textId="77777777" w:rsidR="0080416E" w:rsidRPr="00FF397D" w:rsidRDefault="0080416E" w:rsidP="00B45D31">
      <w:pPr>
        <w:pStyle w:val="BTEMEASMCA"/>
      </w:pPr>
    </w:p>
    <w:p w14:paraId="14E6CBE5" w14:textId="630CBE37" w:rsidR="0080416E" w:rsidRPr="00FF397D" w:rsidRDefault="0080416E" w:rsidP="0080416E">
      <w:pPr>
        <w:pStyle w:val="PI-1EMEASMCA"/>
        <w:rPr>
          <w:lang w:val="lt-LT"/>
        </w:rPr>
      </w:pPr>
      <w:bookmarkStart w:id="7" w:name="_Toc129243101"/>
      <w:bookmarkStart w:id="8" w:name="_Toc129243226"/>
      <w:r w:rsidRPr="00FF397D">
        <w:rPr>
          <w:lang w:val="lt-LT"/>
        </w:rPr>
        <w:t>4.</w:t>
      </w:r>
      <w:r w:rsidRPr="00FF397D">
        <w:rPr>
          <w:lang w:val="lt-LT"/>
        </w:rPr>
        <w:tab/>
        <w:t>KLINIKINĖ INFORMACIJA</w:t>
      </w:r>
      <w:bookmarkEnd w:id="7"/>
      <w:bookmarkEnd w:id="8"/>
    </w:p>
    <w:p w14:paraId="7528DC2A" w14:textId="77777777" w:rsidR="0080416E" w:rsidRPr="00FF397D" w:rsidRDefault="0080416E" w:rsidP="00B45D31">
      <w:pPr>
        <w:pStyle w:val="BTEMEASMCA"/>
      </w:pPr>
    </w:p>
    <w:p w14:paraId="3B933E81" w14:textId="67C58D91" w:rsidR="0080416E" w:rsidRPr="00FF397D" w:rsidRDefault="0080416E" w:rsidP="0080416E">
      <w:pPr>
        <w:pStyle w:val="PI-2EMEASMCA"/>
        <w:jc w:val="left"/>
      </w:pPr>
      <w:bookmarkStart w:id="9" w:name="_Toc129243102"/>
      <w:bookmarkStart w:id="10" w:name="_Toc129243227"/>
      <w:r w:rsidRPr="00FF397D">
        <w:t>4.1</w:t>
      </w:r>
      <w:r w:rsidRPr="00FF397D">
        <w:tab/>
        <w:t>Terapinės indikacijos</w:t>
      </w:r>
      <w:bookmarkEnd w:id="9"/>
      <w:bookmarkEnd w:id="10"/>
    </w:p>
    <w:p w14:paraId="1AD1AF76" w14:textId="77777777" w:rsidR="0080416E" w:rsidRPr="00FF397D" w:rsidRDefault="0080416E" w:rsidP="00B45D31">
      <w:pPr>
        <w:pStyle w:val="BTEMEASMCA"/>
      </w:pPr>
    </w:p>
    <w:p w14:paraId="7944F81D" w14:textId="472144E4" w:rsidR="0080416E" w:rsidRPr="00FF397D" w:rsidRDefault="0080416E" w:rsidP="00B45D31">
      <w:pPr>
        <w:pStyle w:val="BTEMEASMCA"/>
        <w:rPr>
          <w:rFonts w:eastAsia="Calibri"/>
        </w:rPr>
      </w:pPr>
      <w:r w:rsidRPr="00FF397D">
        <w:t>Teriflunomide Teva skirtas gydyti suaugusius pacientus ir 10 metų bei vyresnius vaikus, sergančius recidyvuojančia remituojančia išsėtine skleroze (IS) (s</w:t>
      </w:r>
      <w:r w:rsidRPr="00FF397D">
        <w:rPr>
          <w:rFonts w:eastAsia="Calibri"/>
        </w:rPr>
        <w:t>varbi informacija apie populiaciją, kurios gydymo veiksmingumas įrodytas, pateikiama 5.1 skyriuje).</w:t>
      </w:r>
    </w:p>
    <w:p w14:paraId="65EF5DDB" w14:textId="77777777" w:rsidR="0080416E" w:rsidRPr="00FF397D" w:rsidRDefault="0080416E" w:rsidP="00B45D31">
      <w:pPr>
        <w:pStyle w:val="BTEMEASMCA"/>
      </w:pPr>
    </w:p>
    <w:p w14:paraId="2AF07500" w14:textId="6F80488A" w:rsidR="0080416E" w:rsidRPr="00FF397D" w:rsidRDefault="0080416E" w:rsidP="0080416E">
      <w:pPr>
        <w:pStyle w:val="PI-2EMEASMCA"/>
        <w:jc w:val="left"/>
      </w:pPr>
      <w:bookmarkStart w:id="11" w:name="_Toc129243103"/>
      <w:bookmarkStart w:id="12" w:name="_Toc129243228"/>
      <w:r w:rsidRPr="00FF397D">
        <w:t>4.2</w:t>
      </w:r>
      <w:r w:rsidRPr="00FF397D">
        <w:tab/>
        <w:t>Dozavimas ir vartojimo metodas</w:t>
      </w:r>
      <w:bookmarkEnd w:id="11"/>
      <w:bookmarkEnd w:id="12"/>
    </w:p>
    <w:p w14:paraId="65C53DB1" w14:textId="77777777" w:rsidR="0080416E" w:rsidRPr="00FF397D" w:rsidRDefault="0080416E" w:rsidP="00B45D31">
      <w:pPr>
        <w:pStyle w:val="BTEMEASMCA"/>
      </w:pPr>
    </w:p>
    <w:p w14:paraId="5ADC8E1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Gydymą turėtų pradėti ir prižiūrėti gydytojas, turintis patirties gydant išsėtinę sklerozę.</w:t>
      </w:r>
    </w:p>
    <w:p w14:paraId="5A43B337" w14:textId="77777777" w:rsidR="0080416E" w:rsidRPr="00FF397D" w:rsidRDefault="0080416E" w:rsidP="00B45D31">
      <w:pPr>
        <w:pStyle w:val="BTEMEASMCA"/>
      </w:pPr>
    </w:p>
    <w:p w14:paraId="723F1AE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Dozavimas</w:t>
      </w:r>
    </w:p>
    <w:p w14:paraId="79F8B6AF"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Suaugusiesiems</w:t>
      </w:r>
    </w:p>
    <w:p w14:paraId="5585479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Suaugusiesiems rekomenduojama teriflunomido dozė yra 14 mg vieną kartą per parą.</w:t>
      </w:r>
    </w:p>
    <w:p w14:paraId="75185AF9" w14:textId="77777777" w:rsidR="0080416E" w:rsidRPr="00FF397D" w:rsidRDefault="0080416E" w:rsidP="0080416E">
      <w:pPr>
        <w:autoSpaceDE w:val="0"/>
        <w:autoSpaceDN w:val="0"/>
        <w:adjustRightInd w:val="0"/>
        <w:spacing w:line="240" w:lineRule="auto"/>
        <w:rPr>
          <w:rFonts w:eastAsia="Calibri"/>
          <w:szCs w:val="22"/>
          <w:lang w:val="lt-LT"/>
        </w:rPr>
      </w:pPr>
    </w:p>
    <w:p w14:paraId="4266EA9C"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Vaikams (10 metų ir vyresniems)</w:t>
      </w:r>
    </w:p>
    <w:p w14:paraId="014328BC" w14:textId="77777777" w:rsidR="0080416E" w:rsidRPr="00FF397D" w:rsidRDefault="0080416E" w:rsidP="0080416E">
      <w:pPr>
        <w:keepNext/>
        <w:autoSpaceDE w:val="0"/>
        <w:autoSpaceDN w:val="0"/>
        <w:adjustRightInd w:val="0"/>
        <w:spacing w:line="240" w:lineRule="auto"/>
        <w:rPr>
          <w:rFonts w:eastAsia="Calibri"/>
          <w:szCs w:val="22"/>
          <w:lang w:val="lt-LT"/>
        </w:rPr>
      </w:pPr>
      <w:r w:rsidRPr="00FF397D">
        <w:rPr>
          <w:rFonts w:eastAsia="Calibri"/>
          <w:szCs w:val="22"/>
          <w:lang w:val="lt-LT"/>
        </w:rPr>
        <w:t>Vaikams (10 metų ir vyresniems) rekomenduojama dozė priklauso nuo kūno svorio:</w:t>
      </w:r>
    </w:p>
    <w:p w14:paraId="087E6168" w14:textId="77777777" w:rsidR="0080416E" w:rsidRPr="00FF397D" w:rsidRDefault="0080416E" w:rsidP="0080416E">
      <w:pPr>
        <w:pStyle w:val="Sraopastraipa"/>
        <w:numPr>
          <w:ilvl w:val="0"/>
          <w:numId w:val="139"/>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vaikams, kurių kūno svoris &gt; 40 kg: 14 mg vieną kartą per parą;</w:t>
      </w:r>
    </w:p>
    <w:p w14:paraId="736B9398" w14:textId="77777777" w:rsidR="0080416E" w:rsidRPr="00FF397D" w:rsidRDefault="0080416E" w:rsidP="0080416E">
      <w:pPr>
        <w:pStyle w:val="Sraopastraipa"/>
        <w:numPr>
          <w:ilvl w:val="0"/>
          <w:numId w:val="139"/>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vaikams, kurių kūno svoris ≤ 40 kg: 7 mg vieną kartą per parą.</w:t>
      </w:r>
    </w:p>
    <w:p w14:paraId="010A1822" w14:textId="77777777" w:rsidR="0080416E" w:rsidRPr="00FF397D" w:rsidRDefault="0080416E" w:rsidP="0080416E">
      <w:pPr>
        <w:autoSpaceDE w:val="0"/>
        <w:autoSpaceDN w:val="0"/>
        <w:adjustRightInd w:val="0"/>
        <w:spacing w:line="240" w:lineRule="auto"/>
        <w:rPr>
          <w:rFonts w:eastAsia="Calibri"/>
          <w:szCs w:val="22"/>
          <w:lang w:val="lt-LT"/>
        </w:rPr>
      </w:pPr>
    </w:p>
    <w:p w14:paraId="7B4C8D6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14 mg plėvele dengtos tabletės nėra tinkamos vaikams, kurių kūno svoris ≤ 40 kg.</w:t>
      </w:r>
    </w:p>
    <w:p w14:paraId="42DA1D2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Rinkoje yra kitų mažesnio stiprumo vaistinių preparatų (7 mg plėvele dengtų tablečių), kurių sudėtyje yra teriflunomido.</w:t>
      </w:r>
    </w:p>
    <w:p w14:paraId="449C8FDF" w14:textId="77777777" w:rsidR="0080416E" w:rsidRPr="00FF397D" w:rsidRDefault="0080416E" w:rsidP="00B45D31">
      <w:pPr>
        <w:pStyle w:val="BTEMEASMCA"/>
      </w:pPr>
    </w:p>
    <w:p w14:paraId="454834C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Vaikams, kurių stabilus kūno svoris tampa didesnis nei 40 kg, vartojamą dozę reikia pakeisti į 14 mg vieną kartą per parą dozę.</w:t>
      </w:r>
    </w:p>
    <w:p w14:paraId="7E1D9D2B" w14:textId="77777777" w:rsidR="0080416E" w:rsidRPr="00FF397D" w:rsidRDefault="0080416E" w:rsidP="0080416E">
      <w:pPr>
        <w:autoSpaceDE w:val="0"/>
        <w:autoSpaceDN w:val="0"/>
        <w:adjustRightInd w:val="0"/>
        <w:spacing w:line="240" w:lineRule="auto"/>
        <w:rPr>
          <w:rFonts w:eastAsia="Calibri"/>
          <w:szCs w:val="22"/>
          <w:lang w:val="lt-LT"/>
        </w:rPr>
      </w:pPr>
    </w:p>
    <w:p w14:paraId="51236385" w14:textId="77777777" w:rsidR="0080416E" w:rsidRPr="00DB639D" w:rsidRDefault="0080416E" w:rsidP="00B45D31">
      <w:pPr>
        <w:pStyle w:val="BTEMEASMCA"/>
      </w:pPr>
      <w:r w:rsidRPr="00DB639D">
        <w:t>Plėvele dengtos tabletės gali būti vartojamos kartu su maistu arba nevalgius.</w:t>
      </w:r>
    </w:p>
    <w:p w14:paraId="55ADCA8B" w14:textId="77777777" w:rsidR="0080416E" w:rsidRPr="00FF397D" w:rsidRDefault="0080416E" w:rsidP="0080416E">
      <w:pPr>
        <w:autoSpaceDE w:val="0"/>
        <w:autoSpaceDN w:val="0"/>
        <w:adjustRightInd w:val="0"/>
        <w:spacing w:line="240" w:lineRule="auto"/>
        <w:rPr>
          <w:rFonts w:eastAsia="Calibri"/>
          <w:szCs w:val="22"/>
          <w:lang w:val="lt-LT"/>
        </w:rPr>
      </w:pPr>
    </w:p>
    <w:p w14:paraId="07401F8D"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Ypatingos populiacijos</w:t>
      </w:r>
    </w:p>
    <w:p w14:paraId="42070AA9" w14:textId="77777777" w:rsidR="0080416E" w:rsidRPr="00FF397D" w:rsidRDefault="0080416E" w:rsidP="0080416E">
      <w:pPr>
        <w:keepNext/>
        <w:autoSpaceDE w:val="0"/>
        <w:autoSpaceDN w:val="0"/>
        <w:adjustRightInd w:val="0"/>
        <w:spacing w:line="240" w:lineRule="auto"/>
        <w:rPr>
          <w:rFonts w:eastAsia="Calibri"/>
          <w:i/>
          <w:iCs/>
          <w:szCs w:val="22"/>
          <w:lang w:val="lt-LT"/>
        </w:rPr>
      </w:pPr>
    </w:p>
    <w:p w14:paraId="2330D634"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Senyviems pacientams</w:t>
      </w:r>
    </w:p>
    <w:p w14:paraId="2396567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reikia atsargiai vartoti 65 metų ir vyresniems pacientams, nes nepakanka duomenų apie vartojimo saugumą ir veiksmingumą.</w:t>
      </w:r>
    </w:p>
    <w:p w14:paraId="597F06D0" w14:textId="77777777" w:rsidR="0080416E" w:rsidRPr="00FF397D" w:rsidRDefault="0080416E" w:rsidP="0080416E">
      <w:pPr>
        <w:autoSpaceDE w:val="0"/>
        <w:autoSpaceDN w:val="0"/>
        <w:adjustRightInd w:val="0"/>
        <w:spacing w:line="240" w:lineRule="auto"/>
        <w:rPr>
          <w:rFonts w:eastAsia="Calibri"/>
          <w:szCs w:val="22"/>
          <w:lang w:val="lt-LT"/>
        </w:rPr>
      </w:pPr>
    </w:p>
    <w:p w14:paraId="79354AA0"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Pacientams, kurių inkstų funkcija sutrikusi</w:t>
      </w:r>
    </w:p>
    <w:p w14:paraId="0C7CE00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Pacientams, kuriems yra lengvas, vidutinio sunkumo ar sunkus inkstų funkcijos sutrikimas, tačiau neatliekama dializė, dozės keisti nereikia.</w:t>
      </w:r>
    </w:p>
    <w:p w14:paraId="2DAA2DD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Pacientai, kuriems yra sunkus inkstų funkcijos sutrikimas ir atliekamos dializės, nėra tirti. Teriflunomido šios populiacijos pacientams vartoti draudžiama (žr. 4.3 skyrių).</w:t>
      </w:r>
    </w:p>
    <w:p w14:paraId="74ADD377" w14:textId="77777777" w:rsidR="0080416E" w:rsidRPr="00FF397D" w:rsidRDefault="0080416E" w:rsidP="0080416E">
      <w:pPr>
        <w:autoSpaceDE w:val="0"/>
        <w:autoSpaceDN w:val="0"/>
        <w:adjustRightInd w:val="0"/>
        <w:spacing w:line="240" w:lineRule="auto"/>
        <w:rPr>
          <w:rFonts w:eastAsia="Calibri"/>
          <w:szCs w:val="22"/>
          <w:lang w:val="lt-LT"/>
        </w:rPr>
      </w:pPr>
    </w:p>
    <w:p w14:paraId="4B96832D"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Pacientams, kurių kepenų funkcija sutrikusi</w:t>
      </w:r>
    </w:p>
    <w:p w14:paraId="6833346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Pacientams, kuriems yra lengvas ir vidutinio sunkumo kepenų funkcijos sutrikimas, dozės keisti nereikia. Teriflunomido draudžiama vartoti pacientams, kuriems yra sunkus kepenų funkcijos sutrikimas (žr. 4.3 skyrių).</w:t>
      </w:r>
    </w:p>
    <w:p w14:paraId="0F6F4D0F" w14:textId="77777777" w:rsidR="0080416E" w:rsidRPr="00FF397D" w:rsidRDefault="0080416E" w:rsidP="0080416E">
      <w:pPr>
        <w:autoSpaceDE w:val="0"/>
        <w:autoSpaceDN w:val="0"/>
        <w:adjustRightInd w:val="0"/>
        <w:spacing w:line="240" w:lineRule="auto"/>
        <w:rPr>
          <w:rFonts w:eastAsia="Calibri"/>
          <w:szCs w:val="22"/>
          <w:lang w:val="lt-LT"/>
        </w:rPr>
      </w:pPr>
    </w:p>
    <w:p w14:paraId="3BEBFDE9"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Vaikų (jaunesnių kaip 10 metų) populiacija</w:t>
      </w:r>
    </w:p>
    <w:p w14:paraId="677895B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Teriflunomido saugumas ir veiksmingumas vaikams iki 10 metų neištirti. Duomenų nėra.</w:t>
      </w:r>
    </w:p>
    <w:p w14:paraId="181508B8" w14:textId="77777777" w:rsidR="0080416E" w:rsidRPr="00FF397D" w:rsidRDefault="0080416E" w:rsidP="0080416E">
      <w:pPr>
        <w:autoSpaceDE w:val="0"/>
        <w:autoSpaceDN w:val="0"/>
        <w:adjustRightInd w:val="0"/>
        <w:spacing w:line="240" w:lineRule="auto"/>
        <w:rPr>
          <w:rFonts w:eastAsia="Calibri"/>
          <w:szCs w:val="22"/>
          <w:lang w:val="lt-LT"/>
        </w:rPr>
      </w:pPr>
    </w:p>
    <w:p w14:paraId="79FC2FE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Vartojimo metodas</w:t>
      </w:r>
    </w:p>
    <w:p w14:paraId="5AC62EB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Plėvele dengtos tabletės skirtos vartoti per burną. Tabletes reikia nuryti visą užgeriant vandeniu.</w:t>
      </w:r>
    </w:p>
    <w:p w14:paraId="7FFC2508" w14:textId="77777777" w:rsidR="0080416E" w:rsidRPr="00FF397D" w:rsidRDefault="0080416E" w:rsidP="00B45D31">
      <w:pPr>
        <w:pStyle w:val="BTEMEASMCA"/>
      </w:pPr>
    </w:p>
    <w:p w14:paraId="0725A756" w14:textId="2BBF8DFB" w:rsidR="0080416E" w:rsidRPr="00FF397D" w:rsidRDefault="0080416E" w:rsidP="0080416E">
      <w:pPr>
        <w:pStyle w:val="PI-2EMEASMCA"/>
        <w:jc w:val="left"/>
      </w:pPr>
      <w:bookmarkStart w:id="13" w:name="_Toc129243104"/>
      <w:bookmarkStart w:id="14" w:name="_Toc129243229"/>
      <w:r w:rsidRPr="00FF397D">
        <w:t>4.3</w:t>
      </w:r>
      <w:r w:rsidRPr="00FF397D">
        <w:tab/>
        <w:t>Kontraindikacijos</w:t>
      </w:r>
      <w:bookmarkEnd w:id="13"/>
      <w:bookmarkEnd w:id="14"/>
    </w:p>
    <w:p w14:paraId="4A91326F" w14:textId="77777777" w:rsidR="0080416E" w:rsidRPr="00FF397D" w:rsidRDefault="0080416E" w:rsidP="0080416E">
      <w:pPr>
        <w:pStyle w:val="PI-2EMEASMCA"/>
        <w:jc w:val="left"/>
      </w:pPr>
    </w:p>
    <w:p w14:paraId="3F489BE6"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Padidėjęs jautrumas veikliajai arba bet kuriai 6.1 skyriuje nurodytai pagalbinei medžiagai.</w:t>
      </w:r>
    </w:p>
    <w:p w14:paraId="5F919CA5"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Pacientams, kuriems yra sunkus kepenų funkcijos sutrikimas (C klasės pagal Child-Pugh).</w:t>
      </w:r>
    </w:p>
    <w:p w14:paraId="70335AD4"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Nėščioms arba vaisingoms moterims, nenaudojančioms veiksmingos kontracepcijos gydymo teriflunomidu metu ir vėliau, kol jo koncentracija plazmoje yra didesnė kaip 0,02 mg/l (žr. 4.6 skyrių). Prieš pradedant gydymą, reikia įsitikinti, ar nėra nėštumo (žr. 4.6 skyrių).</w:t>
      </w:r>
    </w:p>
    <w:p w14:paraId="7D305EA3"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Moterims žindymo laikotarpiu (žr. 4.6 skyrių).</w:t>
      </w:r>
    </w:p>
    <w:p w14:paraId="43AB9B82"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Pacientams, kuriems yra sunkios imunodeficito būklės, pvz., įgytas imunodeficito sindromas (AIDS).</w:t>
      </w:r>
    </w:p>
    <w:p w14:paraId="2979B3A7"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Pacientams, kuriems yra reikšmingas kaulų čiulpų funkcijos sutrikimas arba reikšminga anemija, leukopenija, neutropenija ar trombocitopenija.</w:t>
      </w:r>
    </w:p>
    <w:p w14:paraId="3CEDD6F3" w14:textId="77777777" w:rsidR="0080416E" w:rsidRPr="00FF397D" w:rsidRDefault="0080416E" w:rsidP="0080416E">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Pacientams, sergantiems sunkia aktyvia infekcine liga, kol ji išgydoma (žr. 4.4 skyrių).</w:t>
      </w:r>
    </w:p>
    <w:p w14:paraId="0B5BF47C" w14:textId="77777777" w:rsidR="00F459CC" w:rsidRPr="00FF397D" w:rsidRDefault="0080416E" w:rsidP="00F459CC">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Pacientams, kuriems yra sunkus inkstų funkcijos sutrikimas ir atliekamos dializės, nes šioje pacientų grupėje nepakanka klinikinės patirties.</w:t>
      </w:r>
    </w:p>
    <w:p w14:paraId="61BEE21B" w14:textId="77777777" w:rsidR="0080416E" w:rsidRPr="00FF397D" w:rsidRDefault="0080416E" w:rsidP="00F459CC">
      <w:pPr>
        <w:pStyle w:val="Sraopastraipa"/>
        <w:numPr>
          <w:ilvl w:val="0"/>
          <w:numId w:val="182"/>
        </w:numPr>
        <w:tabs>
          <w:tab w:val="clear" w:pos="567"/>
        </w:tabs>
        <w:autoSpaceDE w:val="0"/>
        <w:autoSpaceDN w:val="0"/>
        <w:adjustRightInd w:val="0"/>
        <w:spacing w:line="240" w:lineRule="auto"/>
        <w:ind w:left="567" w:hanging="567"/>
        <w:rPr>
          <w:rFonts w:eastAsia="Calibri"/>
          <w:szCs w:val="22"/>
        </w:rPr>
      </w:pPr>
      <w:r w:rsidRPr="00FF397D">
        <w:rPr>
          <w:szCs w:val="22"/>
        </w:rPr>
        <w:t>Pacientams, kuriems yra sunki hipoproteinemija, pvz., nefrozinio sindromo atveju.</w:t>
      </w:r>
    </w:p>
    <w:p w14:paraId="72F51453" w14:textId="77777777" w:rsidR="0080416E" w:rsidRPr="00FF397D" w:rsidRDefault="0080416E" w:rsidP="00B45D31">
      <w:pPr>
        <w:pStyle w:val="BTEMEASMCA"/>
      </w:pPr>
    </w:p>
    <w:p w14:paraId="3F19B148" w14:textId="54E22F84" w:rsidR="0080416E" w:rsidRPr="00FF397D" w:rsidRDefault="0080416E" w:rsidP="0080416E">
      <w:pPr>
        <w:pStyle w:val="PI-2EMEASMCA"/>
        <w:keepLines w:val="0"/>
        <w:jc w:val="left"/>
      </w:pPr>
      <w:bookmarkStart w:id="15" w:name="_Toc129243105"/>
      <w:bookmarkStart w:id="16" w:name="_Toc129243230"/>
      <w:r w:rsidRPr="00FF397D">
        <w:t>4.4</w:t>
      </w:r>
      <w:r w:rsidRPr="00FF397D">
        <w:tab/>
        <w:t>Specialūs įspėjimai ir atsargumo priemonės</w:t>
      </w:r>
      <w:bookmarkEnd w:id="15"/>
      <w:bookmarkEnd w:id="16"/>
    </w:p>
    <w:p w14:paraId="57B2FE2E" w14:textId="77777777" w:rsidR="0080416E" w:rsidRPr="00FF397D" w:rsidRDefault="0080416E" w:rsidP="00B45D31">
      <w:pPr>
        <w:pStyle w:val="BTEMEASMCA"/>
      </w:pPr>
    </w:p>
    <w:p w14:paraId="08CE218D" w14:textId="77777777" w:rsidR="0080416E" w:rsidRPr="00FF397D" w:rsidRDefault="0080416E" w:rsidP="0080416E">
      <w:pPr>
        <w:keepNext/>
        <w:autoSpaceDE w:val="0"/>
        <w:autoSpaceDN w:val="0"/>
        <w:adjustRightInd w:val="0"/>
        <w:spacing w:line="240" w:lineRule="auto"/>
        <w:jc w:val="both"/>
        <w:rPr>
          <w:rFonts w:eastAsia="Calibri"/>
          <w:szCs w:val="22"/>
          <w:u w:val="single"/>
          <w:lang w:val="lt-LT"/>
        </w:rPr>
      </w:pPr>
      <w:r w:rsidRPr="00FF397D">
        <w:rPr>
          <w:rFonts w:eastAsia="Calibri"/>
          <w:szCs w:val="22"/>
          <w:u w:val="single"/>
          <w:lang w:val="lt-LT"/>
        </w:rPr>
        <w:t>Paciento stebėjimas</w:t>
      </w:r>
    </w:p>
    <w:p w14:paraId="66E9D4D8" w14:textId="77777777" w:rsidR="0080416E" w:rsidRPr="00FF397D" w:rsidRDefault="0080416E" w:rsidP="0080416E">
      <w:pPr>
        <w:keepNext/>
        <w:autoSpaceDE w:val="0"/>
        <w:autoSpaceDN w:val="0"/>
        <w:adjustRightInd w:val="0"/>
        <w:spacing w:line="240" w:lineRule="auto"/>
        <w:jc w:val="both"/>
        <w:rPr>
          <w:rFonts w:eastAsia="Calibri"/>
          <w:szCs w:val="22"/>
          <w:u w:val="single"/>
          <w:lang w:val="lt-LT"/>
        </w:rPr>
      </w:pPr>
    </w:p>
    <w:p w14:paraId="33974C45" w14:textId="77777777" w:rsidR="0080416E" w:rsidRPr="00FF397D" w:rsidRDefault="0080416E" w:rsidP="0080416E">
      <w:pPr>
        <w:keepNext/>
        <w:autoSpaceDE w:val="0"/>
        <w:autoSpaceDN w:val="0"/>
        <w:adjustRightInd w:val="0"/>
        <w:spacing w:line="240" w:lineRule="auto"/>
        <w:jc w:val="both"/>
        <w:rPr>
          <w:rFonts w:eastAsia="Calibri"/>
          <w:i/>
          <w:iCs/>
          <w:szCs w:val="22"/>
          <w:lang w:val="lt-LT"/>
        </w:rPr>
      </w:pPr>
      <w:r w:rsidRPr="00FF397D">
        <w:rPr>
          <w:rFonts w:eastAsia="Calibri"/>
          <w:i/>
          <w:iCs/>
          <w:szCs w:val="22"/>
          <w:lang w:val="lt-LT"/>
        </w:rPr>
        <w:t>Prieš gydymą</w:t>
      </w:r>
    </w:p>
    <w:p w14:paraId="4E55B8D3" w14:textId="77777777" w:rsidR="0080416E" w:rsidRPr="00FF397D" w:rsidRDefault="0080416E" w:rsidP="0080416E">
      <w:pPr>
        <w:keepNext/>
        <w:autoSpaceDE w:val="0"/>
        <w:autoSpaceDN w:val="0"/>
        <w:adjustRightInd w:val="0"/>
        <w:spacing w:line="240" w:lineRule="auto"/>
        <w:jc w:val="both"/>
        <w:rPr>
          <w:rFonts w:eastAsia="Calibri"/>
          <w:szCs w:val="22"/>
          <w:lang w:val="lt-LT"/>
        </w:rPr>
      </w:pPr>
      <w:r w:rsidRPr="00FF397D">
        <w:rPr>
          <w:rFonts w:eastAsia="Calibri"/>
          <w:szCs w:val="22"/>
          <w:lang w:val="lt-LT"/>
        </w:rPr>
        <w:t>Prieš pradedant gydymą teriflunomidu, reikia įvertinti:</w:t>
      </w:r>
    </w:p>
    <w:p w14:paraId="49A0549D" w14:textId="77777777" w:rsidR="0080416E" w:rsidRPr="00FF397D" w:rsidRDefault="0080416E" w:rsidP="0080416E">
      <w:pPr>
        <w:pStyle w:val="Sraopastraipa"/>
        <w:numPr>
          <w:ilvl w:val="0"/>
          <w:numId w:val="143"/>
        </w:numPr>
        <w:tabs>
          <w:tab w:val="clear" w:pos="567"/>
        </w:tabs>
        <w:autoSpaceDE w:val="0"/>
        <w:autoSpaceDN w:val="0"/>
        <w:adjustRightInd w:val="0"/>
        <w:spacing w:line="240" w:lineRule="auto"/>
        <w:jc w:val="both"/>
        <w:rPr>
          <w:rFonts w:eastAsia="Calibri"/>
          <w:szCs w:val="22"/>
        </w:rPr>
      </w:pPr>
      <w:r w:rsidRPr="00FF397D">
        <w:rPr>
          <w:rFonts w:eastAsia="Calibri"/>
          <w:szCs w:val="22"/>
        </w:rPr>
        <w:t>kraujospūdį;</w:t>
      </w:r>
    </w:p>
    <w:p w14:paraId="26DADC56" w14:textId="77777777" w:rsidR="0080416E" w:rsidRPr="00FF397D" w:rsidRDefault="0080416E" w:rsidP="0080416E">
      <w:pPr>
        <w:pStyle w:val="Sraopastraipa"/>
        <w:numPr>
          <w:ilvl w:val="0"/>
          <w:numId w:val="143"/>
        </w:numPr>
        <w:tabs>
          <w:tab w:val="clear" w:pos="567"/>
        </w:tabs>
        <w:autoSpaceDE w:val="0"/>
        <w:autoSpaceDN w:val="0"/>
        <w:adjustRightInd w:val="0"/>
        <w:spacing w:line="240" w:lineRule="auto"/>
        <w:jc w:val="both"/>
        <w:rPr>
          <w:rFonts w:eastAsia="Calibri"/>
          <w:szCs w:val="22"/>
        </w:rPr>
      </w:pPr>
      <w:r w:rsidRPr="00FF397D">
        <w:rPr>
          <w:rFonts w:eastAsia="Calibri"/>
          <w:szCs w:val="22"/>
        </w:rPr>
        <w:t>alaninaminotransferazės (ALT) / serumo gliutamatpiruvattransferazės (SGPT) aktyvumą;</w:t>
      </w:r>
    </w:p>
    <w:p w14:paraId="354385CA" w14:textId="77777777" w:rsidR="0080416E" w:rsidRPr="00FF397D" w:rsidRDefault="0080416E" w:rsidP="0080416E">
      <w:pPr>
        <w:pStyle w:val="Sraopastraipa"/>
        <w:numPr>
          <w:ilvl w:val="0"/>
          <w:numId w:val="143"/>
        </w:numPr>
        <w:tabs>
          <w:tab w:val="clear" w:pos="567"/>
        </w:tabs>
        <w:autoSpaceDE w:val="0"/>
        <w:autoSpaceDN w:val="0"/>
        <w:adjustRightInd w:val="0"/>
        <w:spacing w:line="240" w:lineRule="auto"/>
        <w:jc w:val="both"/>
        <w:rPr>
          <w:rFonts w:eastAsia="Calibri"/>
          <w:szCs w:val="22"/>
        </w:rPr>
      </w:pPr>
      <w:r w:rsidRPr="00FF397D">
        <w:rPr>
          <w:rFonts w:eastAsia="Calibri"/>
          <w:szCs w:val="22"/>
        </w:rPr>
        <w:t>bendrą kraujo ląstelių kiekį, įskaitant leukogramą, ir trombocitų kiekį.</w:t>
      </w:r>
    </w:p>
    <w:p w14:paraId="7A707936" w14:textId="77777777" w:rsidR="0080416E" w:rsidRPr="00FF397D" w:rsidRDefault="0080416E" w:rsidP="0080416E">
      <w:pPr>
        <w:autoSpaceDE w:val="0"/>
        <w:autoSpaceDN w:val="0"/>
        <w:adjustRightInd w:val="0"/>
        <w:spacing w:line="240" w:lineRule="auto"/>
        <w:jc w:val="both"/>
        <w:rPr>
          <w:rFonts w:eastAsia="Calibri"/>
          <w:szCs w:val="22"/>
          <w:lang w:val="lt-LT"/>
        </w:rPr>
      </w:pPr>
    </w:p>
    <w:p w14:paraId="47E6FCDC" w14:textId="77777777" w:rsidR="0080416E" w:rsidRPr="00FF397D" w:rsidRDefault="0080416E" w:rsidP="0080416E">
      <w:pPr>
        <w:keepNext/>
        <w:autoSpaceDE w:val="0"/>
        <w:autoSpaceDN w:val="0"/>
        <w:adjustRightInd w:val="0"/>
        <w:spacing w:line="240" w:lineRule="auto"/>
        <w:jc w:val="both"/>
        <w:rPr>
          <w:rFonts w:eastAsia="Calibri"/>
          <w:i/>
          <w:iCs/>
          <w:szCs w:val="22"/>
          <w:lang w:val="lt-LT"/>
        </w:rPr>
      </w:pPr>
      <w:r w:rsidRPr="00FF397D">
        <w:rPr>
          <w:rFonts w:eastAsia="Calibri"/>
          <w:i/>
          <w:iCs/>
          <w:szCs w:val="22"/>
          <w:lang w:val="lt-LT"/>
        </w:rPr>
        <w:t>Gydymo metu</w:t>
      </w:r>
    </w:p>
    <w:p w14:paraId="037F61A9" w14:textId="77777777" w:rsidR="0080416E" w:rsidRPr="00FF397D" w:rsidRDefault="0080416E" w:rsidP="0080416E">
      <w:pPr>
        <w:keepNext/>
        <w:autoSpaceDE w:val="0"/>
        <w:autoSpaceDN w:val="0"/>
        <w:adjustRightInd w:val="0"/>
        <w:spacing w:line="240" w:lineRule="auto"/>
        <w:jc w:val="both"/>
        <w:rPr>
          <w:rFonts w:eastAsia="Calibri"/>
          <w:szCs w:val="22"/>
          <w:lang w:val="lt-LT"/>
        </w:rPr>
      </w:pPr>
      <w:r w:rsidRPr="00FF397D">
        <w:rPr>
          <w:rFonts w:eastAsia="Calibri"/>
          <w:szCs w:val="22"/>
          <w:lang w:val="lt-LT"/>
        </w:rPr>
        <w:t>Gydant teriflunomidu, reikia stebėti:</w:t>
      </w:r>
    </w:p>
    <w:p w14:paraId="48D24CC9" w14:textId="77777777" w:rsidR="0080416E" w:rsidRPr="00FF397D" w:rsidRDefault="0080416E" w:rsidP="0080416E">
      <w:pPr>
        <w:pStyle w:val="Sraopastraipa"/>
        <w:keepNext/>
        <w:numPr>
          <w:ilvl w:val="0"/>
          <w:numId w:val="144"/>
        </w:numPr>
        <w:tabs>
          <w:tab w:val="clear" w:pos="567"/>
        </w:tabs>
        <w:autoSpaceDE w:val="0"/>
        <w:autoSpaceDN w:val="0"/>
        <w:adjustRightInd w:val="0"/>
        <w:spacing w:line="240" w:lineRule="auto"/>
        <w:ind w:left="567" w:hanging="567"/>
        <w:jc w:val="both"/>
        <w:rPr>
          <w:rFonts w:eastAsia="Calibri"/>
          <w:szCs w:val="22"/>
        </w:rPr>
      </w:pPr>
      <w:r w:rsidRPr="00FF397D">
        <w:rPr>
          <w:rFonts w:eastAsia="Calibri"/>
          <w:szCs w:val="22"/>
        </w:rPr>
        <w:t>kraujospūdį;</w:t>
      </w:r>
    </w:p>
    <w:p w14:paraId="46D8A44B" w14:textId="77777777" w:rsidR="0080416E" w:rsidRPr="00FF397D" w:rsidRDefault="0080416E" w:rsidP="0080416E">
      <w:pPr>
        <w:pStyle w:val="Sraopastraipa"/>
        <w:numPr>
          <w:ilvl w:val="0"/>
          <w:numId w:val="141"/>
        </w:numPr>
        <w:tabs>
          <w:tab w:val="clear" w:pos="567"/>
        </w:tabs>
        <w:autoSpaceDE w:val="0"/>
        <w:autoSpaceDN w:val="0"/>
        <w:adjustRightInd w:val="0"/>
        <w:spacing w:line="240" w:lineRule="auto"/>
        <w:ind w:hanging="513"/>
        <w:rPr>
          <w:rFonts w:eastAsia="Calibri"/>
          <w:szCs w:val="22"/>
        </w:rPr>
      </w:pPr>
      <w:r w:rsidRPr="00FF397D">
        <w:rPr>
          <w:rFonts w:eastAsia="Calibri"/>
          <w:szCs w:val="22"/>
        </w:rPr>
        <w:t>reikia stebėti periodiškai;</w:t>
      </w:r>
    </w:p>
    <w:p w14:paraId="0023B2F5" w14:textId="77777777" w:rsidR="0080416E" w:rsidRPr="00FF397D" w:rsidRDefault="0080416E" w:rsidP="0080416E">
      <w:pPr>
        <w:pStyle w:val="Sraopastraipa"/>
        <w:keepNext/>
        <w:numPr>
          <w:ilvl w:val="0"/>
          <w:numId w:val="145"/>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alaninaminotransferazės (ALT) / serumo gliutamatpiruvattransferazės (SGPT) aktyvumą;</w:t>
      </w:r>
    </w:p>
    <w:p w14:paraId="74950F15" w14:textId="77777777" w:rsidR="0080416E" w:rsidRPr="00FF397D" w:rsidRDefault="0080416E" w:rsidP="0080416E">
      <w:pPr>
        <w:pStyle w:val="Sraopastraipa"/>
        <w:numPr>
          <w:ilvl w:val="0"/>
          <w:numId w:val="142"/>
        </w:numPr>
        <w:tabs>
          <w:tab w:val="clear" w:pos="567"/>
        </w:tabs>
        <w:autoSpaceDE w:val="0"/>
        <w:autoSpaceDN w:val="0"/>
        <w:adjustRightInd w:val="0"/>
        <w:spacing w:line="240" w:lineRule="auto"/>
        <w:ind w:hanging="513"/>
        <w:rPr>
          <w:rFonts w:eastAsia="Calibri"/>
          <w:szCs w:val="22"/>
        </w:rPr>
      </w:pPr>
      <w:r w:rsidRPr="00FF397D">
        <w:rPr>
          <w:rFonts w:eastAsia="Calibri"/>
          <w:szCs w:val="22"/>
        </w:rPr>
        <w:t>kepenų fermentų aktyvumą reikia vertinti ne rečiau kaip kas keturias savaites pirmuosius 6 gydymo mėnesius ir reguliariai po to;</w:t>
      </w:r>
    </w:p>
    <w:p w14:paraId="15708DAC" w14:textId="77777777" w:rsidR="0080416E" w:rsidRPr="00FF397D" w:rsidRDefault="0080416E" w:rsidP="0080416E">
      <w:pPr>
        <w:pStyle w:val="Sraopastraipa"/>
        <w:numPr>
          <w:ilvl w:val="1"/>
          <w:numId w:val="140"/>
        </w:numPr>
        <w:tabs>
          <w:tab w:val="clear" w:pos="567"/>
        </w:tabs>
        <w:autoSpaceDE w:val="0"/>
        <w:autoSpaceDN w:val="0"/>
        <w:adjustRightInd w:val="0"/>
        <w:spacing w:line="240" w:lineRule="auto"/>
        <w:ind w:hanging="513"/>
        <w:rPr>
          <w:rFonts w:eastAsia="Calibri"/>
          <w:szCs w:val="22"/>
        </w:rPr>
      </w:pPr>
      <w:r w:rsidRPr="00FF397D">
        <w:rPr>
          <w:rFonts w:eastAsia="Calibri"/>
          <w:szCs w:val="22"/>
        </w:rPr>
        <w:lastRenderedPageBreak/>
        <w:t>papildomo stebėjimo reikalingumą reikia apsvarstyti tuo atveju, jei teriflunomidas skiriamas pacientams, kurie jau serga kepenų liga, vartoja kitų hepatotoksinį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po to ne trumpiau kaip 2 metus nuo gydymo pradžios – mažiausiai kas 8 savaites;</w:t>
      </w:r>
    </w:p>
    <w:p w14:paraId="19F7B6B6" w14:textId="77777777" w:rsidR="0080416E" w:rsidRPr="00FF397D" w:rsidRDefault="0080416E" w:rsidP="0080416E">
      <w:pPr>
        <w:pStyle w:val="Sraopastraipa"/>
        <w:numPr>
          <w:ilvl w:val="1"/>
          <w:numId w:val="140"/>
        </w:numPr>
        <w:tabs>
          <w:tab w:val="clear" w:pos="567"/>
        </w:tabs>
        <w:autoSpaceDE w:val="0"/>
        <w:autoSpaceDN w:val="0"/>
        <w:adjustRightInd w:val="0"/>
        <w:spacing w:line="240" w:lineRule="auto"/>
        <w:ind w:hanging="513"/>
        <w:rPr>
          <w:rFonts w:eastAsia="Calibri"/>
          <w:szCs w:val="22"/>
        </w:rPr>
      </w:pPr>
      <w:r w:rsidRPr="00FF397D">
        <w:rPr>
          <w:rFonts w:eastAsia="Calibri"/>
          <w:szCs w:val="22"/>
        </w:rPr>
        <w:t>jei ALT (SGPT) aktyvumas padidėja ir viršutinę normos ribą (VNR) viršija 2–3 kartus, tyrimus reikia kartoti kas savaitę;</w:t>
      </w:r>
    </w:p>
    <w:p w14:paraId="4F291292"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bendrą kraujo ląstelių kiekį, remiantis gydymo metu pasireiškusiais klinikiniais požymiais ir simptomais (pvz., infekcinės ligos).</w:t>
      </w:r>
    </w:p>
    <w:p w14:paraId="75BA5C8D" w14:textId="77777777" w:rsidR="0080416E" w:rsidRPr="00FF397D" w:rsidRDefault="0080416E" w:rsidP="00B45D31">
      <w:pPr>
        <w:pStyle w:val="BTEMEASMCA"/>
      </w:pPr>
    </w:p>
    <w:p w14:paraId="097D948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Pagreitintos eliminacijos procedūra</w:t>
      </w:r>
    </w:p>
    <w:p w14:paraId="31B87422"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0C4C1BD0"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Teriflunomidas iš plazmos eliminuojamas lėtai. Netaikant pagreitintos eliminacijos procedūros, mažesnė kaip 0,02 mg/l koncentracija plazmoje pasiekiama vidutiniškai per 8 mėnesius, nors dėl individualių skirtumų, atskirais atvejais medžiagos šalinimas gali trukti iki 2 metų. Pagreitintos eliminacijos procedūra gali būti naudojama bet kuriuo metu, nutraukus teriflunomido vartojimą (informacijos apie procedūrą pateikiama 4.6 ir 5.2 skyriuose).</w:t>
      </w:r>
    </w:p>
    <w:p w14:paraId="5ED3BDC6" w14:textId="77777777" w:rsidR="0080416E" w:rsidRPr="00FF397D" w:rsidRDefault="0080416E" w:rsidP="0080416E">
      <w:pPr>
        <w:autoSpaceDE w:val="0"/>
        <w:autoSpaceDN w:val="0"/>
        <w:adjustRightInd w:val="0"/>
        <w:spacing w:line="240" w:lineRule="auto"/>
        <w:rPr>
          <w:rFonts w:eastAsia="Calibri"/>
          <w:szCs w:val="22"/>
          <w:lang w:val="lt-LT"/>
        </w:rPr>
      </w:pPr>
    </w:p>
    <w:p w14:paraId="7C242C25"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Poveikis kepenims</w:t>
      </w:r>
    </w:p>
    <w:p w14:paraId="12BE71C5"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F1F3C7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Teriflunomido vartojančių pacientų organizme buvo pastebėtas kepenų fermentų suaktyvėjimas (žr. 4.8 skyrių). Šis suaktyvėjimas pasireiškė dažniausiai per pirmuosius 6 gydymo mėnesius.</w:t>
      </w:r>
    </w:p>
    <w:p w14:paraId="5C5EF638" w14:textId="77777777" w:rsidR="0080416E" w:rsidRPr="00FF397D" w:rsidRDefault="0080416E" w:rsidP="0080416E">
      <w:pPr>
        <w:autoSpaceDE w:val="0"/>
        <w:autoSpaceDN w:val="0"/>
        <w:adjustRightInd w:val="0"/>
        <w:spacing w:line="240" w:lineRule="auto"/>
        <w:rPr>
          <w:rFonts w:eastAsia="Calibri"/>
          <w:szCs w:val="22"/>
          <w:lang w:val="lt-LT"/>
        </w:rPr>
      </w:pPr>
    </w:p>
    <w:p w14:paraId="4218B882" w14:textId="77777777" w:rsidR="0080416E" w:rsidRPr="00FF397D" w:rsidRDefault="0080416E" w:rsidP="0080416E">
      <w:pPr>
        <w:autoSpaceDE w:val="0"/>
        <w:autoSpaceDN w:val="0"/>
        <w:adjustRightInd w:val="0"/>
        <w:spacing w:line="240" w:lineRule="auto"/>
        <w:rPr>
          <w:rFonts w:eastAsia="Calibri"/>
          <w:i/>
          <w:iCs/>
          <w:szCs w:val="22"/>
          <w:lang w:val="lt-LT"/>
        </w:rPr>
      </w:pPr>
      <w:r w:rsidRPr="00FF397D">
        <w:rPr>
          <w:rFonts w:eastAsia="Calibri"/>
          <w:szCs w:val="22"/>
          <w:lang w:val="lt-LT"/>
        </w:rPr>
        <w:t xml:space="preserve">Gydymo teriflunomidu metu buvo vaistinių preparatų sukelto kepenų pažeidimo (angl. </w:t>
      </w:r>
      <w:r w:rsidRPr="00FF397D">
        <w:rPr>
          <w:rFonts w:eastAsia="Calibri"/>
          <w:i/>
          <w:iCs/>
          <w:szCs w:val="22"/>
          <w:lang w:val="lt-LT"/>
        </w:rPr>
        <w:t>drug-induced liver injury</w:t>
      </w:r>
      <w:r w:rsidRPr="00FF397D">
        <w:rPr>
          <w:rFonts w:eastAsia="Calibri"/>
          <w:szCs w:val="22"/>
          <w:lang w:val="lt-LT"/>
        </w:rPr>
        <w:t xml:space="preserve">, sutr. </w:t>
      </w:r>
      <w:r w:rsidRPr="00FF397D">
        <w:rPr>
          <w:rFonts w:eastAsia="Calibri"/>
          <w:i/>
          <w:iCs/>
          <w:szCs w:val="22"/>
          <w:lang w:val="lt-LT"/>
        </w:rPr>
        <w:t>DILI</w:t>
      </w:r>
      <w:r w:rsidRPr="00FF397D">
        <w:rPr>
          <w:rFonts w:eastAsia="Calibri"/>
          <w:szCs w:val="22"/>
          <w:lang w:val="lt-LT"/>
        </w:rPr>
        <w:t xml:space="preserve">) atvejų, kai kurie jų buvo pavojingi gyvybei. Dauguma </w:t>
      </w:r>
      <w:r w:rsidRPr="00FF397D">
        <w:rPr>
          <w:rFonts w:eastAsia="Calibri"/>
          <w:i/>
          <w:iCs/>
          <w:szCs w:val="22"/>
          <w:lang w:val="lt-LT"/>
        </w:rPr>
        <w:t>DILI</w:t>
      </w:r>
      <w:r w:rsidRPr="00FF397D">
        <w:rPr>
          <w:rFonts w:eastAsia="Calibri"/>
          <w:szCs w:val="22"/>
          <w:lang w:val="lt-LT"/>
        </w:rPr>
        <w:t xml:space="preserve"> atvejų pasireiškė</w:t>
      </w:r>
      <w:r w:rsidRPr="00FF397D">
        <w:rPr>
          <w:rFonts w:eastAsia="Calibri"/>
          <w:i/>
          <w:iCs/>
          <w:szCs w:val="22"/>
          <w:lang w:val="lt-LT"/>
        </w:rPr>
        <w:t xml:space="preserve"> </w:t>
      </w:r>
      <w:r w:rsidRPr="00FF397D">
        <w:rPr>
          <w:rFonts w:eastAsia="Calibri"/>
          <w:szCs w:val="22"/>
          <w:lang w:val="lt-LT"/>
        </w:rPr>
        <w:t>praėjus kelioms savaitėms ar keliems mėnesiams nuo gydymo teriflunomidu pradėjimo, tačiau toks pažeidimas (</w:t>
      </w:r>
      <w:r w:rsidRPr="00FF397D">
        <w:rPr>
          <w:rFonts w:eastAsia="Calibri"/>
          <w:i/>
          <w:iCs/>
          <w:szCs w:val="22"/>
          <w:lang w:val="lt-LT"/>
        </w:rPr>
        <w:t xml:space="preserve">DILI) </w:t>
      </w:r>
      <w:r w:rsidRPr="00FF397D">
        <w:rPr>
          <w:rFonts w:eastAsia="Calibri"/>
          <w:szCs w:val="22"/>
          <w:lang w:val="lt-LT"/>
        </w:rPr>
        <w:t>gali pasireikšti ir po ilgesnio vartojimo.</w:t>
      </w:r>
    </w:p>
    <w:p w14:paraId="496B17DC" w14:textId="77777777" w:rsidR="0080416E" w:rsidRPr="00FF397D" w:rsidRDefault="0080416E" w:rsidP="0080416E">
      <w:pPr>
        <w:autoSpaceDE w:val="0"/>
        <w:autoSpaceDN w:val="0"/>
        <w:adjustRightInd w:val="0"/>
        <w:spacing w:line="240" w:lineRule="auto"/>
        <w:rPr>
          <w:rFonts w:eastAsia="Calibri"/>
          <w:szCs w:val="22"/>
          <w:lang w:val="lt-LT"/>
        </w:rPr>
      </w:pPr>
    </w:p>
    <w:p w14:paraId="2C7F3B7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Kepenų fermentų aktyvumo padidėjimo ir </w:t>
      </w:r>
      <w:r w:rsidRPr="00FF397D">
        <w:rPr>
          <w:rFonts w:eastAsia="Calibri"/>
          <w:i/>
          <w:iCs/>
          <w:szCs w:val="22"/>
          <w:lang w:val="lt-LT"/>
        </w:rPr>
        <w:t>DILI</w:t>
      </w:r>
      <w:r w:rsidRPr="00FF397D">
        <w:rPr>
          <w:rFonts w:eastAsia="Calibri"/>
          <w:szCs w:val="22"/>
          <w:lang w:val="lt-LT"/>
        </w:rPr>
        <w:t xml:space="preserve"> pasireiškimo rizika vartojant teriflunomido gali būti didesnė pacientams, sergantiems kepenų liga iki gydymo pradžios, tuo pat metu gydomiems kitais hepatotoksinį poveikį sukelti galinčiais vaistiniais preparatais ir (arba) vartojantiems daug alkoholio. Dėl to pacientus būtina atidžiai stebėti, ar jiems neatsiranda kepenų pažeidimo požymių ir simptomų.</w:t>
      </w:r>
    </w:p>
    <w:p w14:paraId="28186D2A" w14:textId="77777777" w:rsidR="0080416E" w:rsidRPr="00FF397D" w:rsidRDefault="0080416E" w:rsidP="0080416E">
      <w:pPr>
        <w:autoSpaceDE w:val="0"/>
        <w:autoSpaceDN w:val="0"/>
        <w:adjustRightInd w:val="0"/>
        <w:spacing w:line="240" w:lineRule="auto"/>
        <w:rPr>
          <w:rFonts w:eastAsia="Calibri"/>
          <w:szCs w:val="22"/>
          <w:lang w:val="lt-LT"/>
        </w:rPr>
      </w:pPr>
    </w:p>
    <w:p w14:paraId="4C20BB8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Įtarus kepenų pažeidimą, būtina nutraukti gydymą teriflunomidu ir apsvarstyti pagreitintos eliminacijos procedūros reikalingumą. Jei patvirtinamas kepenų fermentų aktyvumo padidėjimas (daugiau kaip 3 kartus viršijantis VNR), gydymą teriflunomidu reikia nutraukti.</w:t>
      </w:r>
    </w:p>
    <w:p w14:paraId="1EC7DB27" w14:textId="77777777" w:rsidR="0080416E" w:rsidRPr="00FF397D" w:rsidRDefault="0080416E" w:rsidP="0080416E">
      <w:pPr>
        <w:autoSpaceDE w:val="0"/>
        <w:autoSpaceDN w:val="0"/>
        <w:adjustRightInd w:val="0"/>
        <w:spacing w:line="240" w:lineRule="auto"/>
        <w:rPr>
          <w:rFonts w:eastAsia="Calibri"/>
          <w:szCs w:val="22"/>
          <w:lang w:val="lt-LT"/>
        </w:rPr>
      </w:pPr>
    </w:p>
    <w:p w14:paraId="742F333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Jei gydymas nutraukiamas, kepenų funkcijos tyrimus reikia atlikinėti tol, kol transaminazių aktyvumas taps normalus.</w:t>
      </w:r>
    </w:p>
    <w:p w14:paraId="51CCD332" w14:textId="77777777" w:rsidR="0080416E" w:rsidRPr="00FF397D" w:rsidRDefault="0080416E" w:rsidP="0080416E">
      <w:pPr>
        <w:autoSpaceDE w:val="0"/>
        <w:autoSpaceDN w:val="0"/>
        <w:adjustRightInd w:val="0"/>
        <w:spacing w:line="240" w:lineRule="auto"/>
        <w:rPr>
          <w:rFonts w:eastAsia="Calibri"/>
          <w:szCs w:val="22"/>
          <w:lang w:val="lt-LT"/>
        </w:rPr>
      </w:pPr>
    </w:p>
    <w:p w14:paraId="39CEF5B6"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Hipoproteinemija</w:t>
      </w:r>
    </w:p>
    <w:p w14:paraId="53B52B12"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842373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Daug teriflunomido prisijungia prie baltymų, ir jungimasis priklauso nuo albumino koncentracijų, todėl tikėtina, kad nesusijungusio teriflunomido koncentracija plazmoje turėtų būti didesnė pacientams, kuriems yra hipoproteinemija, pvz., nefrozinio sindromo atveju. Teriflunomido draudžiama vartoti pacientams, kuriems nustatytos būklės su sunkia hipoproteinemija.</w:t>
      </w:r>
    </w:p>
    <w:p w14:paraId="4F4D257A" w14:textId="77777777" w:rsidR="0080416E" w:rsidRPr="00FF397D" w:rsidRDefault="0080416E" w:rsidP="0080416E">
      <w:pPr>
        <w:autoSpaceDE w:val="0"/>
        <w:autoSpaceDN w:val="0"/>
        <w:adjustRightInd w:val="0"/>
        <w:spacing w:line="240" w:lineRule="auto"/>
        <w:rPr>
          <w:rFonts w:eastAsia="Calibri"/>
          <w:szCs w:val="22"/>
          <w:lang w:val="lt-LT"/>
        </w:rPr>
      </w:pPr>
    </w:p>
    <w:p w14:paraId="5DA393C2"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Kraujospūdis</w:t>
      </w:r>
    </w:p>
    <w:p w14:paraId="67685C88"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9B2AC3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Gydymo teriflunomidu metu gali padidėti kraujospūdis (žr. 4.8 skyrių). Prieš pradedant gydymą teriflunomidu ir periodiškai po to turi būti matuojamas kraujospūdis. Padidėjusį kraujospūdį reikia tinkamai gydyti prieš skiriant teriflunomidą ir jo vartojimo metu</w:t>
      </w:r>
      <w:r w:rsidRPr="00FF397D">
        <w:rPr>
          <w:szCs w:val="22"/>
          <w:lang w:val="lt-LT"/>
        </w:rPr>
        <w:t>.</w:t>
      </w:r>
    </w:p>
    <w:p w14:paraId="4684A506" w14:textId="77777777" w:rsidR="0080416E" w:rsidRPr="00FF397D" w:rsidRDefault="0080416E" w:rsidP="00B45D31">
      <w:pPr>
        <w:pStyle w:val="BTEMEASMCA"/>
      </w:pPr>
    </w:p>
    <w:p w14:paraId="69BBAD1F"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Infekcinės ligos</w:t>
      </w:r>
    </w:p>
    <w:p w14:paraId="5FED6536"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150B87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Gydymo teriflunomidu pradžią reikia atidėti pacientams, sergantiems sunkia aktyvia infekcine liga, kol išgydomi.</w:t>
      </w:r>
    </w:p>
    <w:p w14:paraId="58CC72E8" w14:textId="77777777" w:rsidR="00415914"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Placebu kontroliuojamuose tyrimuose gydant teriflunomidu sunkių infekcinių ligų padažnėjimo nebuvo pastebėta, (žr. 4.8 skyrių). </w:t>
      </w:r>
    </w:p>
    <w:p w14:paraId="738E67ED" w14:textId="04494FB9" w:rsidR="00415914" w:rsidRDefault="009045D7" w:rsidP="0080416E">
      <w:pPr>
        <w:autoSpaceDE w:val="0"/>
        <w:autoSpaceDN w:val="0"/>
        <w:adjustRightInd w:val="0"/>
        <w:spacing w:line="240" w:lineRule="auto"/>
        <w:rPr>
          <w:rFonts w:eastAsia="Calibri"/>
          <w:szCs w:val="22"/>
          <w:lang w:val="lt-LT"/>
        </w:rPr>
      </w:pPr>
      <w:r w:rsidRPr="009045D7">
        <w:rPr>
          <w:rFonts w:eastAsia="Calibri"/>
          <w:szCs w:val="22"/>
          <w:lang w:val="lt-LT"/>
        </w:rPr>
        <w:t>Gauta pranešimų apie pūslelinės (</w:t>
      </w:r>
      <w:r w:rsidRPr="009045D7">
        <w:rPr>
          <w:rFonts w:eastAsia="Calibri"/>
          <w:i/>
          <w:iCs/>
          <w:szCs w:val="22"/>
          <w:lang w:val="lt-LT"/>
        </w:rPr>
        <w:t>herpes</w:t>
      </w:r>
      <w:r w:rsidRPr="009045D7">
        <w:rPr>
          <w:rFonts w:eastAsia="Calibri"/>
          <w:szCs w:val="22"/>
          <w:lang w:val="lt-LT"/>
        </w:rPr>
        <w:t>) viruso sukeltų infekcinių ligų, įskaitant burnos pūslelinę ir juostinę pūslelinę (</w:t>
      </w:r>
      <w:r w:rsidRPr="009045D7">
        <w:rPr>
          <w:rFonts w:eastAsia="Calibri"/>
          <w:i/>
          <w:iCs/>
          <w:szCs w:val="22"/>
          <w:lang w:val="lt-LT"/>
        </w:rPr>
        <w:t>herpes zoster</w:t>
      </w:r>
      <w:r w:rsidRPr="009045D7">
        <w:rPr>
          <w:rFonts w:eastAsia="Calibri"/>
          <w:szCs w:val="22"/>
          <w:lang w:val="lt-LT"/>
        </w:rPr>
        <w:t>), atvejus vartojant teriflunomido (žr. 4.8 skyrių), kai kurie jų buvo sunkūs, įskaitant pūslelinės viruso sukeltą meningoencefalitą ir išsisėjusią pūslelinę. Toks poveikis gali pasireikšti bet kuriuo gydymo laikotarpiu.</w:t>
      </w:r>
    </w:p>
    <w:p w14:paraId="00C24E28" w14:textId="5C7F0F27" w:rsidR="0080416E" w:rsidRPr="00FF397D" w:rsidRDefault="00415914" w:rsidP="0080416E">
      <w:pPr>
        <w:autoSpaceDE w:val="0"/>
        <w:autoSpaceDN w:val="0"/>
        <w:adjustRightInd w:val="0"/>
        <w:spacing w:line="240" w:lineRule="auto"/>
        <w:rPr>
          <w:rFonts w:eastAsia="Calibri"/>
          <w:szCs w:val="22"/>
          <w:lang w:val="lt-LT"/>
        </w:rPr>
      </w:pPr>
      <w:r>
        <w:rPr>
          <w:rFonts w:eastAsia="Calibri"/>
          <w:szCs w:val="22"/>
          <w:lang w:val="lt-LT"/>
        </w:rPr>
        <w:t>R</w:t>
      </w:r>
      <w:r w:rsidR="0080416E" w:rsidRPr="00FF397D">
        <w:rPr>
          <w:rFonts w:eastAsia="Calibri"/>
          <w:szCs w:val="22"/>
          <w:lang w:val="lt-LT"/>
        </w:rPr>
        <w:t xml:space="preserve">emiantis imunomoduliaciniu teriflunomido poveikiu, jei pacientas suserga </w:t>
      </w:r>
      <w:r>
        <w:rPr>
          <w:rFonts w:eastAsia="Calibri"/>
          <w:szCs w:val="22"/>
          <w:lang w:val="lt-LT"/>
        </w:rPr>
        <w:t xml:space="preserve">bet kokia </w:t>
      </w:r>
      <w:r w:rsidR="0080416E" w:rsidRPr="00FF397D">
        <w:rPr>
          <w:rFonts w:eastAsia="Calibri"/>
          <w:szCs w:val="22"/>
          <w:lang w:val="lt-LT"/>
        </w:rPr>
        <w:t>sunkia infekcine liga, reikia įvertinti, ar nereikia stabdyti gydymo teriflunomidu, ir prieš atnaujinant gydymą, iš naujo įvertinti gydymo naudą ir riziką. Dėl pusinės eliminacijos periodo pailgėjimo galima apsvarstyti, ar taikyti pagreitintą eliminaciją kolestiraminu ar anglimi.</w:t>
      </w:r>
    </w:p>
    <w:p w14:paraId="393D179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Pacientams, vartojantiems teriflunomido, turėtų būti paaiškinta, kad praneštų apie infekcijos požymius gydytojui. Pacientams, sergantiems aktyviomis ūminėmis ar lėtinėmis infekcinėmis ligomis, negalima pradėti gydymo teriflunomidu, kol infekcija (-os) nebus išgydyta (-os).</w:t>
      </w:r>
    </w:p>
    <w:p w14:paraId="77BEEB7F" w14:textId="77777777" w:rsidR="0080416E" w:rsidRPr="00FF397D" w:rsidRDefault="0080416E" w:rsidP="0080416E">
      <w:pPr>
        <w:rPr>
          <w:szCs w:val="22"/>
          <w:lang w:val="lt-LT"/>
        </w:rPr>
      </w:pPr>
      <w:r w:rsidRPr="00FF397D">
        <w:rPr>
          <w:rFonts w:eastAsia="Calibri"/>
          <w:szCs w:val="22"/>
          <w:lang w:val="lt-LT"/>
        </w:rPr>
        <w:t xml:space="preserve">Teriflunomido saugumas asmenims, sergantiems latentine tuberkulioze, nežinomas, nes klinikinių tyrimų metu nebuvo sistemingai atliekama patikra dėl tuberkuliozės. </w:t>
      </w:r>
      <w:r w:rsidRPr="00FF397D">
        <w:rPr>
          <w:szCs w:val="22"/>
          <w:lang w:val="lt-LT"/>
        </w:rPr>
        <w:t xml:space="preserve">Pacientai, kuriems patikros metu tuberkuliozės tyrimas yra teigiamas, prieš pradedant vaistinio preparato vartojimą turi būti gydomi pagal įprastą medicininę praktiką. </w:t>
      </w:r>
    </w:p>
    <w:p w14:paraId="725D652A" w14:textId="77777777" w:rsidR="0080416E" w:rsidRPr="00FF397D" w:rsidRDefault="0080416E" w:rsidP="0080416E">
      <w:pPr>
        <w:autoSpaceDE w:val="0"/>
        <w:autoSpaceDN w:val="0"/>
        <w:adjustRightInd w:val="0"/>
        <w:spacing w:line="240" w:lineRule="auto"/>
        <w:rPr>
          <w:rFonts w:eastAsia="Calibri"/>
          <w:szCs w:val="22"/>
          <w:lang w:val="lt-LT"/>
        </w:rPr>
      </w:pPr>
    </w:p>
    <w:p w14:paraId="03FEEA2E"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Kvėpavimo takų reakcijos</w:t>
      </w:r>
    </w:p>
    <w:p w14:paraId="656AAC2B"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485BD61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Vaistiniam preparatui pateikus į rinką, buvo gauta pranešimų apie intersticinės plaučių ligos (IPL) ir plautinės hipertenzijos atvejus gydant teriflunomidu.</w:t>
      </w:r>
    </w:p>
    <w:p w14:paraId="0630525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Rizika gali būti padidėjusi pacientams, kuriems IPL jau buvo pasireiškusi anksčiau.</w:t>
      </w:r>
    </w:p>
    <w:p w14:paraId="06D2EF35" w14:textId="77777777" w:rsidR="0080416E" w:rsidRPr="00FF397D" w:rsidRDefault="0080416E" w:rsidP="0080416E">
      <w:pPr>
        <w:autoSpaceDE w:val="0"/>
        <w:autoSpaceDN w:val="0"/>
        <w:adjustRightInd w:val="0"/>
        <w:spacing w:line="240" w:lineRule="auto"/>
        <w:rPr>
          <w:rFonts w:eastAsia="Calibri"/>
          <w:szCs w:val="22"/>
          <w:lang w:val="lt-LT"/>
        </w:rPr>
      </w:pPr>
    </w:p>
    <w:p w14:paraId="652F6871" w14:textId="77777777" w:rsidR="0080416E" w:rsidRPr="00FF397D" w:rsidRDefault="0080416E" w:rsidP="0080416E">
      <w:pPr>
        <w:autoSpaceDE w:val="0"/>
        <w:autoSpaceDN w:val="0"/>
        <w:adjustRightInd w:val="0"/>
        <w:spacing w:line="240" w:lineRule="auto"/>
        <w:jc w:val="both"/>
        <w:rPr>
          <w:rFonts w:eastAsia="Calibri"/>
          <w:szCs w:val="22"/>
          <w:lang w:val="lt-LT"/>
        </w:rPr>
      </w:pPr>
      <w:r w:rsidRPr="00FF397D">
        <w:rPr>
          <w:rFonts w:eastAsia="Calibri"/>
          <w:szCs w:val="22"/>
          <w:lang w:val="lt-LT"/>
        </w:rPr>
        <w:t>IPL gali pasireikšti ūmiai bet kuriuo gydymo metu įvairiais klinikiniais požymiais.</w:t>
      </w:r>
    </w:p>
    <w:p w14:paraId="66C6ACFC" w14:textId="77777777" w:rsidR="0080416E" w:rsidRPr="00FF397D" w:rsidRDefault="0080416E" w:rsidP="0080416E">
      <w:pPr>
        <w:rPr>
          <w:szCs w:val="22"/>
          <w:lang w:val="lt-LT"/>
        </w:rPr>
      </w:pPr>
      <w:r w:rsidRPr="00FF397D">
        <w:rPr>
          <w:rFonts w:eastAsia="Calibri"/>
          <w:szCs w:val="22"/>
          <w:lang w:val="lt-LT"/>
        </w:rPr>
        <w:t xml:space="preserve">IPL gali lemti mirtį. Naujai prasidėję ar pasunkėję plaučių simptomai, tokie kaip nuolatinis kosulys ir dusulys, gali būti pagrindas nutraukti gydymą ir prireikus atlikti tolesnius tyrimus. </w:t>
      </w:r>
      <w:r w:rsidRPr="00FF397D">
        <w:rPr>
          <w:szCs w:val="22"/>
          <w:lang w:val="lt-LT"/>
        </w:rPr>
        <w:t xml:space="preserve">Jeigu reikalinga nutraukti vaistinio preparato vartojimą, būtina apsvarstyti, ar nereikia pradėti pagreitintos eliminacijos procedūros. </w:t>
      </w:r>
    </w:p>
    <w:p w14:paraId="6EE73C00" w14:textId="77777777" w:rsidR="00F459CC" w:rsidRPr="00FF397D" w:rsidRDefault="00F459CC" w:rsidP="0080416E">
      <w:pPr>
        <w:keepNext/>
        <w:autoSpaceDE w:val="0"/>
        <w:autoSpaceDN w:val="0"/>
        <w:adjustRightInd w:val="0"/>
        <w:spacing w:line="240" w:lineRule="auto"/>
        <w:rPr>
          <w:rFonts w:eastAsia="Calibri"/>
          <w:szCs w:val="22"/>
          <w:u w:val="single"/>
          <w:lang w:val="lt-LT"/>
        </w:rPr>
      </w:pPr>
    </w:p>
    <w:p w14:paraId="37F5C0E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Hematologinis poveikis</w:t>
      </w:r>
    </w:p>
    <w:p w14:paraId="69F5AC17"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10D7D03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Nustatytas vidutinis leukocitų kiekio sumažėjimas mažiau kaip 15 %, palyginti su pradiniu rodmeniu (žr. 4.8 skyrių). Prieš pradedant gydymą, dėl atsargumo turi būti prieinami naujausi atlikto pilno kraujo ląstelių skaičiaus tyrimo, įskaitant skirtingų leukocitų ir trombocitų kiekio, duomenys, taip pat pilno kraujo ląstelių tyrimo duomenys turi būti įvertinami gydymo metu ir kai yra indikacijų, atsižvelgiant į </w:t>
      </w:r>
      <w:r w:rsidRPr="00FF397D">
        <w:rPr>
          <w:szCs w:val="22"/>
          <w:lang w:val="lt-LT"/>
        </w:rPr>
        <w:t>klinikinius požymius ir simptomus (pvz., infekcinių ligų).</w:t>
      </w:r>
    </w:p>
    <w:p w14:paraId="425B8A00" w14:textId="77777777" w:rsidR="0080416E" w:rsidRPr="00FF397D" w:rsidRDefault="0080416E" w:rsidP="0080416E">
      <w:pPr>
        <w:autoSpaceDE w:val="0"/>
        <w:autoSpaceDN w:val="0"/>
        <w:adjustRightInd w:val="0"/>
        <w:spacing w:line="240" w:lineRule="auto"/>
        <w:rPr>
          <w:rFonts w:eastAsia="TimesNewRomanPSMT"/>
          <w:szCs w:val="22"/>
          <w:lang w:val="lt-LT"/>
        </w:rPr>
      </w:pPr>
    </w:p>
    <w:p w14:paraId="4CC9E86F" w14:textId="1CF9A935"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Pacientams, kuriems prieš pradedant gydymą buvo anemija, leukopenija ir (arba) trombocitopenija, taip pat pacientams, kurių sutrikusi kaulų čiulpų funkcija arba yra kaulų čiulpų slopinimo rizika, hematologinių sutrikimų rizika yra didesnė. Jei toks poveikis pasireiškia, reikia apsvarstyti, ar taikyti pagreitintos eliminacijos procedūrą (žr.</w:t>
      </w:r>
      <w:r w:rsidR="00A547E1" w:rsidRPr="00FF397D">
        <w:rPr>
          <w:rFonts w:eastAsia="Calibri"/>
          <w:szCs w:val="22"/>
          <w:lang w:val="lt-LT"/>
        </w:rPr>
        <w:t xml:space="preserve"> pirmiau</w:t>
      </w:r>
      <w:r w:rsidRPr="00FF397D">
        <w:rPr>
          <w:rFonts w:eastAsia="Calibri"/>
          <w:szCs w:val="22"/>
          <w:lang w:val="lt-LT"/>
        </w:rPr>
        <w:t>), norint sumažinti teriflunomido koncentracijas plazmoje.</w:t>
      </w:r>
    </w:p>
    <w:p w14:paraId="78E6BA45" w14:textId="77777777" w:rsidR="0080416E" w:rsidRPr="00FF397D" w:rsidRDefault="0080416E" w:rsidP="0080416E">
      <w:pPr>
        <w:autoSpaceDE w:val="0"/>
        <w:autoSpaceDN w:val="0"/>
        <w:adjustRightInd w:val="0"/>
        <w:spacing w:line="240" w:lineRule="auto"/>
        <w:rPr>
          <w:rFonts w:eastAsia="Calibri"/>
          <w:szCs w:val="22"/>
          <w:lang w:val="lt-LT"/>
        </w:rPr>
      </w:pPr>
    </w:p>
    <w:p w14:paraId="4684E200"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Sunkių hematologinių reakcijų, įskaitant pancitopeniją, atvejais, gydymą teriflunomidu ir bet kokiais kitais kaulų čiulpus slopinančiais vaistiniais preparatais reikia nutraukti ir apsvarstyti, ar taikyti pagreitintos teriflunomido eliminacijos procedūrą.</w:t>
      </w:r>
    </w:p>
    <w:p w14:paraId="72DEFA6E" w14:textId="77777777" w:rsidR="0080416E" w:rsidRPr="00FF397D" w:rsidRDefault="0080416E" w:rsidP="0080416E">
      <w:pPr>
        <w:autoSpaceDE w:val="0"/>
        <w:autoSpaceDN w:val="0"/>
        <w:adjustRightInd w:val="0"/>
        <w:spacing w:line="240" w:lineRule="auto"/>
        <w:rPr>
          <w:rFonts w:eastAsia="Calibri"/>
          <w:szCs w:val="22"/>
          <w:lang w:val="lt-LT"/>
        </w:rPr>
      </w:pPr>
    </w:p>
    <w:p w14:paraId="6F3A4565"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Odos reakcijos</w:t>
      </w:r>
    </w:p>
    <w:p w14:paraId="29852236" w14:textId="77777777" w:rsidR="0080416E" w:rsidRPr="006D2BAE" w:rsidRDefault="0080416E" w:rsidP="0080416E">
      <w:pPr>
        <w:keepNext/>
        <w:autoSpaceDE w:val="0"/>
        <w:autoSpaceDN w:val="0"/>
        <w:adjustRightInd w:val="0"/>
        <w:spacing w:line="240" w:lineRule="auto"/>
        <w:rPr>
          <w:rFonts w:eastAsia="Calibri"/>
          <w:szCs w:val="22"/>
          <w:u w:val="single"/>
          <w:lang w:val="lt-LT"/>
        </w:rPr>
      </w:pPr>
    </w:p>
    <w:p w14:paraId="737E487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Vartojant teriflunomido gauta pranešimų apie pasireiškusias sunkias ir kartais mirtinas odos reakcijas, įskaitant Stivenso-Džonsono sindromą (angl. </w:t>
      </w:r>
      <w:r w:rsidRPr="00FF397D">
        <w:rPr>
          <w:rFonts w:eastAsia="Calibri"/>
          <w:i/>
          <w:iCs/>
          <w:szCs w:val="22"/>
          <w:lang w:val="lt-LT"/>
        </w:rPr>
        <w:t>Stevens-Johnson syndrome, SJS</w:t>
      </w:r>
      <w:r w:rsidRPr="00FF397D">
        <w:rPr>
          <w:rFonts w:eastAsia="Calibri"/>
          <w:szCs w:val="22"/>
          <w:lang w:val="lt-LT"/>
        </w:rPr>
        <w:t xml:space="preserve">), toksinę epidermio </w:t>
      </w:r>
      <w:r w:rsidRPr="00FF397D">
        <w:rPr>
          <w:rFonts w:eastAsia="Calibri"/>
          <w:szCs w:val="22"/>
          <w:lang w:val="lt-LT"/>
        </w:rPr>
        <w:lastRenderedPageBreak/>
        <w:t xml:space="preserve">nekrolizę (TEN) ir vaistinio preparato sukeltą reakciją su eozinofilija ir sisteminiais simptomais (angl. </w:t>
      </w:r>
      <w:r w:rsidRPr="00FF397D">
        <w:rPr>
          <w:rFonts w:eastAsia="Calibri"/>
          <w:i/>
          <w:iCs/>
          <w:szCs w:val="22"/>
          <w:lang w:val="lt-LT"/>
        </w:rPr>
        <w:t>Drug Reaction with Eosinophilia and Systemic Symptoms</w:t>
      </w:r>
      <w:r w:rsidRPr="00FF397D">
        <w:rPr>
          <w:rFonts w:eastAsia="Calibri"/>
          <w:szCs w:val="22"/>
          <w:lang w:val="lt-LT"/>
        </w:rPr>
        <w:t xml:space="preserve">, </w:t>
      </w:r>
      <w:r w:rsidRPr="00FF397D">
        <w:rPr>
          <w:rFonts w:eastAsia="Calibri"/>
          <w:i/>
          <w:iCs/>
          <w:szCs w:val="22"/>
          <w:lang w:val="lt-LT"/>
        </w:rPr>
        <w:t>DRESS</w:t>
      </w:r>
      <w:r w:rsidRPr="00FF397D">
        <w:rPr>
          <w:rFonts w:eastAsia="Calibri"/>
          <w:szCs w:val="22"/>
          <w:lang w:val="lt-LT"/>
        </w:rPr>
        <w:t>).</w:t>
      </w:r>
    </w:p>
    <w:p w14:paraId="4EAE9E59" w14:textId="77777777" w:rsidR="0080416E" w:rsidRPr="00FF397D" w:rsidRDefault="0080416E" w:rsidP="0080416E">
      <w:pPr>
        <w:autoSpaceDE w:val="0"/>
        <w:autoSpaceDN w:val="0"/>
        <w:adjustRightInd w:val="0"/>
        <w:spacing w:line="240" w:lineRule="auto"/>
        <w:rPr>
          <w:rFonts w:eastAsia="Calibri"/>
          <w:szCs w:val="22"/>
          <w:lang w:val="lt-LT"/>
        </w:rPr>
      </w:pPr>
    </w:p>
    <w:p w14:paraId="1BFDA14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Pastebėjus odos ir (arba) gleivinių reakcijas (opinį stomatitą), kurios kelia sunkių generalizuotų svarbių odos reakcijų įtarimą (Stivenso-Džonsono sindromas, toksinė epidermio nekrolizė – Lajelio sindromas (angl. </w:t>
      </w:r>
      <w:r w:rsidRPr="00FF397D">
        <w:rPr>
          <w:rFonts w:eastAsia="Calibri"/>
          <w:i/>
          <w:iCs/>
          <w:szCs w:val="22"/>
          <w:lang w:val="lt-LT"/>
        </w:rPr>
        <w:t>Lyell's syndrome</w:t>
      </w:r>
      <w:r w:rsidRPr="00FF397D">
        <w:rPr>
          <w:rFonts w:eastAsia="Calibri"/>
          <w:szCs w:val="22"/>
          <w:lang w:val="lt-LT"/>
        </w:rPr>
        <w:t>) arba vaistinio preparato sukelta reakcija su eozinofilija ir sisteminiais simptomais), teriflunomido ir bet kokio kito galimai susijusio vaistinio preparato vartojimą reikia nutraukti ir nedelsiant pradėti pagreitintos eliminacijos procedūrą. Tokiais atvejais pacientą vėliau vėl gydyti teriflunomidu draudžiama (žr. 4.3 skyrių).</w:t>
      </w:r>
    </w:p>
    <w:p w14:paraId="6C205483" w14:textId="77777777" w:rsidR="0080416E" w:rsidRPr="00FF397D" w:rsidRDefault="0080416E" w:rsidP="0080416E">
      <w:pPr>
        <w:autoSpaceDE w:val="0"/>
        <w:autoSpaceDN w:val="0"/>
        <w:adjustRightInd w:val="0"/>
        <w:spacing w:line="240" w:lineRule="auto"/>
        <w:rPr>
          <w:rFonts w:eastAsia="Calibri"/>
          <w:szCs w:val="22"/>
          <w:lang w:val="lt-LT"/>
        </w:rPr>
      </w:pPr>
    </w:p>
    <w:p w14:paraId="2F57293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Vartojant teriflunomido pastebėta naujai pasireiškusi psoriazė (įskaitant pustulinę psoriazę) ir buvusios psoriazės pasunkėjimas. Atsižvelgiant į paciento ligą ir ligų istoriją reikėtų apsvarstyti gydymo nutraukimo ir pagreitintos eliminacijos procedūros atlikimo galimybę.</w:t>
      </w:r>
    </w:p>
    <w:p w14:paraId="3DD5E88B" w14:textId="77777777" w:rsidR="0080416E" w:rsidRPr="00FF397D" w:rsidRDefault="0080416E" w:rsidP="0080416E">
      <w:pPr>
        <w:autoSpaceDE w:val="0"/>
        <w:autoSpaceDN w:val="0"/>
        <w:adjustRightInd w:val="0"/>
        <w:spacing w:line="240" w:lineRule="auto"/>
        <w:rPr>
          <w:rFonts w:eastAsia="Calibri"/>
          <w:szCs w:val="22"/>
          <w:lang w:val="lt-LT"/>
        </w:rPr>
      </w:pPr>
    </w:p>
    <w:p w14:paraId="5246FF1A"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Periferinė neuropatija</w:t>
      </w:r>
    </w:p>
    <w:p w14:paraId="08B563C9"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1C1D99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Buvo pranešta apie periferinės neuropatijos atvejus teriflunomido vartojantiems pacientams (žr. 4.8 skyrių). Daugumos pacientų būklė pagerėjo, nutraukus teriflunomido vartojimą. Vis dėlto galutinės baigtys buvo labai įvairios, t. y. kai kuriems pacientams neuropatija išnyko, o kai kuriems simptomai išliko. Jei teriflunomido vartojančiam pacientui pasireiškia periferinė neuropatija, būtina apsvarstyti, ar reikia nutraukti gydymą teriflunomidu ir atlikti pagreitintos eliminacijos procedūrą.</w:t>
      </w:r>
    </w:p>
    <w:p w14:paraId="74C5E300" w14:textId="77777777" w:rsidR="0080416E" w:rsidRPr="00FF397D" w:rsidRDefault="0080416E" w:rsidP="00B45D31">
      <w:pPr>
        <w:pStyle w:val="BTEMEASMCA"/>
      </w:pPr>
    </w:p>
    <w:p w14:paraId="66A2731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Vakcinacija</w:t>
      </w:r>
    </w:p>
    <w:p w14:paraId="0125BEAE"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010C8B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Dviejų klinikinių tyrimų metu nustatyta, kad vakcinacija neaktyviu neoantigenu (pirmoji vakcinacija) ar kartotinai į organizmą patenkančiu antigenu (kartotinė ekspozicija) gydymo teriflunomidu metu buvo saugios ir veiksmingos. Gyvų susilpnintų vakcinų vartojimas gali didinti infekcijų riziką ir todėl jų reikia vengti.</w:t>
      </w:r>
    </w:p>
    <w:p w14:paraId="3EF0F477" w14:textId="77777777" w:rsidR="0080416E" w:rsidRPr="00FF397D" w:rsidRDefault="0080416E" w:rsidP="0080416E">
      <w:pPr>
        <w:autoSpaceDE w:val="0"/>
        <w:autoSpaceDN w:val="0"/>
        <w:adjustRightInd w:val="0"/>
        <w:spacing w:line="240" w:lineRule="auto"/>
        <w:rPr>
          <w:rFonts w:eastAsia="Calibri"/>
          <w:szCs w:val="22"/>
          <w:lang w:val="lt-LT"/>
        </w:rPr>
      </w:pPr>
    </w:p>
    <w:p w14:paraId="3CDF525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Gydymas imunosupresiniais preparatais arba imunomoduliatoriais</w:t>
      </w:r>
    </w:p>
    <w:p w14:paraId="5E675C67"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E50B21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Kadangi leflunomidas yra pirminis teriflunomido junginys, kartu skirti teriflunomido ir leflunomido nerekomenduojama.</w:t>
      </w:r>
    </w:p>
    <w:p w14:paraId="38CDBC1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Priešnavikinis gydymas arba imunosupresinis gydymas kartu su IS gydymu nebuvo tirtas. Saugumo tyrimai, kuriuose teriflunomido iki vienerių metų buvo vartota kartu su beta interferonu arba glatiramero acetatu, neparodė jokių specialių saugumo problemų, tačiau buvo pastebėtas nepageidaujamų reakcijų padažnėjimas, palyginti su teriflunomido monoterapija. Ilgalaikis šių derinių vartojimo saugumas gydant išsėtinę sklerozę nenustatytas.</w:t>
      </w:r>
    </w:p>
    <w:p w14:paraId="47B53849" w14:textId="77777777" w:rsidR="0080416E" w:rsidRPr="00FF397D" w:rsidRDefault="0080416E" w:rsidP="0080416E">
      <w:pPr>
        <w:autoSpaceDE w:val="0"/>
        <w:autoSpaceDN w:val="0"/>
        <w:adjustRightInd w:val="0"/>
        <w:spacing w:line="240" w:lineRule="auto"/>
        <w:rPr>
          <w:rFonts w:eastAsia="Calibri"/>
          <w:szCs w:val="22"/>
          <w:lang w:val="lt-LT"/>
        </w:rPr>
      </w:pPr>
    </w:p>
    <w:p w14:paraId="0E3D2D60"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Gydymo keitimas į teriflunomidą arba teriflunomido keitimas kitu vaistiniu preparatu</w:t>
      </w:r>
    </w:p>
    <w:p w14:paraId="5C02821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Remiantis klinikiniais duomenimis, susijusiais su teriflunomido vartojimu kartu su beta interferonu arba glatiramero acetatu, nereikia laukti kurį nors laikotarpį, pradedant gydymą teriflunomidu po beta interferono arba glatiramero acetato vartojimo, arba pradedant gydymą beta interferonu arba glatiramero acetatu po teriflunomido vartojimo.</w:t>
      </w:r>
    </w:p>
    <w:p w14:paraId="67454109" w14:textId="77777777" w:rsidR="0080416E" w:rsidRPr="00FF397D" w:rsidRDefault="0080416E" w:rsidP="0080416E">
      <w:pPr>
        <w:autoSpaceDE w:val="0"/>
        <w:autoSpaceDN w:val="0"/>
        <w:adjustRightInd w:val="0"/>
        <w:spacing w:line="240" w:lineRule="auto"/>
        <w:rPr>
          <w:rFonts w:eastAsia="Calibri"/>
          <w:szCs w:val="22"/>
          <w:lang w:val="lt-LT"/>
        </w:rPr>
      </w:pPr>
    </w:p>
    <w:p w14:paraId="66DCD53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Dėl ilgo natalizumabo pusinio periodo, galima bendra ekspozicija ir dėl to gali kartu pasireikšti imuninis poveikis iki 2</w:t>
      </w:r>
      <w:r w:rsidRPr="00FF397D">
        <w:rPr>
          <w:rFonts w:eastAsia="Calibri"/>
          <w:szCs w:val="22"/>
          <w:lang w:val="lt-LT"/>
        </w:rPr>
        <w:noBreakHyphen/>
        <w:t>3 mėnesių po natalizumabo vartojimo nutraukimo, jeigu iš karto pradedamas gydymas teriflunomidu. Todėl reikia imtis atsargumo priemonių pacientams, kuriems gydymas natalizumabu keičiamas į teriflunomidą.</w:t>
      </w:r>
    </w:p>
    <w:p w14:paraId="40EC0B0D" w14:textId="77777777" w:rsidR="0080416E" w:rsidRPr="00FF397D" w:rsidRDefault="0080416E" w:rsidP="0080416E">
      <w:pPr>
        <w:autoSpaceDE w:val="0"/>
        <w:autoSpaceDN w:val="0"/>
        <w:adjustRightInd w:val="0"/>
        <w:spacing w:line="240" w:lineRule="auto"/>
        <w:rPr>
          <w:rFonts w:eastAsia="Calibri"/>
          <w:szCs w:val="22"/>
          <w:lang w:val="lt-LT"/>
        </w:rPr>
      </w:pPr>
    </w:p>
    <w:p w14:paraId="3A70BF6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fingolimodo vartojimo nutraukimo, atsižvelgiant į jo pusinį periodą, reikia 6 savaičių pertraukos, kad šis vaistinis preparatas pasišalintų iš kraujotakos, ir nuo 1 iki 2 mėnesių laikotarpio, kad limfocitų skaičius grįžtų į įprastas normos ribas. Šiuo laikotarpiu pradėjus vartoti teriflunomido, galima bendra ekspozicija su fingolimodu. Tai gali sukelti papildomą poveikį imuninei sistemai, todėl reikia būti atsargiems.</w:t>
      </w:r>
    </w:p>
    <w:p w14:paraId="126C79F0" w14:textId="77777777" w:rsidR="0080416E" w:rsidRPr="00FF397D" w:rsidRDefault="0080416E" w:rsidP="0080416E">
      <w:pPr>
        <w:autoSpaceDE w:val="0"/>
        <w:autoSpaceDN w:val="0"/>
        <w:adjustRightInd w:val="0"/>
        <w:spacing w:line="240" w:lineRule="auto"/>
        <w:rPr>
          <w:rFonts w:eastAsia="Calibri"/>
          <w:szCs w:val="22"/>
          <w:lang w:val="lt-LT"/>
        </w:rPr>
      </w:pPr>
    </w:p>
    <w:p w14:paraId="668EAEA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lastRenderedPageBreak/>
        <w:t>IS sergantiems pacientams t</w:t>
      </w:r>
      <w:r w:rsidRPr="00FF397D">
        <w:rPr>
          <w:rFonts w:eastAsia="Calibri"/>
          <w:szCs w:val="22"/>
          <w:vertAlign w:val="subscript"/>
          <w:lang w:val="lt-LT"/>
        </w:rPr>
        <w:t>1/2z</w:t>
      </w:r>
      <w:r w:rsidRPr="00FF397D">
        <w:rPr>
          <w:rFonts w:eastAsia="Calibri"/>
          <w:szCs w:val="22"/>
          <w:lang w:val="lt-LT"/>
        </w:rPr>
        <w:t xml:space="preserve"> mediana buvo maždaug 19 dienų po teriflunomido kartotinių 14 mg dozių. Jei nusprendžiama nutraukti gydymą teriflunomidu, per 5 pusinių periodų laikotarpį (maždaug 3,5 mėn., nors kai kuriems pacientams gali trukti ir ilgiau) pradėjus gydyti kitais vaistiniais preparatais, galima bendra ekspozicija su teriflunomidu. Tai gali sukelti papildomą poveikį imuninei sistemai, todėl reikia būti atsargiems.</w:t>
      </w:r>
    </w:p>
    <w:p w14:paraId="0ACEF491" w14:textId="77777777" w:rsidR="0080416E" w:rsidRPr="00FF397D" w:rsidRDefault="0080416E" w:rsidP="0080416E">
      <w:pPr>
        <w:autoSpaceDE w:val="0"/>
        <w:autoSpaceDN w:val="0"/>
        <w:adjustRightInd w:val="0"/>
        <w:spacing w:line="240" w:lineRule="auto"/>
        <w:rPr>
          <w:rFonts w:eastAsia="Calibri"/>
          <w:szCs w:val="22"/>
          <w:lang w:val="lt-LT"/>
        </w:rPr>
      </w:pPr>
    </w:p>
    <w:p w14:paraId="4089257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Poveikis nustatant jonizuotą kalcio kiekį</w:t>
      </w:r>
    </w:p>
    <w:p w14:paraId="686FD279"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4EA504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4C16E2AD" w14:textId="77777777" w:rsidR="0080416E" w:rsidRPr="00FF397D" w:rsidRDefault="0080416E" w:rsidP="00B45D31">
      <w:pPr>
        <w:pStyle w:val="BTEMEASMCA"/>
      </w:pPr>
    </w:p>
    <w:p w14:paraId="2502DEBE"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Vaikų populiacija</w:t>
      </w:r>
    </w:p>
    <w:p w14:paraId="7A27D4F8"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52225E7"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Pankreatitas</w:t>
      </w:r>
    </w:p>
    <w:p w14:paraId="6A14F9D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Su vaikais atlikto klinikinio tyrimo metu teriflunomido vartojantiems pacientams buvo nustatyta pankreatito (kartais ūminio) atvejų (žr. 4.8 skyrių). Klinikiniai simptomai buvo pilvo skausmas, pykinimas ir (arba) vėmimas. Tokiems pacientams buvo padidėjęs amilazės ir lipazės aktyvumas kraujo serume. Laikotarpis iki pasireiškimo buvo nuo kelių mėnesių iki trejų metų. Pacientus būtina informuoti apie pankreatitui būdingus simptomus. Jeigu įtariamas pankreatitas, būtina ištirti kasos fermentų aktyvumą ir susijusius laboratorinius rodmenis. Jeigu pankreatito diagnozė patvirtinama, būtina nutraukti teriflunomido vartojimą ir pradėti pagreitintos eliminacijos procedūrą (žr. 5.2 skyrių).</w:t>
      </w:r>
    </w:p>
    <w:p w14:paraId="41C18EAA" w14:textId="77777777" w:rsidR="0080416E" w:rsidRPr="00FF397D" w:rsidRDefault="0080416E" w:rsidP="0080416E">
      <w:pPr>
        <w:autoSpaceDE w:val="0"/>
        <w:autoSpaceDN w:val="0"/>
        <w:adjustRightInd w:val="0"/>
        <w:spacing w:line="240" w:lineRule="auto"/>
        <w:rPr>
          <w:rFonts w:eastAsia="Calibri"/>
          <w:szCs w:val="22"/>
          <w:lang w:val="lt-LT"/>
        </w:rPr>
      </w:pPr>
    </w:p>
    <w:p w14:paraId="398AD64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Laktozė</w:t>
      </w:r>
    </w:p>
    <w:p w14:paraId="1E4AC59F"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58C333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Kadangi Teriflunomide Teva tabletėse yra laktozės, šio vaistinio preparato negalima vartoti pacientams, kuriems nustatytas retas paveldimas sutrikimas – galaktozės netoleravimas, visiškas laktazės stygius arba gliukozės ir galaktozės malabsorbcija.</w:t>
      </w:r>
    </w:p>
    <w:p w14:paraId="5E957F46" w14:textId="77777777" w:rsidR="0080416E" w:rsidRPr="00FF397D" w:rsidRDefault="0080416E" w:rsidP="0080416E">
      <w:pPr>
        <w:autoSpaceDE w:val="0"/>
        <w:autoSpaceDN w:val="0"/>
        <w:adjustRightInd w:val="0"/>
        <w:spacing w:line="240" w:lineRule="auto"/>
        <w:rPr>
          <w:rFonts w:eastAsia="Calibri"/>
          <w:szCs w:val="22"/>
          <w:lang w:val="lt-LT"/>
        </w:rPr>
      </w:pPr>
    </w:p>
    <w:p w14:paraId="28408669"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Natris</w:t>
      </w:r>
    </w:p>
    <w:p w14:paraId="4E7125C9"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5C3805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Šio vaistinio preparato kiekvienoje tabletėje yra mažiau kaip 1 mmol (23 mg) natrio, t. y. jis beveik neturi reikšmės.</w:t>
      </w:r>
    </w:p>
    <w:p w14:paraId="181F47CC" w14:textId="77777777" w:rsidR="0080416E" w:rsidRPr="00FF397D" w:rsidRDefault="0080416E" w:rsidP="00B45D31">
      <w:pPr>
        <w:pStyle w:val="BTEMEASMCA"/>
      </w:pPr>
    </w:p>
    <w:p w14:paraId="03122DD0" w14:textId="296F67B7" w:rsidR="0080416E" w:rsidRPr="00FF397D" w:rsidRDefault="0080416E" w:rsidP="0080416E">
      <w:pPr>
        <w:pStyle w:val="PI-2EMEASMCA"/>
      </w:pPr>
      <w:bookmarkStart w:id="17" w:name="_Toc129243106"/>
      <w:bookmarkStart w:id="18" w:name="_Toc129243231"/>
      <w:r w:rsidRPr="00FF397D">
        <w:t>4.5</w:t>
      </w:r>
      <w:r w:rsidRPr="00FF397D">
        <w:tab/>
        <w:t>Sąveika su kitais vaistiniais preparatais ir kitokia sąveika</w:t>
      </w:r>
      <w:bookmarkEnd w:id="17"/>
      <w:bookmarkEnd w:id="18"/>
    </w:p>
    <w:p w14:paraId="6B7429BA" w14:textId="77777777" w:rsidR="0080416E" w:rsidRPr="00FF397D" w:rsidRDefault="0080416E" w:rsidP="00B45D31">
      <w:pPr>
        <w:pStyle w:val="BTEMEASMCA"/>
      </w:pPr>
    </w:p>
    <w:p w14:paraId="6271A202"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Kitų medžiagų farmakokinetinės sąveikos su teriflunomidu</w:t>
      </w:r>
    </w:p>
    <w:p w14:paraId="3C61049D"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70FAC55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Pagrindinis teriflunomido biotransformacijos būdas yra hidrolizė, tik nedidelė dalis metabolizuojama oksidacijos būdu.</w:t>
      </w:r>
    </w:p>
    <w:p w14:paraId="5F7261D1" w14:textId="77777777" w:rsidR="0080416E" w:rsidRPr="00FF397D" w:rsidRDefault="0080416E" w:rsidP="0080416E">
      <w:pPr>
        <w:autoSpaceDE w:val="0"/>
        <w:autoSpaceDN w:val="0"/>
        <w:adjustRightInd w:val="0"/>
        <w:spacing w:line="240" w:lineRule="auto"/>
        <w:rPr>
          <w:rFonts w:eastAsia="Calibri"/>
          <w:szCs w:val="22"/>
          <w:lang w:val="lt-LT"/>
        </w:rPr>
      </w:pPr>
    </w:p>
    <w:p w14:paraId="421F7175"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Stipraus poveikio citochromo P450 (CYP) ir nešiklių induktoriai</w:t>
      </w:r>
    </w:p>
    <w:p w14:paraId="4B5069DF"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Vartojant kartotines rifampicino (CYP2B6, 2C8, 2C9, 2C19, 3A induktoriaus) dozes (600 mg vieną kartą per parą 22 paras), taip pat šalinimo iš ląstelės nešiklio P-glikoproteino [P-gp] ir krūties vėžio atsparumo baltymo [angl., </w:t>
      </w:r>
      <w:r w:rsidRPr="00FF397D">
        <w:rPr>
          <w:rFonts w:eastAsia="Calibri"/>
          <w:i/>
          <w:iCs/>
          <w:szCs w:val="22"/>
          <w:lang w:val="lt-LT"/>
        </w:rPr>
        <w:t>breast cancer resistant protein</w:t>
      </w:r>
      <w:r w:rsidRPr="00FF397D">
        <w:rPr>
          <w:rFonts w:eastAsia="Calibri"/>
          <w:szCs w:val="22"/>
          <w:lang w:val="lt-LT"/>
        </w:rPr>
        <w:t xml:space="preserve"> (</w:t>
      </w:r>
      <w:r w:rsidRPr="00FF397D">
        <w:rPr>
          <w:rFonts w:eastAsia="Calibri"/>
          <w:i/>
          <w:iCs/>
          <w:szCs w:val="22"/>
          <w:lang w:val="lt-LT"/>
        </w:rPr>
        <w:t>BCRP</w:t>
      </w:r>
      <w:r w:rsidRPr="00FF397D">
        <w:rPr>
          <w:rFonts w:eastAsia="Calibri"/>
          <w:szCs w:val="22"/>
          <w:lang w:val="lt-LT"/>
        </w:rPr>
        <w:t>)] induktorių kartu su teriflunomidu (70 mg vienkartinė dozė), teriflunomido ekspozicija sumažėjo maždaug 40 %. Gydant teriflunomidu, rifampicino ir kitų žinomų stipraus poveikio CYP ir nešiklių induktorių, tokių kaip karbamazepino, fenobarbitalio, fenitoino ir jonažolės preparatų, reikia vartoti atsargiai.</w:t>
      </w:r>
    </w:p>
    <w:p w14:paraId="66FA7E14" w14:textId="77777777" w:rsidR="0080416E" w:rsidRPr="00FF397D" w:rsidRDefault="0080416E" w:rsidP="0080416E">
      <w:pPr>
        <w:autoSpaceDE w:val="0"/>
        <w:autoSpaceDN w:val="0"/>
        <w:adjustRightInd w:val="0"/>
        <w:spacing w:line="240" w:lineRule="auto"/>
        <w:rPr>
          <w:rFonts w:eastAsia="Calibri"/>
          <w:szCs w:val="22"/>
          <w:lang w:val="lt-LT"/>
        </w:rPr>
      </w:pPr>
    </w:p>
    <w:p w14:paraId="32C3BEF3"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Kolestiraminas arba aktyvintoji anglis</w:t>
      </w:r>
    </w:p>
    <w:p w14:paraId="1A81498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Rekomenduojama, kad pacientai, vartojantys teriflunomido, nebūtų gydomi kolestiraminu arba aktyvintąja anglimi, nes dėl to greitai ir žymiai mažėja koncentracija plazmoje, išskyrus atvejus, kai norima pagreitinti eliminaciją. Manoma, kad mechanizmas yra enterohepatinės recirkuliacijos nutrūkimas ir (arba) teriflunomido dializė virškinimo trakte.</w:t>
      </w:r>
    </w:p>
    <w:p w14:paraId="6CEE339A" w14:textId="77777777" w:rsidR="0080416E" w:rsidRPr="00FF397D" w:rsidRDefault="0080416E" w:rsidP="0080416E">
      <w:pPr>
        <w:autoSpaceDE w:val="0"/>
        <w:autoSpaceDN w:val="0"/>
        <w:adjustRightInd w:val="0"/>
        <w:spacing w:line="240" w:lineRule="auto"/>
        <w:rPr>
          <w:rFonts w:eastAsia="Calibri"/>
          <w:szCs w:val="22"/>
          <w:lang w:val="lt-LT"/>
        </w:rPr>
      </w:pPr>
    </w:p>
    <w:p w14:paraId="093E954F"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Teriflunomido farmakokinetinės sąveikos su kitomis medžiagomis</w:t>
      </w:r>
    </w:p>
    <w:p w14:paraId="40F29CA4"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670081C"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CYP2C8 substratui: repaglinidas</w:t>
      </w:r>
    </w:p>
    <w:p w14:paraId="02F3ED6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kartotinių teriflunomido dozių pavartojimo padidėjo vidutinė repaglinido C</w:t>
      </w:r>
      <w:r w:rsidRPr="00FF397D">
        <w:rPr>
          <w:rFonts w:eastAsia="Calibri"/>
          <w:szCs w:val="22"/>
          <w:vertAlign w:val="subscript"/>
          <w:lang w:val="lt-LT"/>
        </w:rPr>
        <w:t>max</w:t>
      </w:r>
      <w:r w:rsidRPr="00FF397D">
        <w:rPr>
          <w:rFonts w:eastAsia="Calibri"/>
          <w:szCs w:val="22"/>
          <w:lang w:val="lt-LT"/>
        </w:rPr>
        <w:t xml:space="preserve"> ir AUC (atitinkamai 1,7 ir 2,4 karto), o tai rodo, kad teriflunomidas </w:t>
      </w:r>
      <w:r w:rsidRPr="00FF397D">
        <w:rPr>
          <w:rFonts w:eastAsia="Calibri"/>
          <w:i/>
          <w:iCs/>
          <w:szCs w:val="22"/>
          <w:lang w:val="lt-LT"/>
        </w:rPr>
        <w:t>in</w:t>
      </w:r>
      <w:r w:rsidRPr="00FF397D">
        <w:rPr>
          <w:rFonts w:eastAsia="Calibri"/>
          <w:szCs w:val="22"/>
          <w:lang w:val="lt-LT"/>
        </w:rPr>
        <w:t xml:space="preserve"> </w:t>
      </w:r>
      <w:r w:rsidRPr="00FF397D">
        <w:rPr>
          <w:rFonts w:eastAsia="Calibri"/>
          <w:i/>
          <w:szCs w:val="22"/>
          <w:lang w:val="lt-LT"/>
        </w:rPr>
        <w:t>vivo</w:t>
      </w:r>
      <w:r w:rsidRPr="00FF397D">
        <w:rPr>
          <w:rFonts w:eastAsia="Calibri"/>
          <w:szCs w:val="22"/>
          <w:lang w:val="lt-LT"/>
        </w:rPr>
        <w:t xml:space="preserve"> yra CYP2C8 inhibitorius. Todėl vaistinių preparatų, kurių metabolizmą veikia CYP2C8, tokių, kaip repaglinidas, paklitakselis, pioglitazonas ar roziglitazonas, gydymo teriflunomidu metu reikia vartoti atsargiai.</w:t>
      </w:r>
    </w:p>
    <w:p w14:paraId="62E7F424" w14:textId="77777777" w:rsidR="0080416E" w:rsidRPr="00FF397D" w:rsidRDefault="0080416E" w:rsidP="0080416E">
      <w:pPr>
        <w:autoSpaceDE w:val="0"/>
        <w:autoSpaceDN w:val="0"/>
        <w:adjustRightInd w:val="0"/>
        <w:spacing w:line="240" w:lineRule="auto"/>
        <w:rPr>
          <w:rFonts w:eastAsia="Calibri"/>
          <w:szCs w:val="22"/>
          <w:lang w:val="lt-LT"/>
        </w:rPr>
      </w:pPr>
    </w:p>
    <w:p w14:paraId="778DF3DA"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geriamiesiems kontraceptikams: 0,03 mg etinilestradiolio ir 0,15 mg levonorgestrelio</w:t>
      </w:r>
    </w:p>
    <w:p w14:paraId="1BD0DCD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kartotinių teriflunomido dozių pavartojimo padidėjo vidutinė etinilestradiolio C</w:t>
      </w:r>
      <w:r w:rsidRPr="00FF397D">
        <w:rPr>
          <w:rFonts w:eastAsia="Calibri"/>
          <w:szCs w:val="22"/>
          <w:vertAlign w:val="subscript"/>
          <w:lang w:val="lt-LT"/>
        </w:rPr>
        <w:t>max</w:t>
      </w:r>
      <w:r w:rsidRPr="00FF397D">
        <w:rPr>
          <w:rFonts w:eastAsia="Calibri"/>
          <w:szCs w:val="22"/>
          <w:lang w:val="lt-LT"/>
        </w:rPr>
        <w:t xml:space="preserve"> ir AUC</w:t>
      </w:r>
      <w:r w:rsidRPr="00FF397D">
        <w:rPr>
          <w:rFonts w:eastAsia="Calibri"/>
          <w:szCs w:val="22"/>
          <w:vertAlign w:val="subscript"/>
          <w:lang w:val="lt-LT"/>
        </w:rPr>
        <w:t xml:space="preserve">0-24 </w:t>
      </w:r>
      <w:r w:rsidRPr="00FF397D">
        <w:rPr>
          <w:rFonts w:eastAsia="Calibri"/>
          <w:szCs w:val="22"/>
          <w:lang w:val="lt-LT"/>
        </w:rPr>
        <w:t>(atitinkamai 1,58 ir 1,54 karto) ir levonorgestrelio C</w:t>
      </w:r>
      <w:r w:rsidRPr="00FF397D">
        <w:rPr>
          <w:rFonts w:eastAsia="Calibri"/>
          <w:szCs w:val="22"/>
          <w:vertAlign w:val="subscript"/>
          <w:lang w:val="lt-LT"/>
        </w:rPr>
        <w:t>max</w:t>
      </w:r>
      <w:r w:rsidRPr="00FF397D">
        <w:rPr>
          <w:rFonts w:eastAsia="Calibri"/>
          <w:szCs w:val="22"/>
          <w:lang w:val="lt-LT"/>
        </w:rPr>
        <w:t xml:space="preserve"> ir AUC</w:t>
      </w:r>
      <w:r w:rsidRPr="00FF397D">
        <w:rPr>
          <w:rFonts w:eastAsia="Calibri"/>
          <w:szCs w:val="22"/>
          <w:vertAlign w:val="subscript"/>
          <w:lang w:val="lt-LT"/>
        </w:rPr>
        <w:t xml:space="preserve">0-24 </w:t>
      </w:r>
      <w:r w:rsidRPr="00FF397D">
        <w:rPr>
          <w:rFonts w:eastAsia="Calibri"/>
          <w:szCs w:val="22"/>
          <w:lang w:val="lt-LT"/>
        </w:rPr>
        <w:t>(atitinkamai 1,33 ir 1,41 karto). Nors nemanoma, kad ši sąveika su teriflunomidu gali nepalankiai veikti geriamųjų kontraceptikų veiksmingumą, į tai reikia atsižvelgti, parenkant geriamąjį kontraceptiką ar koreguojant jo vartojimą, jei kartu vartojama teriflunomido.</w:t>
      </w:r>
    </w:p>
    <w:p w14:paraId="36B42A0C" w14:textId="77777777" w:rsidR="0080416E" w:rsidRPr="00FF397D" w:rsidRDefault="0080416E" w:rsidP="0080416E">
      <w:pPr>
        <w:autoSpaceDE w:val="0"/>
        <w:autoSpaceDN w:val="0"/>
        <w:adjustRightInd w:val="0"/>
        <w:spacing w:line="240" w:lineRule="auto"/>
        <w:rPr>
          <w:rFonts w:eastAsia="Calibri"/>
          <w:szCs w:val="22"/>
          <w:lang w:val="lt-LT"/>
        </w:rPr>
      </w:pPr>
    </w:p>
    <w:p w14:paraId="38BDEC52"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CYP1A2 substratui: kofeinas</w:t>
      </w:r>
    </w:p>
    <w:p w14:paraId="691FD71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Kartotinės teriflunomido dozės sumažino kofeino (CYP1A2 substratas) vidutinę C</w:t>
      </w:r>
      <w:r w:rsidRPr="00FF397D">
        <w:rPr>
          <w:rFonts w:eastAsia="Calibri"/>
          <w:szCs w:val="22"/>
          <w:vertAlign w:val="subscript"/>
          <w:lang w:val="lt-LT"/>
        </w:rPr>
        <w:t>max</w:t>
      </w:r>
      <w:r w:rsidRPr="00FF397D">
        <w:rPr>
          <w:rFonts w:eastAsia="Calibri"/>
          <w:szCs w:val="22"/>
          <w:lang w:val="lt-LT"/>
        </w:rPr>
        <w:t xml:space="preserve"> ir AUC atitinkamai 18 % ir 55 %. Tai rodo, kad teriflunomidas </w:t>
      </w:r>
      <w:r w:rsidRPr="00FF397D">
        <w:rPr>
          <w:rFonts w:eastAsia="Calibri"/>
          <w:i/>
          <w:iCs/>
          <w:szCs w:val="22"/>
          <w:lang w:val="lt-LT"/>
        </w:rPr>
        <w:t>in vivo</w:t>
      </w:r>
      <w:r w:rsidRPr="00FF397D">
        <w:rPr>
          <w:rFonts w:eastAsia="Calibri"/>
          <w:szCs w:val="22"/>
          <w:lang w:val="lt-LT"/>
        </w:rPr>
        <w:t xml:space="preserve"> gali būti silpno poveikio CYP1A2 induktorius. Todėl vaistinių preparatų, kurių metabolizmą veikia CYP1A2 (pvz.: duloksetinas, alosetronas, teofilinas ir tizanidinas), gydymo teriflunomidu metu reikia vartoti atsargiai, nes gali sumažėti šių vaistinių preparatų veiksmingumas.</w:t>
      </w:r>
    </w:p>
    <w:p w14:paraId="058B43E8" w14:textId="77777777" w:rsidR="0080416E" w:rsidRPr="00FF397D" w:rsidRDefault="0080416E" w:rsidP="0080416E">
      <w:pPr>
        <w:autoSpaceDE w:val="0"/>
        <w:autoSpaceDN w:val="0"/>
        <w:adjustRightInd w:val="0"/>
        <w:spacing w:line="240" w:lineRule="auto"/>
        <w:rPr>
          <w:rFonts w:eastAsia="Calibri"/>
          <w:szCs w:val="22"/>
          <w:lang w:val="lt-LT"/>
        </w:rPr>
      </w:pPr>
    </w:p>
    <w:p w14:paraId="4AB8D7C0"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varfarinui</w:t>
      </w:r>
    </w:p>
    <w:p w14:paraId="3039AAA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Kartotinės teriflunomido dozės neturėjo poveikio S-varfarino farmakokinetikai, ir tai rodo, kad teriflunomidas nėra CYP2C9 inhibitorius arba induktorius. Vis dėlto buvo stebėtas didžiausio tarptautinio normalizuotojo santykio (TNS) sumažėjimas 25 % teriflunomido vartojant kartu su varfarinu, palyginti su vienu varfarinu. Todėl varfarino vartojant kartu su teriflunomidu, rekomenduojama atidžiai matuoti TNS ir stebėti.</w:t>
      </w:r>
    </w:p>
    <w:p w14:paraId="2F53C013" w14:textId="77777777" w:rsidR="0080416E" w:rsidRPr="00FF397D" w:rsidRDefault="0080416E" w:rsidP="00B45D31">
      <w:pPr>
        <w:pStyle w:val="BTEMEASMCA"/>
      </w:pPr>
    </w:p>
    <w:p w14:paraId="3AFC6DB9"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organinių anijonų nešiklio 3 (angl., organic anion transporter [OAT3]) substratams</w:t>
      </w:r>
    </w:p>
    <w:p w14:paraId="010A1D5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kartotinių teriflunomido dozių pavartojimo, padidėjo cefakloro vidutinė C</w:t>
      </w:r>
      <w:r w:rsidRPr="00FF397D">
        <w:rPr>
          <w:rFonts w:eastAsia="Calibri"/>
          <w:szCs w:val="22"/>
          <w:vertAlign w:val="subscript"/>
          <w:lang w:val="lt-LT"/>
        </w:rPr>
        <w:t>max</w:t>
      </w:r>
      <w:r w:rsidRPr="00FF397D">
        <w:rPr>
          <w:rFonts w:eastAsia="Calibri"/>
          <w:szCs w:val="22"/>
          <w:lang w:val="lt-LT"/>
        </w:rPr>
        <w:t xml:space="preserve"> ir AUC (atitinkamai 1,43 ir 1,54 karto). Tai rodo, kad teriflunomidas yra </w:t>
      </w:r>
      <w:r w:rsidRPr="00FF397D">
        <w:rPr>
          <w:rFonts w:eastAsia="Calibri"/>
          <w:i/>
          <w:iCs/>
          <w:szCs w:val="22"/>
          <w:lang w:val="lt-LT"/>
        </w:rPr>
        <w:t>OAT3</w:t>
      </w:r>
      <w:r w:rsidRPr="00FF397D">
        <w:rPr>
          <w:rFonts w:eastAsia="Calibri"/>
          <w:szCs w:val="22"/>
          <w:lang w:val="lt-LT"/>
        </w:rPr>
        <w:t xml:space="preserve"> inhibitorius </w:t>
      </w:r>
      <w:r w:rsidRPr="00FF397D">
        <w:rPr>
          <w:rFonts w:eastAsia="Calibri"/>
          <w:i/>
          <w:iCs/>
          <w:szCs w:val="22"/>
          <w:lang w:val="lt-LT"/>
        </w:rPr>
        <w:t>in</w:t>
      </w:r>
      <w:r w:rsidRPr="00FF397D">
        <w:rPr>
          <w:rFonts w:eastAsia="Calibri"/>
          <w:szCs w:val="22"/>
          <w:lang w:val="lt-LT"/>
        </w:rPr>
        <w:t xml:space="preserve"> </w:t>
      </w:r>
      <w:r w:rsidRPr="00FF397D">
        <w:rPr>
          <w:rFonts w:eastAsia="Calibri"/>
          <w:i/>
          <w:iCs/>
          <w:szCs w:val="22"/>
          <w:lang w:val="lt-LT"/>
        </w:rPr>
        <w:t>vivo</w:t>
      </w:r>
      <w:r w:rsidRPr="00FF397D">
        <w:rPr>
          <w:rFonts w:eastAsia="Calibri"/>
          <w:szCs w:val="22"/>
          <w:lang w:val="lt-LT"/>
        </w:rPr>
        <w:t xml:space="preserve">. Todėl teriflunomido rekomenduojama skirti atsargiai kartu su </w:t>
      </w:r>
      <w:r w:rsidRPr="00FF397D">
        <w:rPr>
          <w:rFonts w:eastAsia="Calibri"/>
          <w:i/>
          <w:iCs/>
          <w:szCs w:val="22"/>
          <w:lang w:val="lt-LT"/>
        </w:rPr>
        <w:t>OAT3</w:t>
      </w:r>
      <w:r w:rsidRPr="00FF397D">
        <w:rPr>
          <w:rFonts w:eastAsia="Calibri"/>
          <w:szCs w:val="22"/>
          <w:lang w:val="lt-LT"/>
        </w:rPr>
        <w:t xml:space="preserve"> substratais, pvz.: cefakloru, benzilpenicilinu, ciprofloksacinu, indometacinu, ketoprofenu, furozemidu, cimetidinu, metotreksatu, zidovudinu.</w:t>
      </w:r>
    </w:p>
    <w:p w14:paraId="7C153360" w14:textId="77777777" w:rsidR="0080416E" w:rsidRPr="00FF397D" w:rsidRDefault="0080416E" w:rsidP="0080416E">
      <w:pPr>
        <w:autoSpaceDE w:val="0"/>
        <w:autoSpaceDN w:val="0"/>
        <w:adjustRightInd w:val="0"/>
        <w:spacing w:line="240" w:lineRule="auto"/>
        <w:rPr>
          <w:rFonts w:eastAsia="Calibri"/>
          <w:szCs w:val="22"/>
          <w:lang w:val="lt-LT"/>
        </w:rPr>
      </w:pPr>
    </w:p>
    <w:p w14:paraId="5460EBBA"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Teriflunomido poveikis BCRP ir (arba) organinių anijonų pernašos polipeptido B1 ir B3 (OATP1B1/B3) substratams</w:t>
      </w:r>
    </w:p>
    <w:p w14:paraId="25401BB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kartotinių teriflunomido dozių pavartojimo, padidėjo rozuvastatino vidutinė C</w:t>
      </w:r>
      <w:r w:rsidRPr="00FF397D">
        <w:rPr>
          <w:rFonts w:eastAsia="Calibri"/>
          <w:szCs w:val="22"/>
          <w:vertAlign w:val="subscript"/>
          <w:lang w:val="lt-LT"/>
        </w:rPr>
        <w:t>max</w:t>
      </w:r>
      <w:r w:rsidRPr="00FF397D">
        <w:rPr>
          <w:rFonts w:eastAsia="Calibri"/>
          <w:szCs w:val="22"/>
          <w:lang w:val="lt-LT"/>
        </w:rPr>
        <w:t xml:space="preserve"> ir AUC (atitinkamai 2,65 ir 2,51 karto). Tačiau šio rozuvastatino ekspozicijos plazmoje padidėjimo įtakos HMG-CoA reduktazės veiklai nepastebėta. Rekomenduojama 50 % sumažinti rozuvastatino dozę, jei jo skiriama kartu su teriflunomidu. Vartojant kitų </w:t>
      </w:r>
      <w:r w:rsidRPr="00FF397D">
        <w:rPr>
          <w:rFonts w:eastAsia="Calibri"/>
          <w:i/>
          <w:iCs/>
          <w:szCs w:val="22"/>
          <w:lang w:val="lt-LT"/>
        </w:rPr>
        <w:t>BCRP</w:t>
      </w:r>
      <w:r w:rsidRPr="00FF397D">
        <w:rPr>
          <w:rFonts w:eastAsia="Calibri"/>
          <w:szCs w:val="22"/>
          <w:lang w:val="lt-LT"/>
        </w:rPr>
        <w:t xml:space="preserve"> substratų (pvz.: metotreksato, topotekano, sulfasalazino, daunorubicino, doksorubicino) ir </w:t>
      </w:r>
      <w:r w:rsidRPr="00FF397D">
        <w:rPr>
          <w:rFonts w:eastAsia="Calibri"/>
          <w:i/>
          <w:iCs/>
          <w:szCs w:val="22"/>
          <w:lang w:val="lt-LT"/>
        </w:rPr>
        <w:t>OATP</w:t>
      </w:r>
      <w:r w:rsidRPr="00FF397D">
        <w:rPr>
          <w:rFonts w:eastAsia="Calibri"/>
          <w:szCs w:val="22"/>
          <w:lang w:val="lt-LT"/>
        </w:rPr>
        <w:t xml:space="preserve"> grupės vaistinių preparatų, ypač HMG-Co reduktazės inhibitorių (pvz.: simvastatino, atorvastatino, pravastatino, metotreksato, nateglinido, repaglinido, rifampicino), kartu skirti teriflunomido taip pat reikia atsargiai. Reikia atidžiai stebėti, ar pacientams nepasireiškia pernelyg didelės vaistinio preparato ekspozicijos požymių ir simptomų, ir apsvarstyti, ar nereikia sumažinti šių vaistinių preparatų dozės</w:t>
      </w:r>
      <w:r w:rsidRPr="00FF397D">
        <w:rPr>
          <w:szCs w:val="22"/>
          <w:lang w:val="lt-LT"/>
        </w:rPr>
        <w:t>.</w:t>
      </w:r>
    </w:p>
    <w:p w14:paraId="2773C021" w14:textId="77777777" w:rsidR="0080416E" w:rsidRPr="00FF397D" w:rsidRDefault="0080416E" w:rsidP="00B45D31">
      <w:pPr>
        <w:pStyle w:val="BTEMEASMCA"/>
      </w:pPr>
    </w:p>
    <w:p w14:paraId="1E9E6F82" w14:textId="0564C08C" w:rsidR="0080416E" w:rsidRPr="00FF397D" w:rsidRDefault="0080416E" w:rsidP="0080416E">
      <w:pPr>
        <w:pStyle w:val="PI-2EMEASMCA"/>
      </w:pPr>
      <w:bookmarkStart w:id="19" w:name="_Toc129243107"/>
      <w:bookmarkStart w:id="20" w:name="_Toc129243232"/>
      <w:r w:rsidRPr="00FF397D">
        <w:t>4.6</w:t>
      </w:r>
      <w:r w:rsidRPr="00FF397D">
        <w:tab/>
        <w:t>Vaisingumas, nėštumo ir žindymo laikotarpis</w:t>
      </w:r>
      <w:bookmarkEnd w:id="19"/>
      <w:bookmarkEnd w:id="20"/>
    </w:p>
    <w:p w14:paraId="3F288693" w14:textId="77777777" w:rsidR="0080416E" w:rsidRPr="00FF397D" w:rsidRDefault="0080416E" w:rsidP="00B45D31">
      <w:pPr>
        <w:pStyle w:val="BTEMEASMCA"/>
      </w:pPr>
    </w:p>
    <w:p w14:paraId="10BF7FA9"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Vartojant vyrams</w:t>
      </w:r>
    </w:p>
    <w:p w14:paraId="1D912A19"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508C14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Manoma, kad gydant teriflunomidu, su poveikiu vyrui susijusio toksiškumo vaisiui rizika yra maža (žr. 5.3 skyrių).</w:t>
      </w:r>
    </w:p>
    <w:p w14:paraId="1BEC4DA3" w14:textId="77777777" w:rsidR="0080416E" w:rsidRPr="00FF397D" w:rsidRDefault="0080416E" w:rsidP="0080416E">
      <w:pPr>
        <w:autoSpaceDE w:val="0"/>
        <w:autoSpaceDN w:val="0"/>
        <w:adjustRightInd w:val="0"/>
        <w:spacing w:line="240" w:lineRule="auto"/>
        <w:rPr>
          <w:rFonts w:eastAsia="Calibri"/>
          <w:szCs w:val="22"/>
          <w:lang w:val="lt-LT"/>
        </w:rPr>
      </w:pPr>
    </w:p>
    <w:p w14:paraId="536B3590"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Nėštumas</w:t>
      </w:r>
    </w:p>
    <w:p w14:paraId="52F2BCDD"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4544452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Duomenų apie teriflunomido vartojimą nėščiosioms nepakanka. Su gyvūnais atlikti tyrimai parodė toksinį poveikį reprodukcijai (žr. 5.3 skyrių).</w:t>
      </w:r>
    </w:p>
    <w:p w14:paraId="671E8F7C" w14:textId="77777777" w:rsidR="0080416E" w:rsidRPr="00FF397D" w:rsidRDefault="0080416E" w:rsidP="0080416E">
      <w:pPr>
        <w:autoSpaceDE w:val="0"/>
        <w:autoSpaceDN w:val="0"/>
        <w:adjustRightInd w:val="0"/>
        <w:spacing w:line="240" w:lineRule="auto"/>
        <w:rPr>
          <w:rFonts w:eastAsia="Calibri"/>
          <w:szCs w:val="22"/>
          <w:lang w:val="lt-LT"/>
        </w:rPr>
      </w:pPr>
    </w:p>
    <w:p w14:paraId="1A737479"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Teriflunomidas, vartojamas nėštumo metu, gali sukelti sunkių apsigimimų. Teriflunomido draudžiama vartoti nėštumo metu (žr. 4.3 skyrių).</w:t>
      </w:r>
    </w:p>
    <w:p w14:paraId="5A47F310" w14:textId="77777777" w:rsidR="0080416E" w:rsidRPr="00FF397D" w:rsidRDefault="0080416E" w:rsidP="0080416E">
      <w:pPr>
        <w:autoSpaceDE w:val="0"/>
        <w:autoSpaceDN w:val="0"/>
        <w:adjustRightInd w:val="0"/>
        <w:spacing w:line="240" w:lineRule="auto"/>
        <w:rPr>
          <w:rFonts w:eastAsia="Calibri"/>
          <w:szCs w:val="22"/>
          <w:lang w:val="lt-LT"/>
        </w:rPr>
      </w:pPr>
    </w:p>
    <w:p w14:paraId="154493F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Vaisingos moterys turi naudoti veiksmingą kontracepcijos metodą gydymo teriflunomidu metu ir vėliau, kol jo koncentracija plazmoje yra didesnė nei 0,02 mg/l. Šiuo laikotarpiu moterys su gydančiu gydytoju turi aptarti bet kokius planus sustabdyti arba pakeisti kontracepcijos priemonių vartojimą. Moteriškos lyties vaikai ir (arba) moteriškos lyties vaikų tėvai ir (arba) globėjai turi būti informuoti apie būtinybę kreiptis į gydantį gydytoją, kai teriflunomidu gydomam moteriškos lyties vaikui prasideda menstruacijos. Naujos vaisingos pacientės turi būti pakonsultuotos dėl kontracepcijos ir galimos rizikos vaisiui. Reikia apsvarstyti dėl siuntimo pas ginekologą.</w:t>
      </w:r>
    </w:p>
    <w:p w14:paraId="02EE2F53" w14:textId="77777777" w:rsidR="0080416E" w:rsidRPr="00FF397D" w:rsidRDefault="0080416E" w:rsidP="0080416E">
      <w:pPr>
        <w:autoSpaceDE w:val="0"/>
        <w:autoSpaceDN w:val="0"/>
        <w:adjustRightInd w:val="0"/>
        <w:spacing w:line="240" w:lineRule="auto"/>
        <w:rPr>
          <w:rFonts w:eastAsia="Calibri"/>
          <w:szCs w:val="22"/>
          <w:lang w:val="lt-LT"/>
        </w:rPr>
      </w:pPr>
    </w:p>
    <w:p w14:paraId="069A3189"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Pacientę būtina perspėti, kad laiku neprasidėjus menstruacijoms arba dėl kitų priežasčių įtariant nėštumą, ji turi nedelsiant nutraukti teriflunomido vartojimą ir kreiptis į gydytoją ir atlikti nėštumo testą, ir jei jis yra teigiamas, gydytojas ir pacientė turi aptarti riziką nėštumui. Įmanoma, kad greitai mažėjanti teriflunomido koncentracija kraujyje, pradėjus pagreitintą toliau aprašytą eliminacijos procedūrą pavėlavus mėnesinėms, gali sumažinti riziką vaisiui.</w:t>
      </w:r>
    </w:p>
    <w:p w14:paraId="646B18F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Teriflunomidu gydomoms pastoti norinčioms moterims vaistinio preparato vartojimą reikia nutraukti, ir rekomenduojama atlikti pagreitintos eliminacijos procedūrą, kad vaistinio preparato koncentracija kuo greičiau taptų mažesnė nei 0,02 mg/l (žr. toliau).</w:t>
      </w:r>
    </w:p>
    <w:p w14:paraId="7BA944B6" w14:textId="77777777" w:rsidR="0080416E" w:rsidRPr="00FF397D" w:rsidRDefault="0080416E" w:rsidP="0080416E">
      <w:pPr>
        <w:autoSpaceDE w:val="0"/>
        <w:autoSpaceDN w:val="0"/>
        <w:adjustRightInd w:val="0"/>
        <w:spacing w:line="240" w:lineRule="auto"/>
        <w:rPr>
          <w:rFonts w:eastAsia="Calibri"/>
          <w:szCs w:val="22"/>
          <w:lang w:val="lt-LT"/>
        </w:rPr>
      </w:pPr>
    </w:p>
    <w:p w14:paraId="27BDE33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Netaikant pagreitintos eliminacijos procedūros, tikėtina, kad teriflunomido koncentracijos plazmoje vidutiniškai 8 mėnesius bus didesnės kaip 0,02 mg/l, nors gali trukti iki 2 metų, kol koncentracijos kai kurių pacienčių plazmoje taps mažesnės nei 0,02  mg/l. Todėl prieš moteriai bandant pastoti turi būti išmatuotos teriflunomido koncentracijos plazmoje. Nustačius, kad teriflunomido koncentracija plazmoje yra mažesnė kaip 0,02 mg/l, koncentraciją plazmoje reikia išmatuoti dar kartą praėjus mažiausiai 14 dienų. Jei abu kartus koncentracijos plazmoje yra mažesnės nei 0,02 mg/l, rizikos vaisiui nesitikima.</w:t>
      </w:r>
    </w:p>
    <w:p w14:paraId="3AC3955E" w14:textId="77777777" w:rsidR="0080416E" w:rsidRPr="00FF397D" w:rsidRDefault="0080416E" w:rsidP="0080416E">
      <w:pPr>
        <w:rPr>
          <w:szCs w:val="22"/>
          <w:lang w:val="lt-LT"/>
        </w:rPr>
      </w:pPr>
      <w:r w:rsidRPr="00FF397D">
        <w:rPr>
          <w:szCs w:val="22"/>
          <w:lang w:val="lt-LT"/>
        </w:rPr>
        <w:t xml:space="preserve">Daugiau informacijos apie kraujo mėginio tyrimą gali suteikti registruotojas arba jo vietinis atstovas (žr. 7 skyrių). </w:t>
      </w:r>
    </w:p>
    <w:p w14:paraId="7C461ACD" w14:textId="77777777" w:rsidR="0080416E" w:rsidRPr="00FF397D" w:rsidRDefault="0080416E" w:rsidP="0080416E">
      <w:pPr>
        <w:autoSpaceDE w:val="0"/>
        <w:autoSpaceDN w:val="0"/>
        <w:adjustRightInd w:val="0"/>
        <w:spacing w:line="240" w:lineRule="auto"/>
        <w:rPr>
          <w:rFonts w:eastAsia="Calibri"/>
          <w:szCs w:val="22"/>
          <w:lang w:val="lt-LT"/>
        </w:rPr>
      </w:pPr>
    </w:p>
    <w:p w14:paraId="287F1AA4"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Pagreitintos eliminacijos procedūra</w:t>
      </w:r>
    </w:p>
    <w:p w14:paraId="2F2DDC46" w14:textId="77777777" w:rsidR="0080416E" w:rsidRPr="00FF397D" w:rsidRDefault="0080416E" w:rsidP="0080416E">
      <w:pPr>
        <w:keepNext/>
        <w:autoSpaceDE w:val="0"/>
        <w:autoSpaceDN w:val="0"/>
        <w:adjustRightInd w:val="0"/>
        <w:spacing w:line="240" w:lineRule="auto"/>
        <w:rPr>
          <w:rFonts w:eastAsia="Calibri"/>
          <w:i/>
          <w:iCs/>
          <w:szCs w:val="22"/>
          <w:lang w:val="lt-LT"/>
        </w:rPr>
      </w:pPr>
    </w:p>
    <w:p w14:paraId="0D6822FA" w14:textId="77777777" w:rsidR="0080416E" w:rsidRPr="00FF397D" w:rsidRDefault="0080416E" w:rsidP="0080416E">
      <w:pPr>
        <w:keepNext/>
        <w:autoSpaceDE w:val="0"/>
        <w:autoSpaceDN w:val="0"/>
        <w:adjustRightInd w:val="0"/>
        <w:spacing w:line="240" w:lineRule="auto"/>
        <w:rPr>
          <w:rFonts w:eastAsia="Calibri"/>
          <w:szCs w:val="22"/>
          <w:lang w:val="lt-LT"/>
        </w:rPr>
      </w:pPr>
      <w:r w:rsidRPr="00FF397D">
        <w:rPr>
          <w:rFonts w:eastAsia="Calibri"/>
          <w:szCs w:val="22"/>
          <w:lang w:val="lt-LT"/>
        </w:rPr>
        <w:t>Nutraukus gydymą teriflunomidu:</w:t>
      </w:r>
    </w:p>
    <w:p w14:paraId="6F12977A" w14:textId="77777777" w:rsidR="0080416E" w:rsidRPr="00FF397D" w:rsidRDefault="0080416E" w:rsidP="0080416E">
      <w:pPr>
        <w:pStyle w:val="Sraopastraipa"/>
        <w:numPr>
          <w:ilvl w:val="0"/>
          <w:numId w:val="147"/>
        </w:numPr>
        <w:tabs>
          <w:tab w:val="clear" w:pos="567"/>
        </w:tabs>
        <w:autoSpaceDE w:val="0"/>
        <w:autoSpaceDN w:val="0"/>
        <w:adjustRightInd w:val="0"/>
        <w:spacing w:line="240" w:lineRule="auto"/>
        <w:rPr>
          <w:rFonts w:eastAsia="Calibri"/>
          <w:szCs w:val="22"/>
        </w:rPr>
      </w:pPr>
      <w:r w:rsidRPr="00FF397D">
        <w:rPr>
          <w:rFonts w:eastAsia="Calibri"/>
          <w:szCs w:val="22"/>
        </w:rPr>
        <w:t>skiriama 8 g kolestiramino dozė 3 kartus per parą 11 dienų, arba galima vartoti 4 g kolestiramino dozę 3 kartus per parą, jei 8 g cholestiramino dozė 3 kartus per parą netoleruojama gerai;</w:t>
      </w:r>
    </w:p>
    <w:p w14:paraId="374A082D" w14:textId="77777777" w:rsidR="0080416E" w:rsidRPr="00FF397D" w:rsidRDefault="0080416E" w:rsidP="0080416E">
      <w:pPr>
        <w:pStyle w:val="Sraopastraipa"/>
        <w:numPr>
          <w:ilvl w:val="0"/>
          <w:numId w:val="147"/>
        </w:numPr>
        <w:tabs>
          <w:tab w:val="clear" w:pos="567"/>
        </w:tabs>
        <w:autoSpaceDE w:val="0"/>
        <w:autoSpaceDN w:val="0"/>
        <w:adjustRightInd w:val="0"/>
        <w:spacing w:line="240" w:lineRule="auto"/>
        <w:rPr>
          <w:rFonts w:eastAsia="Calibri"/>
          <w:szCs w:val="22"/>
        </w:rPr>
      </w:pPr>
      <w:r w:rsidRPr="00FF397D">
        <w:rPr>
          <w:rFonts w:eastAsia="Calibri"/>
          <w:szCs w:val="22"/>
        </w:rPr>
        <w:t>arba skiriama 50 g aktyvintosios anglies miltelių dozė kas 12 valandų 11 parų.</w:t>
      </w:r>
    </w:p>
    <w:p w14:paraId="2E286CB5" w14:textId="77777777" w:rsidR="0080416E" w:rsidRPr="00FF397D" w:rsidRDefault="0080416E" w:rsidP="0080416E">
      <w:pPr>
        <w:autoSpaceDE w:val="0"/>
        <w:autoSpaceDN w:val="0"/>
        <w:adjustRightInd w:val="0"/>
        <w:spacing w:line="240" w:lineRule="auto"/>
        <w:rPr>
          <w:rFonts w:eastAsia="Calibri"/>
          <w:szCs w:val="22"/>
          <w:lang w:val="lt-LT"/>
        </w:rPr>
      </w:pPr>
    </w:p>
    <w:p w14:paraId="5FDF24B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Tačiau po pagreitintos eliminacijos procedūros irgi reikia atlikti 2 atskirus patikros mėginius su ne trumpesne kaip 14 parų pertrauka, taip pat iki apvaisinimo turi praeiti pusantro mėnesio nuo tos dienos, kai pirmą kartą buvo nustatyta mažesnė nei 0,02 mg/l koncentracija plazmoje.</w:t>
      </w:r>
    </w:p>
    <w:p w14:paraId="0E9116F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Tiek kolestiraminas, tiek ir aktyvintosios anglies milteliai gali turėti įtakos estrogenų ir progestagenų absorbcijai, todėl atliekant pagreitintos eliminacijos procedūrą kolestiraminu ar aktyvintosios anglies milteliais, negarantuojamas patikimas geriamųjų kontraceptikų poveikis. Rekomenduojama naudoti alternatyvius kontracepcijos metodus.</w:t>
      </w:r>
    </w:p>
    <w:p w14:paraId="6F2BC7D1" w14:textId="77777777" w:rsidR="0080416E" w:rsidRPr="00FF397D" w:rsidRDefault="0080416E" w:rsidP="0080416E">
      <w:pPr>
        <w:autoSpaceDE w:val="0"/>
        <w:autoSpaceDN w:val="0"/>
        <w:adjustRightInd w:val="0"/>
        <w:spacing w:line="240" w:lineRule="auto"/>
        <w:rPr>
          <w:rFonts w:eastAsia="Calibri"/>
          <w:szCs w:val="22"/>
          <w:lang w:val="lt-LT"/>
        </w:rPr>
      </w:pPr>
    </w:p>
    <w:p w14:paraId="7D9D89F1"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Žindymas</w:t>
      </w:r>
    </w:p>
    <w:p w14:paraId="1FC1EDD8"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DCE44B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Tyrimai su gyvūnais parodė, kad teriflunomidas išsiskiria į žindyvės pieną. Teriflunomido draudžiama vartoti žindymo metu (žr. 4.3 skyrių).</w:t>
      </w:r>
    </w:p>
    <w:p w14:paraId="1D2F2B1A" w14:textId="77777777" w:rsidR="0080416E" w:rsidRPr="00FF397D" w:rsidRDefault="0080416E" w:rsidP="0080416E">
      <w:pPr>
        <w:autoSpaceDE w:val="0"/>
        <w:autoSpaceDN w:val="0"/>
        <w:adjustRightInd w:val="0"/>
        <w:spacing w:line="240" w:lineRule="auto"/>
        <w:rPr>
          <w:rFonts w:eastAsia="Calibri"/>
          <w:szCs w:val="22"/>
          <w:lang w:val="lt-LT"/>
        </w:rPr>
      </w:pPr>
    </w:p>
    <w:p w14:paraId="3595396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Vaisingumas</w:t>
      </w:r>
    </w:p>
    <w:p w14:paraId="38C8A7D2"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04DAF6F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Tyrimų su gyvūnais duomenys poveikio vaisingumui neparodė (žr. 5.3 skyrių). Nors trūksta duomenų apie žmones, manoma, kad poveikio vyrų ir moterų vaisingumui nėra.</w:t>
      </w:r>
    </w:p>
    <w:p w14:paraId="5F41F743" w14:textId="77777777" w:rsidR="0080416E" w:rsidRPr="00FF397D" w:rsidRDefault="0080416E" w:rsidP="00B45D31">
      <w:pPr>
        <w:pStyle w:val="BTEMEASMCA"/>
      </w:pPr>
    </w:p>
    <w:p w14:paraId="00B7BDC1" w14:textId="7DBEE5E5" w:rsidR="0080416E" w:rsidRPr="00FF397D" w:rsidRDefault="0080416E" w:rsidP="0080416E">
      <w:pPr>
        <w:pStyle w:val="PI-2EMEASMCA"/>
        <w:keepLines w:val="0"/>
      </w:pPr>
      <w:bookmarkStart w:id="21" w:name="_Toc129243108"/>
      <w:bookmarkStart w:id="22" w:name="_Toc129243233"/>
      <w:r w:rsidRPr="00FF397D">
        <w:t>4.7</w:t>
      </w:r>
      <w:r w:rsidRPr="00FF397D">
        <w:tab/>
        <w:t>Poveikis gebėjimui vairuoti ir valdyti mechanizmus</w:t>
      </w:r>
      <w:bookmarkEnd w:id="21"/>
      <w:bookmarkEnd w:id="22"/>
    </w:p>
    <w:p w14:paraId="23F7449F" w14:textId="77777777" w:rsidR="0080416E" w:rsidRPr="00FF397D" w:rsidRDefault="0080416E" w:rsidP="00B45D31">
      <w:pPr>
        <w:pStyle w:val="BTEMEASMCA"/>
      </w:pPr>
    </w:p>
    <w:p w14:paraId="6010416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gebėjimo vairuoti ir valdyti mechanizmus neveikia arba veikia nereikšmingai. Pasireiškus nepageidaujamoms reakcijoms, pavyzdžiui, svaiguliui, kuris buvo pastebėtas vartojant pirminio junginio leflunomido, paciento gebėjimas sutelkti dėmesį ir reakcija gali pablogėti. Tokiais atvejais</w:t>
      </w:r>
      <w:r w:rsidRPr="00FF397D">
        <w:rPr>
          <w:szCs w:val="22"/>
          <w:lang w:val="lt-LT"/>
        </w:rPr>
        <w:t xml:space="preserve"> </w:t>
      </w:r>
      <w:r w:rsidRPr="00FF397D">
        <w:rPr>
          <w:rFonts w:eastAsia="Calibri"/>
          <w:szCs w:val="22"/>
          <w:lang w:val="lt-LT"/>
        </w:rPr>
        <w:t>pacientams negalima vairuoti ar valdyti mechanizmų.</w:t>
      </w:r>
    </w:p>
    <w:p w14:paraId="6AA925BA" w14:textId="77777777" w:rsidR="0080416E" w:rsidRPr="00FF397D" w:rsidRDefault="0080416E" w:rsidP="00B45D31">
      <w:pPr>
        <w:pStyle w:val="BTEMEASMCA"/>
      </w:pPr>
    </w:p>
    <w:p w14:paraId="76193FE9" w14:textId="2418996E" w:rsidR="0080416E" w:rsidRPr="00FF397D" w:rsidRDefault="0080416E" w:rsidP="0080416E">
      <w:pPr>
        <w:pStyle w:val="PI-2EMEASMCA"/>
      </w:pPr>
      <w:bookmarkStart w:id="23" w:name="_Toc129243109"/>
      <w:bookmarkStart w:id="24" w:name="_Toc129243234"/>
      <w:r w:rsidRPr="00FF397D">
        <w:t>4.8</w:t>
      </w:r>
      <w:r w:rsidRPr="00FF397D">
        <w:tab/>
        <w:t>Nepageidaujamas poveikis</w:t>
      </w:r>
      <w:bookmarkEnd w:id="23"/>
      <w:bookmarkEnd w:id="24"/>
    </w:p>
    <w:p w14:paraId="41B5CAB3" w14:textId="77777777" w:rsidR="0080416E" w:rsidRPr="00FF397D" w:rsidRDefault="0080416E" w:rsidP="00B45D31">
      <w:pPr>
        <w:pStyle w:val="BTEMEASMCA"/>
      </w:pPr>
    </w:p>
    <w:p w14:paraId="762E1502" w14:textId="77777777" w:rsidR="0080416E" w:rsidRPr="00FF397D" w:rsidRDefault="00510655" w:rsidP="0080416E">
      <w:pPr>
        <w:keepNext/>
        <w:autoSpaceDE w:val="0"/>
        <w:autoSpaceDN w:val="0"/>
        <w:adjustRightInd w:val="0"/>
        <w:spacing w:line="240" w:lineRule="auto"/>
        <w:rPr>
          <w:szCs w:val="22"/>
          <w:u w:val="single"/>
          <w:lang w:val="lt-LT"/>
        </w:rPr>
      </w:pPr>
      <w:hyperlink r:id="rId8" w:history="1"/>
      <w:r w:rsidR="0080416E" w:rsidRPr="00FF397D">
        <w:rPr>
          <w:szCs w:val="22"/>
          <w:u w:val="single"/>
          <w:lang w:val="lt-LT"/>
        </w:rPr>
        <w:t>Saugumo duomenų santrauka</w:t>
      </w:r>
    </w:p>
    <w:p w14:paraId="60E8E1B7" w14:textId="77777777" w:rsidR="0080416E" w:rsidRPr="00FF397D" w:rsidRDefault="0080416E" w:rsidP="0080416E">
      <w:pPr>
        <w:keepNext/>
        <w:autoSpaceDE w:val="0"/>
        <w:autoSpaceDN w:val="0"/>
        <w:adjustRightInd w:val="0"/>
        <w:spacing w:line="240" w:lineRule="auto"/>
        <w:rPr>
          <w:szCs w:val="22"/>
          <w:u w:val="single"/>
          <w:lang w:val="lt-LT"/>
        </w:rPr>
      </w:pPr>
    </w:p>
    <w:p w14:paraId="61280A36" w14:textId="77777777" w:rsidR="0080416E" w:rsidRPr="00FF397D" w:rsidRDefault="0080416E" w:rsidP="0080416E">
      <w:pPr>
        <w:autoSpaceDE w:val="0"/>
        <w:autoSpaceDN w:val="0"/>
        <w:adjustRightInd w:val="0"/>
        <w:spacing w:line="240" w:lineRule="auto"/>
        <w:rPr>
          <w:szCs w:val="22"/>
          <w:lang w:val="lt-LT"/>
        </w:rPr>
      </w:pPr>
      <w:r w:rsidRPr="00FF397D">
        <w:rPr>
          <w:szCs w:val="22"/>
          <w:lang w:val="lt-LT"/>
        </w:rPr>
        <w:t>Nepageidaujamos reakcijos teriflunomidu (7 mg ir 14 mg) gydytiems pacientams, apie kurias pranešta dažniausiai, buvo atitinkamai: galvos skausmas (17,8 %, 15,7 %), viduriavimas (13,1 %, 13,6 %), ALT aktyvumo padidėjimas (13 %, 15 %), pykinimas (8 %, 10,7 %) ir plaukų slinkimas (alopecija) (9,8 %, 13,5 %). Galvos skausmas, viduriavimas, pykinimas ir alopecija dažniausiai buvo nesunkūs arba vidutinio sunkumo, laikini ir dėl jų nedažnai prireikdavo nutraukti gydymą.</w:t>
      </w:r>
    </w:p>
    <w:p w14:paraId="581CA690" w14:textId="77777777" w:rsidR="0080416E" w:rsidRPr="00FF397D" w:rsidRDefault="0080416E" w:rsidP="0080416E">
      <w:pPr>
        <w:autoSpaceDE w:val="0"/>
        <w:autoSpaceDN w:val="0"/>
        <w:adjustRightInd w:val="0"/>
        <w:spacing w:line="240" w:lineRule="auto"/>
        <w:rPr>
          <w:szCs w:val="22"/>
          <w:lang w:val="lt-LT"/>
        </w:rPr>
      </w:pPr>
    </w:p>
    <w:p w14:paraId="5E2EC032" w14:textId="77777777" w:rsidR="0080416E" w:rsidRPr="00FF397D" w:rsidRDefault="0080416E" w:rsidP="0080416E">
      <w:pPr>
        <w:autoSpaceDE w:val="0"/>
        <w:autoSpaceDN w:val="0"/>
        <w:adjustRightInd w:val="0"/>
        <w:spacing w:line="240" w:lineRule="auto"/>
        <w:rPr>
          <w:szCs w:val="22"/>
          <w:lang w:val="lt-LT"/>
        </w:rPr>
      </w:pPr>
      <w:r w:rsidRPr="00FF397D">
        <w:rPr>
          <w:szCs w:val="22"/>
          <w:lang w:val="lt-LT"/>
        </w:rPr>
        <w:t>Teriflunomidas yra pagrindinis leflunomido metabolitas. Leflunomido saugumo duomenys, nustatyti reumatoidiniu artritu ar psoriaziniu artritu sergantiems pacientams gali būti svarbūs ir skiriant teriflunomido IS sergantiems pacientams.</w:t>
      </w:r>
    </w:p>
    <w:p w14:paraId="42902EDB" w14:textId="77777777" w:rsidR="0080416E" w:rsidRPr="00FF397D" w:rsidRDefault="0080416E" w:rsidP="0080416E">
      <w:pPr>
        <w:autoSpaceDE w:val="0"/>
        <w:autoSpaceDN w:val="0"/>
        <w:adjustRightInd w:val="0"/>
        <w:spacing w:line="240" w:lineRule="auto"/>
        <w:rPr>
          <w:szCs w:val="22"/>
          <w:lang w:val="lt-LT"/>
        </w:rPr>
      </w:pPr>
    </w:p>
    <w:p w14:paraId="30626898" w14:textId="77777777" w:rsidR="0080416E" w:rsidRPr="00FF397D" w:rsidRDefault="0080416E" w:rsidP="0080416E">
      <w:pPr>
        <w:autoSpaceDE w:val="0"/>
        <w:autoSpaceDN w:val="0"/>
        <w:adjustRightInd w:val="0"/>
        <w:spacing w:line="240" w:lineRule="auto"/>
        <w:rPr>
          <w:szCs w:val="22"/>
          <w:u w:val="single"/>
          <w:lang w:val="lt-LT"/>
        </w:rPr>
      </w:pPr>
      <w:r w:rsidRPr="00FF397D">
        <w:rPr>
          <w:szCs w:val="22"/>
          <w:u w:val="single"/>
          <w:lang w:val="lt-LT"/>
        </w:rPr>
        <w:t>Nepageidaujamų reakcijų santrauka lentelėje</w:t>
      </w:r>
    </w:p>
    <w:p w14:paraId="4A534B50" w14:textId="77777777" w:rsidR="0080416E" w:rsidRPr="00FF397D" w:rsidRDefault="0080416E" w:rsidP="0080416E">
      <w:pPr>
        <w:autoSpaceDE w:val="0"/>
        <w:autoSpaceDN w:val="0"/>
        <w:adjustRightInd w:val="0"/>
        <w:spacing w:line="240" w:lineRule="auto"/>
        <w:rPr>
          <w:szCs w:val="22"/>
          <w:lang w:val="lt-LT"/>
        </w:rPr>
      </w:pPr>
      <w:r w:rsidRPr="00FF397D">
        <w:rPr>
          <w:szCs w:val="22"/>
          <w:lang w:val="lt-LT"/>
        </w:rPr>
        <w:t xml:space="preserve">Teriflunomidas buvo vertintas suaugusiems pacientams, sergantiems recidyvuojančios IS (recidyvuojanti išsėtinė sklerozė, angl., </w:t>
      </w:r>
      <w:r w:rsidRPr="00FF397D">
        <w:rPr>
          <w:i/>
          <w:iCs/>
          <w:szCs w:val="22"/>
          <w:lang w:val="lt-LT"/>
        </w:rPr>
        <w:t>Relapsing Multiple Sclerosis,</w:t>
      </w:r>
      <w:r w:rsidRPr="00FF397D">
        <w:rPr>
          <w:szCs w:val="22"/>
          <w:lang w:val="lt-LT"/>
        </w:rPr>
        <w:t xml:space="preserve"> </w:t>
      </w:r>
      <w:r w:rsidRPr="00FF397D">
        <w:rPr>
          <w:i/>
          <w:iCs/>
          <w:szCs w:val="22"/>
          <w:lang w:val="lt-LT"/>
        </w:rPr>
        <w:t>RMS</w:t>
      </w:r>
      <w:r w:rsidRPr="00FF397D">
        <w:rPr>
          <w:szCs w:val="22"/>
          <w:lang w:val="lt-LT"/>
        </w:rPr>
        <w:t>) formomis, iš viso 2 267 pacientai vartojo teriflunomido (1 155 vartojo 7 mg teriflunomido dozę, o 1 112 – 14 mg teriflunomido dozę) vieną kartą per parą maždaug 672 dienas (mediana) keturiuose placebu kontroliuojamuose tyrimuose (1 045 ir 1 002 pacientai vartojo atitinkamai 7 mg ir 14 mg teriflunomido dozes) ir viename tyrime su veikliuoju palyginamuoju preparatu (110 pacientų kiekvienoje iš gydymo teriflunomidu grupėje).</w:t>
      </w:r>
    </w:p>
    <w:p w14:paraId="787D0976" w14:textId="77777777" w:rsidR="0080416E" w:rsidRPr="00FF397D" w:rsidRDefault="0080416E" w:rsidP="0080416E">
      <w:pPr>
        <w:autoSpaceDE w:val="0"/>
        <w:autoSpaceDN w:val="0"/>
        <w:adjustRightInd w:val="0"/>
        <w:spacing w:line="240" w:lineRule="auto"/>
        <w:rPr>
          <w:szCs w:val="22"/>
          <w:lang w:val="lt-LT"/>
        </w:rPr>
      </w:pPr>
    </w:p>
    <w:p w14:paraId="6FE0E60E" w14:textId="77777777" w:rsidR="0080416E" w:rsidRPr="00FF397D" w:rsidRDefault="0080416E" w:rsidP="0080416E">
      <w:pPr>
        <w:autoSpaceDE w:val="0"/>
        <w:autoSpaceDN w:val="0"/>
        <w:adjustRightInd w:val="0"/>
        <w:spacing w:line="240" w:lineRule="auto"/>
        <w:rPr>
          <w:szCs w:val="22"/>
          <w:lang w:val="lt-LT"/>
        </w:rPr>
      </w:pPr>
      <w:r w:rsidRPr="00FF397D">
        <w:rPr>
          <w:szCs w:val="22"/>
          <w:lang w:val="lt-LT"/>
        </w:rPr>
        <w:t>Toliau pateikiamos nepageidaujamos reakcijos, apie kurias pranešta placebu kontroliuojamųjų teriflunomido tyrimų su suaugusiais pacientais metu, nustatytos klinikinių tyrimų su suaugusiais pacientais metu, vartojant 7 mg ar 14 mg teriflunomido dozę. 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nepageidaujamos reakcijos pateikiamos mažėjančio sunkumo tvarka.</w:t>
      </w:r>
    </w:p>
    <w:p w14:paraId="21E6A066" w14:textId="77777777" w:rsidR="0080416E" w:rsidRPr="00FF397D" w:rsidRDefault="0080416E" w:rsidP="0080416E">
      <w:pPr>
        <w:autoSpaceDE w:val="0"/>
        <w:autoSpaceDN w:val="0"/>
        <w:adjustRightInd w:val="0"/>
        <w:spacing w:line="240" w:lineRule="auto"/>
        <w:rPr>
          <w:szCs w:val="22"/>
          <w:lang w:val="lt-LT"/>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353"/>
        <w:gridCol w:w="1529"/>
        <w:gridCol w:w="1714"/>
        <w:gridCol w:w="930"/>
        <w:gridCol w:w="780"/>
        <w:gridCol w:w="1345"/>
      </w:tblGrid>
      <w:tr w:rsidR="0080416E" w:rsidRPr="00FF397D" w14:paraId="05A7817D" w14:textId="77777777" w:rsidTr="00E804EE">
        <w:trPr>
          <w:tblHeader/>
        </w:trPr>
        <w:tc>
          <w:tcPr>
            <w:tcW w:w="871" w:type="pct"/>
            <w:shd w:val="clear" w:color="auto" w:fill="auto"/>
          </w:tcPr>
          <w:p w14:paraId="27A41F88" w14:textId="77777777" w:rsidR="0080416E" w:rsidRPr="00FF397D" w:rsidRDefault="0080416E" w:rsidP="00E804EE">
            <w:pPr>
              <w:spacing w:line="240" w:lineRule="auto"/>
              <w:rPr>
                <w:b/>
                <w:szCs w:val="22"/>
                <w:lang w:val="lt-LT"/>
              </w:rPr>
            </w:pPr>
            <w:r w:rsidRPr="00FF397D">
              <w:rPr>
                <w:b/>
                <w:szCs w:val="22"/>
                <w:lang w:val="lt-LT"/>
              </w:rPr>
              <w:t>Organų sistemos klasė</w:t>
            </w:r>
          </w:p>
        </w:tc>
        <w:tc>
          <w:tcPr>
            <w:tcW w:w="730" w:type="pct"/>
            <w:shd w:val="clear" w:color="auto" w:fill="auto"/>
          </w:tcPr>
          <w:p w14:paraId="5E5A59E7" w14:textId="77777777" w:rsidR="0080416E" w:rsidRPr="00FF397D" w:rsidRDefault="0080416E" w:rsidP="00E804EE">
            <w:pPr>
              <w:spacing w:line="240" w:lineRule="auto"/>
              <w:rPr>
                <w:b/>
                <w:szCs w:val="22"/>
                <w:lang w:val="lt-LT"/>
              </w:rPr>
            </w:pPr>
            <w:r w:rsidRPr="00FF397D">
              <w:rPr>
                <w:b/>
                <w:szCs w:val="22"/>
                <w:lang w:val="lt-LT"/>
              </w:rPr>
              <w:t>Labai dažnas</w:t>
            </w:r>
          </w:p>
        </w:tc>
        <w:tc>
          <w:tcPr>
            <w:tcW w:w="825" w:type="pct"/>
            <w:shd w:val="clear" w:color="auto" w:fill="auto"/>
          </w:tcPr>
          <w:p w14:paraId="4B37E748" w14:textId="77777777" w:rsidR="0080416E" w:rsidRPr="00FF397D" w:rsidRDefault="0080416E" w:rsidP="00E804EE">
            <w:pPr>
              <w:spacing w:line="240" w:lineRule="auto"/>
              <w:rPr>
                <w:b/>
                <w:szCs w:val="22"/>
                <w:lang w:val="lt-LT"/>
              </w:rPr>
            </w:pPr>
            <w:r w:rsidRPr="00FF397D">
              <w:rPr>
                <w:b/>
                <w:szCs w:val="22"/>
                <w:lang w:val="lt-LT"/>
              </w:rPr>
              <w:t>Dažnas</w:t>
            </w:r>
          </w:p>
        </w:tc>
        <w:tc>
          <w:tcPr>
            <w:tcW w:w="925" w:type="pct"/>
            <w:shd w:val="clear" w:color="auto" w:fill="auto"/>
          </w:tcPr>
          <w:p w14:paraId="3AB0925E" w14:textId="77777777" w:rsidR="0080416E" w:rsidRPr="00FF397D" w:rsidRDefault="0080416E" w:rsidP="00E804EE">
            <w:pPr>
              <w:spacing w:line="240" w:lineRule="auto"/>
              <w:rPr>
                <w:b/>
                <w:szCs w:val="22"/>
                <w:lang w:val="lt-LT"/>
              </w:rPr>
            </w:pPr>
            <w:r w:rsidRPr="00FF397D">
              <w:rPr>
                <w:b/>
                <w:szCs w:val="22"/>
                <w:lang w:val="lt-LT"/>
              </w:rPr>
              <w:t>Nedažnas</w:t>
            </w:r>
          </w:p>
        </w:tc>
        <w:tc>
          <w:tcPr>
            <w:tcW w:w="502" w:type="pct"/>
            <w:shd w:val="clear" w:color="auto" w:fill="auto"/>
          </w:tcPr>
          <w:p w14:paraId="22EBF87E" w14:textId="77777777" w:rsidR="0080416E" w:rsidRPr="00FF397D" w:rsidRDefault="0080416E" w:rsidP="00E804EE">
            <w:pPr>
              <w:spacing w:line="240" w:lineRule="auto"/>
              <w:rPr>
                <w:b/>
                <w:szCs w:val="22"/>
                <w:lang w:val="lt-LT"/>
              </w:rPr>
            </w:pPr>
            <w:r w:rsidRPr="00FF397D">
              <w:rPr>
                <w:b/>
                <w:szCs w:val="22"/>
                <w:lang w:val="lt-LT"/>
              </w:rPr>
              <w:t>Retas</w:t>
            </w:r>
          </w:p>
        </w:tc>
        <w:tc>
          <w:tcPr>
            <w:tcW w:w="421" w:type="pct"/>
            <w:shd w:val="clear" w:color="auto" w:fill="auto"/>
          </w:tcPr>
          <w:p w14:paraId="51A8B32B" w14:textId="77777777" w:rsidR="0080416E" w:rsidRPr="00FF397D" w:rsidRDefault="0080416E" w:rsidP="00E804EE">
            <w:pPr>
              <w:spacing w:line="240" w:lineRule="auto"/>
              <w:rPr>
                <w:b/>
                <w:szCs w:val="22"/>
                <w:lang w:val="lt-LT"/>
              </w:rPr>
            </w:pPr>
            <w:r w:rsidRPr="00FF397D">
              <w:rPr>
                <w:b/>
                <w:szCs w:val="22"/>
                <w:lang w:val="lt-LT"/>
              </w:rPr>
              <w:t>Labai retas</w:t>
            </w:r>
          </w:p>
        </w:tc>
        <w:tc>
          <w:tcPr>
            <w:tcW w:w="727" w:type="pct"/>
            <w:shd w:val="clear" w:color="auto" w:fill="auto"/>
          </w:tcPr>
          <w:p w14:paraId="4FEE57B4" w14:textId="77777777" w:rsidR="0080416E" w:rsidRPr="00FF397D" w:rsidRDefault="0080416E" w:rsidP="00E804EE">
            <w:pPr>
              <w:spacing w:line="240" w:lineRule="auto"/>
              <w:rPr>
                <w:b/>
                <w:szCs w:val="22"/>
                <w:lang w:val="lt-LT"/>
              </w:rPr>
            </w:pPr>
            <w:r w:rsidRPr="00FF397D">
              <w:rPr>
                <w:b/>
                <w:szCs w:val="22"/>
                <w:lang w:val="lt-LT"/>
              </w:rPr>
              <w:t>Dažnis nežinomas</w:t>
            </w:r>
          </w:p>
        </w:tc>
      </w:tr>
      <w:tr w:rsidR="0080416E" w:rsidRPr="00FF397D" w14:paraId="34BF68F1" w14:textId="77777777" w:rsidTr="00E804EE">
        <w:tc>
          <w:tcPr>
            <w:tcW w:w="871" w:type="pct"/>
            <w:shd w:val="clear" w:color="auto" w:fill="auto"/>
          </w:tcPr>
          <w:p w14:paraId="061F5DDF" w14:textId="77777777" w:rsidR="0080416E" w:rsidRPr="00FF397D" w:rsidRDefault="0080416E" w:rsidP="00E804EE">
            <w:pPr>
              <w:spacing w:line="240" w:lineRule="auto"/>
              <w:rPr>
                <w:szCs w:val="22"/>
                <w:lang w:val="lt-LT"/>
              </w:rPr>
            </w:pPr>
            <w:r w:rsidRPr="00FF397D">
              <w:rPr>
                <w:szCs w:val="22"/>
                <w:lang w:val="lt-LT"/>
              </w:rPr>
              <w:t>Infekcijos ir infestacijos</w:t>
            </w:r>
          </w:p>
        </w:tc>
        <w:tc>
          <w:tcPr>
            <w:tcW w:w="730" w:type="pct"/>
            <w:shd w:val="clear" w:color="auto" w:fill="auto"/>
          </w:tcPr>
          <w:p w14:paraId="7C60F618" w14:textId="77777777" w:rsidR="0080416E" w:rsidRPr="00FF397D" w:rsidRDefault="0080416E" w:rsidP="00E804EE">
            <w:pPr>
              <w:spacing w:line="240" w:lineRule="auto"/>
              <w:rPr>
                <w:szCs w:val="22"/>
                <w:lang w:val="lt-LT"/>
              </w:rPr>
            </w:pPr>
          </w:p>
        </w:tc>
        <w:tc>
          <w:tcPr>
            <w:tcW w:w="825" w:type="pct"/>
            <w:shd w:val="clear" w:color="auto" w:fill="auto"/>
          </w:tcPr>
          <w:p w14:paraId="2ECDFEDD" w14:textId="117530A0" w:rsidR="0080416E" w:rsidRPr="00FF397D" w:rsidRDefault="0080416E" w:rsidP="00E804EE">
            <w:pPr>
              <w:spacing w:line="240" w:lineRule="auto"/>
              <w:ind w:right="-52"/>
              <w:rPr>
                <w:szCs w:val="22"/>
                <w:lang w:val="lt-LT"/>
              </w:rPr>
            </w:pPr>
            <w:r w:rsidRPr="00FF397D">
              <w:rPr>
                <w:szCs w:val="22"/>
                <w:lang w:val="lt-LT"/>
              </w:rPr>
              <w:t xml:space="preserve">Gripas, viršutinių kvėpavimo takų infekcinė liga, šlapimo takų infekcinė liga, bronchitas, sinusitas, faringitas, cistitas, </w:t>
            </w:r>
            <w:r w:rsidRPr="00FF397D">
              <w:rPr>
                <w:szCs w:val="22"/>
                <w:lang w:val="lt-LT"/>
              </w:rPr>
              <w:lastRenderedPageBreak/>
              <w:t xml:space="preserve">virusinis gastroenteritas, </w:t>
            </w:r>
            <w:r w:rsidR="00415914" w:rsidRPr="009045D7">
              <w:rPr>
                <w:lang w:val="lt-LT"/>
              </w:rPr>
              <w:t xml:space="preserve"> </w:t>
            </w:r>
            <w:r w:rsidR="009045D7">
              <w:rPr>
                <w:lang w:val="lt-LT"/>
              </w:rPr>
              <w:t>p</w:t>
            </w:r>
            <w:r w:rsidR="009045D7" w:rsidRPr="009045D7">
              <w:rPr>
                <w:szCs w:val="22"/>
                <w:lang w:val="lt-LT"/>
              </w:rPr>
              <w:t>ūslelinės (</w:t>
            </w:r>
            <w:r w:rsidR="009045D7" w:rsidRPr="009045D7">
              <w:rPr>
                <w:i/>
                <w:iCs/>
                <w:szCs w:val="22"/>
                <w:lang w:val="lt-LT"/>
              </w:rPr>
              <w:t>herpes</w:t>
            </w:r>
            <w:r w:rsidR="009045D7" w:rsidRPr="009045D7">
              <w:rPr>
                <w:szCs w:val="22"/>
                <w:lang w:val="lt-LT"/>
              </w:rPr>
              <w:t>) viruso sukeltos infekcinės ligos</w:t>
            </w:r>
            <w:r w:rsidR="00415914" w:rsidRPr="009045D7">
              <w:rPr>
                <w:szCs w:val="22"/>
                <w:vertAlign w:val="superscript"/>
                <w:lang w:val="lt-LT"/>
              </w:rPr>
              <w:t>*</w:t>
            </w:r>
            <w:r w:rsidRPr="00FF397D">
              <w:rPr>
                <w:szCs w:val="22"/>
                <w:lang w:val="lt-LT"/>
              </w:rPr>
              <w:t>, dantų infekcija, laringitas, pėdų grybelis</w:t>
            </w:r>
          </w:p>
        </w:tc>
        <w:tc>
          <w:tcPr>
            <w:tcW w:w="925" w:type="pct"/>
            <w:shd w:val="clear" w:color="auto" w:fill="auto"/>
          </w:tcPr>
          <w:p w14:paraId="2FB73FC6" w14:textId="77777777" w:rsidR="0080416E" w:rsidRPr="00FF397D" w:rsidRDefault="0080416E" w:rsidP="00E804EE">
            <w:pPr>
              <w:spacing w:line="240" w:lineRule="auto"/>
              <w:rPr>
                <w:szCs w:val="22"/>
                <w:lang w:val="lt-LT"/>
              </w:rPr>
            </w:pPr>
            <w:r w:rsidRPr="00FF397D">
              <w:rPr>
                <w:szCs w:val="22"/>
                <w:lang w:val="lt-LT"/>
              </w:rPr>
              <w:lastRenderedPageBreak/>
              <w:t>Sunkios infekcinės ligos, įskaitant sepsį</w:t>
            </w:r>
            <w:r w:rsidRPr="00FF397D">
              <w:rPr>
                <w:szCs w:val="22"/>
                <w:vertAlign w:val="superscript"/>
                <w:lang w:val="lt-LT"/>
              </w:rPr>
              <w:t>a</w:t>
            </w:r>
          </w:p>
        </w:tc>
        <w:tc>
          <w:tcPr>
            <w:tcW w:w="502" w:type="pct"/>
            <w:shd w:val="clear" w:color="auto" w:fill="auto"/>
          </w:tcPr>
          <w:p w14:paraId="24166074" w14:textId="77777777" w:rsidR="0080416E" w:rsidRPr="00FF397D" w:rsidRDefault="0080416E" w:rsidP="00E804EE">
            <w:pPr>
              <w:spacing w:line="240" w:lineRule="auto"/>
              <w:rPr>
                <w:szCs w:val="22"/>
                <w:lang w:val="lt-LT"/>
              </w:rPr>
            </w:pPr>
          </w:p>
        </w:tc>
        <w:tc>
          <w:tcPr>
            <w:tcW w:w="421" w:type="pct"/>
            <w:shd w:val="clear" w:color="auto" w:fill="auto"/>
          </w:tcPr>
          <w:p w14:paraId="097F0D99" w14:textId="77777777" w:rsidR="0080416E" w:rsidRPr="00FF397D" w:rsidRDefault="0080416E" w:rsidP="00E804EE">
            <w:pPr>
              <w:spacing w:line="240" w:lineRule="auto"/>
              <w:ind w:right="-165"/>
              <w:rPr>
                <w:szCs w:val="22"/>
                <w:lang w:val="lt-LT"/>
              </w:rPr>
            </w:pPr>
          </w:p>
        </w:tc>
        <w:tc>
          <w:tcPr>
            <w:tcW w:w="727" w:type="pct"/>
            <w:shd w:val="clear" w:color="auto" w:fill="auto"/>
          </w:tcPr>
          <w:p w14:paraId="6A3956AF" w14:textId="77777777" w:rsidR="0080416E" w:rsidRPr="00FF397D" w:rsidRDefault="0080416E" w:rsidP="00E804EE">
            <w:pPr>
              <w:spacing w:line="240" w:lineRule="auto"/>
              <w:rPr>
                <w:szCs w:val="22"/>
                <w:lang w:val="lt-LT"/>
              </w:rPr>
            </w:pPr>
          </w:p>
        </w:tc>
      </w:tr>
      <w:tr w:rsidR="0080416E" w:rsidRPr="0089081B" w14:paraId="102694D0" w14:textId="77777777" w:rsidTr="00E804EE">
        <w:tc>
          <w:tcPr>
            <w:tcW w:w="871" w:type="pct"/>
            <w:shd w:val="clear" w:color="auto" w:fill="auto"/>
          </w:tcPr>
          <w:p w14:paraId="2E29B893" w14:textId="77777777" w:rsidR="0080416E" w:rsidRPr="00FF397D" w:rsidRDefault="0080416E" w:rsidP="00E804EE">
            <w:pPr>
              <w:spacing w:line="240" w:lineRule="auto"/>
              <w:rPr>
                <w:szCs w:val="22"/>
                <w:lang w:val="lt-LT"/>
              </w:rPr>
            </w:pPr>
            <w:r w:rsidRPr="00FF397D">
              <w:rPr>
                <w:szCs w:val="22"/>
                <w:lang w:val="lt-LT"/>
              </w:rPr>
              <w:t>Kraujo ir limfinės sistemos sutrikimai</w:t>
            </w:r>
          </w:p>
        </w:tc>
        <w:tc>
          <w:tcPr>
            <w:tcW w:w="730" w:type="pct"/>
            <w:shd w:val="clear" w:color="auto" w:fill="auto"/>
          </w:tcPr>
          <w:p w14:paraId="119A9CC6" w14:textId="77777777" w:rsidR="0080416E" w:rsidRPr="00FF397D" w:rsidRDefault="0080416E" w:rsidP="00E804EE">
            <w:pPr>
              <w:spacing w:line="240" w:lineRule="auto"/>
              <w:rPr>
                <w:szCs w:val="22"/>
                <w:lang w:val="lt-LT"/>
              </w:rPr>
            </w:pPr>
          </w:p>
        </w:tc>
        <w:tc>
          <w:tcPr>
            <w:tcW w:w="825" w:type="pct"/>
            <w:shd w:val="clear" w:color="auto" w:fill="auto"/>
          </w:tcPr>
          <w:p w14:paraId="737D0256" w14:textId="77777777" w:rsidR="0080416E" w:rsidRPr="00FF397D" w:rsidRDefault="0080416E" w:rsidP="00E804EE">
            <w:pPr>
              <w:spacing w:line="240" w:lineRule="auto"/>
              <w:ind w:right="-52"/>
              <w:rPr>
                <w:szCs w:val="22"/>
                <w:lang w:val="lt-LT"/>
              </w:rPr>
            </w:pPr>
            <w:r w:rsidRPr="00FF397D">
              <w:rPr>
                <w:szCs w:val="22"/>
                <w:lang w:val="lt-LT"/>
              </w:rPr>
              <w:t>Neutropenija</w:t>
            </w:r>
            <w:r w:rsidRPr="00FF397D">
              <w:rPr>
                <w:szCs w:val="22"/>
                <w:vertAlign w:val="superscript"/>
                <w:lang w:val="lt-LT"/>
              </w:rPr>
              <w:t>b</w:t>
            </w:r>
            <w:r w:rsidRPr="00FF397D">
              <w:rPr>
                <w:szCs w:val="22"/>
                <w:lang w:val="lt-LT"/>
              </w:rPr>
              <w:t>, anemija</w:t>
            </w:r>
          </w:p>
        </w:tc>
        <w:tc>
          <w:tcPr>
            <w:tcW w:w="925" w:type="pct"/>
            <w:shd w:val="clear" w:color="auto" w:fill="auto"/>
          </w:tcPr>
          <w:p w14:paraId="1DCF961B" w14:textId="77777777" w:rsidR="0080416E" w:rsidRPr="00FF397D" w:rsidRDefault="0080416E" w:rsidP="00E804EE">
            <w:pPr>
              <w:spacing w:line="240" w:lineRule="auto"/>
              <w:ind w:left="-23" w:right="-62"/>
              <w:rPr>
                <w:szCs w:val="22"/>
                <w:lang w:val="lt-LT"/>
              </w:rPr>
            </w:pPr>
            <w:r w:rsidRPr="00FF397D">
              <w:rPr>
                <w:szCs w:val="22"/>
                <w:lang w:val="lt-LT"/>
              </w:rPr>
              <w:t>Lengva trombocitopenija (trombocitų &lt; 100 g/l)</w:t>
            </w:r>
          </w:p>
        </w:tc>
        <w:tc>
          <w:tcPr>
            <w:tcW w:w="502" w:type="pct"/>
            <w:shd w:val="clear" w:color="auto" w:fill="auto"/>
          </w:tcPr>
          <w:p w14:paraId="3FBE3CD6" w14:textId="77777777" w:rsidR="0080416E" w:rsidRPr="00FF397D" w:rsidRDefault="0080416E" w:rsidP="00E804EE">
            <w:pPr>
              <w:spacing w:line="240" w:lineRule="auto"/>
              <w:rPr>
                <w:szCs w:val="22"/>
                <w:lang w:val="lt-LT"/>
              </w:rPr>
            </w:pPr>
          </w:p>
        </w:tc>
        <w:tc>
          <w:tcPr>
            <w:tcW w:w="421" w:type="pct"/>
            <w:shd w:val="clear" w:color="auto" w:fill="auto"/>
          </w:tcPr>
          <w:p w14:paraId="0030ABF9" w14:textId="77777777" w:rsidR="0080416E" w:rsidRPr="00FF397D" w:rsidRDefault="0080416E" w:rsidP="00E804EE">
            <w:pPr>
              <w:spacing w:line="240" w:lineRule="auto"/>
              <w:ind w:right="-165"/>
              <w:rPr>
                <w:szCs w:val="22"/>
                <w:lang w:val="lt-LT"/>
              </w:rPr>
            </w:pPr>
          </w:p>
        </w:tc>
        <w:tc>
          <w:tcPr>
            <w:tcW w:w="727" w:type="pct"/>
            <w:shd w:val="clear" w:color="auto" w:fill="auto"/>
          </w:tcPr>
          <w:p w14:paraId="664214D8" w14:textId="77777777" w:rsidR="0080416E" w:rsidRPr="00FF397D" w:rsidRDefault="0080416E" w:rsidP="00E804EE">
            <w:pPr>
              <w:spacing w:line="240" w:lineRule="auto"/>
              <w:rPr>
                <w:szCs w:val="22"/>
                <w:lang w:val="lt-LT"/>
              </w:rPr>
            </w:pPr>
          </w:p>
        </w:tc>
      </w:tr>
      <w:tr w:rsidR="0080416E" w:rsidRPr="0089081B" w14:paraId="4203D33C" w14:textId="77777777" w:rsidTr="00E804EE">
        <w:tc>
          <w:tcPr>
            <w:tcW w:w="871" w:type="pct"/>
            <w:shd w:val="clear" w:color="auto" w:fill="auto"/>
          </w:tcPr>
          <w:p w14:paraId="3327B878" w14:textId="77777777" w:rsidR="0080416E" w:rsidRPr="00FF397D" w:rsidRDefault="0080416E" w:rsidP="00E804EE">
            <w:pPr>
              <w:spacing w:line="240" w:lineRule="auto"/>
              <w:rPr>
                <w:szCs w:val="22"/>
                <w:lang w:val="lt-LT"/>
              </w:rPr>
            </w:pPr>
            <w:r w:rsidRPr="00FF397D">
              <w:rPr>
                <w:szCs w:val="22"/>
                <w:lang w:val="lt-LT"/>
              </w:rPr>
              <w:t>Imuninės sistemos sutrikimai</w:t>
            </w:r>
          </w:p>
        </w:tc>
        <w:tc>
          <w:tcPr>
            <w:tcW w:w="730" w:type="pct"/>
            <w:shd w:val="clear" w:color="auto" w:fill="auto"/>
          </w:tcPr>
          <w:p w14:paraId="15DCA352" w14:textId="77777777" w:rsidR="0080416E" w:rsidRPr="00FF397D" w:rsidRDefault="0080416E" w:rsidP="00E804EE">
            <w:pPr>
              <w:spacing w:line="240" w:lineRule="auto"/>
              <w:rPr>
                <w:szCs w:val="22"/>
                <w:lang w:val="lt-LT"/>
              </w:rPr>
            </w:pPr>
          </w:p>
        </w:tc>
        <w:tc>
          <w:tcPr>
            <w:tcW w:w="825" w:type="pct"/>
            <w:shd w:val="clear" w:color="auto" w:fill="auto"/>
          </w:tcPr>
          <w:p w14:paraId="4C723E74" w14:textId="77777777" w:rsidR="0080416E" w:rsidRPr="00FF397D" w:rsidRDefault="0080416E" w:rsidP="00E804EE">
            <w:pPr>
              <w:spacing w:line="240" w:lineRule="auto"/>
              <w:ind w:right="-52"/>
              <w:rPr>
                <w:szCs w:val="22"/>
                <w:lang w:val="lt-LT"/>
              </w:rPr>
            </w:pPr>
            <w:r w:rsidRPr="00FF397D">
              <w:rPr>
                <w:szCs w:val="22"/>
                <w:lang w:val="lt-LT"/>
              </w:rPr>
              <w:t>Lengvos alerginės reakcijos</w:t>
            </w:r>
          </w:p>
        </w:tc>
        <w:tc>
          <w:tcPr>
            <w:tcW w:w="925" w:type="pct"/>
            <w:shd w:val="clear" w:color="auto" w:fill="auto"/>
          </w:tcPr>
          <w:p w14:paraId="55D2D4C9" w14:textId="77777777" w:rsidR="0080416E" w:rsidRPr="00FF397D" w:rsidRDefault="0080416E" w:rsidP="00E804EE">
            <w:pPr>
              <w:spacing w:line="240" w:lineRule="auto"/>
              <w:ind w:left="38"/>
              <w:rPr>
                <w:szCs w:val="22"/>
                <w:lang w:val="lt-LT"/>
              </w:rPr>
            </w:pPr>
            <w:r w:rsidRPr="00FF397D">
              <w:rPr>
                <w:szCs w:val="22"/>
                <w:lang w:val="lt-LT"/>
              </w:rPr>
              <w:t>Padidėjusio jautrumo reakcijos (ūminės ar vėlyvosios), įskaitant anafilaksiją ir angioneurozinę edemą</w:t>
            </w:r>
          </w:p>
        </w:tc>
        <w:tc>
          <w:tcPr>
            <w:tcW w:w="502" w:type="pct"/>
            <w:shd w:val="clear" w:color="auto" w:fill="auto"/>
          </w:tcPr>
          <w:p w14:paraId="143A0B66" w14:textId="77777777" w:rsidR="0080416E" w:rsidRPr="00FF397D" w:rsidRDefault="0080416E" w:rsidP="00E804EE">
            <w:pPr>
              <w:spacing w:line="240" w:lineRule="auto"/>
              <w:rPr>
                <w:szCs w:val="22"/>
                <w:lang w:val="lt-LT"/>
              </w:rPr>
            </w:pPr>
          </w:p>
        </w:tc>
        <w:tc>
          <w:tcPr>
            <w:tcW w:w="421" w:type="pct"/>
            <w:shd w:val="clear" w:color="auto" w:fill="auto"/>
          </w:tcPr>
          <w:p w14:paraId="11D3FC82" w14:textId="77777777" w:rsidR="0080416E" w:rsidRPr="00FF397D" w:rsidRDefault="0080416E" w:rsidP="00E804EE">
            <w:pPr>
              <w:spacing w:line="240" w:lineRule="auto"/>
              <w:ind w:right="-165"/>
              <w:rPr>
                <w:szCs w:val="22"/>
                <w:lang w:val="lt-LT"/>
              </w:rPr>
            </w:pPr>
          </w:p>
        </w:tc>
        <w:tc>
          <w:tcPr>
            <w:tcW w:w="727" w:type="pct"/>
            <w:shd w:val="clear" w:color="auto" w:fill="auto"/>
          </w:tcPr>
          <w:p w14:paraId="0C8AC066" w14:textId="77777777" w:rsidR="0080416E" w:rsidRPr="00FF397D" w:rsidRDefault="0080416E" w:rsidP="00E804EE">
            <w:pPr>
              <w:spacing w:line="240" w:lineRule="auto"/>
              <w:ind w:right="-115"/>
              <w:rPr>
                <w:szCs w:val="22"/>
                <w:lang w:val="lt-LT"/>
              </w:rPr>
            </w:pPr>
          </w:p>
        </w:tc>
      </w:tr>
      <w:tr w:rsidR="0080416E" w:rsidRPr="00FF397D" w14:paraId="60F97C96" w14:textId="77777777" w:rsidTr="00E804EE">
        <w:tc>
          <w:tcPr>
            <w:tcW w:w="871" w:type="pct"/>
            <w:shd w:val="clear" w:color="auto" w:fill="auto"/>
          </w:tcPr>
          <w:p w14:paraId="27CB77E5" w14:textId="77777777" w:rsidR="0080416E" w:rsidRPr="00FF397D" w:rsidRDefault="0080416E" w:rsidP="00E804EE">
            <w:pPr>
              <w:spacing w:line="240" w:lineRule="auto"/>
              <w:rPr>
                <w:szCs w:val="22"/>
                <w:lang w:val="lt-LT"/>
              </w:rPr>
            </w:pPr>
            <w:r w:rsidRPr="00FF397D">
              <w:rPr>
                <w:szCs w:val="22"/>
                <w:lang w:val="lt-LT"/>
              </w:rPr>
              <w:t>Psichikos sutrikimai</w:t>
            </w:r>
          </w:p>
        </w:tc>
        <w:tc>
          <w:tcPr>
            <w:tcW w:w="730" w:type="pct"/>
            <w:shd w:val="clear" w:color="auto" w:fill="auto"/>
          </w:tcPr>
          <w:p w14:paraId="43C35087" w14:textId="77777777" w:rsidR="0080416E" w:rsidRPr="00FF397D" w:rsidRDefault="0080416E" w:rsidP="00E804EE">
            <w:pPr>
              <w:spacing w:line="240" w:lineRule="auto"/>
              <w:rPr>
                <w:szCs w:val="22"/>
                <w:lang w:val="lt-LT"/>
              </w:rPr>
            </w:pPr>
          </w:p>
        </w:tc>
        <w:tc>
          <w:tcPr>
            <w:tcW w:w="825" w:type="pct"/>
            <w:shd w:val="clear" w:color="auto" w:fill="auto"/>
          </w:tcPr>
          <w:p w14:paraId="36F517B2" w14:textId="77777777" w:rsidR="0080416E" w:rsidRPr="00FF397D" w:rsidRDefault="0080416E" w:rsidP="00E804EE">
            <w:pPr>
              <w:spacing w:line="240" w:lineRule="auto"/>
              <w:ind w:right="-52"/>
              <w:rPr>
                <w:szCs w:val="22"/>
                <w:lang w:val="lt-LT"/>
              </w:rPr>
            </w:pPr>
            <w:r w:rsidRPr="00FF397D">
              <w:rPr>
                <w:szCs w:val="22"/>
                <w:lang w:val="lt-LT"/>
              </w:rPr>
              <w:t>Nerimas</w:t>
            </w:r>
          </w:p>
        </w:tc>
        <w:tc>
          <w:tcPr>
            <w:tcW w:w="925" w:type="pct"/>
            <w:shd w:val="clear" w:color="auto" w:fill="auto"/>
          </w:tcPr>
          <w:p w14:paraId="739ADA88" w14:textId="77777777" w:rsidR="0080416E" w:rsidRPr="00FF397D" w:rsidRDefault="0080416E" w:rsidP="00E804EE">
            <w:pPr>
              <w:spacing w:line="240" w:lineRule="auto"/>
              <w:ind w:left="38"/>
              <w:rPr>
                <w:szCs w:val="22"/>
                <w:lang w:val="lt-LT"/>
              </w:rPr>
            </w:pPr>
          </w:p>
        </w:tc>
        <w:tc>
          <w:tcPr>
            <w:tcW w:w="502" w:type="pct"/>
            <w:shd w:val="clear" w:color="auto" w:fill="auto"/>
          </w:tcPr>
          <w:p w14:paraId="16BE8F91" w14:textId="77777777" w:rsidR="0080416E" w:rsidRPr="00FF397D" w:rsidRDefault="0080416E" w:rsidP="00E804EE">
            <w:pPr>
              <w:spacing w:line="240" w:lineRule="auto"/>
              <w:rPr>
                <w:szCs w:val="22"/>
                <w:lang w:val="lt-LT"/>
              </w:rPr>
            </w:pPr>
          </w:p>
        </w:tc>
        <w:tc>
          <w:tcPr>
            <w:tcW w:w="421" w:type="pct"/>
            <w:shd w:val="clear" w:color="auto" w:fill="auto"/>
          </w:tcPr>
          <w:p w14:paraId="27966067" w14:textId="77777777" w:rsidR="0080416E" w:rsidRPr="00FF397D" w:rsidRDefault="0080416E" w:rsidP="00E804EE">
            <w:pPr>
              <w:spacing w:line="240" w:lineRule="auto"/>
              <w:ind w:right="-165"/>
              <w:rPr>
                <w:szCs w:val="22"/>
                <w:lang w:val="lt-LT"/>
              </w:rPr>
            </w:pPr>
          </w:p>
        </w:tc>
        <w:tc>
          <w:tcPr>
            <w:tcW w:w="727" w:type="pct"/>
            <w:shd w:val="clear" w:color="auto" w:fill="auto"/>
          </w:tcPr>
          <w:p w14:paraId="4EFD2822" w14:textId="77777777" w:rsidR="0080416E" w:rsidRPr="00FF397D" w:rsidRDefault="0080416E" w:rsidP="00E804EE">
            <w:pPr>
              <w:spacing w:line="240" w:lineRule="auto"/>
              <w:rPr>
                <w:szCs w:val="22"/>
                <w:lang w:val="lt-LT"/>
              </w:rPr>
            </w:pPr>
          </w:p>
        </w:tc>
      </w:tr>
      <w:tr w:rsidR="0080416E" w:rsidRPr="00FF397D" w14:paraId="3C3C828E" w14:textId="77777777" w:rsidTr="00E804EE">
        <w:trPr>
          <w:trHeight w:val="1289"/>
        </w:trPr>
        <w:tc>
          <w:tcPr>
            <w:tcW w:w="871" w:type="pct"/>
            <w:shd w:val="clear" w:color="auto" w:fill="auto"/>
          </w:tcPr>
          <w:p w14:paraId="5E2D7755" w14:textId="77777777" w:rsidR="0080416E" w:rsidRPr="00FF397D" w:rsidRDefault="0080416E" w:rsidP="00E804EE">
            <w:pPr>
              <w:spacing w:line="240" w:lineRule="auto"/>
              <w:rPr>
                <w:szCs w:val="22"/>
                <w:lang w:val="lt-LT"/>
              </w:rPr>
            </w:pPr>
            <w:r w:rsidRPr="00FF397D">
              <w:rPr>
                <w:szCs w:val="22"/>
                <w:lang w:val="lt-LT"/>
              </w:rPr>
              <w:t>Nervų sistemos sutrikimai</w:t>
            </w:r>
          </w:p>
        </w:tc>
        <w:tc>
          <w:tcPr>
            <w:tcW w:w="730" w:type="pct"/>
            <w:shd w:val="clear" w:color="auto" w:fill="auto"/>
          </w:tcPr>
          <w:p w14:paraId="1147E6DA" w14:textId="77777777" w:rsidR="0080416E" w:rsidRPr="00FF397D" w:rsidRDefault="0080416E" w:rsidP="00E804EE">
            <w:pPr>
              <w:spacing w:line="240" w:lineRule="auto"/>
              <w:ind w:right="-108"/>
              <w:rPr>
                <w:szCs w:val="22"/>
                <w:lang w:val="lt-LT"/>
              </w:rPr>
            </w:pPr>
            <w:r w:rsidRPr="00FF397D">
              <w:rPr>
                <w:szCs w:val="22"/>
                <w:lang w:val="lt-LT"/>
              </w:rPr>
              <w:t>Galvos skausmas</w:t>
            </w:r>
          </w:p>
        </w:tc>
        <w:tc>
          <w:tcPr>
            <w:tcW w:w="825" w:type="pct"/>
            <w:shd w:val="clear" w:color="auto" w:fill="auto"/>
          </w:tcPr>
          <w:p w14:paraId="0E6FED0D" w14:textId="77777777" w:rsidR="0080416E" w:rsidRPr="00FF397D" w:rsidRDefault="0080416E" w:rsidP="00E804EE">
            <w:pPr>
              <w:spacing w:line="240" w:lineRule="auto"/>
              <w:ind w:right="-52"/>
              <w:rPr>
                <w:szCs w:val="22"/>
                <w:lang w:val="lt-LT"/>
              </w:rPr>
            </w:pPr>
            <w:r w:rsidRPr="00FF397D">
              <w:rPr>
                <w:szCs w:val="22"/>
                <w:lang w:val="lt-LT"/>
              </w:rPr>
              <w:t>Parestezija, išialgija, riešo kanalo sindromas</w:t>
            </w:r>
          </w:p>
        </w:tc>
        <w:tc>
          <w:tcPr>
            <w:tcW w:w="925" w:type="pct"/>
            <w:shd w:val="clear" w:color="auto" w:fill="auto"/>
          </w:tcPr>
          <w:p w14:paraId="76E5B382" w14:textId="77777777" w:rsidR="0080416E" w:rsidRPr="00FF397D" w:rsidRDefault="0080416E" w:rsidP="00E804EE">
            <w:pPr>
              <w:spacing w:line="240" w:lineRule="auto"/>
              <w:ind w:left="38"/>
              <w:rPr>
                <w:szCs w:val="22"/>
                <w:lang w:val="lt-LT"/>
              </w:rPr>
            </w:pPr>
            <w:r w:rsidRPr="00FF397D">
              <w:rPr>
                <w:szCs w:val="22"/>
                <w:lang w:val="lt-LT"/>
              </w:rPr>
              <w:t>Hiperestezija, neuralgija, periferinė neuropatija</w:t>
            </w:r>
          </w:p>
        </w:tc>
        <w:tc>
          <w:tcPr>
            <w:tcW w:w="502" w:type="pct"/>
            <w:shd w:val="clear" w:color="auto" w:fill="auto"/>
          </w:tcPr>
          <w:p w14:paraId="65246D5F" w14:textId="77777777" w:rsidR="0080416E" w:rsidRPr="00FF397D" w:rsidRDefault="0080416E" w:rsidP="00E804EE">
            <w:pPr>
              <w:spacing w:line="240" w:lineRule="auto"/>
              <w:rPr>
                <w:szCs w:val="22"/>
                <w:lang w:val="lt-LT"/>
              </w:rPr>
            </w:pPr>
          </w:p>
        </w:tc>
        <w:tc>
          <w:tcPr>
            <w:tcW w:w="421" w:type="pct"/>
            <w:shd w:val="clear" w:color="auto" w:fill="auto"/>
          </w:tcPr>
          <w:p w14:paraId="4184CC20" w14:textId="77777777" w:rsidR="0080416E" w:rsidRPr="00FF397D" w:rsidRDefault="0080416E" w:rsidP="00E804EE">
            <w:pPr>
              <w:spacing w:line="240" w:lineRule="auto"/>
              <w:ind w:right="-165"/>
              <w:rPr>
                <w:szCs w:val="22"/>
                <w:lang w:val="lt-LT"/>
              </w:rPr>
            </w:pPr>
          </w:p>
        </w:tc>
        <w:tc>
          <w:tcPr>
            <w:tcW w:w="727" w:type="pct"/>
            <w:shd w:val="clear" w:color="auto" w:fill="auto"/>
          </w:tcPr>
          <w:p w14:paraId="1E97AFB5" w14:textId="77777777" w:rsidR="0080416E" w:rsidRPr="00FF397D" w:rsidRDefault="0080416E" w:rsidP="00E804EE">
            <w:pPr>
              <w:spacing w:line="240" w:lineRule="auto"/>
              <w:rPr>
                <w:szCs w:val="22"/>
                <w:lang w:val="lt-LT"/>
              </w:rPr>
            </w:pPr>
          </w:p>
        </w:tc>
      </w:tr>
      <w:tr w:rsidR="0080416E" w:rsidRPr="00FF397D" w14:paraId="3DFE4163" w14:textId="77777777" w:rsidTr="00E804EE">
        <w:tc>
          <w:tcPr>
            <w:tcW w:w="871" w:type="pct"/>
            <w:shd w:val="clear" w:color="auto" w:fill="auto"/>
          </w:tcPr>
          <w:p w14:paraId="78694638" w14:textId="77777777" w:rsidR="0080416E" w:rsidRPr="00FF397D" w:rsidRDefault="0080416E" w:rsidP="00E804EE">
            <w:pPr>
              <w:spacing w:line="240" w:lineRule="auto"/>
              <w:rPr>
                <w:szCs w:val="22"/>
                <w:lang w:val="lt-LT"/>
              </w:rPr>
            </w:pPr>
            <w:r w:rsidRPr="00FF397D">
              <w:rPr>
                <w:szCs w:val="22"/>
                <w:lang w:val="lt-LT"/>
              </w:rPr>
              <w:t>Širdies sutrikimai</w:t>
            </w:r>
          </w:p>
        </w:tc>
        <w:tc>
          <w:tcPr>
            <w:tcW w:w="730" w:type="pct"/>
            <w:shd w:val="clear" w:color="auto" w:fill="auto"/>
          </w:tcPr>
          <w:p w14:paraId="79B7BADE" w14:textId="77777777" w:rsidR="0080416E" w:rsidRPr="00FF397D" w:rsidRDefault="0080416E" w:rsidP="00E804EE">
            <w:pPr>
              <w:spacing w:line="240" w:lineRule="auto"/>
              <w:rPr>
                <w:szCs w:val="22"/>
                <w:lang w:val="lt-LT"/>
              </w:rPr>
            </w:pPr>
          </w:p>
        </w:tc>
        <w:tc>
          <w:tcPr>
            <w:tcW w:w="825" w:type="pct"/>
            <w:shd w:val="clear" w:color="auto" w:fill="auto"/>
          </w:tcPr>
          <w:p w14:paraId="1888BF7A" w14:textId="77777777" w:rsidR="0080416E" w:rsidRPr="00FF397D" w:rsidRDefault="0080416E" w:rsidP="00E804EE">
            <w:pPr>
              <w:spacing w:line="240" w:lineRule="auto"/>
              <w:ind w:right="-52"/>
              <w:rPr>
                <w:szCs w:val="22"/>
                <w:lang w:val="lt-LT"/>
              </w:rPr>
            </w:pPr>
            <w:r w:rsidRPr="00FF397D">
              <w:rPr>
                <w:szCs w:val="22"/>
                <w:lang w:val="lt-LT"/>
              </w:rPr>
              <w:t>Palpitacijos</w:t>
            </w:r>
          </w:p>
        </w:tc>
        <w:tc>
          <w:tcPr>
            <w:tcW w:w="925" w:type="pct"/>
            <w:shd w:val="clear" w:color="auto" w:fill="auto"/>
          </w:tcPr>
          <w:p w14:paraId="5126634B" w14:textId="77777777" w:rsidR="0080416E" w:rsidRPr="00FF397D" w:rsidRDefault="0080416E" w:rsidP="00E804EE">
            <w:pPr>
              <w:spacing w:line="240" w:lineRule="auto"/>
              <w:ind w:left="38"/>
              <w:rPr>
                <w:szCs w:val="22"/>
                <w:lang w:val="lt-LT"/>
              </w:rPr>
            </w:pPr>
          </w:p>
        </w:tc>
        <w:tc>
          <w:tcPr>
            <w:tcW w:w="502" w:type="pct"/>
            <w:shd w:val="clear" w:color="auto" w:fill="auto"/>
          </w:tcPr>
          <w:p w14:paraId="48BC0205" w14:textId="77777777" w:rsidR="0080416E" w:rsidRPr="00FF397D" w:rsidRDefault="0080416E" w:rsidP="00E804EE">
            <w:pPr>
              <w:spacing w:line="240" w:lineRule="auto"/>
              <w:rPr>
                <w:szCs w:val="22"/>
                <w:lang w:val="lt-LT"/>
              </w:rPr>
            </w:pPr>
          </w:p>
        </w:tc>
        <w:tc>
          <w:tcPr>
            <w:tcW w:w="421" w:type="pct"/>
            <w:shd w:val="clear" w:color="auto" w:fill="auto"/>
          </w:tcPr>
          <w:p w14:paraId="6FA6687C" w14:textId="77777777" w:rsidR="0080416E" w:rsidRPr="00FF397D" w:rsidRDefault="0080416E" w:rsidP="00E804EE">
            <w:pPr>
              <w:spacing w:line="240" w:lineRule="auto"/>
              <w:ind w:right="-165"/>
              <w:rPr>
                <w:szCs w:val="22"/>
                <w:lang w:val="lt-LT"/>
              </w:rPr>
            </w:pPr>
          </w:p>
        </w:tc>
        <w:tc>
          <w:tcPr>
            <w:tcW w:w="727" w:type="pct"/>
            <w:shd w:val="clear" w:color="auto" w:fill="auto"/>
          </w:tcPr>
          <w:p w14:paraId="5E0341C0" w14:textId="77777777" w:rsidR="0080416E" w:rsidRPr="00FF397D" w:rsidRDefault="0080416E" w:rsidP="00E804EE">
            <w:pPr>
              <w:spacing w:line="240" w:lineRule="auto"/>
              <w:rPr>
                <w:szCs w:val="22"/>
                <w:lang w:val="lt-LT"/>
              </w:rPr>
            </w:pPr>
          </w:p>
        </w:tc>
      </w:tr>
      <w:tr w:rsidR="0080416E" w:rsidRPr="00FF397D" w14:paraId="1D37B6E3" w14:textId="77777777" w:rsidTr="00E804EE">
        <w:tc>
          <w:tcPr>
            <w:tcW w:w="871" w:type="pct"/>
            <w:shd w:val="clear" w:color="auto" w:fill="auto"/>
          </w:tcPr>
          <w:p w14:paraId="5E1F3640" w14:textId="77777777" w:rsidR="0080416E" w:rsidRPr="00FF397D" w:rsidRDefault="0080416E" w:rsidP="00E804EE">
            <w:pPr>
              <w:spacing w:line="240" w:lineRule="auto"/>
              <w:rPr>
                <w:szCs w:val="22"/>
                <w:lang w:val="lt-LT"/>
              </w:rPr>
            </w:pPr>
            <w:r w:rsidRPr="00FF397D">
              <w:rPr>
                <w:szCs w:val="22"/>
                <w:lang w:val="lt-LT"/>
              </w:rPr>
              <w:t>Kraujagyslių sutrikimai</w:t>
            </w:r>
          </w:p>
        </w:tc>
        <w:tc>
          <w:tcPr>
            <w:tcW w:w="730" w:type="pct"/>
            <w:shd w:val="clear" w:color="auto" w:fill="auto"/>
          </w:tcPr>
          <w:p w14:paraId="6E71136F" w14:textId="77777777" w:rsidR="0080416E" w:rsidRPr="00FF397D" w:rsidRDefault="0080416E" w:rsidP="00E804EE">
            <w:pPr>
              <w:spacing w:line="240" w:lineRule="auto"/>
              <w:rPr>
                <w:szCs w:val="22"/>
                <w:lang w:val="lt-LT"/>
              </w:rPr>
            </w:pPr>
          </w:p>
        </w:tc>
        <w:tc>
          <w:tcPr>
            <w:tcW w:w="825" w:type="pct"/>
            <w:shd w:val="clear" w:color="auto" w:fill="auto"/>
          </w:tcPr>
          <w:p w14:paraId="03036F88" w14:textId="77777777" w:rsidR="0080416E" w:rsidRPr="00FF397D" w:rsidRDefault="0080416E" w:rsidP="00E804EE">
            <w:pPr>
              <w:spacing w:line="240" w:lineRule="auto"/>
              <w:ind w:right="-52"/>
              <w:rPr>
                <w:szCs w:val="22"/>
                <w:lang w:val="lt-LT"/>
              </w:rPr>
            </w:pPr>
            <w:r w:rsidRPr="00FF397D">
              <w:rPr>
                <w:szCs w:val="22"/>
                <w:lang w:val="lt-LT"/>
              </w:rPr>
              <w:t>Hipertenzija</w:t>
            </w:r>
            <w:r w:rsidRPr="00FF397D">
              <w:rPr>
                <w:szCs w:val="22"/>
                <w:vertAlign w:val="superscript"/>
                <w:lang w:val="lt-LT"/>
              </w:rPr>
              <w:t>b</w:t>
            </w:r>
          </w:p>
        </w:tc>
        <w:tc>
          <w:tcPr>
            <w:tcW w:w="925" w:type="pct"/>
            <w:shd w:val="clear" w:color="auto" w:fill="auto"/>
          </w:tcPr>
          <w:p w14:paraId="35DA5E98" w14:textId="77777777" w:rsidR="0080416E" w:rsidRPr="00FF397D" w:rsidRDefault="0080416E" w:rsidP="00E804EE">
            <w:pPr>
              <w:spacing w:line="240" w:lineRule="auto"/>
              <w:ind w:left="38"/>
              <w:rPr>
                <w:szCs w:val="22"/>
                <w:lang w:val="lt-LT"/>
              </w:rPr>
            </w:pPr>
          </w:p>
        </w:tc>
        <w:tc>
          <w:tcPr>
            <w:tcW w:w="502" w:type="pct"/>
            <w:shd w:val="clear" w:color="auto" w:fill="auto"/>
          </w:tcPr>
          <w:p w14:paraId="156BAAD1" w14:textId="77777777" w:rsidR="0080416E" w:rsidRPr="00FF397D" w:rsidRDefault="0080416E" w:rsidP="00E804EE">
            <w:pPr>
              <w:spacing w:line="240" w:lineRule="auto"/>
              <w:rPr>
                <w:szCs w:val="22"/>
                <w:lang w:val="lt-LT"/>
              </w:rPr>
            </w:pPr>
          </w:p>
        </w:tc>
        <w:tc>
          <w:tcPr>
            <w:tcW w:w="421" w:type="pct"/>
            <w:shd w:val="clear" w:color="auto" w:fill="auto"/>
          </w:tcPr>
          <w:p w14:paraId="5E84C3E1" w14:textId="77777777" w:rsidR="0080416E" w:rsidRPr="00FF397D" w:rsidRDefault="0080416E" w:rsidP="00E804EE">
            <w:pPr>
              <w:spacing w:line="240" w:lineRule="auto"/>
              <w:ind w:right="-165"/>
              <w:rPr>
                <w:szCs w:val="22"/>
                <w:lang w:val="lt-LT"/>
              </w:rPr>
            </w:pPr>
          </w:p>
        </w:tc>
        <w:tc>
          <w:tcPr>
            <w:tcW w:w="727" w:type="pct"/>
            <w:shd w:val="clear" w:color="auto" w:fill="auto"/>
          </w:tcPr>
          <w:p w14:paraId="265B722C" w14:textId="77777777" w:rsidR="0080416E" w:rsidRPr="00FF397D" w:rsidRDefault="0080416E" w:rsidP="00E804EE">
            <w:pPr>
              <w:spacing w:line="240" w:lineRule="auto"/>
              <w:rPr>
                <w:szCs w:val="22"/>
                <w:lang w:val="lt-LT"/>
              </w:rPr>
            </w:pPr>
          </w:p>
        </w:tc>
      </w:tr>
      <w:tr w:rsidR="0080416E" w:rsidRPr="00FF397D" w14:paraId="7E1A81CA" w14:textId="77777777" w:rsidTr="00E804EE">
        <w:tc>
          <w:tcPr>
            <w:tcW w:w="871" w:type="pct"/>
            <w:shd w:val="clear" w:color="auto" w:fill="auto"/>
          </w:tcPr>
          <w:p w14:paraId="7D6FDF14" w14:textId="77777777" w:rsidR="0080416E" w:rsidRPr="00FF397D" w:rsidRDefault="0080416E" w:rsidP="00E804EE">
            <w:pPr>
              <w:spacing w:line="240" w:lineRule="auto"/>
              <w:rPr>
                <w:szCs w:val="22"/>
                <w:lang w:val="lt-LT"/>
              </w:rPr>
            </w:pPr>
            <w:r w:rsidRPr="00FF397D">
              <w:rPr>
                <w:szCs w:val="22"/>
                <w:lang w:val="lt-LT"/>
              </w:rPr>
              <w:t>Kvėpavimo sistemos, krūtinės ląstos ir tarpuplaučio sutrikimai</w:t>
            </w:r>
          </w:p>
        </w:tc>
        <w:tc>
          <w:tcPr>
            <w:tcW w:w="730" w:type="pct"/>
            <w:shd w:val="clear" w:color="auto" w:fill="auto"/>
          </w:tcPr>
          <w:p w14:paraId="47CE0072" w14:textId="77777777" w:rsidR="0080416E" w:rsidRPr="00FF397D" w:rsidRDefault="0080416E" w:rsidP="00E804EE">
            <w:pPr>
              <w:spacing w:line="240" w:lineRule="auto"/>
              <w:rPr>
                <w:szCs w:val="22"/>
                <w:lang w:val="lt-LT"/>
              </w:rPr>
            </w:pPr>
          </w:p>
        </w:tc>
        <w:tc>
          <w:tcPr>
            <w:tcW w:w="825" w:type="pct"/>
            <w:shd w:val="clear" w:color="auto" w:fill="auto"/>
          </w:tcPr>
          <w:p w14:paraId="44F3EAC2" w14:textId="77777777" w:rsidR="0080416E" w:rsidRPr="00FF397D" w:rsidRDefault="0080416E" w:rsidP="00E804EE">
            <w:pPr>
              <w:spacing w:line="240" w:lineRule="auto"/>
              <w:ind w:right="-52"/>
              <w:rPr>
                <w:szCs w:val="22"/>
                <w:lang w:val="lt-LT"/>
              </w:rPr>
            </w:pPr>
          </w:p>
        </w:tc>
        <w:tc>
          <w:tcPr>
            <w:tcW w:w="925" w:type="pct"/>
            <w:shd w:val="clear" w:color="auto" w:fill="auto"/>
          </w:tcPr>
          <w:p w14:paraId="5C81EA0B" w14:textId="77777777" w:rsidR="0080416E" w:rsidRPr="00FF397D" w:rsidRDefault="0080416E" w:rsidP="00E804EE">
            <w:pPr>
              <w:spacing w:line="240" w:lineRule="auto"/>
              <w:rPr>
                <w:szCs w:val="22"/>
                <w:lang w:val="lt-LT"/>
              </w:rPr>
            </w:pPr>
            <w:r w:rsidRPr="00FF397D">
              <w:rPr>
                <w:szCs w:val="22"/>
                <w:lang w:val="lt-LT"/>
              </w:rPr>
              <w:t>Intersticinė plaučių liga</w:t>
            </w:r>
          </w:p>
        </w:tc>
        <w:tc>
          <w:tcPr>
            <w:tcW w:w="502" w:type="pct"/>
            <w:shd w:val="clear" w:color="auto" w:fill="auto"/>
          </w:tcPr>
          <w:p w14:paraId="7EFC9277" w14:textId="77777777" w:rsidR="0080416E" w:rsidRPr="00FF397D" w:rsidRDefault="0080416E" w:rsidP="00E804EE">
            <w:pPr>
              <w:spacing w:line="240" w:lineRule="auto"/>
              <w:rPr>
                <w:szCs w:val="22"/>
                <w:lang w:val="lt-LT"/>
              </w:rPr>
            </w:pPr>
          </w:p>
        </w:tc>
        <w:tc>
          <w:tcPr>
            <w:tcW w:w="421" w:type="pct"/>
            <w:shd w:val="clear" w:color="auto" w:fill="auto"/>
          </w:tcPr>
          <w:p w14:paraId="3A8BE3B4" w14:textId="77777777" w:rsidR="0080416E" w:rsidRPr="00FF397D" w:rsidRDefault="0080416E" w:rsidP="00E804EE">
            <w:pPr>
              <w:spacing w:line="240" w:lineRule="auto"/>
              <w:ind w:right="-165"/>
              <w:rPr>
                <w:szCs w:val="22"/>
                <w:lang w:val="lt-LT"/>
              </w:rPr>
            </w:pPr>
          </w:p>
        </w:tc>
        <w:tc>
          <w:tcPr>
            <w:tcW w:w="727" w:type="pct"/>
            <w:shd w:val="clear" w:color="auto" w:fill="auto"/>
          </w:tcPr>
          <w:p w14:paraId="23AB4FA0" w14:textId="77777777" w:rsidR="0080416E" w:rsidRPr="00FF397D" w:rsidRDefault="0080416E" w:rsidP="00E804EE">
            <w:pPr>
              <w:spacing w:line="240" w:lineRule="auto"/>
              <w:rPr>
                <w:szCs w:val="22"/>
                <w:lang w:val="lt-LT"/>
              </w:rPr>
            </w:pPr>
            <w:r w:rsidRPr="00FF397D">
              <w:rPr>
                <w:szCs w:val="22"/>
                <w:lang w:val="lt-LT"/>
              </w:rPr>
              <w:t>Plautinė hipertenzija</w:t>
            </w:r>
          </w:p>
        </w:tc>
      </w:tr>
      <w:tr w:rsidR="0080416E" w:rsidRPr="00FF397D" w14:paraId="60D02E12" w14:textId="77777777" w:rsidTr="00E804EE">
        <w:tc>
          <w:tcPr>
            <w:tcW w:w="871" w:type="pct"/>
            <w:shd w:val="clear" w:color="auto" w:fill="auto"/>
          </w:tcPr>
          <w:p w14:paraId="59F22C53" w14:textId="77777777" w:rsidR="0080416E" w:rsidRPr="00FF397D" w:rsidRDefault="0080416E" w:rsidP="00E804EE">
            <w:pPr>
              <w:spacing w:line="240" w:lineRule="auto"/>
              <w:rPr>
                <w:szCs w:val="22"/>
                <w:lang w:val="lt-LT"/>
              </w:rPr>
            </w:pPr>
            <w:r w:rsidRPr="00FF397D">
              <w:rPr>
                <w:szCs w:val="22"/>
                <w:lang w:val="lt-LT"/>
              </w:rPr>
              <w:t>Virškinimo trakto sutrikimai</w:t>
            </w:r>
          </w:p>
        </w:tc>
        <w:tc>
          <w:tcPr>
            <w:tcW w:w="730" w:type="pct"/>
            <w:shd w:val="clear" w:color="auto" w:fill="auto"/>
          </w:tcPr>
          <w:p w14:paraId="3A9B556D" w14:textId="77777777" w:rsidR="0080416E" w:rsidRPr="00FF397D" w:rsidRDefault="0080416E" w:rsidP="00E804EE">
            <w:pPr>
              <w:spacing w:line="240" w:lineRule="auto"/>
              <w:ind w:hanging="83"/>
              <w:rPr>
                <w:szCs w:val="22"/>
                <w:lang w:val="lt-LT"/>
              </w:rPr>
            </w:pPr>
            <w:r w:rsidRPr="00FF397D">
              <w:rPr>
                <w:szCs w:val="22"/>
                <w:lang w:val="lt-LT"/>
              </w:rPr>
              <w:t>Viduriavimas, pykinimas</w:t>
            </w:r>
          </w:p>
        </w:tc>
        <w:tc>
          <w:tcPr>
            <w:tcW w:w="825" w:type="pct"/>
            <w:shd w:val="clear" w:color="auto" w:fill="auto"/>
          </w:tcPr>
          <w:p w14:paraId="7429184D" w14:textId="77777777" w:rsidR="0080416E" w:rsidRPr="00FF397D" w:rsidRDefault="0080416E" w:rsidP="00E804EE">
            <w:pPr>
              <w:spacing w:line="240" w:lineRule="auto"/>
              <w:rPr>
                <w:szCs w:val="22"/>
                <w:lang w:val="lt-LT"/>
              </w:rPr>
            </w:pPr>
            <w:r w:rsidRPr="00FF397D">
              <w:rPr>
                <w:szCs w:val="22"/>
                <w:lang w:val="lt-LT"/>
              </w:rPr>
              <w:t>Pankreatitas</w:t>
            </w:r>
            <w:r w:rsidRPr="00FF397D">
              <w:rPr>
                <w:szCs w:val="22"/>
                <w:vertAlign w:val="superscript"/>
                <w:lang w:val="lt-LT"/>
              </w:rPr>
              <w:t>b,c</w:t>
            </w:r>
            <w:r w:rsidRPr="00FF397D">
              <w:rPr>
                <w:szCs w:val="22"/>
                <w:lang w:val="lt-LT"/>
              </w:rPr>
              <w:t>,viršutinės pilvo dalies skausmas, vėmimas, dantų skausmas</w:t>
            </w:r>
          </w:p>
        </w:tc>
        <w:tc>
          <w:tcPr>
            <w:tcW w:w="925" w:type="pct"/>
            <w:shd w:val="clear" w:color="auto" w:fill="auto"/>
          </w:tcPr>
          <w:p w14:paraId="67963CC7" w14:textId="77777777" w:rsidR="0080416E" w:rsidRPr="00FF397D" w:rsidRDefault="0080416E" w:rsidP="00E804EE">
            <w:pPr>
              <w:spacing w:line="240" w:lineRule="auto"/>
              <w:ind w:left="38"/>
              <w:rPr>
                <w:szCs w:val="22"/>
                <w:lang w:val="lt-LT"/>
              </w:rPr>
            </w:pPr>
            <w:r w:rsidRPr="00FF397D">
              <w:rPr>
                <w:szCs w:val="22"/>
                <w:lang w:val="lt-LT"/>
              </w:rPr>
              <w:t>Stomatitas, kolitas</w:t>
            </w:r>
          </w:p>
        </w:tc>
        <w:tc>
          <w:tcPr>
            <w:tcW w:w="502" w:type="pct"/>
            <w:shd w:val="clear" w:color="auto" w:fill="auto"/>
          </w:tcPr>
          <w:p w14:paraId="09A69369" w14:textId="77777777" w:rsidR="0080416E" w:rsidRPr="00FF397D" w:rsidRDefault="0080416E" w:rsidP="00E804EE">
            <w:pPr>
              <w:spacing w:line="240" w:lineRule="auto"/>
              <w:rPr>
                <w:szCs w:val="22"/>
                <w:lang w:val="lt-LT"/>
              </w:rPr>
            </w:pPr>
          </w:p>
        </w:tc>
        <w:tc>
          <w:tcPr>
            <w:tcW w:w="421" w:type="pct"/>
            <w:shd w:val="clear" w:color="auto" w:fill="auto"/>
          </w:tcPr>
          <w:p w14:paraId="5671D2F3" w14:textId="77777777" w:rsidR="0080416E" w:rsidRPr="00FF397D" w:rsidRDefault="0080416E" w:rsidP="00E804EE">
            <w:pPr>
              <w:spacing w:line="240" w:lineRule="auto"/>
              <w:ind w:right="-165"/>
              <w:rPr>
                <w:szCs w:val="22"/>
                <w:lang w:val="lt-LT"/>
              </w:rPr>
            </w:pPr>
          </w:p>
        </w:tc>
        <w:tc>
          <w:tcPr>
            <w:tcW w:w="727" w:type="pct"/>
            <w:shd w:val="clear" w:color="auto" w:fill="auto"/>
          </w:tcPr>
          <w:p w14:paraId="67B689C5" w14:textId="77777777" w:rsidR="0080416E" w:rsidRPr="00FF397D" w:rsidRDefault="0080416E" w:rsidP="00E804EE">
            <w:pPr>
              <w:spacing w:line="240" w:lineRule="auto"/>
              <w:rPr>
                <w:szCs w:val="22"/>
                <w:lang w:val="lt-LT"/>
              </w:rPr>
            </w:pPr>
          </w:p>
        </w:tc>
      </w:tr>
      <w:tr w:rsidR="0080416E" w:rsidRPr="00FF397D" w14:paraId="76A6F57D" w14:textId="77777777" w:rsidTr="00E804EE">
        <w:tc>
          <w:tcPr>
            <w:tcW w:w="871" w:type="pct"/>
            <w:shd w:val="clear" w:color="auto" w:fill="auto"/>
          </w:tcPr>
          <w:p w14:paraId="2D844AC6" w14:textId="77777777" w:rsidR="0080416E" w:rsidRPr="00FF397D" w:rsidRDefault="0080416E" w:rsidP="00E804EE">
            <w:pPr>
              <w:spacing w:line="240" w:lineRule="auto"/>
              <w:rPr>
                <w:szCs w:val="22"/>
                <w:lang w:val="lt-LT"/>
              </w:rPr>
            </w:pPr>
            <w:r w:rsidRPr="00FF397D">
              <w:rPr>
                <w:szCs w:val="22"/>
                <w:lang w:val="lt-LT"/>
              </w:rPr>
              <w:t>Kepenų, tulžies pūslės ir latakų sutrikimai</w:t>
            </w:r>
          </w:p>
        </w:tc>
        <w:tc>
          <w:tcPr>
            <w:tcW w:w="730" w:type="pct"/>
            <w:shd w:val="clear" w:color="auto" w:fill="auto"/>
          </w:tcPr>
          <w:p w14:paraId="4735466D" w14:textId="77777777" w:rsidR="0080416E" w:rsidRPr="00FF397D" w:rsidRDefault="0080416E" w:rsidP="00E804EE">
            <w:pPr>
              <w:spacing w:line="240" w:lineRule="auto"/>
              <w:ind w:left="-64" w:right="-108"/>
              <w:rPr>
                <w:szCs w:val="22"/>
                <w:lang w:val="lt-LT"/>
              </w:rPr>
            </w:pPr>
            <w:r w:rsidRPr="00FF397D">
              <w:rPr>
                <w:szCs w:val="22"/>
                <w:lang w:val="lt-LT"/>
              </w:rPr>
              <w:t>Alaninamino- transferazės (ALT) aktyvumo padidėjimas</w:t>
            </w:r>
            <w:r w:rsidRPr="00FF397D">
              <w:rPr>
                <w:szCs w:val="22"/>
                <w:vertAlign w:val="superscript"/>
                <w:lang w:val="lt-LT"/>
              </w:rPr>
              <w:t>b</w:t>
            </w:r>
          </w:p>
        </w:tc>
        <w:tc>
          <w:tcPr>
            <w:tcW w:w="825" w:type="pct"/>
            <w:shd w:val="clear" w:color="auto" w:fill="auto"/>
          </w:tcPr>
          <w:p w14:paraId="61DB9BC9" w14:textId="77777777" w:rsidR="0080416E" w:rsidRPr="00FF397D" w:rsidRDefault="0080416E" w:rsidP="00E804EE">
            <w:pPr>
              <w:spacing w:line="240" w:lineRule="auto"/>
              <w:ind w:right="-52"/>
              <w:rPr>
                <w:szCs w:val="22"/>
                <w:lang w:val="lt-LT"/>
              </w:rPr>
            </w:pPr>
            <w:r w:rsidRPr="00FF397D">
              <w:rPr>
                <w:szCs w:val="22"/>
                <w:lang w:val="lt-LT"/>
              </w:rPr>
              <w:t>Gamagliutamil-transferazės (GGT) aktyvumo padidėjimas</w:t>
            </w:r>
            <w:r w:rsidRPr="00FF397D">
              <w:rPr>
                <w:szCs w:val="22"/>
                <w:vertAlign w:val="superscript"/>
                <w:lang w:val="lt-LT"/>
              </w:rPr>
              <w:t>b</w:t>
            </w:r>
            <w:r w:rsidRPr="00FF397D">
              <w:rPr>
                <w:szCs w:val="22"/>
                <w:lang w:val="lt-LT"/>
              </w:rPr>
              <w:t xml:space="preserve">, aspartatamino- transferazės (AST) </w:t>
            </w:r>
            <w:r w:rsidRPr="00FF397D">
              <w:rPr>
                <w:szCs w:val="22"/>
                <w:lang w:val="lt-LT"/>
              </w:rPr>
              <w:lastRenderedPageBreak/>
              <w:t>aktyvumo padidėjimas</w:t>
            </w:r>
            <w:r w:rsidRPr="00FF397D">
              <w:rPr>
                <w:szCs w:val="22"/>
                <w:vertAlign w:val="superscript"/>
                <w:lang w:val="lt-LT"/>
              </w:rPr>
              <w:t>b</w:t>
            </w:r>
          </w:p>
        </w:tc>
        <w:tc>
          <w:tcPr>
            <w:tcW w:w="925" w:type="pct"/>
            <w:shd w:val="clear" w:color="auto" w:fill="auto"/>
          </w:tcPr>
          <w:p w14:paraId="40F46634" w14:textId="77777777" w:rsidR="0080416E" w:rsidRPr="00FF397D" w:rsidRDefault="0080416E" w:rsidP="00E804EE">
            <w:pPr>
              <w:spacing w:line="240" w:lineRule="auto"/>
              <w:ind w:left="38"/>
              <w:rPr>
                <w:szCs w:val="22"/>
                <w:lang w:val="lt-LT"/>
              </w:rPr>
            </w:pPr>
          </w:p>
        </w:tc>
        <w:tc>
          <w:tcPr>
            <w:tcW w:w="502" w:type="pct"/>
            <w:shd w:val="clear" w:color="auto" w:fill="auto"/>
          </w:tcPr>
          <w:p w14:paraId="7B01C037" w14:textId="77777777" w:rsidR="0080416E" w:rsidRPr="00FF397D" w:rsidRDefault="0080416E" w:rsidP="00E804EE">
            <w:pPr>
              <w:spacing w:line="240" w:lineRule="auto"/>
              <w:ind w:left="-43" w:right="-30"/>
              <w:rPr>
                <w:szCs w:val="22"/>
                <w:lang w:val="lt-LT"/>
              </w:rPr>
            </w:pPr>
            <w:r w:rsidRPr="00FF397D">
              <w:rPr>
                <w:szCs w:val="22"/>
                <w:lang w:val="lt-LT"/>
              </w:rPr>
              <w:t>Ūminis hepatitas</w:t>
            </w:r>
          </w:p>
        </w:tc>
        <w:tc>
          <w:tcPr>
            <w:tcW w:w="421" w:type="pct"/>
            <w:shd w:val="clear" w:color="auto" w:fill="auto"/>
          </w:tcPr>
          <w:p w14:paraId="0D37EA55" w14:textId="77777777" w:rsidR="0080416E" w:rsidRPr="00FF397D" w:rsidRDefault="0080416E" w:rsidP="00E804EE">
            <w:pPr>
              <w:spacing w:line="240" w:lineRule="auto"/>
              <w:ind w:right="-165"/>
              <w:rPr>
                <w:szCs w:val="22"/>
                <w:lang w:val="lt-LT"/>
              </w:rPr>
            </w:pPr>
          </w:p>
        </w:tc>
        <w:tc>
          <w:tcPr>
            <w:tcW w:w="727" w:type="pct"/>
            <w:shd w:val="clear" w:color="auto" w:fill="auto"/>
          </w:tcPr>
          <w:p w14:paraId="3525652B" w14:textId="77777777" w:rsidR="0080416E" w:rsidRPr="00FF397D" w:rsidRDefault="0080416E" w:rsidP="00E804EE">
            <w:pPr>
              <w:spacing w:line="240" w:lineRule="auto"/>
              <w:rPr>
                <w:i/>
                <w:iCs/>
                <w:szCs w:val="22"/>
                <w:lang w:val="lt-LT"/>
              </w:rPr>
            </w:pPr>
            <w:r w:rsidRPr="00FF397D">
              <w:rPr>
                <w:szCs w:val="22"/>
                <w:lang w:val="lt-LT"/>
              </w:rPr>
              <w:t xml:space="preserve">Vaistinio preparato sukeltas kepenų pažeidimas (angl. </w:t>
            </w:r>
            <w:r w:rsidRPr="00FF397D">
              <w:rPr>
                <w:i/>
                <w:iCs/>
                <w:szCs w:val="22"/>
                <w:lang w:val="lt-LT"/>
              </w:rPr>
              <w:t xml:space="preserve">Drug-induced </w:t>
            </w:r>
            <w:r w:rsidRPr="00FF397D">
              <w:rPr>
                <w:i/>
                <w:iCs/>
                <w:szCs w:val="22"/>
                <w:lang w:val="lt-LT"/>
              </w:rPr>
              <w:lastRenderedPageBreak/>
              <w:t>liver injury</w:t>
            </w:r>
            <w:r w:rsidRPr="00FF397D">
              <w:rPr>
                <w:szCs w:val="22"/>
                <w:lang w:val="lt-LT"/>
              </w:rPr>
              <w:t xml:space="preserve">, </w:t>
            </w:r>
            <w:r w:rsidRPr="00FF397D">
              <w:rPr>
                <w:i/>
                <w:iCs/>
                <w:szCs w:val="22"/>
                <w:lang w:val="lt-LT"/>
              </w:rPr>
              <w:t>DILI</w:t>
            </w:r>
            <w:r w:rsidRPr="00FF397D">
              <w:rPr>
                <w:szCs w:val="22"/>
                <w:lang w:val="lt-LT"/>
              </w:rPr>
              <w:t>)</w:t>
            </w:r>
          </w:p>
        </w:tc>
      </w:tr>
      <w:tr w:rsidR="0080416E" w:rsidRPr="00FF397D" w14:paraId="6AD4A292" w14:textId="77777777" w:rsidTr="00E804EE">
        <w:tc>
          <w:tcPr>
            <w:tcW w:w="871" w:type="pct"/>
            <w:shd w:val="clear" w:color="auto" w:fill="auto"/>
          </w:tcPr>
          <w:p w14:paraId="7E24B890" w14:textId="77777777" w:rsidR="0080416E" w:rsidRPr="00FF397D" w:rsidRDefault="0080416E" w:rsidP="00E804EE">
            <w:pPr>
              <w:spacing w:line="240" w:lineRule="auto"/>
              <w:rPr>
                <w:szCs w:val="22"/>
                <w:lang w:val="lt-LT"/>
              </w:rPr>
            </w:pPr>
            <w:r w:rsidRPr="00FF397D">
              <w:rPr>
                <w:szCs w:val="22"/>
                <w:lang w:val="lt-LT"/>
              </w:rPr>
              <w:lastRenderedPageBreak/>
              <w:t>Metabolizmo ir mitybos sutrikimai</w:t>
            </w:r>
          </w:p>
        </w:tc>
        <w:tc>
          <w:tcPr>
            <w:tcW w:w="730" w:type="pct"/>
            <w:shd w:val="clear" w:color="auto" w:fill="auto"/>
          </w:tcPr>
          <w:p w14:paraId="61C96BC4" w14:textId="77777777" w:rsidR="0080416E" w:rsidRPr="00FF397D" w:rsidRDefault="0080416E" w:rsidP="00E804EE">
            <w:pPr>
              <w:spacing w:line="240" w:lineRule="auto"/>
              <w:ind w:left="-64" w:right="-108"/>
              <w:rPr>
                <w:szCs w:val="22"/>
                <w:lang w:val="lt-LT"/>
              </w:rPr>
            </w:pPr>
          </w:p>
        </w:tc>
        <w:tc>
          <w:tcPr>
            <w:tcW w:w="825" w:type="pct"/>
            <w:shd w:val="clear" w:color="auto" w:fill="auto"/>
          </w:tcPr>
          <w:p w14:paraId="073816FF" w14:textId="77777777" w:rsidR="0080416E" w:rsidRPr="00FF397D" w:rsidRDefault="0080416E" w:rsidP="00E804EE">
            <w:pPr>
              <w:spacing w:line="240" w:lineRule="auto"/>
              <w:ind w:right="-52"/>
              <w:rPr>
                <w:szCs w:val="22"/>
                <w:lang w:val="lt-LT"/>
              </w:rPr>
            </w:pPr>
          </w:p>
        </w:tc>
        <w:tc>
          <w:tcPr>
            <w:tcW w:w="925" w:type="pct"/>
            <w:shd w:val="clear" w:color="auto" w:fill="auto"/>
          </w:tcPr>
          <w:p w14:paraId="0DD6F17B" w14:textId="77777777" w:rsidR="0080416E" w:rsidRPr="00FF397D" w:rsidRDefault="0080416E" w:rsidP="00E804EE">
            <w:pPr>
              <w:spacing w:line="240" w:lineRule="auto"/>
              <w:ind w:left="38"/>
              <w:rPr>
                <w:szCs w:val="22"/>
                <w:lang w:val="lt-LT"/>
              </w:rPr>
            </w:pPr>
            <w:r w:rsidRPr="00FF397D">
              <w:rPr>
                <w:szCs w:val="22"/>
                <w:lang w:val="lt-LT"/>
              </w:rPr>
              <w:t>Dislipidemija</w:t>
            </w:r>
          </w:p>
        </w:tc>
        <w:tc>
          <w:tcPr>
            <w:tcW w:w="502" w:type="pct"/>
            <w:shd w:val="clear" w:color="auto" w:fill="auto"/>
          </w:tcPr>
          <w:p w14:paraId="09FAC20B" w14:textId="77777777" w:rsidR="0080416E" w:rsidRPr="00FF397D" w:rsidRDefault="0080416E" w:rsidP="00E804EE">
            <w:pPr>
              <w:spacing w:line="240" w:lineRule="auto"/>
              <w:rPr>
                <w:szCs w:val="22"/>
                <w:lang w:val="lt-LT"/>
              </w:rPr>
            </w:pPr>
          </w:p>
        </w:tc>
        <w:tc>
          <w:tcPr>
            <w:tcW w:w="421" w:type="pct"/>
            <w:shd w:val="clear" w:color="auto" w:fill="auto"/>
          </w:tcPr>
          <w:p w14:paraId="73F2E8F9" w14:textId="77777777" w:rsidR="0080416E" w:rsidRPr="00FF397D" w:rsidRDefault="0080416E" w:rsidP="00E804EE">
            <w:pPr>
              <w:spacing w:line="240" w:lineRule="auto"/>
              <w:ind w:right="-165"/>
              <w:rPr>
                <w:szCs w:val="22"/>
                <w:lang w:val="lt-LT"/>
              </w:rPr>
            </w:pPr>
          </w:p>
        </w:tc>
        <w:tc>
          <w:tcPr>
            <w:tcW w:w="727" w:type="pct"/>
            <w:shd w:val="clear" w:color="auto" w:fill="auto"/>
          </w:tcPr>
          <w:p w14:paraId="48E09583" w14:textId="77777777" w:rsidR="0080416E" w:rsidRPr="00FF397D" w:rsidRDefault="0080416E" w:rsidP="00E804EE">
            <w:pPr>
              <w:spacing w:line="240" w:lineRule="auto"/>
              <w:ind w:right="-115"/>
              <w:rPr>
                <w:szCs w:val="22"/>
                <w:lang w:val="lt-LT"/>
              </w:rPr>
            </w:pPr>
          </w:p>
        </w:tc>
      </w:tr>
      <w:tr w:rsidR="0080416E" w:rsidRPr="0089081B" w14:paraId="4C23D3EF" w14:textId="77777777" w:rsidTr="00E804EE">
        <w:tc>
          <w:tcPr>
            <w:tcW w:w="871" w:type="pct"/>
            <w:shd w:val="clear" w:color="auto" w:fill="auto"/>
          </w:tcPr>
          <w:p w14:paraId="7A6DAF06" w14:textId="77777777" w:rsidR="0080416E" w:rsidRPr="00FF397D" w:rsidRDefault="0080416E" w:rsidP="00E804EE">
            <w:pPr>
              <w:spacing w:line="240" w:lineRule="auto"/>
              <w:rPr>
                <w:szCs w:val="22"/>
                <w:lang w:val="lt-LT"/>
              </w:rPr>
            </w:pPr>
            <w:r w:rsidRPr="00FF397D">
              <w:rPr>
                <w:szCs w:val="22"/>
                <w:lang w:val="lt-LT"/>
              </w:rPr>
              <w:t>Odos ir poodinio audinio sutrikimai</w:t>
            </w:r>
          </w:p>
        </w:tc>
        <w:tc>
          <w:tcPr>
            <w:tcW w:w="730" w:type="pct"/>
            <w:shd w:val="clear" w:color="auto" w:fill="auto"/>
          </w:tcPr>
          <w:p w14:paraId="5CE08046" w14:textId="77777777" w:rsidR="0080416E" w:rsidRPr="00FF397D" w:rsidRDefault="0080416E" w:rsidP="00E804EE">
            <w:pPr>
              <w:spacing w:line="240" w:lineRule="auto"/>
              <w:ind w:left="-64" w:right="-108"/>
              <w:rPr>
                <w:szCs w:val="22"/>
                <w:lang w:val="lt-LT"/>
              </w:rPr>
            </w:pPr>
            <w:r w:rsidRPr="00FF397D">
              <w:rPr>
                <w:szCs w:val="22"/>
                <w:lang w:val="lt-LT"/>
              </w:rPr>
              <w:t>Alopecija</w:t>
            </w:r>
          </w:p>
        </w:tc>
        <w:tc>
          <w:tcPr>
            <w:tcW w:w="825" w:type="pct"/>
            <w:shd w:val="clear" w:color="auto" w:fill="auto"/>
          </w:tcPr>
          <w:p w14:paraId="2BA5EA74" w14:textId="77777777" w:rsidR="0080416E" w:rsidRPr="00FF397D" w:rsidRDefault="0080416E" w:rsidP="00E804EE">
            <w:pPr>
              <w:spacing w:line="240" w:lineRule="auto"/>
              <w:ind w:right="-52"/>
              <w:rPr>
                <w:szCs w:val="22"/>
                <w:lang w:val="lt-LT"/>
              </w:rPr>
            </w:pPr>
            <w:r w:rsidRPr="00FF397D">
              <w:rPr>
                <w:szCs w:val="22"/>
                <w:lang w:val="lt-LT"/>
              </w:rPr>
              <w:t>Išbėrimas, spuogai</w:t>
            </w:r>
          </w:p>
        </w:tc>
        <w:tc>
          <w:tcPr>
            <w:tcW w:w="925" w:type="pct"/>
            <w:shd w:val="clear" w:color="auto" w:fill="auto"/>
          </w:tcPr>
          <w:p w14:paraId="172022A2" w14:textId="77777777" w:rsidR="0080416E" w:rsidRPr="00FF397D" w:rsidRDefault="0080416E" w:rsidP="00E804EE">
            <w:pPr>
              <w:spacing w:line="240" w:lineRule="auto"/>
              <w:ind w:left="38"/>
              <w:rPr>
                <w:szCs w:val="22"/>
                <w:lang w:val="lt-LT"/>
              </w:rPr>
            </w:pPr>
            <w:r w:rsidRPr="00FF397D">
              <w:rPr>
                <w:szCs w:val="22"/>
                <w:lang w:val="lt-LT"/>
              </w:rPr>
              <w:t>Nagų sutrikimai, psoriazė (įskaitant pustulinę)</w:t>
            </w:r>
            <w:r w:rsidRPr="00FF397D">
              <w:rPr>
                <w:szCs w:val="22"/>
                <w:vertAlign w:val="superscript"/>
                <w:lang w:val="lt-LT"/>
              </w:rPr>
              <w:t>a,b</w:t>
            </w:r>
            <w:r w:rsidRPr="00FF397D">
              <w:rPr>
                <w:szCs w:val="22"/>
                <w:lang w:val="lt-LT"/>
              </w:rPr>
              <w:t>, sunkios odos reakcijos</w:t>
            </w:r>
            <w:r w:rsidRPr="00FF397D">
              <w:rPr>
                <w:szCs w:val="22"/>
                <w:vertAlign w:val="superscript"/>
                <w:lang w:val="lt-LT"/>
              </w:rPr>
              <w:t>a</w:t>
            </w:r>
          </w:p>
        </w:tc>
        <w:tc>
          <w:tcPr>
            <w:tcW w:w="502" w:type="pct"/>
            <w:shd w:val="clear" w:color="auto" w:fill="auto"/>
          </w:tcPr>
          <w:p w14:paraId="46DD670F" w14:textId="77777777" w:rsidR="0080416E" w:rsidRPr="00FF397D" w:rsidRDefault="0080416E" w:rsidP="00E804EE">
            <w:pPr>
              <w:spacing w:line="240" w:lineRule="auto"/>
              <w:rPr>
                <w:szCs w:val="22"/>
                <w:lang w:val="lt-LT"/>
              </w:rPr>
            </w:pPr>
          </w:p>
        </w:tc>
        <w:tc>
          <w:tcPr>
            <w:tcW w:w="421" w:type="pct"/>
            <w:shd w:val="clear" w:color="auto" w:fill="auto"/>
          </w:tcPr>
          <w:p w14:paraId="36C78BDB" w14:textId="77777777" w:rsidR="0080416E" w:rsidRPr="00FF397D" w:rsidRDefault="0080416E" w:rsidP="00E804EE">
            <w:pPr>
              <w:spacing w:line="240" w:lineRule="auto"/>
              <w:ind w:right="-165"/>
              <w:rPr>
                <w:szCs w:val="22"/>
                <w:lang w:val="lt-LT"/>
              </w:rPr>
            </w:pPr>
          </w:p>
        </w:tc>
        <w:tc>
          <w:tcPr>
            <w:tcW w:w="727" w:type="pct"/>
            <w:shd w:val="clear" w:color="auto" w:fill="auto"/>
          </w:tcPr>
          <w:p w14:paraId="204D2F7F" w14:textId="77777777" w:rsidR="0080416E" w:rsidRPr="00FF397D" w:rsidRDefault="0080416E" w:rsidP="00E804EE">
            <w:pPr>
              <w:spacing w:line="240" w:lineRule="auto"/>
              <w:rPr>
                <w:szCs w:val="22"/>
                <w:lang w:val="lt-LT"/>
              </w:rPr>
            </w:pPr>
          </w:p>
        </w:tc>
      </w:tr>
      <w:tr w:rsidR="0080416E" w:rsidRPr="0089081B" w14:paraId="203CE8D0" w14:textId="77777777" w:rsidTr="00E804EE">
        <w:tc>
          <w:tcPr>
            <w:tcW w:w="871" w:type="pct"/>
            <w:shd w:val="clear" w:color="auto" w:fill="auto"/>
          </w:tcPr>
          <w:p w14:paraId="15864587" w14:textId="77777777" w:rsidR="0080416E" w:rsidRPr="00FF397D" w:rsidRDefault="0080416E" w:rsidP="00E804EE">
            <w:pPr>
              <w:spacing w:line="240" w:lineRule="auto"/>
              <w:rPr>
                <w:szCs w:val="22"/>
                <w:lang w:val="lt-LT"/>
              </w:rPr>
            </w:pPr>
            <w:r w:rsidRPr="00FF397D">
              <w:rPr>
                <w:szCs w:val="22"/>
                <w:lang w:val="lt-LT"/>
              </w:rPr>
              <w:t>Skeleto, raumenų ir jungiamojo audinio sutrikimai</w:t>
            </w:r>
          </w:p>
        </w:tc>
        <w:tc>
          <w:tcPr>
            <w:tcW w:w="730" w:type="pct"/>
            <w:shd w:val="clear" w:color="auto" w:fill="auto"/>
          </w:tcPr>
          <w:p w14:paraId="5B260D61" w14:textId="77777777" w:rsidR="0080416E" w:rsidRPr="00FF397D" w:rsidRDefault="0080416E" w:rsidP="00E804EE">
            <w:pPr>
              <w:spacing w:line="240" w:lineRule="auto"/>
              <w:ind w:left="-64" w:right="-108"/>
              <w:rPr>
                <w:szCs w:val="22"/>
                <w:lang w:val="lt-LT"/>
              </w:rPr>
            </w:pPr>
          </w:p>
        </w:tc>
        <w:tc>
          <w:tcPr>
            <w:tcW w:w="825" w:type="pct"/>
            <w:shd w:val="clear" w:color="auto" w:fill="auto"/>
          </w:tcPr>
          <w:p w14:paraId="5DDC2B10" w14:textId="77777777" w:rsidR="0080416E" w:rsidRPr="00FF397D" w:rsidRDefault="0080416E" w:rsidP="00E804EE">
            <w:pPr>
              <w:spacing w:line="240" w:lineRule="auto"/>
              <w:ind w:right="-52"/>
              <w:rPr>
                <w:szCs w:val="22"/>
                <w:lang w:val="lt-LT"/>
              </w:rPr>
            </w:pPr>
            <w:r w:rsidRPr="00FF397D">
              <w:rPr>
                <w:szCs w:val="22"/>
                <w:lang w:val="lt-LT"/>
              </w:rPr>
              <w:t>Griaučių raumenų skausmas, mialgija, artralgija</w:t>
            </w:r>
          </w:p>
        </w:tc>
        <w:tc>
          <w:tcPr>
            <w:tcW w:w="925" w:type="pct"/>
            <w:shd w:val="clear" w:color="auto" w:fill="auto"/>
          </w:tcPr>
          <w:p w14:paraId="626CE312" w14:textId="77777777" w:rsidR="0080416E" w:rsidRPr="00FF397D" w:rsidRDefault="0080416E" w:rsidP="00E804EE">
            <w:pPr>
              <w:spacing w:line="240" w:lineRule="auto"/>
              <w:ind w:left="38"/>
              <w:rPr>
                <w:szCs w:val="22"/>
                <w:lang w:val="lt-LT"/>
              </w:rPr>
            </w:pPr>
          </w:p>
        </w:tc>
        <w:tc>
          <w:tcPr>
            <w:tcW w:w="502" w:type="pct"/>
            <w:shd w:val="clear" w:color="auto" w:fill="auto"/>
          </w:tcPr>
          <w:p w14:paraId="065016B7" w14:textId="77777777" w:rsidR="0080416E" w:rsidRPr="00FF397D" w:rsidRDefault="0080416E" w:rsidP="00E804EE">
            <w:pPr>
              <w:spacing w:line="240" w:lineRule="auto"/>
              <w:rPr>
                <w:szCs w:val="22"/>
                <w:lang w:val="lt-LT"/>
              </w:rPr>
            </w:pPr>
          </w:p>
        </w:tc>
        <w:tc>
          <w:tcPr>
            <w:tcW w:w="421" w:type="pct"/>
            <w:shd w:val="clear" w:color="auto" w:fill="auto"/>
          </w:tcPr>
          <w:p w14:paraId="4984108B" w14:textId="77777777" w:rsidR="0080416E" w:rsidRPr="00FF397D" w:rsidRDefault="0080416E" w:rsidP="00E804EE">
            <w:pPr>
              <w:spacing w:line="240" w:lineRule="auto"/>
              <w:ind w:right="-165"/>
              <w:rPr>
                <w:szCs w:val="22"/>
                <w:lang w:val="lt-LT"/>
              </w:rPr>
            </w:pPr>
          </w:p>
        </w:tc>
        <w:tc>
          <w:tcPr>
            <w:tcW w:w="727" w:type="pct"/>
            <w:shd w:val="clear" w:color="auto" w:fill="auto"/>
          </w:tcPr>
          <w:p w14:paraId="6A7B88D3" w14:textId="77777777" w:rsidR="0080416E" w:rsidRPr="00FF397D" w:rsidRDefault="0080416E" w:rsidP="00E804EE">
            <w:pPr>
              <w:spacing w:line="240" w:lineRule="auto"/>
              <w:rPr>
                <w:szCs w:val="22"/>
                <w:lang w:val="lt-LT"/>
              </w:rPr>
            </w:pPr>
          </w:p>
        </w:tc>
      </w:tr>
      <w:tr w:rsidR="0080416E" w:rsidRPr="00FF397D" w14:paraId="5E1A511D" w14:textId="77777777" w:rsidTr="00E804EE">
        <w:tc>
          <w:tcPr>
            <w:tcW w:w="871" w:type="pct"/>
            <w:shd w:val="clear" w:color="auto" w:fill="auto"/>
          </w:tcPr>
          <w:p w14:paraId="5BBC2517" w14:textId="77777777" w:rsidR="0080416E" w:rsidRPr="00FF397D" w:rsidRDefault="0080416E" w:rsidP="00E804EE">
            <w:pPr>
              <w:spacing w:line="240" w:lineRule="auto"/>
              <w:rPr>
                <w:szCs w:val="22"/>
                <w:lang w:val="lt-LT"/>
              </w:rPr>
            </w:pPr>
            <w:r w:rsidRPr="00FF397D">
              <w:rPr>
                <w:szCs w:val="22"/>
                <w:lang w:val="lt-LT"/>
              </w:rPr>
              <w:t>Inkstų ir šlapimo takų sutrikimai</w:t>
            </w:r>
          </w:p>
        </w:tc>
        <w:tc>
          <w:tcPr>
            <w:tcW w:w="730" w:type="pct"/>
            <w:shd w:val="clear" w:color="auto" w:fill="auto"/>
          </w:tcPr>
          <w:p w14:paraId="5BE7BFAA" w14:textId="77777777" w:rsidR="0080416E" w:rsidRPr="00FF397D" w:rsidRDefault="0080416E" w:rsidP="00E804EE">
            <w:pPr>
              <w:spacing w:line="240" w:lineRule="auto"/>
              <w:rPr>
                <w:szCs w:val="22"/>
                <w:lang w:val="lt-LT"/>
              </w:rPr>
            </w:pPr>
          </w:p>
        </w:tc>
        <w:tc>
          <w:tcPr>
            <w:tcW w:w="825" w:type="pct"/>
            <w:shd w:val="clear" w:color="auto" w:fill="auto"/>
          </w:tcPr>
          <w:p w14:paraId="64B0D491" w14:textId="77777777" w:rsidR="0080416E" w:rsidRPr="00FF397D" w:rsidRDefault="0080416E" w:rsidP="00E804EE">
            <w:pPr>
              <w:spacing w:line="240" w:lineRule="auto"/>
              <w:ind w:right="-52"/>
              <w:rPr>
                <w:szCs w:val="22"/>
                <w:lang w:val="lt-LT"/>
              </w:rPr>
            </w:pPr>
            <w:r w:rsidRPr="00FF397D">
              <w:rPr>
                <w:szCs w:val="22"/>
                <w:lang w:val="lt-LT"/>
              </w:rPr>
              <w:t>Dažnas šlapinimasis nedidelėmis porcijomis</w:t>
            </w:r>
          </w:p>
        </w:tc>
        <w:tc>
          <w:tcPr>
            <w:tcW w:w="925" w:type="pct"/>
            <w:shd w:val="clear" w:color="auto" w:fill="auto"/>
          </w:tcPr>
          <w:p w14:paraId="6ED7A985" w14:textId="77777777" w:rsidR="0080416E" w:rsidRPr="00FF397D" w:rsidRDefault="0080416E" w:rsidP="00E804EE">
            <w:pPr>
              <w:spacing w:line="240" w:lineRule="auto"/>
              <w:ind w:left="38"/>
              <w:rPr>
                <w:szCs w:val="22"/>
                <w:lang w:val="lt-LT"/>
              </w:rPr>
            </w:pPr>
          </w:p>
        </w:tc>
        <w:tc>
          <w:tcPr>
            <w:tcW w:w="502" w:type="pct"/>
            <w:shd w:val="clear" w:color="auto" w:fill="auto"/>
          </w:tcPr>
          <w:p w14:paraId="628F5444" w14:textId="77777777" w:rsidR="0080416E" w:rsidRPr="00FF397D" w:rsidRDefault="0080416E" w:rsidP="00E804EE">
            <w:pPr>
              <w:spacing w:line="240" w:lineRule="auto"/>
              <w:rPr>
                <w:szCs w:val="22"/>
                <w:lang w:val="lt-LT"/>
              </w:rPr>
            </w:pPr>
          </w:p>
        </w:tc>
        <w:tc>
          <w:tcPr>
            <w:tcW w:w="421" w:type="pct"/>
            <w:shd w:val="clear" w:color="auto" w:fill="auto"/>
          </w:tcPr>
          <w:p w14:paraId="2FA0A5C5" w14:textId="77777777" w:rsidR="0080416E" w:rsidRPr="00FF397D" w:rsidRDefault="0080416E" w:rsidP="00E804EE">
            <w:pPr>
              <w:spacing w:line="240" w:lineRule="auto"/>
              <w:ind w:right="-165"/>
              <w:rPr>
                <w:szCs w:val="22"/>
                <w:lang w:val="lt-LT"/>
              </w:rPr>
            </w:pPr>
          </w:p>
        </w:tc>
        <w:tc>
          <w:tcPr>
            <w:tcW w:w="727" w:type="pct"/>
            <w:shd w:val="clear" w:color="auto" w:fill="auto"/>
          </w:tcPr>
          <w:p w14:paraId="41045414" w14:textId="77777777" w:rsidR="0080416E" w:rsidRPr="00FF397D" w:rsidRDefault="0080416E" w:rsidP="00E804EE">
            <w:pPr>
              <w:spacing w:line="240" w:lineRule="auto"/>
              <w:rPr>
                <w:szCs w:val="22"/>
                <w:lang w:val="lt-LT"/>
              </w:rPr>
            </w:pPr>
          </w:p>
        </w:tc>
      </w:tr>
      <w:tr w:rsidR="0080416E" w:rsidRPr="00FF397D" w14:paraId="44817AC1" w14:textId="77777777" w:rsidTr="00E804EE">
        <w:tc>
          <w:tcPr>
            <w:tcW w:w="871" w:type="pct"/>
            <w:shd w:val="clear" w:color="auto" w:fill="auto"/>
          </w:tcPr>
          <w:p w14:paraId="32A6BB2C" w14:textId="77777777" w:rsidR="0080416E" w:rsidRPr="00FF397D" w:rsidRDefault="0080416E" w:rsidP="00E804EE">
            <w:pPr>
              <w:spacing w:line="240" w:lineRule="auto"/>
              <w:rPr>
                <w:szCs w:val="22"/>
                <w:lang w:val="lt-LT"/>
              </w:rPr>
            </w:pPr>
            <w:r w:rsidRPr="00FF397D">
              <w:rPr>
                <w:szCs w:val="22"/>
                <w:lang w:val="lt-LT"/>
              </w:rPr>
              <w:t>Lytinės sistemos ir krūties sutrikimai</w:t>
            </w:r>
          </w:p>
        </w:tc>
        <w:tc>
          <w:tcPr>
            <w:tcW w:w="730" w:type="pct"/>
            <w:shd w:val="clear" w:color="auto" w:fill="auto"/>
          </w:tcPr>
          <w:p w14:paraId="41676791" w14:textId="77777777" w:rsidR="0080416E" w:rsidRPr="00FF397D" w:rsidRDefault="0080416E" w:rsidP="00E804EE">
            <w:pPr>
              <w:spacing w:line="240" w:lineRule="auto"/>
              <w:rPr>
                <w:szCs w:val="22"/>
                <w:lang w:val="lt-LT"/>
              </w:rPr>
            </w:pPr>
          </w:p>
        </w:tc>
        <w:tc>
          <w:tcPr>
            <w:tcW w:w="825" w:type="pct"/>
            <w:shd w:val="clear" w:color="auto" w:fill="auto"/>
          </w:tcPr>
          <w:p w14:paraId="36FD04B0" w14:textId="77777777" w:rsidR="0080416E" w:rsidRPr="00FF397D" w:rsidRDefault="0080416E" w:rsidP="00E804EE">
            <w:pPr>
              <w:spacing w:line="240" w:lineRule="auto"/>
              <w:ind w:right="-52"/>
              <w:rPr>
                <w:szCs w:val="22"/>
                <w:lang w:val="lt-LT"/>
              </w:rPr>
            </w:pPr>
            <w:r w:rsidRPr="00FF397D">
              <w:rPr>
                <w:szCs w:val="22"/>
                <w:lang w:val="lt-LT"/>
              </w:rPr>
              <w:t>Menoragija</w:t>
            </w:r>
          </w:p>
        </w:tc>
        <w:tc>
          <w:tcPr>
            <w:tcW w:w="925" w:type="pct"/>
            <w:shd w:val="clear" w:color="auto" w:fill="auto"/>
          </w:tcPr>
          <w:p w14:paraId="23A993B4" w14:textId="77777777" w:rsidR="0080416E" w:rsidRPr="00FF397D" w:rsidRDefault="0080416E" w:rsidP="00E804EE">
            <w:pPr>
              <w:spacing w:line="240" w:lineRule="auto"/>
              <w:ind w:left="38"/>
              <w:rPr>
                <w:szCs w:val="22"/>
                <w:lang w:val="lt-LT"/>
              </w:rPr>
            </w:pPr>
          </w:p>
        </w:tc>
        <w:tc>
          <w:tcPr>
            <w:tcW w:w="502" w:type="pct"/>
            <w:shd w:val="clear" w:color="auto" w:fill="auto"/>
          </w:tcPr>
          <w:p w14:paraId="3B9429F9" w14:textId="77777777" w:rsidR="0080416E" w:rsidRPr="00FF397D" w:rsidRDefault="0080416E" w:rsidP="00E804EE">
            <w:pPr>
              <w:spacing w:line="240" w:lineRule="auto"/>
              <w:rPr>
                <w:szCs w:val="22"/>
                <w:lang w:val="lt-LT"/>
              </w:rPr>
            </w:pPr>
          </w:p>
        </w:tc>
        <w:tc>
          <w:tcPr>
            <w:tcW w:w="421" w:type="pct"/>
            <w:shd w:val="clear" w:color="auto" w:fill="auto"/>
          </w:tcPr>
          <w:p w14:paraId="3E1AF72B" w14:textId="77777777" w:rsidR="0080416E" w:rsidRPr="00FF397D" w:rsidRDefault="0080416E" w:rsidP="00E804EE">
            <w:pPr>
              <w:spacing w:line="240" w:lineRule="auto"/>
              <w:ind w:right="-165"/>
              <w:rPr>
                <w:szCs w:val="22"/>
                <w:lang w:val="lt-LT"/>
              </w:rPr>
            </w:pPr>
          </w:p>
        </w:tc>
        <w:tc>
          <w:tcPr>
            <w:tcW w:w="727" w:type="pct"/>
            <w:shd w:val="clear" w:color="auto" w:fill="auto"/>
          </w:tcPr>
          <w:p w14:paraId="2B8911ED" w14:textId="77777777" w:rsidR="0080416E" w:rsidRPr="00FF397D" w:rsidRDefault="0080416E" w:rsidP="00E804EE">
            <w:pPr>
              <w:spacing w:line="240" w:lineRule="auto"/>
              <w:rPr>
                <w:szCs w:val="22"/>
                <w:lang w:val="lt-LT"/>
              </w:rPr>
            </w:pPr>
          </w:p>
        </w:tc>
      </w:tr>
      <w:tr w:rsidR="0080416E" w:rsidRPr="00FF397D" w14:paraId="7C5894CF" w14:textId="77777777" w:rsidTr="00E804EE">
        <w:tc>
          <w:tcPr>
            <w:tcW w:w="871" w:type="pct"/>
            <w:shd w:val="clear" w:color="auto" w:fill="auto"/>
          </w:tcPr>
          <w:p w14:paraId="364F06CB" w14:textId="77777777" w:rsidR="0080416E" w:rsidRPr="00FF397D" w:rsidRDefault="0080416E" w:rsidP="00E804EE">
            <w:pPr>
              <w:spacing w:line="240" w:lineRule="auto"/>
              <w:rPr>
                <w:szCs w:val="22"/>
                <w:lang w:val="lt-LT"/>
              </w:rPr>
            </w:pPr>
            <w:r w:rsidRPr="00FF397D">
              <w:rPr>
                <w:szCs w:val="22"/>
                <w:lang w:val="lt-LT"/>
              </w:rPr>
              <w:t>Bendrieji sutrikimai ir vartojimo vietos pažeidimai</w:t>
            </w:r>
          </w:p>
        </w:tc>
        <w:tc>
          <w:tcPr>
            <w:tcW w:w="730" w:type="pct"/>
            <w:shd w:val="clear" w:color="auto" w:fill="auto"/>
          </w:tcPr>
          <w:p w14:paraId="10C47AEE" w14:textId="77777777" w:rsidR="0080416E" w:rsidRPr="00FF397D" w:rsidRDefault="0080416E" w:rsidP="00E804EE">
            <w:pPr>
              <w:spacing w:line="240" w:lineRule="auto"/>
              <w:rPr>
                <w:szCs w:val="22"/>
                <w:lang w:val="lt-LT"/>
              </w:rPr>
            </w:pPr>
          </w:p>
        </w:tc>
        <w:tc>
          <w:tcPr>
            <w:tcW w:w="825" w:type="pct"/>
            <w:shd w:val="clear" w:color="auto" w:fill="auto"/>
          </w:tcPr>
          <w:p w14:paraId="5CACC67D" w14:textId="77777777" w:rsidR="0080416E" w:rsidRPr="00FF397D" w:rsidRDefault="0080416E" w:rsidP="00E804EE">
            <w:pPr>
              <w:spacing w:line="240" w:lineRule="auto"/>
              <w:ind w:right="-52"/>
              <w:rPr>
                <w:szCs w:val="22"/>
                <w:lang w:val="lt-LT"/>
              </w:rPr>
            </w:pPr>
            <w:r w:rsidRPr="00FF397D">
              <w:rPr>
                <w:szCs w:val="22"/>
                <w:lang w:val="lt-LT"/>
              </w:rPr>
              <w:t>Skausmas, astenija</w:t>
            </w:r>
            <w:r w:rsidRPr="00FF397D">
              <w:rPr>
                <w:szCs w:val="22"/>
                <w:vertAlign w:val="superscript"/>
                <w:lang w:val="lt-LT"/>
              </w:rPr>
              <w:t>a</w:t>
            </w:r>
          </w:p>
        </w:tc>
        <w:tc>
          <w:tcPr>
            <w:tcW w:w="925" w:type="pct"/>
            <w:shd w:val="clear" w:color="auto" w:fill="auto"/>
          </w:tcPr>
          <w:p w14:paraId="6B4794EE" w14:textId="77777777" w:rsidR="0080416E" w:rsidRPr="00FF397D" w:rsidRDefault="0080416E" w:rsidP="00E804EE">
            <w:pPr>
              <w:spacing w:line="240" w:lineRule="auto"/>
              <w:ind w:left="38"/>
              <w:rPr>
                <w:szCs w:val="22"/>
                <w:lang w:val="lt-LT"/>
              </w:rPr>
            </w:pPr>
          </w:p>
        </w:tc>
        <w:tc>
          <w:tcPr>
            <w:tcW w:w="502" w:type="pct"/>
            <w:shd w:val="clear" w:color="auto" w:fill="auto"/>
          </w:tcPr>
          <w:p w14:paraId="34296167" w14:textId="77777777" w:rsidR="0080416E" w:rsidRPr="00FF397D" w:rsidRDefault="0080416E" w:rsidP="00E804EE">
            <w:pPr>
              <w:spacing w:line="240" w:lineRule="auto"/>
              <w:rPr>
                <w:szCs w:val="22"/>
                <w:lang w:val="lt-LT"/>
              </w:rPr>
            </w:pPr>
          </w:p>
        </w:tc>
        <w:tc>
          <w:tcPr>
            <w:tcW w:w="421" w:type="pct"/>
            <w:shd w:val="clear" w:color="auto" w:fill="auto"/>
          </w:tcPr>
          <w:p w14:paraId="328A7879" w14:textId="77777777" w:rsidR="0080416E" w:rsidRPr="00FF397D" w:rsidRDefault="0080416E" w:rsidP="00E804EE">
            <w:pPr>
              <w:spacing w:line="240" w:lineRule="auto"/>
              <w:ind w:right="-165"/>
              <w:rPr>
                <w:szCs w:val="22"/>
                <w:lang w:val="lt-LT"/>
              </w:rPr>
            </w:pPr>
          </w:p>
        </w:tc>
        <w:tc>
          <w:tcPr>
            <w:tcW w:w="727" w:type="pct"/>
            <w:shd w:val="clear" w:color="auto" w:fill="auto"/>
          </w:tcPr>
          <w:p w14:paraId="053C7B73" w14:textId="77777777" w:rsidR="0080416E" w:rsidRPr="00FF397D" w:rsidRDefault="0080416E" w:rsidP="00E804EE">
            <w:pPr>
              <w:spacing w:line="240" w:lineRule="auto"/>
              <w:rPr>
                <w:szCs w:val="22"/>
                <w:lang w:val="lt-LT"/>
              </w:rPr>
            </w:pPr>
          </w:p>
        </w:tc>
      </w:tr>
      <w:tr w:rsidR="0080416E" w:rsidRPr="0089081B" w14:paraId="1C3702ED" w14:textId="77777777" w:rsidTr="00E804EE">
        <w:tc>
          <w:tcPr>
            <w:tcW w:w="871" w:type="pct"/>
            <w:shd w:val="clear" w:color="auto" w:fill="auto"/>
          </w:tcPr>
          <w:p w14:paraId="6D51C594" w14:textId="77777777" w:rsidR="0080416E" w:rsidRPr="00FF397D" w:rsidRDefault="0080416E" w:rsidP="00E804EE">
            <w:pPr>
              <w:spacing w:line="240" w:lineRule="auto"/>
              <w:rPr>
                <w:szCs w:val="22"/>
                <w:lang w:val="lt-LT"/>
              </w:rPr>
            </w:pPr>
            <w:r w:rsidRPr="00FF397D">
              <w:rPr>
                <w:szCs w:val="22"/>
                <w:lang w:val="lt-LT"/>
              </w:rPr>
              <w:t>Tyrimai</w:t>
            </w:r>
          </w:p>
        </w:tc>
        <w:tc>
          <w:tcPr>
            <w:tcW w:w="730" w:type="pct"/>
            <w:shd w:val="clear" w:color="auto" w:fill="auto"/>
          </w:tcPr>
          <w:p w14:paraId="7515ACAF" w14:textId="77777777" w:rsidR="0080416E" w:rsidRPr="00FF397D" w:rsidRDefault="0080416E" w:rsidP="00E804EE">
            <w:pPr>
              <w:spacing w:line="240" w:lineRule="auto"/>
              <w:rPr>
                <w:szCs w:val="22"/>
                <w:lang w:val="lt-LT"/>
              </w:rPr>
            </w:pPr>
          </w:p>
        </w:tc>
        <w:tc>
          <w:tcPr>
            <w:tcW w:w="825" w:type="pct"/>
            <w:shd w:val="clear" w:color="auto" w:fill="auto"/>
          </w:tcPr>
          <w:p w14:paraId="5B8EA165" w14:textId="77777777" w:rsidR="0080416E" w:rsidRPr="00FF397D" w:rsidRDefault="0080416E" w:rsidP="00E804EE">
            <w:pPr>
              <w:spacing w:line="240" w:lineRule="auto"/>
              <w:ind w:right="-52"/>
              <w:rPr>
                <w:szCs w:val="22"/>
                <w:lang w:val="lt-LT"/>
              </w:rPr>
            </w:pPr>
            <w:r w:rsidRPr="00FF397D">
              <w:rPr>
                <w:szCs w:val="22"/>
                <w:lang w:val="lt-LT"/>
              </w:rPr>
              <w:t>Svorio sumažėjimas, neutrofilų kiekio sumažėjimas</w:t>
            </w:r>
            <w:r w:rsidRPr="00FF397D">
              <w:rPr>
                <w:szCs w:val="22"/>
                <w:vertAlign w:val="superscript"/>
                <w:lang w:val="lt-LT"/>
              </w:rPr>
              <w:t>b</w:t>
            </w:r>
            <w:r w:rsidRPr="00FF397D">
              <w:rPr>
                <w:szCs w:val="22"/>
                <w:lang w:val="lt-LT"/>
              </w:rPr>
              <w:t>, leukocitų kiekio sumažėjimas</w:t>
            </w:r>
            <w:r w:rsidRPr="00FF397D">
              <w:rPr>
                <w:szCs w:val="22"/>
                <w:vertAlign w:val="superscript"/>
                <w:lang w:val="lt-LT"/>
              </w:rPr>
              <w:t>b</w:t>
            </w:r>
            <w:r w:rsidRPr="00FF397D">
              <w:rPr>
                <w:szCs w:val="22"/>
                <w:lang w:val="lt-LT"/>
              </w:rPr>
              <w:t>, kreatino fosfokinazės aktyvumo kraujyje padidėjimas</w:t>
            </w:r>
          </w:p>
        </w:tc>
        <w:tc>
          <w:tcPr>
            <w:tcW w:w="925" w:type="pct"/>
            <w:shd w:val="clear" w:color="auto" w:fill="auto"/>
          </w:tcPr>
          <w:p w14:paraId="09D28838" w14:textId="77777777" w:rsidR="0080416E" w:rsidRPr="00FF397D" w:rsidRDefault="0080416E" w:rsidP="00E804EE">
            <w:pPr>
              <w:spacing w:line="240" w:lineRule="auto"/>
              <w:ind w:left="38"/>
              <w:rPr>
                <w:szCs w:val="22"/>
                <w:lang w:val="lt-LT"/>
              </w:rPr>
            </w:pPr>
          </w:p>
        </w:tc>
        <w:tc>
          <w:tcPr>
            <w:tcW w:w="502" w:type="pct"/>
            <w:shd w:val="clear" w:color="auto" w:fill="auto"/>
          </w:tcPr>
          <w:p w14:paraId="6CC08EBA" w14:textId="77777777" w:rsidR="0080416E" w:rsidRPr="00FF397D" w:rsidRDefault="0080416E" w:rsidP="00E804EE">
            <w:pPr>
              <w:spacing w:line="240" w:lineRule="auto"/>
              <w:rPr>
                <w:szCs w:val="22"/>
                <w:lang w:val="lt-LT"/>
              </w:rPr>
            </w:pPr>
          </w:p>
        </w:tc>
        <w:tc>
          <w:tcPr>
            <w:tcW w:w="421" w:type="pct"/>
            <w:shd w:val="clear" w:color="auto" w:fill="auto"/>
          </w:tcPr>
          <w:p w14:paraId="3230733A" w14:textId="77777777" w:rsidR="0080416E" w:rsidRPr="00FF397D" w:rsidRDefault="0080416E" w:rsidP="00E804EE">
            <w:pPr>
              <w:spacing w:line="240" w:lineRule="auto"/>
              <w:ind w:right="-165"/>
              <w:rPr>
                <w:szCs w:val="22"/>
                <w:lang w:val="lt-LT"/>
              </w:rPr>
            </w:pPr>
          </w:p>
        </w:tc>
        <w:tc>
          <w:tcPr>
            <w:tcW w:w="727" w:type="pct"/>
            <w:shd w:val="clear" w:color="auto" w:fill="auto"/>
          </w:tcPr>
          <w:p w14:paraId="07C14314" w14:textId="77777777" w:rsidR="0080416E" w:rsidRPr="00FF397D" w:rsidRDefault="0080416E" w:rsidP="00E804EE">
            <w:pPr>
              <w:spacing w:line="240" w:lineRule="auto"/>
              <w:rPr>
                <w:szCs w:val="22"/>
                <w:lang w:val="lt-LT"/>
              </w:rPr>
            </w:pPr>
          </w:p>
        </w:tc>
      </w:tr>
      <w:tr w:rsidR="0080416E" w:rsidRPr="00FF397D" w14:paraId="58E88550" w14:textId="77777777" w:rsidTr="00E804EE">
        <w:tc>
          <w:tcPr>
            <w:tcW w:w="871" w:type="pct"/>
            <w:shd w:val="clear" w:color="auto" w:fill="auto"/>
          </w:tcPr>
          <w:p w14:paraId="0577FB78" w14:textId="77777777" w:rsidR="0080416E" w:rsidRPr="00FF397D" w:rsidRDefault="0080416E" w:rsidP="00E804EE">
            <w:pPr>
              <w:keepNext/>
              <w:spacing w:line="240" w:lineRule="auto"/>
              <w:rPr>
                <w:szCs w:val="22"/>
                <w:lang w:val="lt-LT"/>
              </w:rPr>
            </w:pPr>
            <w:r w:rsidRPr="00FF397D">
              <w:rPr>
                <w:szCs w:val="22"/>
                <w:lang w:val="lt-LT"/>
              </w:rPr>
              <w:t>Sužalojimai, apsinuodijimai ir procedūrų komplikacijos</w:t>
            </w:r>
          </w:p>
        </w:tc>
        <w:tc>
          <w:tcPr>
            <w:tcW w:w="730" w:type="pct"/>
            <w:shd w:val="clear" w:color="auto" w:fill="auto"/>
          </w:tcPr>
          <w:p w14:paraId="66F6D500" w14:textId="77777777" w:rsidR="0080416E" w:rsidRPr="00FF397D" w:rsidRDefault="0080416E" w:rsidP="00E804EE">
            <w:pPr>
              <w:keepNext/>
              <w:spacing w:line="240" w:lineRule="auto"/>
              <w:rPr>
                <w:szCs w:val="22"/>
                <w:lang w:val="lt-LT"/>
              </w:rPr>
            </w:pPr>
          </w:p>
        </w:tc>
        <w:tc>
          <w:tcPr>
            <w:tcW w:w="825" w:type="pct"/>
            <w:shd w:val="clear" w:color="auto" w:fill="auto"/>
          </w:tcPr>
          <w:p w14:paraId="265659DC" w14:textId="77777777" w:rsidR="0080416E" w:rsidRPr="00FF397D" w:rsidRDefault="0080416E" w:rsidP="00E804EE">
            <w:pPr>
              <w:keepNext/>
              <w:spacing w:line="240" w:lineRule="auto"/>
              <w:ind w:right="-52"/>
              <w:rPr>
                <w:szCs w:val="22"/>
                <w:lang w:val="lt-LT"/>
              </w:rPr>
            </w:pPr>
          </w:p>
        </w:tc>
        <w:tc>
          <w:tcPr>
            <w:tcW w:w="925" w:type="pct"/>
            <w:shd w:val="clear" w:color="auto" w:fill="auto"/>
          </w:tcPr>
          <w:p w14:paraId="59C2263C" w14:textId="77777777" w:rsidR="0080416E" w:rsidRPr="00FF397D" w:rsidRDefault="0080416E" w:rsidP="00E804EE">
            <w:pPr>
              <w:keepNext/>
              <w:spacing w:line="240" w:lineRule="auto"/>
              <w:ind w:left="38" w:right="-106"/>
              <w:rPr>
                <w:szCs w:val="22"/>
                <w:lang w:val="lt-LT"/>
              </w:rPr>
            </w:pPr>
            <w:r w:rsidRPr="00FF397D">
              <w:rPr>
                <w:szCs w:val="22"/>
                <w:lang w:val="lt-LT"/>
              </w:rPr>
              <w:t>Potrauminis skausmas</w:t>
            </w:r>
          </w:p>
        </w:tc>
        <w:tc>
          <w:tcPr>
            <w:tcW w:w="502" w:type="pct"/>
            <w:shd w:val="clear" w:color="auto" w:fill="auto"/>
          </w:tcPr>
          <w:p w14:paraId="0841B96C" w14:textId="77777777" w:rsidR="0080416E" w:rsidRPr="00FF397D" w:rsidRDefault="0080416E" w:rsidP="00E804EE">
            <w:pPr>
              <w:spacing w:line="240" w:lineRule="auto"/>
              <w:rPr>
                <w:szCs w:val="22"/>
                <w:lang w:val="lt-LT"/>
              </w:rPr>
            </w:pPr>
          </w:p>
        </w:tc>
        <w:tc>
          <w:tcPr>
            <w:tcW w:w="421" w:type="pct"/>
            <w:shd w:val="clear" w:color="auto" w:fill="auto"/>
          </w:tcPr>
          <w:p w14:paraId="5C730DBE" w14:textId="77777777" w:rsidR="0080416E" w:rsidRPr="00FF397D" w:rsidRDefault="0080416E" w:rsidP="00E804EE">
            <w:pPr>
              <w:spacing w:line="240" w:lineRule="auto"/>
              <w:ind w:right="-165"/>
              <w:rPr>
                <w:szCs w:val="22"/>
                <w:lang w:val="lt-LT"/>
              </w:rPr>
            </w:pPr>
          </w:p>
        </w:tc>
        <w:tc>
          <w:tcPr>
            <w:tcW w:w="727" w:type="pct"/>
            <w:shd w:val="clear" w:color="auto" w:fill="auto"/>
          </w:tcPr>
          <w:p w14:paraId="44E323FD" w14:textId="77777777" w:rsidR="0080416E" w:rsidRPr="00FF397D" w:rsidRDefault="0080416E" w:rsidP="00E804EE">
            <w:pPr>
              <w:spacing w:line="240" w:lineRule="auto"/>
              <w:rPr>
                <w:szCs w:val="22"/>
                <w:lang w:val="lt-LT"/>
              </w:rPr>
            </w:pPr>
          </w:p>
        </w:tc>
      </w:tr>
    </w:tbl>
    <w:p w14:paraId="6B4F372F"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vertAlign w:val="superscript"/>
          <w:lang w:val="lt-LT"/>
        </w:rPr>
        <w:t xml:space="preserve"> a</w:t>
      </w:r>
      <w:r w:rsidRPr="00FF397D">
        <w:rPr>
          <w:rFonts w:eastAsia="Calibri"/>
          <w:szCs w:val="22"/>
          <w:lang w:val="lt-LT"/>
        </w:rPr>
        <w:t xml:space="preserve"> žr. išsamių aprašymų skyrių</w:t>
      </w:r>
    </w:p>
    <w:p w14:paraId="5905003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vertAlign w:val="superscript"/>
          <w:lang w:val="lt-LT"/>
        </w:rPr>
        <w:t>b</w:t>
      </w:r>
      <w:r w:rsidRPr="00FF397D">
        <w:rPr>
          <w:rFonts w:eastAsia="Calibri"/>
          <w:szCs w:val="22"/>
          <w:lang w:val="lt-LT"/>
        </w:rPr>
        <w:t xml:space="preserve"> žr. 4.4 skyrių</w:t>
      </w:r>
    </w:p>
    <w:p w14:paraId="2FE5CE17"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vertAlign w:val="superscript"/>
          <w:lang w:val="lt-LT"/>
        </w:rPr>
        <w:t>c</w:t>
      </w:r>
      <w:r w:rsidRPr="00FF397D">
        <w:rPr>
          <w:rFonts w:eastAsia="Calibri"/>
          <w:szCs w:val="22"/>
          <w:lang w:val="lt-LT"/>
        </w:rPr>
        <w:t xml:space="preserve"> pasireiškimo dažnis vaikams „dažnas</w:t>
      </w:r>
      <w:r w:rsidR="006E241A" w:rsidRPr="00FF397D">
        <w:rPr>
          <w:rFonts w:eastAsia="Calibri"/>
          <w:szCs w:val="22"/>
          <w:lang w:val="lt-LT"/>
        </w:rPr>
        <w:t>“</w:t>
      </w:r>
      <w:r w:rsidRPr="00FF397D">
        <w:rPr>
          <w:rFonts w:eastAsia="Calibri"/>
          <w:szCs w:val="22"/>
          <w:lang w:val="lt-LT"/>
        </w:rPr>
        <w:t>, remiantis kontroliuojamo tyrimo su vaikais duomenimis; pasireiškimo dažnis suaugusiesiems „nedažnas“.</w:t>
      </w:r>
    </w:p>
    <w:p w14:paraId="1E202438" w14:textId="440C547F" w:rsidR="0080416E" w:rsidRPr="00FF397D" w:rsidRDefault="00415914" w:rsidP="0080416E">
      <w:pPr>
        <w:autoSpaceDE w:val="0"/>
        <w:autoSpaceDN w:val="0"/>
        <w:adjustRightInd w:val="0"/>
        <w:spacing w:line="240" w:lineRule="auto"/>
        <w:rPr>
          <w:rFonts w:eastAsia="Calibri"/>
          <w:szCs w:val="22"/>
          <w:lang w:val="lt-LT"/>
        </w:rPr>
      </w:pPr>
      <w:r w:rsidRPr="009045D7">
        <w:rPr>
          <w:rFonts w:eastAsia="Calibri"/>
          <w:szCs w:val="22"/>
          <w:vertAlign w:val="superscript"/>
          <w:lang w:val="lt-LT"/>
        </w:rPr>
        <w:t>*</w:t>
      </w:r>
      <w:r w:rsidRPr="00415914">
        <w:rPr>
          <w:rFonts w:eastAsia="Calibri"/>
          <w:szCs w:val="22"/>
          <w:lang w:val="lt-LT"/>
        </w:rPr>
        <w:t xml:space="preserve"> </w:t>
      </w:r>
      <w:r w:rsidR="009045D7">
        <w:rPr>
          <w:rFonts w:eastAsia="Calibri"/>
          <w:szCs w:val="22"/>
          <w:lang w:val="lt-LT"/>
        </w:rPr>
        <w:t>ž</w:t>
      </w:r>
      <w:r w:rsidR="009045D7" w:rsidRPr="009045D7">
        <w:rPr>
          <w:rFonts w:eastAsia="Calibri"/>
          <w:szCs w:val="22"/>
          <w:lang w:val="lt-LT"/>
        </w:rPr>
        <w:t>r. 4.4 skyrių.</w:t>
      </w:r>
    </w:p>
    <w:p w14:paraId="521A4658"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Atskirų nepageidaujamų reakcijų aprašymas</w:t>
      </w:r>
    </w:p>
    <w:p w14:paraId="55097B2E"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67C76C0D"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Alopecija</w:t>
      </w:r>
    </w:p>
    <w:p w14:paraId="68890E7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Apie alopeciją, pasireiškusią plaukų išretėjimu, mažesniu plaukų tankumu, plaukų slinkimu kartu su plaukų struktūros pokyčiais ar be jų, pranešė 13,9 % pacientų, gydytų 14 mg teriflunomido doze, palyginti su 5,1 % pacientų, vartojusių placebo. Dauguma atvejų buvo apibūdinti kaip difuziniai arba viršugalvio (nepranešta apie visišką plaukų nuslinkimą), dažniausiai pasireiškė per pirmuosius 6 mėnesius ir išnyko 121 iš 139 (87,1 %) 14 mg teriflunomido dozę vartojusių pacientų. Dėl alopecijos gydymas buvo nutrauktas 1,3 % 14 mg teriflunomido dozės grupės pacientų, palyginti su 0,1 % placebo grupėje.</w:t>
      </w:r>
    </w:p>
    <w:p w14:paraId="6CFD63C4" w14:textId="77777777" w:rsidR="0080416E" w:rsidRPr="00FF397D" w:rsidRDefault="0080416E" w:rsidP="0080416E">
      <w:pPr>
        <w:autoSpaceDE w:val="0"/>
        <w:autoSpaceDN w:val="0"/>
        <w:adjustRightInd w:val="0"/>
        <w:spacing w:line="240" w:lineRule="auto"/>
        <w:rPr>
          <w:rFonts w:eastAsia="Calibri"/>
          <w:szCs w:val="22"/>
          <w:lang w:val="lt-LT"/>
        </w:rPr>
      </w:pPr>
    </w:p>
    <w:p w14:paraId="4FE9434C"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Poveikis kepenims</w:t>
      </w:r>
    </w:p>
    <w:p w14:paraId="42C7A66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Placebu kontroliuojamų tyrimų su suaugusiais pacientais metu buvo gauti tokie duomenys:</w:t>
      </w:r>
    </w:p>
    <w:p w14:paraId="0048B26A" w14:textId="77777777" w:rsidR="0080416E" w:rsidRPr="00FF397D" w:rsidRDefault="0080416E" w:rsidP="0080416E">
      <w:pPr>
        <w:autoSpaceDE w:val="0"/>
        <w:autoSpaceDN w:val="0"/>
        <w:adjustRightInd w:val="0"/>
        <w:spacing w:line="240" w:lineRule="auto"/>
        <w:rPr>
          <w:rFonts w:eastAsia="Calibr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3253"/>
      </w:tblGrid>
      <w:tr w:rsidR="0080416E" w:rsidRPr="0089081B" w14:paraId="66612A82" w14:textId="77777777" w:rsidTr="00E804EE">
        <w:trPr>
          <w:tblHeader/>
        </w:trPr>
        <w:tc>
          <w:tcPr>
            <w:tcW w:w="9060" w:type="dxa"/>
            <w:gridSpan w:val="3"/>
            <w:tcBorders>
              <w:bottom w:val="single" w:sz="4" w:space="0" w:color="auto"/>
            </w:tcBorders>
            <w:shd w:val="clear" w:color="auto" w:fill="auto"/>
            <w:vAlign w:val="center"/>
          </w:tcPr>
          <w:p w14:paraId="7FF147EC" w14:textId="77777777" w:rsidR="0080416E" w:rsidRPr="00FF397D" w:rsidRDefault="0080416E" w:rsidP="00E804EE">
            <w:pPr>
              <w:autoSpaceDE w:val="0"/>
              <w:autoSpaceDN w:val="0"/>
              <w:adjustRightInd w:val="0"/>
              <w:spacing w:line="240" w:lineRule="auto"/>
              <w:rPr>
                <w:rFonts w:eastAsia="Calibri"/>
                <w:b/>
                <w:bCs/>
                <w:szCs w:val="22"/>
                <w:lang w:val="lt-LT"/>
              </w:rPr>
            </w:pPr>
            <w:r w:rsidRPr="00FF397D">
              <w:rPr>
                <w:rFonts w:eastAsia="Calibri"/>
                <w:b/>
                <w:bCs/>
                <w:szCs w:val="22"/>
                <w:lang w:val="lt-LT"/>
              </w:rPr>
              <w:t>ALT aktyvumo padidėjimas (remiantis laboratoriniais duomenimis), palyginti su pradine reikšme (saugumo populiacija placebu kontroliuojamuose tyrimuose)</w:t>
            </w:r>
          </w:p>
        </w:tc>
      </w:tr>
      <w:tr w:rsidR="0080416E" w:rsidRPr="00FF397D" w14:paraId="06A8F8F8" w14:textId="77777777" w:rsidTr="00E804EE">
        <w:trPr>
          <w:tblHeader/>
        </w:trPr>
        <w:tc>
          <w:tcPr>
            <w:tcW w:w="3397" w:type="dxa"/>
            <w:tcBorders>
              <w:bottom w:val="single" w:sz="4" w:space="0" w:color="auto"/>
              <w:right w:val="single" w:sz="4" w:space="0" w:color="auto"/>
            </w:tcBorders>
            <w:shd w:val="clear" w:color="auto" w:fill="auto"/>
          </w:tcPr>
          <w:p w14:paraId="38A8BC88" w14:textId="77777777" w:rsidR="0080416E" w:rsidRPr="00FF397D" w:rsidRDefault="0080416E" w:rsidP="00E804EE">
            <w:pPr>
              <w:spacing w:line="240" w:lineRule="auto"/>
              <w:rPr>
                <w:szCs w:val="22"/>
                <w:lang w:val="lt-LT"/>
              </w:rPr>
            </w:pPr>
          </w:p>
        </w:tc>
        <w:tc>
          <w:tcPr>
            <w:tcW w:w="2410" w:type="dxa"/>
            <w:tcBorders>
              <w:left w:val="single" w:sz="4" w:space="0" w:color="auto"/>
              <w:bottom w:val="single" w:sz="4" w:space="0" w:color="auto"/>
              <w:right w:val="single" w:sz="4" w:space="0" w:color="auto"/>
            </w:tcBorders>
            <w:shd w:val="clear" w:color="auto" w:fill="auto"/>
          </w:tcPr>
          <w:p w14:paraId="3C55782F" w14:textId="77777777" w:rsidR="0080416E" w:rsidRPr="00FF397D" w:rsidRDefault="0080416E" w:rsidP="00E804EE">
            <w:pPr>
              <w:spacing w:line="240" w:lineRule="auto"/>
              <w:rPr>
                <w:b/>
                <w:szCs w:val="22"/>
                <w:lang w:val="lt-LT"/>
              </w:rPr>
            </w:pPr>
            <w:r w:rsidRPr="00FF397D">
              <w:rPr>
                <w:b/>
                <w:szCs w:val="22"/>
                <w:lang w:val="lt-LT"/>
              </w:rPr>
              <w:t xml:space="preserve">Placebas </w:t>
            </w:r>
          </w:p>
          <w:p w14:paraId="35F0878E" w14:textId="77777777" w:rsidR="0080416E" w:rsidRPr="00FF397D" w:rsidRDefault="0080416E" w:rsidP="00E804EE">
            <w:pPr>
              <w:spacing w:line="240" w:lineRule="auto"/>
              <w:rPr>
                <w:b/>
                <w:szCs w:val="22"/>
                <w:lang w:val="lt-LT"/>
              </w:rPr>
            </w:pPr>
            <w:r w:rsidRPr="00FF397D">
              <w:rPr>
                <w:b/>
                <w:szCs w:val="22"/>
                <w:lang w:val="lt-LT"/>
              </w:rPr>
              <w:t>(n = 997)</w:t>
            </w:r>
          </w:p>
        </w:tc>
        <w:tc>
          <w:tcPr>
            <w:tcW w:w="3253" w:type="dxa"/>
            <w:tcBorders>
              <w:left w:val="single" w:sz="4" w:space="0" w:color="auto"/>
              <w:bottom w:val="single" w:sz="4" w:space="0" w:color="auto"/>
            </w:tcBorders>
            <w:shd w:val="clear" w:color="auto" w:fill="auto"/>
          </w:tcPr>
          <w:p w14:paraId="678D1C50" w14:textId="77777777" w:rsidR="0080416E" w:rsidRPr="00FF397D" w:rsidRDefault="0080416E" w:rsidP="00E804EE">
            <w:pPr>
              <w:spacing w:line="240" w:lineRule="auto"/>
              <w:rPr>
                <w:b/>
                <w:szCs w:val="22"/>
                <w:lang w:val="lt-LT"/>
              </w:rPr>
            </w:pPr>
            <w:r w:rsidRPr="00FF397D">
              <w:rPr>
                <w:b/>
                <w:szCs w:val="22"/>
                <w:lang w:val="lt-LT"/>
              </w:rPr>
              <w:t xml:space="preserve">Teriflunomidas 14 mg </w:t>
            </w:r>
          </w:p>
          <w:p w14:paraId="2B841F13" w14:textId="77777777" w:rsidR="0080416E" w:rsidRPr="00FF397D" w:rsidRDefault="0080416E" w:rsidP="00E804EE">
            <w:pPr>
              <w:spacing w:line="240" w:lineRule="auto"/>
              <w:rPr>
                <w:b/>
                <w:szCs w:val="22"/>
                <w:lang w:val="lt-LT"/>
              </w:rPr>
            </w:pPr>
            <w:r w:rsidRPr="00FF397D">
              <w:rPr>
                <w:b/>
                <w:szCs w:val="22"/>
                <w:lang w:val="lt-LT"/>
              </w:rPr>
              <w:t>(n = 1 002)</w:t>
            </w:r>
          </w:p>
        </w:tc>
      </w:tr>
      <w:tr w:rsidR="0080416E" w:rsidRPr="00FF397D" w14:paraId="0EE88DAF" w14:textId="77777777" w:rsidTr="00E804EE">
        <w:tc>
          <w:tcPr>
            <w:tcW w:w="3397" w:type="dxa"/>
            <w:tcBorders>
              <w:bottom w:val="single" w:sz="4" w:space="0" w:color="auto"/>
              <w:right w:val="single" w:sz="4" w:space="0" w:color="auto"/>
            </w:tcBorders>
            <w:shd w:val="clear" w:color="auto" w:fill="auto"/>
            <w:vAlign w:val="center"/>
          </w:tcPr>
          <w:p w14:paraId="1B63E623" w14:textId="77777777" w:rsidR="0080416E" w:rsidRPr="00FF397D" w:rsidRDefault="0080416E" w:rsidP="00E804EE">
            <w:pPr>
              <w:spacing w:line="240" w:lineRule="auto"/>
              <w:rPr>
                <w:szCs w:val="22"/>
                <w:lang w:val="lt-LT"/>
              </w:rPr>
            </w:pPr>
            <w:r w:rsidRPr="00FF397D">
              <w:rPr>
                <w:szCs w:val="22"/>
                <w:lang w:val="lt-LT"/>
              </w:rPr>
              <w:t>&gt;3 VNR</w:t>
            </w:r>
          </w:p>
        </w:tc>
        <w:tc>
          <w:tcPr>
            <w:tcW w:w="2410" w:type="dxa"/>
            <w:tcBorders>
              <w:left w:val="single" w:sz="4" w:space="0" w:color="auto"/>
              <w:bottom w:val="single" w:sz="4" w:space="0" w:color="auto"/>
              <w:right w:val="single" w:sz="4" w:space="0" w:color="auto"/>
            </w:tcBorders>
            <w:shd w:val="clear" w:color="auto" w:fill="auto"/>
            <w:vAlign w:val="center"/>
          </w:tcPr>
          <w:p w14:paraId="62808E5A" w14:textId="77777777" w:rsidR="0080416E" w:rsidRPr="00FF397D" w:rsidRDefault="0080416E" w:rsidP="00E804EE">
            <w:pPr>
              <w:spacing w:line="240" w:lineRule="auto"/>
              <w:rPr>
                <w:szCs w:val="22"/>
                <w:lang w:val="lt-LT"/>
              </w:rPr>
            </w:pPr>
            <w:r w:rsidRPr="00FF397D">
              <w:rPr>
                <w:szCs w:val="22"/>
                <w:lang w:val="lt-LT"/>
              </w:rPr>
              <w:t>66/994 (6,6 %)</w:t>
            </w:r>
          </w:p>
        </w:tc>
        <w:tc>
          <w:tcPr>
            <w:tcW w:w="3253" w:type="dxa"/>
            <w:tcBorders>
              <w:left w:val="single" w:sz="4" w:space="0" w:color="auto"/>
              <w:bottom w:val="single" w:sz="4" w:space="0" w:color="auto"/>
            </w:tcBorders>
            <w:shd w:val="clear" w:color="auto" w:fill="auto"/>
            <w:vAlign w:val="center"/>
          </w:tcPr>
          <w:p w14:paraId="78E1F107" w14:textId="77777777" w:rsidR="0080416E" w:rsidRPr="00FF397D" w:rsidRDefault="0080416E" w:rsidP="00E804EE">
            <w:pPr>
              <w:spacing w:line="240" w:lineRule="auto"/>
              <w:rPr>
                <w:szCs w:val="22"/>
                <w:lang w:val="lt-LT"/>
              </w:rPr>
            </w:pPr>
            <w:r w:rsidRPr="00FF397D">
              <w:rPr>
                <w:szCs w:val="22"/>
                <w:lang w:val="lt-LT"/>
              </w:rPr>
              <w:t>80/999 (8,0 %)</w:t>
            </w:r>
          </w:p>
        </w:tc>
      </w:tr>
      <w:tr w:rsidR="0080416E" w:rsidRPr="00FF397D" w14:paraId="3CE6DAA1" w14:textId="77777777" w:rsidTr="00E804EE">
        <w:tc>
          <w:tcPr>
            <w:tcW w:w="3397" w:type="dxa"/>
            <w:tcBorders>
              <w:top w:val="single" w:sz="4" w:space="0" w:color="auto"/>
              <w:bottom w:val="single" w:sz="4" w:space="0" w:color="auto"/>
              <w:right w:val="single" w:sz="4" w:space="0" w:color="auto"/>
            </w:tcBorders>
            <w:shd w:val="clear" w:color="auto" w:fill="auto"/>
            <w:vAlign w:val="center"/>
          </w:tcPr>
          <w:p w14:paraId="0A903B09" w14:textId="77777777" w:rsidR="0080416E" w:rsidRPr="00FF397D" w:rsidRDefault="0080416E" w:rsidP="00E804EE">
            <w:pPr>
              <w:spacing w:line="240" w:lineRule="auto"/>
              <w:rPr>
                <w:szCs w:val="22"/>
                <w:lang w:val="lt-LT"/>
              </w:rPr>
            </w:pPr>
            <w:r w:rsidRPr="00FF397D">
              <w:rPr>
                <w:szCs w:val="22"/>
                <w:lang w:val="lt-LT"/>
              </w:rPr>
              <w:t>&gt;5 VNR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356E2F" w14:textId="77777777" w:rsidR="0080416E" w:rsidRPr="00FF397D" w:rsidRDefault="0080416E" w:rsidP="00E804EE">
            <w:pPr>
              <w:spacing w:line="240" w:lineRule="auto"/>
              <w:rPr>
                <w:szCs w:val="22"/>
                <w:lang w:val="lt-LT"/>
              </w:rPr>
            </w:pPr>
            <w:r w:rsidRPr="00FF397D">
              <w:rPr>
                <w:szCs w:val="22"/>
                <w:lang w:val="lt-LT"/>
              </w:rPr>
              <w:t>37/994 (3,7 %)</w:t>
            </w:r>
          </w:p>
        </w:tc>
        <w:tc>
          <w:tcPr>
            <w:tcW w:w="3253" w:type="dxa"/>
            <w:tcBorders>
              <w:top w:val="single" w:sz="4" w:space="0" w:color="auto"/>
              <w:left w:val="single" w:sz="4" w:space="0" w:color="auto"/>
              <w:bottom w:val="single" w:sz="4" w:space="0" w:color="auto"/>
            </w:tcBorders>
            <w:shd w:val="clear" w:color="auto" w:fill="auto"/>
            <w:vAlign w:val="center"/>
          </w:tcPr>
          <w:p w14:paraId="4ED0D777" w14:textId="77777777" w:rsidR="0080416E" w:rsidRPr="00FF397D" w:rsidRDefault="0080416E" w:rsidP="00E804EE">
            <w:pPr>
              <w:spacing w:line="240" w:lineRule="auto"/>
              <w:rPr>
                <w:szCs w:val="22"/>
                <w:lang w:val="lt-LT"/>
              </w:rPr>
            </w:pPr>
            <w:r w:rsidRPr="00FF397D">
              <w:rPr>
                <w:szCs w:val="22"/>
                <w:lang w:val="lt-LT"/>
              </w:rPr>
              <w:t>31/999 (3,1 %)</w:t>
            </w:r>
          </w:p>
        </w:tc>
      </w:tr>
      <w:tr w:rsidR="0080416E" w:rsidRPr="00FF397D" w14:paraId="682C31AE" w14:textId="77777777" w:rsidTr="00E804EE">
        <w:tc>
          <w:tcPr>
            <w:tcW w:w="3397" w:type="dxa"/>
            <w:tcBorders>
              <w:top w:val="single" w:sz="4" w:space="0" w:color="auto"/>
              <w:bottom w:val="single" w:sz="4" w:space="0" w:color="auto"/>
              <w:right w:val="single" w:sz="4" w:space="0" w:color="auto"/>
            </w:tcBorders>
            <w:shd w:val="clear" w:color="auto" w:fill="auto"/>
            <w:vAlign w:val="center"/>
          </w:tcPr>
          <w:p w14:paraId="7F5E29A0" w14:textId="77777777" w:rsidR="0080416E" w:rsidRPr="00FF397D" w:rsidRDefault="0080416E" w:rsidP="00E804EE">
            <w:pPr>
              <w:spacing w:line="240" w:lineRule="auto"/>
              <w:rPr>
                <w:szCs w:val="22"/>
                <w:lang w:val="lt-LT"/>
              </w:rPr>
            </w:pPr>
            <w:r w:rsidRPr="00FF397D">
              <w:rPr>
                <w:szCs w:val="22"/>
                <w:lang w:val="lt-LT"/>
              </w:rPr>
              <w:t>&gt;10 VNR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6FE8D8" w14:textId="77777777" w:rsidR="0080416E" w:rsidRPr="00FF397D" w:rsidRDefault="0080416E" w:rsidP="00E804EE">
            <w:pPr>
              <w:spacing w:line="240" w:lineRule="auto"/>
              <w:rPr>
                <w:szCs w:val="22"/>
                <w:lang w:val="lt-LT"/>
              </w:rPr>
            </w:pPr>
            <w:r w:rsidRPr="00FF397D">
              <w:rPr>
                <w:szCs w:val="22"/>
                <w:lang w:val="lt-LT"/>
              </w:rPr>
              <w:t>16/994 (1,6 %)</w:t>
            </w:r>
          </w:p>
        </w:tc>
        <w:tc>
          <w:tcPr>
            <w:tcW w:w="3253" w:type="dxa"/>
            <w:tcBorders>
              <w:top w:val="single" w:sz="4" w:space="0" w:color="auto"/>
              <w:left w:val="single" w:sz="4" w:space="0" w:color="auto"/>
              <w:bottom w:val="single" w:sz="4" w:space="0" w:color="auto"/>
            </w:tcBorders>
            <w:shd w:val="clear" w:color="auto" w:fill="auto"/>
            <w:vAlign w:val="center"/>
          </w:tcPr>
          <w:p w14:paraId="12447AEB" w14:textId="77777777" w:rsidR="0080416E" w:rsidRPr="00FF397D" w:rsidRDefault="0080416E" w:rsidP="00E804EE">
            <w:pPr>
              <w:spacing w:line="240" w:lineRule="auto"/>
              <w:rPr>
                <w:szCs w:val="22"/>
                <w:lang w:val="lt-LT"/>
              </w:rPr>
            </w:pPr>
            <w:r w:rsidRPr="00FF397D">
              <w:rPr>
                <w:szCs w:val="22"/>
                <w:lang w:val="lt-LT"/>
              </w:rPr>
              <w:t>9/999 (0,9 %)</w:t>
            </w:r>
          </w:p>
        </w:tc>
      </w:tr>
      <w:tr w:rsidR="0080416E" w:rsidRPr="00FF397D" w14:paraId="7CF007E1" w14:textId="77777777" w:rsidTr="00E804EE">
        <w:tc>
          <w:tcPr>
            <w:tcW w:w="3397" w:type="dxa"/>
            <w:tcBorders>
              <w:top w:val="single" w:sz="4" w:space="0" w:color="auto"/>
              <w:bottom w:val="single" w:sz="4" w:space="0" w:color="auto"/>
              <w:right w:val="single" w:sz="4" w:space="0" w:color="auto"/>
            </w:tcBorders>
            <w:shd w:val="clear" w:color="auto" w:fill="auto"/>
            <w:vAlign w:val="center"/>
          </w:tcPr>
          <w:p w14:paraId="027AD5C7" w14:textId="77777777" w:rsidR="0080416E" w:rsidRPr="00FF397D" w:rsidRDefault="0080416E" w:rsidP="00E804EE">
            <w:pPr>
              <w:spacing w:line="240" w:lineRule="auto"/>
              <w:rPr>
                <w:szCs w:val="22"/>
                <w:lang w:val="lt-LT"/>
              </w:rPr>
            </w:pPr>
            <w:r w:rsidRPr="00FF397D">
              <w:rPr>
                <w:szCs w:val="22"/>
                <w:lang w:val="lt-LT"/>
              </w:rPr>
              <w:t>&gt;20 ULN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67E68B" w14:textId="77777777" w:rsidR="0080416E" w:rsidRPr="00FF397D" w:rsidRDefault="0080416E" w:rsidP="00E804EE">
            <w:pPr>
              <w:spacing w:line="240" w:lineRule="auto"/>
              <w:rPr>
                <w:szCs w:val="22"/>
                <w:lang w:val="lt-LT"/>
              </w:rPr>
            </w:pPr>
            <w:r w:rsidRPr="00FF397D">
              <w:rPr>
                <w:szCs w:val="22"/>
                <w:lang w:val="lt-LT"/>
              </w:rPr>
              <w:t>4/994 (0,4 %)</w:t>
            </w:r>
          </w:p>
        </w:tc>
        <w:tc>
          <w:tcPr>
            <w:tcW w:w="3253" w:type="dxa"/>
            <w:tcBorders>
              <w:top w:val="single" w:sz="4" w:space="0" w:color="auto"/>
              <w:left w:val="single" w:sz="4" w:space="0" w:color="auto"/>
              <w:bottom w:val="single" w:sz="4" w:space="0" w:color="auto"/>
            </w:tcBorders>
            <w:shd w:val="clear" w:color="auto" w:fill="auto"/>
            <w:vAlign w:val="center"/>
          </w:tcPr>
          <w:p w14:paraId="560445A1" w14:textId="77777777" w:rsidR="0080416E" w:rsidRPr="00FF397D" w:rsidRDefault="0080416E" w:rsidP="00E804EE">
            <w:pPr>
              <w:spacing w:line="240" w:lineRule="auto"/>
              <w:rPr>
                <w:szCs w:val="22"/>
                <w:lang w:val="lt-LT"/>
              </w:rPr>
            </w:pPr>
            <w:r w:rsidRPr="00FF397D">
              <w:rPr>
                <w:szCs w:val="22"/>
                <w:lang w:val="lt-LT"/>
              </w:rPr>
              <w:t>3/999 (0,3 %)</w:t>
            </w:r>
          </w:p>
        </w:tc>
      </w:tr>
      <w:tr w:rsidR="0080416E" w:rsidRPr="00FF397D" w14:paraId="7875A773" w14:textId="77777777" w:rsidTr="00E804EE">
        <w:tc>
          <w:tcPr>
            <w:tcW w:w="3397" w:type="dxa"/>
            <w:tcBorders>
              <w:top w:val="single" w:sz="4" w:space="0" w:color="auto"/>
              <w:right w:val="single" w:sz="4" w:space="0" w:color="auto"/>
            </w:tcBorders>
            <w:shd w:val="clear" w:color="auto" w:fill="auto"/>
            <w:vAlign w:val="center"/>
          </w:tcPr>
          <w:p w14:paraId="1F6B2D24" w14:textId="77777777" w:rsidR="0080416E" w:rsidRPr="00FF397D" w:rsidRDefault="0080416E" w:rsidP="00E804EE">
            <w:pPr>
              <w:spacing w:line="240" w:lineRule="auto"/>
              <w:rPr>
                <w:szCs w:val="22"/>
                <w:lang w:val="lt-LT"/>
              </w:rPr>
            </w:pPr>
            <w:r w:rsidRPr="00FF397D">
              <w:rPr>
                <w:szCs w:val="22"/>
                <w:lang w:val="lt-LT"/>
              </w:rPr>
              <w:t>ALT &gt;3 VNR ir bendras bilirubinas &gt;2 VNR</w:t>
            </w:r>
          </w:p>
        </w:tc>
        <w:tc>
          <w:tcPr>
            <w:tcW w:w="2410" w:type="dxa"/>
            <w:tcBorders>
              <w:top w:val="single" w:sz="4" w:space="0" w:color="auto"/>
              <w:left w:val="single" w:sz="4" w:space="0" w:color="auto"/>
              <w:right w:val="single" w:sz="4" w:space="0" w:color="auto"/>
            </w:tcBorders>
            <w:shd w:val="clear" w:color="auto" w:fill="auto"/>
            <w:vAlign w:val="center"/>
          </w:tcPr>
          <w:p w14:paraId="6DAF6EDB" w14:textId="77777777" w:rsidR="0080416E" w:rsidRPr="00FF397D" w:rsidRDefault="0080416E" w:rsidP="00E804EE">
            <w:pPr>
              <w:spacing w:line="240" w:lineRule="auto"/>
              <w:rPr>
                <w:szCs w:val="22"/>
                <w:lang w:val="lt-LT"/>
              </w:rPr>
            </w:pPr>
            <w:r w:rsidRPr="00FF397D">
              <w:rPr>
                <w:szCs w:val="22"/>
                <w:lang w:val="lt-LT"/>
              </w:rPr>
              <w:t>5/994 (0,5 %)</w:t>
            </w:r>
          </w:p>
        </w:tc>
        <w:tc>
          <w:tcPr>
            <w:tcW w:w="3253" w:type="dxa"/>
            <w:tcBorders>
              <w:top w:val="single" w:sz="4" w:space="0" w:color="auto"/>
              <w:left w:val="single" w:sz="4" w:space="0" w:color="auto"/>
            </w:tcBorders>
            <w:shd w:val="clear" w:color="auto" w:fill="auto"/>
            <w:vAlign w:val="center"/>
          </w:tcPr>
          <w:p w14:paraId="7E3CAAE9" w14:textId="77777777" w:rsidR="0080416E" w:rsidRPr="00FF397D" w:rsidRDefault="0080416E" w:rsidP="00E804EE">
            <w:pPr>
              <w:spacing w:line="240" w:lineRule="auto"/>
              <w:rPr>
                <w:szCs w:val="22"/>
                <w:lang w:val="lt-LT"/>
              </w:rPr>
            </w:pPr>
            <w:r w:rsidRPr="00FF397D">
              <w:rPr>
                <w:szCs w:val="22"/>
                <w:lang w:val="lt-LT"/>
              </w:rPr>
              <w:t>3/999 (0,3 %)</w:t>
            </w:r>
          </w:p>
        </w:tc>
      </w:tr>
    </w:tbl>
    <w:p w14:paraId="54A5DBE4" w14:textId="77777777" w:rsidR="0080416E" w:rsidRPr="00FF397D" w:rsidRDefault="006E241A" w:rsidP="0080416E">
      <w:pPr>
        <w:autoSpaceDE w:val="0"/>
        <w:autoSpaceDN w:val="0"/>
        <w:adjustRightInd w:val="0"/>
        <w:spacing w:line="240" w:lineRule="auto"/>
        <w:rPr>
          <w:rFonts w:eastAsia="Calibri"/>
          <w:szCs w:val="22"/>
          <w:lang w:val="lt-LT"/>
        </w:rPr>
      </w:pPr>
      <w:r w:rsidRPr="00FF397D">
        <w:rPr>
          <w:rFonts w:eastAsia="Calibri"/>
          <w:szCs w:val="22"/>
          <w:lang w:val="lt-LT"/>
        </w:rPr>
        <w:t>VNR – viršutinė normos riba</w:t>
      </w:r>
    </w:p>
    <w:p w14:paraId="79F19011" w14:textId="77777777" w:rsidR="006E241A" w:rsidRPr="00FF397D" w:rsidRDefault="006E241A" w:rsidP="0080416E">
      <w:pPr>
        <w:autoSpaceDE w:val="0"/>
        <w:autoSpaceDN w:val="0"/>
        <w:adjustRightInd w:val="0"/>
        <w:spacing w:line="240" w:lineRule="auto"/>
        <w:rPr>
          <w:rFonts w:eastAsia="Calibri"/>
          <w:szCs w:val="22"/>
          <w:lang w:val="lt-LT"/>
        </w:rPr>
      </w:pPr>
    </w:p>
    <w:p w14:paraId="4330DF00"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Nežymiai padidėjęs transaminazių aktyvumas, kai ALT aktyvumas padidėjo mažiau arba buvo tris kartus didesnis už VNR, buvo dažniau stebėtas gydymo teriflunomidu grupėse, palyginti su placebu. Aktyvumo padidėjimo dažnis trimis kartais ir daugiau virš VNR gydymo grupėse buvo panašus. Šis transaminazių aktyvumo padidėjimas išmatuotas daugiausiai per pirmuosius 6 gydymo mėnesius ir buvo grįžtamas nutraukus gydymą. Atsistatymo laikotarpio kitimo sritis – nuo mėnesių iki metų.</w:t>
      </w:r>
    </w:p>
    <w:p w14:paraId="44E7E289"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Poveikis kraujospūdžiui</w:t>
      </w:r>
    </w:p>
    <w:p w14:paraId="0EEA6BF4" w14:textId="77777777" w:rsidR="0080416E" w:rsidRPr="00FF397D" w:rsidRDefault="0080416E" w:rsidP="0080416E">
      <w:pPr>
        <w:keepNext/>
        <w:autoSpaceDE w:val="0"/>
        <w:autoSpaceDN w:val="0"/>
        <w:adjustRightInd w:val="0"/>
        <w:spacing w:line="240" w:lineRule="auto"/>
        <w:rPr>
          <w:rFonts w:eastAsia="Calibri"/>
          <w:szCs w:val="22"/>
          <w:lang w:val="lt-LT"/>
        </w:rPr>
      </w:pPr>
      <w:r w:rsidRPr="00FF397D">
        <w:rPr>
          <w:rFonts w:eastAsia="Calibri"/>
          <w:szCs w:val="22"/>
          <w:lang w:val="lt-LT"/>
        </w:rPr>
        <w:t>Placebu kontroliuojamų tyrimų su suaugusiais pacientais metu buvo nustatyti tokie duomenys:</w:t>
      </w:r>
    </w:p>
    <w:p w14:paraId="523C1C5F" w14:textId="77777777" w:rsidR="0080416E" w:rsidRPr="00FF397D" w:rsidRDefault="0080416E" w:rsidP="0080416E">
      <w:pPr>
        <w:pStyle w:val="Sraopastraipa"/>
        <w:numPr>
          <w:ilvl w:val="0"/>
          <w:numId w:val="14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sistolinis kraujospūdis buvo &gt; 140 mm Hg 19,9 % pacientų, vartojusių 14 mg/parą teriflunomido, palyginti su 15,5 % pacientų, vartojusių placebo;</w:t>
      </w:r>
    </w:p>
    <w:p w14:paraId="67195335" w14:textId="77777777" w:rsidR="0080416E" w:rsidRPr="00FF397D" w:rsidRDefault="0080416E" w:rsidP="0080416E">
      <w:pPr>
        <w:pStyle w:val="Sraopastraipa"/>
        <w:numPr>
          <w:ilvl w:val="0"/>
          <w:numId w:val="14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sistolinis kraujospūdis buvo &gt; 160 mm Hg 3,8 % pacientų, vartojusių 14 mg/parą teriflunomido, palyginti su 2,0 % pacientų, vartojusių placebo;</w:t>
      </w:r>
    </w:p>
    <w:p w14:paraId="519A0B45" w14:textId="77777777" w:rsidR="0080416E" w:rsidRPr="00FF397D" w:rsidRDefault="0080416E" w:rsidP="0080416E">
      <w:pPr>
        <w:pStyle w:val="Sraopastraipa"/>
        <w:numPr>
          <w:ilvl w:val="0"/>
          <w:numId w:val="14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diastolinis kraujospūdis buvo &gt; 90 mm Hg 21,4 % pacientų, vartojusių 14 mg/parą teriflunomido, palyginti su 13,6 % pacientų, vartojusių placebo.</w:t>
      </w:r>
    </w:p>
    <w:p w14:paraId="1DAF28F1" w14:textId="77777777" w:rsidR="0080416E" w:rsidRPr="00FF397D" w:rsidRDefault="0080416E" w:rsidP="0080416E">
      <w:pPr>
        <w:autoSpaceDE w:val="0"/>
        <w:autoSpaceDN w:val="0"/>
        <w:adjustRightInd w:val="0"/>
        <w:spacing w:line="240" w:lineRule="auto"/>
        <w:ind w:hanging="540"/>
        <w:rPr>
          <w:rFonts w:eastAsia="Calibri"/>
          <w:szCs w:val="22"/>
          <w:lang w:val="lt-LT"/>
        </w:rPr>
      </w:pPr>
    </w:p>
    <w:p w14:paraId="63C254FB"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Infekcijos</w:t>
      </w:r>
    </w:p>
    <w:p w14:paraId="3142FA3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Placebu kontroliuojamuose tyrimuose su suaugusiais pacientais sunkių infekcinių ligų padažnėjimo nebuvo pastebėta gydant 14 mg teriflunomido (2,7 %), palyginti su placebu (2,2 %). Sunkių oportunistinių infekcijų pasireiškė 0,2 % pacientų kiekvienoje grupėje. Po vaistinio preparato pateikimo į rinką gauta pranešimų apie sunkias infekcines ligas (įskaitant sepsį), kurios kartais buvo mirtinos.</w:t>
      </w:r>
    </w:p>
    <w:p w14:paraId="71854845" w14:textId="77777777" w:rsidR="0080416E" w:rsidRPr="00FF397D" w:rsidRDefault="0080416E" w:rsidP="0080416E">
      <w:pPr>
        <w:autoSpaceDE w:val="0"/>
        <w:autoSpaceDN w:val="0"/>
        <w:adjustRightInd w:val="0"/>
        <w:spacing w:line="240" w:lineRule="auto"/>
        <w:rPr>
          <w:rFonts w:eastAsia="Calibri"/>
          <w:szCs w:val="22"/>
          <w:lang w:val="lt-LT"/>
        </w:rPr>
      </w:pPr>
    </w:p>
    <w:p w14:paraId="213285CA"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Hematologinis poveikis</w:t>
      </w:r>
    </w:p>
    <w:p w14:paraId="2A4360A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Vidutinis leukocitų kiekio sumažėjimas (&lt; 15 % nuo pradinio rodmens, daugiausia sumažėjant neutrofilų ir limfocitų kiekiui) buvo pastebėtas placebu kontroliuojamuose teriflunomido tyrimuose su suaugusiais pacientais, nors kai kuriems pacientams buvo pastebėtas didesnis sumažėjimas. Vidutinio kiekio sumažėjimas, palyginti su pradiniu rodmeniu, pasireiškė per pirmąsias 6 savaites ir palaipsniui stabilizavosi gydymo metu, tačiau išliko sumažėjęs (sumažėjimas mažiau nei 15 %, palyginti su pradiniu rodmeniu). Poveikis eritrocitų (&lt; 2 %) ir trombocitų kiekiui (&lt; 10 %) buvo mažesnis.</w:t>
      </w:r>
    </w:p>
    <w:p w14:paraId="75DF2747" w14:textId="77777777" w:rsidR="0080416E" w:rsidRPr="00FF397D" w:rsidRDefault="0080416E" w:rsidP="0080416E">
      <w:pPr>
        <w:autoSpaceDE w:val="0"/>
        <w:autoSpaceDN w:val="0"/>
        <w:adjustRightInd w:val="0"/>
        <w:spacing w:line="240" w:lineRule="auto"/>
        <w:rPr>
          <w:rFonts w:eastAsia="Calibri"/>
          <w:szCs w:val="22"/>
          <w:lang w:val="lt-LT"/>
        </w:rPr>
      </w:pPr>
    </w:p>
    <w:p w14:paraId="0CF2B560"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lastRenderedPageBreak/>
        <w:t>Periferinė neuropatija</w:t>
      </w:r>
    </w:p>
    <w:p w14:paraId="5624CA9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Placebu kontroliuojamų tyrimų su suaugusiais pacientais duomenimis, periferinė neuropatija, įskaitant polineuropatiją ir mononeuropatiją (pvz., riešo kanalo sindromas), dažniau pasireiškė teriflunomido vartojusiems pacientams nei placebo vartojusiems pacientams. Pagrindinių placebu kontroliuojamų tyrimų metu nervų laidumo tyrimais patvirtintas periferinės neuropatijos dažnis buvo 1,9 % (17 pacientų iš 898) vartojusių 14 mg teriflunomido, palyginti su 0,4 % (4 pacientai iš 898) pacientų, vartojusių placebo. 14 mg teriflunomido vartojusiems 5 pacientams gydymas buvo nutrauktas dėl periferinės neuropatijos. Nutraukus gydymą, buvo pranešta apie 4 iš šių pacientų pasveikimą.</w:t>
      </w:r>
    </w:p>
    <w:p w14:paraId="5C7DBF5A" w14:textId="77777777" w:rsidR="0080416E" w:rsidRPr="00FF397D" w:rsidRDefault="0080416E" w:rsidP="0080416E">
      <w:pPr>
        <w:autoSpaceDE w:val="0"/>
        <w:autoSpaceDN w:val="0"/>
        <w:adjustRightInd w:val="0"/>
        <w:spacing w:line="240" w:lineRule="auto"/>
        <w:rPr>
          <w:rFonts w:eastAsia="Calibri"/>
          <w:szCs w:val="22"/>
          <w:lang w:val="lt-LT"/>
        </w:rPr>
      </w:pPr>
    </w:p>
    <w:p w14:paraId="5F22C320"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Gerybinis, piktybinis ir nenurodytas navikas (įskaitant cistas ir polipus)</w:t>
      </w:r>
    </w:p>
    <w:p w14:paraId="53A47DE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14:paraId="687E5071" w14:textId="77777777" w:rsidR="0080416E" w:rsidRPr="00FF397D" w:rsidRDefault="0080416E" w:rsidP="0080416E">
      <w:pPr>
        <w:autoSpaceDE w:val="0"/>
        <w:autoSpaceDN w:val="0"/>
        <w:adjustRightInd w:val="0"/>
        <w:spacing w:line="240" w:lineRule="auto"/>
        <w:rPr>
          <w:rFonts w:eastAsia="Calibri"/>
          <w:szCs w:val="22"/>
          <w:lang w:val="lt-LT"/>
        </w:rPr>
      </w:pPr>
    </w:p>
    <w:p w14:paraId="50E0FD3B"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Sunkios odos reakcijos</w:t>
      </w:r>
    </w:p>
    <w:p w14:paraId="625F95C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vaistinio preparato pateikimo į rinką gauta pranešimų apie sunkias odos reakcijas, pasireiškusias gydant teriflunomidu (žr. 4.4 skyrių).</w:t>
      </w:r>
    </w:p>
    <w:p w14:paraId="0801C8DD" w14:textId="77777777" w:rsidR="0080416E" w:rsidRPr="00FF397D" w:rsidRDefault="0080416E" w:rsidP="0080416E">
      <w:pPr>
        <w:autoSpaceDE w:val="0"/>
        <w:autoSpaceDN w:val="0"/>
        <w:adjustRightInd w:val="0"/>
        <w:spacing w:line="240" w:lineRule="auto"/>
        <w:rPr>
          <w:rFonts w:eastAsia="Calibri"/>
          <w:szCs w:val="22"/>
          <w:lang w:val="lt-LT"/>
        </w:rPr>
      </w:pPr>
    </w:p>
    <w:p w14:paraId="47838A65"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Astenija</w:t>
      </w:r>
    </w:p>
    <w:p w14:paraId="1C6122C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Placebu kontroliuotų tyrimų su suaugusiais pacientais metu astenijos dažnis 7 mg teriflunomido dozės ir 14 mg teriflunomido vartojusiųjų grupėse.buvo atitinkamai 2,0 %, 1,6 % ir 2,2 % placebo. </w:t>
      </w:r>
    </w:p>
    <w:p w14:paraId="5580F1B5" w14:textId="77777777" w:rsidR="0080416E" w:rsidRPr="00FF397D" w:rsidRDefault="0080416E" w:rsidP="0080416E">
      <w:pPr>
        <w:autoSpaceDE w:val="0"/>
        <w:autoSpaceDN w:val="0"/>
        <w:adjustRightInd w:val="0"/>
        <w:spacing w:line="240" w:lineRule="auto"/>
        <w:rPr>
          <w:rFonts w:eastAsia="Calibri"/>
          <w:szCs w:val="22"/>
          <w:lang w:val="lt-LT"/>
        </w:rPr>
      </w:pPr>
    </w:p>
    <w:p w14:paraId="4EC5816C"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Psoriazė</w:t>
      </w:r>
    </w:p>
    <w:p w14:paraId="0A02EFD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Placebu kontroliuojamų tyrimų metu psoriazės dažnis buvo atitinkamai 0,3 %, 0,3 % 7 mg teriflunomido ir 14 mg teriflunomido vartojusiųjų grupėse ir 0,4 % placebo grupėje.</w:t>
      </w:r>
    </w:p>
    <w:p w14:paraId="2DB6E7C3" w14:textId="77777777" w:rsidR="0080416E" w:rsidRPr="00FF397D" w:rsidRDefault="0080416E" w:rsidP="0080416E">
      <w:pPr>
        <w:autoSpaceDE w:val="0"/>
        <w:autoSpaceDN w:val="0"/>
        <w:adjustRightInd w:val="0"/>
        <w:spacing w:line="240" w:lineRule="auto"/>
        <w:rPr>
          <w:rFonts w:eastAsia="Calibri"/>
          <w:szCs w:val="22"/>
          <w:lang w:val="lt-LT"/>
        </w:rPr>
      </w:pPr>
    </w:p>
    <w:p w14:paraId="5CE5FE94"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Virškinimo trakto sutrikimai</w:t>
      </w:r>
    </w:p>
    <w:p w14:paraId="7E644C5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 vaistinio preparato registracijos nedažnai gauta pranešimų apie pankreatito, įskaitant nekrotizuojantį pankreatitą ir kasos pseudocistą, atvejus suaugusiesiems. Kasos reiškinių gali atsirasti bet kuriuo gydymo teriflunomidu laikotarpiu ir gali prireikti hospitalizavimo ir (arba) koreguojamojo gydymo.</w:t>
      </w:r>
    </w:p>
    <w:p w14:paraId="68D1272D" w14:textId="77777777" w:rsidR="0080416E" w:rsidRPr="00FF397D" w:rsidRDefault="0080416E" w:rsidP="0080416E">
      <w:pPr>
        <w:autoSpaceDE w:val="0"/>
        <w:autoSpaceDN w:val="0"/>
        <w:adjustRightInd w:val="0"/>
        <w:spacing w:line="240" w:lineRule="auto"/>
        <w:rPr>
          <w:rFonts w:eastAsia="Calibri"/>
          <w:szCs w:val="22"/>
          <w:lang w:val="lt-LT"/>
        </w:rPr>
      </w:pPr>
    </w:p>
    <w:p w14:paraId="3AD8E282"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Vaikų populiacija</w:t>
      </w:r>
    </w:p>
    <w:p w14:paraId="2D76640D"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1E923D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Kasdien teriflunomido vartojusiems vaikams (nuo 10 iki 17 metų amžiaus) stebėtos saugumo savybės iš esmės buvo panašios į nustatytas suaugusiems pacientams. Vis dėlto su vaikais atlikto tyrimo metu (166 pacientai: 109 teriflunomido grupėje ir 57 placebo grupėje) dvigubai koduotos fazės laikotarpiu apie pankreatito atvejus pranešta 1,8 % (2/109) teriflunomidu gydytų pacientų ir nė vienam placebo vartojusiam pacientui. Vienam pacientui dėl šių reiškinių prireikė hospitalizacijos ir koreguojamojo gydymo. Tyrimo atviros fazės laikotarpiu gydant teriflunomidu vaikus, buvo pranešta apie 2 papildomus pankreatito atvejus (vienas buvo sunkus reiškinys, kitas – kaip nedidelio intensyvumo nesunkus reiškinys) ir vieną sunkaus ūminio pankreatito atvejį (su pseudopapiloma). Du iš šių 3 pacientų dėl pankreatito reikėjo hospitalizuoti. Tokiems pacientams pasireiškę klinikiniai simptomai buvo pilvo skausmas, pykinimas ir (arba) vėmimas bei amilazės ir lipazės aktyvumo padidėjimas kraujo serume. Visi pacientai nutraukus gydymą pasveiko atlikus pagreitintos eliminacijos procedūrą (žr. 4.4 skyrių) ir paskyrus koreguojamąjį gydymą.</w:t>
      </w:r>
    </w:p>
    <w:p w14:paraId="5811804B" w14:textId="77777777" w:rsidR="0080416E" w:rsidRPr="00FF397D" w:rsidRDefault="0080416E" w:rsidP="0080416E">
      <w:pPr>
        <w:autoSpaceDE w:val="0"/>
        <w:autoSpaceDN w:val="0"/>
        <w:adjustRightInd w:val="0"/>
        <w:spacing w:line="240" w:lineRule="auto"/>
        <w:rPr>
          <w:rFonts w:eastAsia="Calibri"/>
          <w:szCs w:val="22"/>
          <w:lang w:val="lt-LT"/>
        </w:rPr>
      </w:pPr>
    </w:p>
    <w:p w14:paraId="3273A120"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Apie toliau išvardytas nepageidaujamas reakcijas dažniau pranešta vaikų populiacijoje, palyginti su suaugusiųjų populiacija:</w:t>
      </w:r>
    </w:p>
    <w:p w14:paraId="18F92756"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apie alopeciją pranešta 22,0 % teriflunomidu gydytų pacientų, palyginti su 12,3 % placebo vartojusių pacientų;</w:t>
      </w:r>
    </w:p>
    <w:p w14:paraId="2966D87F"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apie infekciją pranešta 66,1 % teriflunomidu gydytų pacientų, palyginti su 45,6 % placebo vartojusių pacientų. Iš jų vartojant teriflunomido dažniausiai pranešta apie nazofaringitą ir viršutinių kvėpavimo takų infekcijas;</w:t>
      </w:r>
    </w:p>
    <w:p w14:paraId="698C5A33"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apie kreatinfosfokinazės aktyvumo padidėjimą pranešta 5,5 % teriflunomidu gydytų pacientų, palyginti su 0 % placebo vartojusių pacientų. Dauguma atvejų buvo susiję su dokumentuotu fiziniu krūviu;</w:t>
      </w:r>
    </w:p>
    <w:p w14:paraId="486D3D1B"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lastRenderedPageBreak/>
        <w:t>apie paresteziją pranešta 11,0 % teriflunomidu gydytų pacientų, palyginti su 1,8 % placebo vartojusių pacientų;</w:t>
      </w:r>
    </w:p>
    <w:p w14:paraId="21CE01D6" w14:textId="77777777" w:rsidR="0080416E" w:rsidRPr="00FF397D" w:rsidRDefault="0080416E" w:rsidP="0080416E">
      <w:pPr>
        <w:pStyle w:val="Sraopastraipa"/>
        <w:numPr>
          <w:ilvl w:val="0"/>
          <w:numId w:val="146"/>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apie pilvo skausmą pranešta 11,0 % teriflunomidu gydytų pacientų, palyginti su 1,8 % placebo vartojusių pacientų.</w:t>
      </w:r>
    </w:p>
    <w:p w14:paraId="77293E17" w14:textId="77777777" w:rsidR="0080416E" w:rsidRPr="00FF397D" w:rsidRDefault="0080416E" w:rsidP="0080416E">
      <w:pPr>
        <w:autoSpaceDE w:val="0"/>
        <w:autoSpaceDN w:val="0"/>
        <w:adjustRightInd w:val="0"/>
        <w:spacing w:line="240" w:lineRule="auto"/>
        <w:rPr>
          <w:rFonts w:eastAsia="Calibri"/>
          <w:szCs w:val="22"/>
          <w:lang w:val="lt-LT"/>
        </w:rPr>
      </w:pPr>
    </w:p>
    <w:p w14:paraId="043FDFE9" w14:textId="77777777" w:rsidR="0080416E" w:rsidRPr="00FF397D" w:rsidRDefault="0080416E" w:rsidP="0080416E">
      <w:pPr>
        <w:autoSpaceDE w:val="0"/>
        <w:autoSpaceDN w:val="0"/>
        <w:adjustRightInd w:val="0"/>
        <w:spacing w:line="240" w:lineRule="auto"/>
        <w:rPr>
          <w:rFonts w:eastAsia="Calibri"/>
          <w:szCs w:val="22"/>
          <w:u w:val="single"/>
          <w:lang w:val="lt-LT"/>
        </w:rPr>
      </w:pPr>
      <w:r w:rsidRPr="00FF397D">
        <w:rPr>
          <w:rFonts w:eastAsia="Calibri"/>
          <w:szCs w:val="22"/>
          <w:u w:val="single"/>
          <w:lang w:val="lt-LT"/>
        </w:rPr>
        <w:t>Pranešimas apie įtariamas nepageidaujamas reakcijas</w:t>
      </w:r>
    </w:p>
    <w:p w14:paraId="217DA252" w14:textId="77777777" w:rsidR="0080416E" w:rsidRPr="00FF397D" w:rsidRDefault="0080416E" w:rsidP="0080416E">
      <w:pPr>
        <w:rPr>
          <w:szCs w:val="22"/>
          <w:lang w:val="lt-LT"/>
        </w:rPr>
      </w:pPr>
      <w:r w:rsidRPr="00FF397D">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FF397D">
        <w:rPr>
          <w:color w:val="0000FF"/>
          <w:szCs w:val="22"/>
          <w:u w:val="single"/>
          <w:lang w:val="lt-LT"/>
        </w:rPr>
        <w:t>https://vapris.vvkt.lt/vvkt-web/public/nrvSpecialist</w:t>
      </w:r>
      <w:r w:rsidRPr="00FF397D">
        <w:rPr>
          <w:szCs w:val="22"/>
          <w:lang w:val="lt-LT"/>
        </w:rPr>
        <w:t xml:space="preserve"> arba užpildę Sveikatos priežiūros ar farmacijos specialisto pranešimo apie įtariamą nepageidaujamą reakciją (ĮNR) formą, kuri skelbiama </w:t>
      </w:r>
      <w:r w:rsidRPr="00FF397D">
        <w:rPr>
          <w:color w:val="0000FF"/>
          <w:szCs w:val="22"/>
          <w:u w:val="single"/>
          <w:lang w:val="lt-LT"/>
        </w:rPr>
        <w:t>https://www.vvkt.lt/index.php?1399030386</w:t>
      </w:r>
      <w:r w:rsidRPr="00FF397D">
        <w:rPr>
          <w:szCs w:val="22"/>
          <w:lang w:val="lt-LT"/>
        </w:rPr>
        <w:t>, ir atsiųsti elektroniniu paštu (adresu NepageidaujamaR@vvkt.lt).</w:t>
      </w:r>
    </w:p>
    <w:p w14:paraId="6BC8F1DD" w14:textId="77777777" w:rsidR="0080416E" w:rsidRPr="00FF397D" w:rsidRDefault="0080416E" w:rsidP="0080416E">
      <w:pPr>
        <w:autoSpaceDE w:val="0"/>
        <w:autoSpaceDN w:val="0"/>
        <w:adjustRightInd w:val="0"/>
        <w:spacing w:line="240" w:lineRule="auto"/>
        <w:rPr>
          <w:szCs w:val="22"/>
          <w:shd w:val="clear" w:color="auto" w:fill="C0C0C0"/>
          <w:lang w:val="lt-LT"/>
        </w:rPr>
      </w:pPr>
    </w:p>
    <w:p w14:paraId="16F38F78" w14:textId="77777777" w:rsidR="0080416E" w:rsidRPr="00FF397D" w:rsidRDefault="0080416E" w:rsidP="0080416E">
      <w:pPr>
        <w:pStyle w:val="PI-2EMEASMCA"/>
      </w:pPr>
      <w:bookmarkStart w:id="25" w:name="_Toc129243110"/>
      <w:bookmarkStart w:id="26" w:name="_Toc129243235"/>
      <w:r w:rsidRPr="00FF397D">
        <w:t>4.9</w:t>
      </w:r>
      <w:r w:rsidRPr="00FF397D">
        <w:tab/>
        <w:t>Perdozavimas</w:t>
      </w:r>
      <w:bookmarkEnd w:id="25"/>
      <w:bookmarkEnd w:id="26"/>
    </w:p>
    <w:p w14:paraId="18D39C87" w14:textId="77777777" w:rsidR="0080416E" w:rsidRPr="00FF397D" w:rsidRDefault="0080416E" w:rsidP="00B45D31">
      <w:pPr>
        <w:pStyle w:val="BTEMEASMCA"/>
      </w:pPr>
    </w:p>
    <w:p w14:paraId="0928A7C9"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Simptomai</w:t>
      </w:r>
    </w:p>
    <w:p w14:paraId="77B97B18"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1B446F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Teriflunomido perdozavimo ar žmonių apsinuodijimo juo patirties nėra. Sveikiems tiriamiesiems buvo duodama 70 mg teriflunomido dozė per parą iki 14 dienų. Nepageidaujamos reakcijos atitiko teriflunomido saugumo duomenis IS sergantiems pacientams.</w:t>
      </w:r>
    </w:p>
    <w:p w14:paraId="1C129C3D" w14:textId="77777777" w:rsidR="0080416E" w:rsidRPr="00FF397D" w:rsidRDefault="0080416E" w:rsidP="0080416E">
      <w:pPr>
        <w:autoSpaceDE w:val="0"/>
        <w:autoSpaceDN w:val="0"/>
        <w:adjustRightInd w:val="0"/>
        <w:spacing w:line="240" w:lineRule="auto"/>
        <w:rPr>
          <w:rFonts w:eastAsia="Calibri"/>
          <w:szCs w:val="22"/>
          <w:lang w:val="lt-LT"/>
        </w:rPr>
      </w:pPr>
    </w:p>
    <w:p w14:paraId="1100A056"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Gydymas</w:t>
      </w:r>
    </w:p>
    <w:p w14:paraId="6013C45A"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7160AAF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Žymaus perdozavimo ar toksiškumo atveju eliminacijai pagreitinti rekomenduojamas kolestiraminas arba aktyvintoji anglis. Rekomenduojama eliminacijos procedūra yra vartoti 8 g kolestiramino dozę tris kartus per parą 11 parų. Jei ši dozė netoleruojama gerai, galima vartoti 4 g kolestiramino dozę tris kartus per parą 11 parų. Arba, kai nėra kolestiramino, galima vartoti 50 g aktyvintosios anglies dozę du kartus per parą 11 parų. Be to, jei reikia dėl toleravimo priežasčių, kolestiramino arba aktyvintosios anglies nebūtina vartoti kiekvieną dieną iš eilės (žr. 5.2 skyrių).</w:t>
      </w:r>
    </w:p>
    <w:p w14:paraId="248C2372" w14:textId="77777777" w:rsidR="0080416E" w:rsidRPr="00FF397D" w:rsidRDefault="0080416E" w:rsidP="00B45D31">
      <w:pPr>
        <w:pStyle w:val="BTEMEASMCA"/>
      </w:pPr>
    </w:p>
    <w:p w14:paraId="2F38922C" w14:textId="77777777" w:rsidR="0080416E" w:rsidRPr="00FF397D" w:rsidRDefault="0080416E" w:rsidP="00B45D31">
      <w:pPr>
        <w:pStyle w:val="BTEMEASMCA"/>
      </w:pPr>
    </w:p>
    <w:p w14:paraId="284C7FF2" w14:textId="791E10FE" w:rsidR="0080416E" w:rsidRPr="00FF397D" w:rsidRDefault="0080416E" w:rsidP="0080416E">
      <w:pPr>
        <w:pStyle w:val="PI-1EMEASMCA"/>
        <w:rPr>
          <w:lang w:val="lt-LT"/>
        </w:rPr>
      </w:pPr>
      <w:bookmarkStart w:id="27" w:name="_Toc129243111"/>
      <w:bookmarkStart w:id="28" w:name="_Toc129243236"/>
      <w:r w:rsidRPr="00FF397D">
        <w:rPr>
          <w:lang w:val="lt-LT"/>
        </w:rPr>
        <w:t>5.</w:t>
      </w:r>
      <w:r w:rsidRPr="00FF397D">
        <w:rPr>
          <w:lang w:val="lt-LT"/>
        </w:rPr>
        <w:tab/>
        <w:t>FARMAKOLOGINĖS SAVYBĖS</w:t>
      </w:r>
      <w:bookmarkEnd w:id="27"/>
      <w:bookmarkEnd w:id="28"/>
    </w:p>
    <w:p w14:paraId="19D53837" w14:textId="77777777" w:rsidR="0080416E" w:rsidRPr="00FF397D" w:rsidRDefault="0080416E" w:rsidP="00B45D31">
      <w:pPr>
        <w:pStyle w:val="BTEMEASMCA"/>
      </w:pPr>
    </w:p>
    <w:p w14:paraId="23DA4C88" w14:textId="3CAD579C" w:rsidR="0080416E" w:rsidRPr="00FF397D" w:rsidRDefault="0080416E" w:rsidP="0080416E">
      <w:pPr>
        <w:pStyle w:val="PI-2EMEASMCA"/>
        <w:keepLines w:val="0"/>
      </w:pPr>
      <w:bookmarkStart w:id="29" w:name="_Toc129243112"/>
      <w:bookmarkStart w:id="30" w:name="_Toc129243237"/>
      <w:r w:rsidRPr="00FF397D">
        <w:t>5.1</w:t>
      </w:r>
      <w:r w:rsidRPr="00FF397D">
        <w:tab/>
        <w:t>Farmakodinaminės savybės</w:t>
      </w:r>
      <w:bookmarkEnd w:id="29"/>
      <w:bookmarkEnd w:id="30"/>
    </w:p>
    <w:p w14:paraId="08B6B9E1" w14:textId="77777777" w:rsidR="0080416E" w:rsidRPr="00FF397D" w:rsidRDefault="0080416E" w:rsidP="00B45D31">
      <w:pPr>
        <w:pStyle w:val="BTEMEASMCA"/>
      </w:pPr>
    </w:p>
    <w:p w14:paraId="65059041" w14:textId="7A0ABDAD"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Farmakoterapinė grupė – imunosupresantai, selektyvūs imunosupresantai, ATC kodas – </w:t>
      </w:r>
      <w:r w:rsidR="008611B5" w:rsidRPr="008611B5">
        <w:rPr>
          <w:rFonts w:eastAsia="Calibri"/>
          <w:snapToGrid/>
          <w:szCs w:val="22"/>
          <w:lang w:val="lt-LT" w:eastAsia="lt-LT"/>
        </w:rPr>
        <w:t>L04AK02</w:t>
      </w:r>
      <w:r w:rsidRPr="00FF397D">
        <w:rPr>
          <w:rFonts w:eastAsia="Calibri"/>
          <w:szCs w:val="22"/>
          <w:lang w:val="lt-LT"/>
        </w:rPr>
        <w:t>.</w:t>
      </w:r>
    </w:p>
    <w:p w14:paraId="217BEB33" w14:textId="77777777" w:rsidR="0080416E" w:rsidRPr="00FF397D" w:rsidRDefault="0080416E" w:rsidP="0080416E">
      <w:pPr>
        <w:autoSpaceDE w:val="0"/>
        <w:autoSpaceDN w:val="0"/>
        <w:adjustRightInd w:val="0"/>
        <w:spacing w:line="240" w:lineRule="auto"/>
        <w:rPr>
          <w:rFonts w:eastAsia="Calibri"/>
          <w:szCs w:val="22"/>
          <w:lang w:val="lt-LT"/>
        </w:rPr>
      </w:pPr>
    </w:p>
    <w:p w14:paraId="29FAD859"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Veikimo mechanizmas</w:t>
      </w:r>
    </w:p>
    <w:p w14:paraId="174A997D"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3EF0B0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Teriflunomidas yra imunomoduliacinė uždegimą mažinanti medžiaga, kuri selektyviai ir laikinai slopina mitochondrijų fermentą dihidroorotato dehidrogenazę (DHO-DH), kuris turi funkcinį ryšį su kvėpavimo grandine. Dėl šio slopinimo teriflunomidas daugiausia blokuoja greitai besidalijančių ląstelių, kurių daugėjimas priklauso nuo pirimidino sintezės </w:t>
      </w:r>
      <w:r w:rsidRPr="00FF397D">
        <w:rPr>
          <w:rFonts w:eastAsia="Calibri"/>
          <w:i/>
          <w:iCs/>
          <w:szCs w:val="22"/>
          <w:lang w:val="lt-LT"/>
        </w:rPr>
        <w:t>de novo</w:t>
      </w:r>
      <w:r w:rsidRPr="00FF397D">
        <w:rPr>
          <w:rFonts w:eastAsia="Calibri"/>
          <w:szCs w:val="22"/>
          <w:lang w:val="lt-LT"/>
        </w:rPr>
        <w:t>, proliferaciją. Tikslus mechanizmas, kuriuo teriflunomidas sukelia gydomąjį poveikį sergant IS, nėra visiškai aiškus, bet jis gali būti susijęs su sumažėjusiu limfocitų kiekiu.</w:t>
      </w:r>
    </w:p>
    <w:p w14:paraId="248600DA" w14:textId="77777777" w:rsidR="0080416E" w:rsidRPr="00FF397D" w:rsidRDefault="0080416E" w:rsidP="0080416E">
      <w:pPr>
        <w:autoSpaceDE w:val="0"/>
        <w:autoSpaceDN w:val="0"/>
        <w:adjustRightInd w:val="0"/>
        <w:spacing w:line="240" w:lineRule="auto"/>
        <w:rPr>
          <w:rFonts w:eastAsia="Calibri"/>
          <w:szCs w:val="22"/>
          <w:lang w:val="lt-LT"/>
        </w:rPr>
      </w:pPr>
    </w:p>
    <w:p w14:paraId="43DB7CB8"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Farmakodinaminis poveikis</w:t>
      </w:r>
    </w:p>
    <w:p w14:paraId="564C6A4C"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4C96BC14"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Imuninė sistema</w:t>
      </w:r>
    </w:p>
    <w:p w14:paraId="4DBA164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Poveikis imuninių ląstelių kiekiui kraujyje: placebu kontroliuojamųjų tyrimų duomenimis, 14 mg teriflunomido dozė vieną kartą per parą sukėlė lengvą vidutinį limfocitų kiekio sumažėjimą (mažiau kaip 0,3 x 10</w:t>
      </w:r>
      <w:r w:rsidRPr="00FF397D">
        <w:rPr>
          <w:rFonts w:eastAsia="Calibri"/>
          <w:szCs w:val="22"/>
          <w:vertAlign w:val="superscript"/>
          <w:lang w:val="lt-LT"/>
        </w:rPr>
        <w:t>9</w:t>
      </w:r>
      <w:r w:rsidRPr="00FF397D">
        <w:rPr>
          <w:rFonts w:eastAsia="Calibri"/>
          <w:szCs w:val="22"/>
          <w:lang w:val="lt-LT"/>
        </w:rPr>
        <w:t>/l); tai įvyko per pirmuosius 3 gydymo mėnesius ir toks kiekis išliko iki gydymo pabaigos.</w:t>
      </w:r>
    </w:p>
    <w:p w14:paraId="76F52815" w14:textId="77777777" w:rsidR="0080416E" w:rsidRPr="00FF397D" w:rsidRDefault="0080416E" w:rsidP="0080416E">
      <w:pPr>
        <w:autoSpaceDE w:val="0"/>
        <w:autoSpaceDN w:val="0"/>
        <w:adjustRightInd w:val="0"/>
        <w:spacing w:line="240" w:lineRule="auto"/>
        <w:rPr>
          <w:rFonts w:eastAsia="Calibri"/>
          <w:szCs w:val="22"/>
          <w:lang w:val="lt-LT"/>
        </w:rPr>
      </w:pPr>
    </w:p>
    <w:p w14:paraId="360FB7B9"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lastRenderedPageBreak/>
        <w:t>Potencialas ilginti QT intervalą</w:t>
      </w:r>
    </w:p>
    <w:p w14:paraId="1408050F" w14:textId="30DD0695"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Placebu kontroliuojamojo kruopštaus QT tyrimo, atlikto su sveikais tiriamaisiais, duomenimis, vidutinė teriflunomido </w:t>
      </w:r>
      <w:r w:rsidR="00167FE0" w:rsidRPr="00FF397D">
        <w:rPr>
          <w:rFonts w:eastAsia="Calibri"/>
          <w:szCs w:val="22"/>
          <w:lang w:val="lt-LT"/>
        </w:rPr>
        <w:t xml:space="preserve">nusistovėjusi pusiausvyrinė </w:t>
      </w:r>
      <w:r w:rsidRPr="00FF397D">
        <w:rPr>
          <w:rFonts w:eastAsia="Calibri"/>
          <w:szCs w:val="22"/>
          <w:lang w:val="lt-LT"/>
        </w:rPr>
        <w:t>koncentracija neparodė jokio potencialo ilginti QTcF intervalą, palyginti su placebu: ilgiausias laikas, atitinkantis vidutinį teriflunomido ir placebo skirtumą, buvo 3,45 ms, kai viršutinė riba 90 % pasikliautinojo intervalo (PI) buvo 6,45 ms.</w:t>
      </w:r>
    </w:p>
    <w:p w14:paraId="12B6C38E" w14:textId="77777777" w:rsidR="0080416E" w:rsidRPr="00FF397D" w:rsidRDefault="0080416E" w:rsidP="0080416E">
      <w:pPr>
        <w:autoSpaceDE w:val="0"/>
        <w:autoSpaceDN w:val="0"/>
        <w:adjustRightInd w:val="0"/>
        <w:spacing w:line="240" w:lineRule="auto"/>
        <w:rPr>
          <w:rFonts w:eastAsia="Calibri"/>
          <w:szCs w:val="22"/>
          <w:lang w:val="lt-LT"/>
        </w:rPr>
      </w:pPr>
    </w:p>
    <w:p w14:paraId="0878CD6B"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Poveikis inkstų kanalėlių funkcijoms</w:t>
      </w:r>
    </w:p>
    <w:p w14:paraId="1D6D498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Placebu kontroliuojamųjų tyrimų duomenimis, teriflunomidu gydytiems pacientams buvo stebėtas vidutinis šlapimo rūgšties koncentracijos serume sumažėjimas nuo 20 iki 30 % ribose, palyginti su placebu. Vidutinis fosforo koncentracijos serume sumažėjimas buvo maždaug 10 % teriflunomido grupėje, palyginti su placebu. Manoma, kad toks poveikis yra susijęs su ekskrecijos inkstų kanalėliuose padidėjimu ir nėra susijęs su glomerulų funkcijų pokyčiais.</w:t>
      </w:r>
    </w:p>
    <w:p w14:paraId="04A9A638" w14:textId="77777777" w:rsidR="0080416E" w:rsidRPr="00FF397D" w:rsidRDefault="0080416E" w:rsidP="0080416E">
      <w:pPr>
        <w:autoSpaceDE w:val="0"/>
        <w:autoSpaceDN w:val="0"/>
        <w:adjustRightInd w:val="0"/>
        <w:spacing w:line="240" w:lineRule="auto"/>
        <w:rPr>
          <w:rFonts w:eastAsia="Calibri"/>
          <w:szCs w:val="22"/>
          <w:lang w:val="lt-LT"/>
        </w:rPr>
      </w:pPr>
    </w:p>
    <w:p w14:paraId="7B5A6956"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Klinikinis veiksmingumas ir saugumas</w:t>
      </w:r>
    </w:p>
    <w:p w14:paraId="568814E2"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D95F9B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Teriflunomido veiksmingumas buvo įrodytas atlikus du placebu kontroliuotus tyrimus (TEMSO ir TOWER tyrimus), kuriais buvo įvertintas 7 mg ir 14 mg teriflunomido dozių vartojimas vieną kartą per parą suaugusiems pacientams, sergantiems recidyvuojančia išsėtine skleroze (RIS).</w:t>
      </w:r>
    </w:p>
    <w:p w14:paraId="3D98E21A" w14:textId="77777777" w:rsidR="0080416E" w:rsidRPr="00FF397D" w:rsidRDefault="0080416E" w:rsidP="0080416E">
      <w:pPr>
        <w:autoSpaceDE w:val="0"/>
        <w:autoSpaceDN w:val="0"/>
        <w:adjustRightInd w:val="0"/>
        <w:spacing w:line="240" w:lineRule="auto"/>
        <w:rPr>
          <w:rFonts w:eastAsia="Calibri"/>
          <w:szCs w:val="22"/>
          <w:lang w:val="lt-LT"/>
        </w:rPr>
      </w:pPr>
    </w:p>
    <w:p w14:paraId="2D26E16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Iš viso 1 088 RIS sergantys pacientai atsitiktine tvarka buvo parinkti TEMSO tyrime ir vartojo 7 mg (n = 366) arba 14 mg (n = 359) teriflunomido dozę arba placebo (n = 363) 108 savaites. Visi pacientai turėjo aiškią IS diagnozę (remiantis </w:t>
      </w:r>
      <w:r w:rsidRPr="00FF397D">
        <w:rPr>
          <w:rFonts w:eastAsia="Calibri"/>
          <w:i/>
          <w:szCs w:val="22"/>
          <w:lang w:val="lt-LT"/>
        </w:rPr>
        <w:t>McDonald</w:t>
      </w:r>
      <w:r w:rsidRPr="00FF397D">
        <w:rPr>
          <w:rFonts w:eastAsia="Calibri"/>
          <w:szCs w:val="22"/>
          <w:lang w:val="lt-LT"/>
        </w:rPr>
        <w:t xml:space="preserve"> kriterijais (2001)) su recidyvuojančia ligos klinikine eiga, progresuojančia arba ne, ir patyrė ne mažiau kaip 1 atkrytį per metus prieš tyrimą arba ne mažiau kaip 2 atkryčius per 2 metus iki tyrimo. Tyrimo pradžioje pacientų išplėstinės neįgalumo įvertinimo skalės (angl., </w:t>
      </w:r>
      <w:r w:rsidRPr="00FF397D">
        <w:rPr>
          <w:rFonts w:eastAsia="Calibri"/>
          <w:i/>
          <w:iCs/>
          <w:szCs w:val="22"/>
          <w:lang w:val="lt-LT"/>
        </w:rPr>
        <w:t>Expanded Disability Status Scale [EDSS]</w:t>
      </w:r>
      <w:r w:rsidRPr="00FF397D">
        <w:rPr>
          <w:rFonts w:eastAsia="Calibri"/>
          <w:szCs w:val="22"/>
          <w:lang w:val="lt-LT"/>
        </w:rPr>
        <w:t xml:space="preserve">) balai buvo ≤ 5,5. </w:t>
      </w:r>
    </w:p>
    <w:p w14:paraId="47A10939"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Vidutinis tiriamųjų amžius buvo 37,9 metai. Dauguma pacientų sirgo recidyvuojančia remituojančia išsėtine skleroze (91,5 %), tačiau buvo ir antrine progresuojančia (4,7 %) ar progresuojančia recidyvuojančia išsėtine skleroze (3,9 %) sergančių pacientų pogrupiai. Vidutinis atkryčių skaičius vienerių metų laikotarpiu iki įtraukimo į tyrimą buvo 1,4; 36,2 % pacientų prieš tyrimą turėjo gadolinį kaupiančių pažeidimų. Pradinio </w:t>
      </w:r>
      <w:r w:rsidRPr="00FF397D">
        <w:rPr>
          <w:rFonts w:eastAsia="Calibri"/>
          <w:i/>
          <w:iCs/>
          <w:szCs w:val="22"/>
          <w:lang w:val="lt-LT"/>
        </w:rPr>
        <w:t>EDSS</w:t>
      </w:r>
      <w:r w:rsidRPr="00FF397D">
        <w:rPr>
          <w:rFonts w:eastAsia="Calibri"/>
          <w:szCs w:val="22"/>
          <w:lang w:val="lt-LT"/>
        </w:rPr>
        <w:t xml:space="preserve"> įvertinimo mediana buvo 2,50; 249 (22,9 %) pacientų pradinis </w:t>
      </w:r>
      <w:r w:rsidRPr="00FF397D">
        <w:rPr>
          <w:rFonts w:eastAsia="Calibri"/>
          <w:i/>
          <w:iCs/>
          <w:szCs w:val="22"/>
          <w:lang w:val="lt-LT"/>
        </w:rPr>
        <w:t>EDSS</w:t>
      </w:r>
      <w:r w:rsidRPr="00FF397D">
        <w:rPr>
          <w:rFonts w:eastAsia="Calibri"/>
          <w:szCs w:val="22"/>
          <w:lang w:val="lt-LT"/>
        </w:rPr>
        <w:t xml:space="preserve"> įvertinimas buvo &gt; 3,5. Vidutinė ligos trukmė, skaičiuojant nuo pirmųjų simptomų atsiradimo, buvo 8,7 metų. Daugumai pacientų (73 %) ligą modifikuojantis gydymas 2 metų laikotarpiu iki įtraukimo į tyrimą skirtas nebuvo. Tyrimo duomenys pateikti 1 lentelėje.</w:t>
      </w:r>
    </w:p>
    <w:p w14:paraId="07EBB863" w14:textId="77777777" w:rsidR="0080416E" w:rsidRPr="00FF397D" w:rsidRDefault="0080416E" w:rsidP="0080416E">
      <w:pPr>
        <w:autoSpaceDE w:val="0"/>
        <w:autoSpaceDN w:val="0"/>
        <w:adjustRightInd w:val="0"/>
        <w:spacing w:line="240" w:lineRule="auto"/>
        <w:rPr>
          <w:rFonts w:eastAsia="Calibri"/>
          <w:szCs w:val="22"/>
          <w:lang w:val="lt-LT"/>
        </w:rPr>
      </w:pPr>
    </w:p>
    <w:p w14:paraId="790D57E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TEMSO ilgalaikio tęstinio saugumo tyrimo (bendroji gydymo trukmės mediana maždaug 5 metai, maksimali gydymo trukmė maždaug 8,5 metų) ilgalaikio stebėjimo rezultatai jokių naujų ar netikėtų saugumo duomenų nepateikė.</w:t>
      </w:r>
    </w:p>
    <w:p w14:paraId="0FF2EE26" w14:textId="77777777" w:rsidR="0080416E" w:rsidRPr="00FF397D" w:rsidRDefault="0080416E" w:rsidP="0080416E">
      <w:pPr>
        <w:autoSpaceDE w:val="0"/>
        <w:autoSpaceDN w:val="0"/>
        <w:adjustRightInd w:val="0"/>
        <w:spacing w:line="240" w:lineRule="auto"/>
        <w:rPr>
          <w:rFonts w:eastAsia="Calibri"/>
          <w:szCs w:val="22"/>
          <w:lang w:val="lt-LT"/>
        </w:rPr>
      </w:pPr>
    </w:p>
    <w:p w14:paraId="75A6F38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Iš viso 1 169 RIS sergantys pacientai atsitiktine tvarka buvo parinkti TOWER tyrime vartoti 7 mg (n = 408) arba 14 mg (n = 372) teriflunomido dozę arba placebo (n = 389) įvairios trukmės laikotarpiu, pasibaigusiu 48-tą savaitę po paskutiniojo paciento įtraukimo. Visi pacientai turėjo aiškią IS diagnozę (remiantis </w:t>
      </w:r>
      <w:r w:rsidRPr="00FF397D">
        <w:rPr>
          <w:rFonts w:eastAsia="Calibri"/>
          <w:i/>
          <w:szCs w:val="22"/>
          <w:lang w:val="lt-LT"/>
        </w:rPr>
        <w:t>McDonald</w:t>
      </w:r>
      <w:r w:rsidRPr="00FF397D">
        <w:rPr>
          <w:rFonts w:eastAsia="Calibri"/>
          <w:szCs w:val="22"/>
          <w:lang w:val="lt-LT"/>
        </w:rPr>
        <w:t xml:space="preserve"> kriterijais (2005)) su recidyvuojančia ligos klinikine eiga, progresuojančia arba ne, ir patyrė ne mažiau kaip 1 atkrytį per metus prieš tyrimą arba ne mažiau kaip 2 atkryčius per 2 metus iki tyrimo. Tyrimo pradžioje pacientų išplėstinės neįgalumo įvertinimo skalės (</w:t>
      </w:r>
      <w:r w:rsidRPr="00FF397D">
        <w:rPr>
          <w:rFonts w:eastAsia="Calibri"/>
          <w:i/>
          <w:iCs/>
          <w:szCs w:val="22"/>
          <w:lang w:val="lt-LT"/>
        </w:rPr>
        <w:t>EDSS</w:t>
      </w:r>
      <w:r w:rsidRPr="00FF397D">
        <w:rPr>
          <w:rFonts w:eastAsia="Calibri"/>
          <w:szCs w:val="22"/>
          <w:lang w:val="lt-LT"/>
        </w:rPr>
        <w:t>) balai buvo ≤ 5,5.</w:t>
      </w:r>
    </w:p>
    <w:p w14:paraId="20DA80E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Vidutinis tiriamųjų amžius buvo 37,9 metai. Dauguma pacientų sirgo recidyvuojančia remituojančia išsėtine skleroze (97,5 %), tačiau buvo antrine progresuojančia (0,8 %) ar progresuojančia recidyvuojančia išsėtine skleroze (1,7 %) sergančių pacientų pogrupiai. Vidutinis atkryčių skaičius vienerių metų laikotarpiu iki įtraukimo į tyrimą buvo 1,4. Duomenų apie gadolinį kaupiančius pažeidimus prieš tyrimą nėra. Pradinio </w:t>
      </w:r>
      <w:r w:rsidRPr="00FF397D">
        <w:rPr>
          <w:rFonts w:eastAsia="Calibri"/>
          <w:i/>
          <w:iCs/>
          <w:szCs w:val="22"/>
          <w:lang w:val="lt-LT"/>
        </w:rPr>
        <w:t>EDSS</w:t>
      </w:r>
      <w:r w:rsidRPr="00FF397D">
        <w:rPr>
          <w:rFonts w:eastAsia="Calibri"/>
          <w:szCs w:val="22"/>
          <w:lang w:val="lt-LT"/>
        </w:rPr>
        <w:t xml:space="preserve"> įvertinimo mediana buvo 2,50; 298 (25,5 %) pacientų pradinis </w:t>
      </w:r>
      <w:r w:rsidRPr="00FF397D">
        <w:rPr>
          <w:rFonts w:eastAsia="Calibri"/>
          <w:i/>
          <w:iCs/>
          <w:szCs w:val="22"/>
          <w:lang w:val="lt-LT"/>
        </w:rPr>
        <w:t>EDSS</w:t>
      </w:r>
      <w:r w:rsidRPr="00FF397D">
        <w:rPr>
          <w:rFonts w:eastAsia="Calibri"/>
          <w:szCs w:val="22"/>
          <w:lang w:val="lt-LT"/>
        </w:rPr>
        <w:t xml:space="preserve"> įvertinimas buvo &gt; 3,5. Vidutinė ligos trukmė, skaičiuojant nuo pirmųjų simptomų atsiradimo, buvo 8,0 metai. Daugumai pacientų (67,2 %) ligą modifikuojantis gydymas 2 metų laikotarpiu iki įtraukimo į tyrimą skirtas nebuvo. Tyrimo duomenys pateikti 1 lentelėje.</w:t>
      </w:r>
    </w:p>
    <w:p w14:paraId="7990E520"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46B30572" w14:textId="77777777" w:rsidR="0080416E" w:rsidRPr="00FF397D" w:rsidRDefault="0080416E" w:rsidP="0080416E">
      <w:pPr>
        <w:autoSpaceDE w:val="0"/>
        <w:autoSpaceDN w:val="0"/>
        <w:adjustRightInd w:val="0"/>
        <w:spacing w:line="240" w:lineRule="auto"/>
        <w:rPr>
          <w:rFonts w:eastAsia="Calibri"/>
          <w:b/>
          <w:bCs/>
          <w:szCs w:val="22"/>
          <w:lang w:val="lt-LT"/>
        </w:rPr>
      </w:pPr>
      <w:r w:rsidRPr="00FF397D">
        <w:rPr>
          <w:rFonts w:eastAsia="Calibri"/>
          <w:b/>
          <w:bCs/>
          <w:szCs w:val="22"/>
          <w:lang w:val="lt-LT"/>
        </w:rPr>
        <w:t>1 lentelė. Pagrindiniai rezultatai (vartojant patvirtintą dozę, numatytų gydyti (angl. </w:t>
      </w:r>
      <w:r w:rsidRPr="00FF397D">
        <w:rPr>
          <w:rFonts w:eastAsia="Calibri"/>
          <w:b/>
          <w:bCs/>
          <w:i/>
          <w:iCs/>
          <w:szCs w:val="22"/>
          <w:lang w:val="lt-LT"/>
        </w:rPr>
        <w:t>intent to</w:t>
      </w:r>
      <w:r w:rsidRPr="00FF397D">
        <w:rPr>
          <w:rFonts w:eastAsia="Calibri"/>
          <w:b/>
          <w:bCs/>
          <w:i/>
          <w:iCs/>
          <w:szCs w:val="22"/>
          <w:lang w:val="lt-LT"/>
        </w:rPr>
        <w:noBreakHyphen/>
        <w:t>treat [ITT]</w:t>
      </w:r>
      <w:r w:rsidRPr="00FF397D">
        <w:rPr>
          <w:rFonts w:eastAsia="Calibri"/>
          <w:b/>
          <w:bCs/>
          <w:szCs w:val="22"/>
          <w:lang w:val="lt-LT"/>
        </w:rPr>
        <w:t>) pacientų populiacijoje)</w:t>
      </w:r>
    </w:p>
    <w:p w14:paraId="5CE4B3F7"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00"/>
        <w:gridCol w:w="1562"/>
        <w:gridCol w:w="1701"/>
        <w:gridCol w:w="1267"/>
      </w:tblGrid>
      <w:tr w:rsidR="0080416E" w:rsidRPr="00FF397D" w14:paraId="02057241" w14:textId="77777777" w:rsidTr="00E804EE">
        <w:trPr>
          <w:trHeight w:val="358"/>
          <w:tblHeader/>
        </w:trPr>
        <w:tc>
          <w:tcPr>
            <w:tcW w:w="1562" w:type="pct"/>
            <w:shd w:val="clear" w:color="auto" w:fill="auto"/>
            <w:vAlign w:val="center"/>
          </w:tcPr>
          <w:p w14:paraId="4CD8E47E" w14:textId="77777777" w:rsidR="0080416E" w:rsidRPr="00FF397D" w:rsidRDefault="0080416E" w:rsidP="00E804EE">
            <w:pPr>
              <w:spacing w:line="240" w:lineRule="auto"/>
              <w:rPr>
                <w:szCs w:val="22"/>
                <w:lang w:val="lt-LT"/>
              </w:rPr>
            </w:pPr>
          </w:p>
        </w:tc>
        <w:tc>
          <w:tcPr>
            <w:tcW w:w="1800" w:type="pct"/>
            <w:gridSpan w:val="2"/>
            <w:shd w:val="clear" w:color="auto" w:fill="auto"/>
            <w:vAlign w:val="center"/>
          </w:tcPr>
          <w:p w14:paraId="37C2A6D7" w14:textId="77777777" w:rsidR="0080416E" w:rsidRPr="00FF397D" w:rsidRDefault="0080416E" w:rsidP="00E804EE">
            <w:pPr>
              <w:spacing w:line="240" w:lineRule="auto"/>
              <w:jc w:val="center"/>
              <w:rPr>
                <w:b/>
                <w:szCs w:val="22"/>
                <w:lang w:val="lt-LT"/>
              </w:rPr>
            </w:pPr>
            <w:r w:rsidRPr="00FF397D">
              <w:rPr>
                <w:b/>
                <w:szCs w:val="22"/>
                <w:lang w:val="lt-LT"/>
              </w:rPr>
              <w:t>TEMSO tyrimas</w:t>
            </w:r>
          </w:p>
        </w:tc>
        <w:tc>
          <w:tcPr>
            <w:tcW w:w="1638" w:type="pct"/>
            <w:gridSpan w:val="2"/>
            <w:shd w:val="clear" w:color="auto" w:fill="auto"/>
            <w:vAlign w:val="center"/>
          </w:tcPr>
          <w:p w14:paraId="4187639E" w14:textId="77777777" w:rsidR="0080416E" w:rsidRPr="00FF397D" w:rsidRDefault="0080416E" w:rsidP="00E804EE">
            <w:pPr>
              <w:spacing w:line="240" w:lineRule="auto"/>
              <w:jc w:val="center"/>
              <w:rPr>
                <w:b/>
                <w:szCs w:val="22"/>
                <w:lang w:val="lt-LT"/>
              </w:rPr>
            </w:pPr>
            <w:r w:rsidRPr="00FF397D">
              <w:rPr>
                <w:b/>
                <w:szCs w:val="22"/>
                <w:lang w:val="lt-LT"/>
              </w:rPr>
              <w:t>TOWER tyrimas</w:t>
            </w:r>
          </w:p>
        </w:tc>
      </w:tr>
      <w:tr w:rsidR="0080416E" w:rsidRPr="00FF397D" w14:paraId="7C716BC7" w14:textId="77777777" w:rsidTr="00E804EE">
        <w:trPr>
          <w:tblHeader/>
        </w:trPr>
        <w:tc>
          <w:tcPr>
            <w:tcW w:w="1562" w:type="pct"/>
            <w:shd w:val="clear" w:color="auto" w:fill="auto"/>
          </w:tcPr>
          <w:p w14:paraId="25FCD087" w14:textId="77777777" w:rsidR="0080416E" w:rsidRPr="00FF397D" w:rsidRDefault="0080416E" w:rsidP="00E804EE">
            <w:pPr>
              <w:spacing w:line="240" w:lineRule="auto"/>
              <w:rPr>
                <w:szCs w:val="22"/>
                <w:lang w:val="lt-LT"/>
              </w:rPr>
            </w:pPr>
          </w:p>
        </w:tc>
        <w:tc>
          <w:tcPr>
            <w:tcW w:w="938" w:type="pct"/>
            <w:shd w:val="clear" w:color="auto" w:fill="auto"/>
            <w:vAlign w:val="center"/>
          </w:tcPr>
          <w:p w14:paraId="6ED88543" w14:textId="77777777" w:rsidR="0080416E" w:rsidRPr="00FF397D" w:rsidRDefault="0080416E" w:rsidP="00E804EE">
            <w:pPr>
              <w:spacing w:line="240" w:lineRule="auto"/>
              <w:jc w:val="center"/>
              <w:rPr>
                <w:b/>
                <w:szCs w:val="22"/>
                <w:lang w:val="lt-LT"/>
              </w:rPr>
            </w:pPr>
            <w:r w:rsidRPr="00FF397D">
              <w:rPr>
                <w:b/>
                <w:szCs w:val="22"/>
                <w:lang w:val="lt-LT"/>
              </w:rPr>
              <w:t>Teriflunomidas 14 mg</w:t>
            </w:r>
          </w:p>
        </w:tc>
        <w:tc>
          <w:tcPr>
            <w:tcW w:w="862" w:type="pct"/>
            <w:shd w:val="clear" w:color="auto" w:fill="auto"/>
            <w:vAlign w:val="center"/>
          </w:tcPr>
          <w:p w14:paraId="037D515B" w14:textId="77777777" w:rsidR="0080416E" w:rsidRPr="00FF397D" w:rsidRDefault="0080416E" w:rsidP="00E804EE">
            <w:pPr>
              <w:spacing w:line="240" w:lineRule="auto"/>
              <w:jc w:val="center"/>
              <w:rPr>
                <w:b/>
                <w:szCs w:val="22"/>
                <w:lang w:val="lt-LT"/>
              </w:rPr>
            </w:pPr>
            <w:r w:rsidRPr="00FF397D">
              <w:rPr>
                <w:b/>
                <w:szCs w:val="22"/>
                <w:lang w:val="lt-LT"/>
              </w:rPr>
              <w:t>Placebas</w:t>
            </w:r>
          </w:p>
        </w:tc>
        <w:tc>
          <w:tcPr>
            <w:tcW w:w="939" w:type="pct"/>
            <w:shd w:val="clear" w:color="auto" w:fill="auto"/>
            <w:vAlign w:val="center"/>
          </w:tcPr>
          <w:p w14:paraId="79A6C6D4" w14:textId="77777777" w:rsidR="0080416E" w:rsidRPr="00FF397D" w:rsidRDefault="0080416E" w:rsidP="00E804EE">
            <w:pPr>
              <w:spacing w:line="240" w:lineRule="auto"/>
              <w:jc w:val="center"/>
              <w:rPr>
                <w:b/>
                <w:szCs w:val="22"/>
                <w:lang w:val="lt-LT"/>
              </w:rPr>
            </w:pPr>
            <w:r w:rsidRPr="00FF397D">
              <w:rPr>
                <w:b/>
                <w:szCs w:val="22"/>
                <w:lang w:val="lt-LT"/>
              </w:rPr>
              <w:t>Teriflunomidas 14 mg</w:t>
            </w:r>
          </w:p>
        </w:tc>
        <w:tc>
          <w:tcPr>
            <w:tcW w:w="699" w:type="pct"/>
            <w:shd w:val="clear" w:color="auto" w:fill="auto"/>
            <w:vAlign w:val="center"/>
          </w:tcPr>
          <w:p w14:paraId="0E26AAC1" w14:textId="77777777" w:rsidR="0080416E" w:rsidRPr="00FF397D" w:rsidRDefault="0080416E" w:rsidP="00E804EE">
            <w:pPr>
              <w:spacing w:line="240" w:lineRule="auto"/>
              <w:jc w:val="center"/>
              <w:rPr>
                <w:b/>
                <w:szCs w:val="22"/>
                <w:lang w:val="lt-LT"/>
              </w:rPr>
            </w:pPr>
            <w:r w:rsidRPr="00FF397D">
              <w:rPr>
                <w:b/>
                <w:szCs w:val="22"/>
                <w:lang w:val="lt-LT"/>
              </w:rPr>
              <w:t>Placebas</w:t>
            </w:r>
          </w:p>
        </w:tc>
      </w:tr>
      <w:tr w:rsidR="0080416E" w:rsidRPr="00FF397D" w14:paraId="69EB03BC" w14:textId="77777777" w:rsidTr="00E804EE">
        <w:trPr>
          <w:tblHeader/>
        </w:trPr>
        <w:tc>
          <w:tcPr>
            <w:tcW w:w="1562" w:type="pct"/>
            <w:shd w:val="clear" w:color="auto" w:fill="auto"/>
          </w:tcPr>
          <w:p w14:paraId="26409DF1" w14:textId="77777777" w:rsidR="0080416E" w:rsidRPr="00FF397D" w:rsidRDefault="0080416E" w:rsidP="00E804EE">
            <w:pPr>
              <w:spacing w:line="240" w:lineRule="auto"/>
              <w:rPr>
                <w:bCs/>
                <w:szCs w:val="22"/>
                <w:lang w:val="lt-LT"/>
              </w:rPr>
            </w:pPr>
            <w:r w:rsidRPr="00FF397D">
              <w:rPr>
                <w:bCs/>
                <w:szCs w:val="22"/>
                <w:lang w:val="lt-LT"/>
              </w:rPr>
              <w:t>n</w:t>
            </w:r>
          </w:p>
        </w:tc>
        <w:tc>
          <w:tcPr>
            <w:tcW w:w="938" w:type="pct"/>
            <w:shd w:val="clear" w:color="auto" w:fill="auto"/>
            <w:vAlign w:val="center"/>
          </w:tcPr>
          <w:p w14:paraId="17F7E8B7" w14:textId="77777777" w:rsidR="0080416E" w:rsidRPr="00FF397D" w:rsidRDefault="0080416E" w:rsidP="00E804EE">
            <w:pPr>
              <w:spacing w:line="240" w:lineRule="auto"/>
              <w:jc w:val="center"/>
              <w:rPr>
                <w:b/>
                <w:szCs w:val="22"/>
                <w:lang w:val="lt-LT"/>
              </w:rPr>
            </w:pPr>
            <w:r w:rsidRPr="00FF397D">
              <w:rPr>
                <w:b/>
                <w:szCs w:val="22"/>
                <w:lang w:val="lt-LT"/>
              </w:rPr>
              <w:t>358</w:t>
            </w:r>
          </w:p>
        </w:tc>
        <w:tc>
          <w:tcPr>
            <w:tcW w:w="862" w:type="pct"/>
            <w:shd w:val="clear" w:color="auto" w:fill="auto"/>
            <w:vAlign w:val="center"/>
          </w:tcPr>
          <w:p w14:paraId="1CA776DF" w14:textId="77777777" w:rsidR="0080416E" w:rsidRPr="00FF397D" w:rsidRDefault="0080416E" w:rsidP="00E804EE">
            <w:pPr>
              <w:spacing w:line="240" w:lineRule="auto"/>
              <w:jc w:val="center"/>
              <w:rPr>
                <w:b/>
                <w:szCs w:val="22"/>
                <w:lang w:val="lt-LT"/>
              </w:rPr>
            </w:pPr>
            <w:r w:rsidRPr="00FF397D">
              <w:rPr>
                <w:b/>
                <w:szCs w:val="22"/>
                <w:lang w:val="lt-LT"/>
              </w:rPr>
              <w:t>363</w:t>
            </w:r>
          </w:p>
        </w:tc>
        <w:tc>
          <w:tcPr>
            <w:tcW w:w="939" w:type="pct"/>
            <w:shd w:val="clear" w:color="auto" w:fill="auto"/>
            <w:vAlign w:val="center"/>
          </w:tcPr>
          <w:p w14:paraId="5F87F9F0" w14:textId="77777777" w:rsidR="0080416E" w:rsidRPr="00FF397D" w:rsidRDefault="0080416E" w:rsidP="00E804EE">
            <w:pPr>
              <w:spacing w:line="240" w:lineRule="auto"/>
              <w:jc w:val="center"/>
              <w:rPr>
                <w:b/>
                <w:szCs w:val="22"/>
                <w:lang w:val="lt-LT"/>
              </w:rPr>
            </w:pPr>
            <w:r w:rsidRPr="00FF397D">
              <w:rPr>
                <w:b/>
                <w:szCs w:val="22"/>
                <w:lang w:val="lt-LT"/>
              </w:rPr>
              <w:t>370</w:t>
            </w:r>
          </w:p>
        </w:tc>
        <w:tc>
          <w:tcPr>
            <w:tcW w:w="699" w:type="pct"/>
            <w:shd w:val="clear" w:color="auto" w:fill="auto"/>
            <w:vAlign w:val="center"/>
          </w:tcPr>
          <w:p w14:paraId="7E8C5D7A" w14:textId="77777777" w:rsidR="0080416E" w:rsidRPr="00FF397D" w:rsidRDefault="0080416E" w:rsidP="00E804EE">
            <w:pPr>
              <w:spacing w:line="240" w:lineRule="auto"/>
              <w:jc w:val="center"/>
              <w:rPr>
                <w:b/>
                <w:szCs w:val="22"/>
                <w:lang w:val="lt-LT"/>
              </w:rPr>
            </w:pPr>
            <w:r w:rsidRPr="00FF397D">
              <w:rPr>
                <w:b/>
                <w:szCs w:val="22"/>
                <w:lang w:val="lt-LT"/>
              </w:rPr>
              <w:t>388</w:t>
            </w:r>
          </w:p>
        </w:tc>
      </w:tr>
      <w:tr w:rsidR="0080416E" w:rsidRPr="00FF397D" w14:paraId="565407F3" w14:textId="77777777" w:rsidTr="00E804EE">
        <w:tc>
          <w:tcPr>
            <w:tcW w:w="1562" w:type="pct"/>
            <w:shd w:val="clear" w:color="auto" w:fill="auto"/>
          </w:tcPr>
          <w:p w14:paraId="77FB2B38" w14:textId="77777777" w:rsidR="0080416E" w:rsidRPr="00FF397D" w:rsidRDefault="0080416E" w:rsidP="00E804EE">
            <w:pPr>
              <w:spacing w:line="240" w:lineRule="auto"/>
              <w:rPr>
                <w:b/>
                <w:szCs w:val="22"/>
                <w:lang w:val="lt-LT"/>
              </w:rPr>
            </w:pPr>
            <w:r w:rsidRPr="00FF397D">
              <w:rPr>
                <w:b/>
                <w:szCs w:val="22"/>
                <w:lang w:val="lt-LT"/>
              </w:rPr>
              <w:t>Klinikinės vertinamosios baigtys</w:t>
            </w:r>
          </w:p>
        </w:tc>
        <w:tc>
          <w:tcPr>
            <w:tcW w:w="3438" w:type="pct"/>
            <w:gridSpan w:val="4"/>
            <w:shd w:val="clear" w:color="auto" w:fill="auto"/>
          </w:tcPr>
          <w:p w14:paraId="79B60112" w14:textId="77777777" w:rsidR="0080416E" w:rsidRPr="00FF397D" w:rsidRDefault="0080416E" w:rsidP="00E804EE">
            <w:pPr>
              <w:spacing w:line="240" w:lineRule="auto"/>
              <w:ind w:left="59"/>
              <w:rPr>
                <w:szCs w:val="22"/>
                <w:lang w:val="lt-LT"/>
              </w:rPr>
            </w:pPr>
          </w:p>
        </w:tc>
      </w:tr>
      <w:tr w:rsidR="0080416E" w:rsidRPr="00FF397D" w14:paraId="4B19C50C" w14:textId="77777777" w:rsidTr="00E804EE">
        <w:tc>
          <w:tcPr>
            <w:tcW w:w="1562" w:type="pct"/>
            <w:shd w:val="clear" w:color="auto" w:fill="auto"/>
          </w:tcPr>
          <w:p w14:paraId="70C1CB38" w14:textId="77777777" w:rsidR="0080416E" w:rsidRPr="00FF397D" w:rsidRDefault="0080416E" w:rsidP="00E804EE">
            <w:pPr>
              <w:spacing w:line="240" w:lineRule="auto"/>
              <w:rPr>
                <w:szCs w:val="22"/>
                <w:lang w:val="lt-LT"/>
              </w:rPr>
            </w:pPr>
            <w:r w:rsidRPr="00FF397D">
              <w:rPr>
                <w:szCs w:val="22"/>
                <w:lang w:val="lt-LT"/>
              </w:rPr>
              <w:t>Metinis atkryčių dažnis</w:t>
            </w:r>
          </w:p>
        </w:tc>
        <w:tc>
          <w:tcPr>
            <w:tcW w:w="938" w:type="pct"/>
            <w:shd w:val="clear" w:color="auto" w:fill="auto"/>
            <w:vAlign w:val="center"/>
          </w:tcPr>
          <w:p w14:paraId="559E0A4B" w14:textId="77777777" w:rsidR="0080416E" w:rsidRPr="00FF397D" w:rsidRDefault="0080416E" w:rsidP="00E804EE">
            <w:pPr>
              <w:pStyle w:val="Default"/>
              <w:jc w:val="center"/>
              <w:rPr>
                <w:sz w:val="22"/>
                <w:szCs w:val="22"/>
                <w:lang w:val="lt-LT"/>
              </w:rPr>
            </w:pPr>
            <w:r w:rsidRPr="00FF397D">
              <w:rPr>
                <w:sz w:val="22"/>
                <w:szCs w:val="22"/>
                <w:lang w:val="lt-LT"/>
              </w:rPr>
              <w:t>0,37</w:t>
            </w:r>
          </w:p>
        </w:tc>
        <w:tc>
          <w:tcPr>
            <w:tcW w:w="862" w:type="pct"/>
            <w:shd w:val="clear" w:color="auto" w:fill="auto"/>
            <w:vAlign w:val="center"/>
          </w:tcPr>
          <w:p w14:paraId="2AFDCF44" w14:textId="77777777" w:rsidR="0080416E" w:rsidRPr="00FF397D" w:rsidRDefault="0080416E" w:rsidP="00E804EE">
            <w:pPr>
              <w:pStyle w:val="Default"/>
              <w:ind w:left="59"/>
              <w:jc w:val="center"/>
              <w:rPr>
                <w:sz w:val="22"/>
                <w:szCs w:val="22"/>
                <w:lang w:val="lt-LT"/>
              </w:rPr>
            </w:pPr>
            <w:r w:rsidRPr="00FF397D">
              <w:rPr>
                <w:sz w:val="22"/>
                <w:szCs w:val="22"/>
                <w:lang w:val="lt-LT"/>
              </w:rPr>
              <w:t>0,54</w:t>
            </w:r>
          </w:p>
        </w:tc>
        <w:tc>
          <w:tcPr>
            <w:tcW w:w="939" w:type="pct"/>
            <w:shd w:val="clear" w:color="auto" w:fill="auto"/>
            <w:vAlign w:val="center"/>
          </w:tcPr>
          <w:p w14:paraId="66052C62" w14:textId="77777777" w:rsidR="0080416E" w:rsidRPr="00FF397D" w:rsidRDefault="0080416E" w:rsidP="00E804EE">
            <w:pPr>
              <w:pStyle w:val="Default"/>
              <w:ind w:left="59"/>
              <w:jc w:val="center"/>
              <w:rPr>
                <w:sz w:val="22"/>
                <w:szCs w:val="22"/>
                <w:lang w:val="lt-LT"/>
              </w:rPr>
            </w:pPr>
            <w:r w:rsidRPr="00FF397D">
              <w:rPr>
                <w:sz w:val="22"/>
                <w:szCs w:val="22"/>
                <w:lang w:val="lt-LT"/>
              </w:rPr>
              <w:t>0,32</w:t>
            </w:r>
          </w:p>
        </w:tc>
        <w:tc>
          <w:tcPr>
            <w:tcW w:w="699" w:type="pct"/>
            <w:shd w:val="clear" w:color="auto" w:fill="auto"/>
            <w:vAlign w:val="center"/>
          </w:tcPr>
          <w:p w14:paraId="6F848CC8" w14:textId="77777777" w:rsidR="0080416E" w:rsidRPr="00FF397D" w:rsidRDefault="0080416E" w:rsidP="00E804EE">
            <w:pPr>
              <w:pStyle w:val="Default"/>
              <w:ind w:left="59"/>
              <w:jc w:val="center"/>
              <w:rPr>
                <w:sz w:val="22"/>
                <w:szCs w:val="22"/>
                <w:lang w:val="lt-LT"/>
              </w:rPr>
            </w:pPr>
            <w:r w:rsidRPr="00FF397D">
              <w:rPr>
                <w:sz w:val="22"/>
                <w:szCs w:val="22"/>
                <w:lang w:val="lt-LT"/>
              </w:rPr>
              <w:t>0,50</w:t>
            </w:r>
          </w:p>
        </w:tc>
      </w:tr>
      <w:tr w:rsidR="0080416E" w:rsidRPr="00FF397D" w14:paraId="07FE1774" w14:textId="77777777" w:rsidTr="00E804EE">
        <w:tc>
          <w:tcPr>
            <w:tcW w:w="1562" w:type="pct"/>
            <w:shd w:val="clear" w:color="auto" w:fill="auto"/>
          </w:tcPr>
          <w:p w14:paraId="36A948E2" w14:textId="77777777" w:rsidR="0080416E" w:rsidRPr="00FF397D" w:rsidRDefault="0080416E" w:rsidP="00E804EE">
            <w:pPr>
              <w:spacing w:line="240" w:lineRule="auto"/>
              <w:ind w:left="170"/>
              <w:rPr>
                <w:i/>
                <w:szCs w:val="22"/>
                <w:lang w:val="lt-LT"/>
              </w:rPr>
            </w:pPr>
            <w:r w:rsidRPr="00FF397D">
              <w:rPr>
                <w:i/>
                <w:szCs w:val="22"/>
                <w:lang w:val="lt-LT"/>
              </w:rPr>
              <w:t>Rizikos skirtumas (PI</w:t>
            </w:r>
            <w:r w:rsidRPr="00FF397D">
              <w:rPr>
                <w:i/>
                <w:szCs w:val="22"/>
                <w:vertAlign w:val="subscript"/>
                <w:lang w:val="lt-LT"/>
              </w:rPr>
              <w:t>95%</w:t>
            </w:r>
            <w:r w:rsidRPr="00FF397D">
              <w:rPr>
                <w:i/>
                <w:szCs w:val="22"/>
                <w:lang w:val="lt-LT"/>
              </w:rPr>
              <w:t>)</w:t>
            </w:r>
          </w:p>
        </w:tc>
        <w:tc>
          <w:tcPr>
            <w:tcW w:w="1800" w:type="pct"/>
            <w:gridSpan w:val="2"/>
            <w:shd w:val="clear" w:color="auto" w:fill="auto"/>
            <w:vAlign w:val="center"/>
          </w:tcPr>
          <w:p w14:paraId="175DD2AE" w14:textId="77777777" w:rsidR="0080416E" w:rsidRPr="00FF397D" w:rsidRDefault="0080416E" w:rsidP="00E804EE">
            <w:pPr>
              <w:pStyle w:val="Default"/>
              <w:jc w:val="center"/>
              <w:rPr>
                <w:sz w:val="22"/>
                <w:szCs w:val="22"/>
                <w:lang w:val="lt-LT"/>
              </w:rPr>
            </w:pPr>
            <w:r w:rsidRPr="00FF397D">
              <w:rPr>
                <w:sz w:val="22"/>
                <w:szCs w:val="22"/>
                <w:lang w:val="lt-LT"/>
              </w:rPr>
              <w:t>-0,17 (-0,26, -0,08)</w:t>
            </w:r>
            <w:r w:rsidRPr="00FF397D">
              <w:rPr>
                <w:rFonts w:ascii="Cambria Math" w:hAnsi="Cambria Math" w:cs="Cambria Math"/>
                <w:sz w:val="22"/>
                <w:szCs w:val="22"/>
                <w:vertAlign w:val="superscript"/>
                <w:lang w:val="lt-LT"/>
              </w:rPr>
              <w:t>∗∗∗</w:t>
            </w:r>
          </w:p>
        </w:tc>
        <w:tc>
          <w:tcPr>
            <w:tcW w:w="1638" w:type="pct"/>
            <w:gridSpan w:val="2"/>
            <w:shd w:val="clear" w:color="auto" w:fill="auto"/>
            <w:vAlign w:val="center"/>
          </w:tcPr>
          <w:p w14:paraId="0568291E" w14:textId="77777777" w:rsidR="0080416E" w:rsidRPr="00FF397D" w:rsidRDefault="0080416E" w:rsidP="00E804EE">
            <w:pPr>
              <w:pStyle w:val="Default"/>
              <w:ind w:left="59"/>
              <w:jc w:val="center"/>
              <w:rPr>
                <w:sz w:val="22"/>
                <w:szCs w:val="22"/>
                <w:lang w:val="lt-LT"/>
              </w:rPr>
            </w:pPr>
            <w:r w:rsidRPr="00FF397D">
              <w:rPr>
                <w:sz w:val="22"/>
                <w:szCs w:val="22"/>
                <w:lang w:val="lt-LT"/>
              </w:rPr>
              <w:t>-0,18 (-0,27, -0,09)</w:t>
            </w:r>
            <w:r w:rsidRPr="00FF397D">
              <w:rPr>
                <w:rFonts w:ascii="Cambria Math" w:hAnsi="Cambria Math" w:cs="Cambria Math"/>
                <w:sz w:val="22"/>
                <w:szCs w:val="22"/>
                <w:vertAlign w:val="superscript"/>
                <w:lang w:val="lt-LT"/>
              </w:rPr>
              <w:t>∗∗∗∗</w:t>
            </w:r>
          </w:p>
        </w:tc>
      </w:tr>
      <w:tr w:rsidR="0080416E" w:rsidRPr="00FF397D" w14:paraId="74DC7AAA" w14:textId="77777777" w:rsidTr="00E804EE">
        <w:tc>
          <w:tcPr>
            <w:tcW w:w="1562" w:type="pct"/>
            <w:shd w:val="clear" w:color="auto" w:fill="auto"/>
          </w:tcPr>
          <w:p w14:paraId="39D66F6B" w14:textId="77777777" w:rsidR="0080416E" w:rsidRPr="00FF397D" w:rsidRDefault="0080416E" w:rsidP="00E804EE">
            <w:pPr>
              <w:spacing w:line="240" w:lineRule="auto"/>
              <w:rPr>
                <w:szCs w:val="22"/>
                <w:lang w:val="lt-LT"/>
              </w:rPr>
            </w:pPr>
            <w:r w:rsidRPr="00FF397D">
              <w:rPr>
                <w:szCs w:val="22"/>
                <w:lang w:val="lt-LT"/>
              </w:rPr>
              <w:t>Pacientai, kuriems atkryčių nebuvo</w:t>
            </w:r>
            <w:r w:rsidRPr="00FF397D">
              <w:rPr>
                <w:szCs w:val="22"/>
                <w:vertAlign w:val="subscript"/>
                <w:lang w:val="lt-LT"/>
              </w:rPr>
              <w:t> 108 savaitė</w:t>
            </w:r>
          </w:p>
        </w:tc>
        <w:tc>
          <w:tcPr>
            <w:tcW w:w="938" w:type="pct"/>
            <w:shd w:val="clear" w:color="auto" w:fill="auto"/>
            <w:vAlign w:val="center"/>
          </w:tcPr>
          <w:p w14:paraId="727D3123" w14:textId="77777777" w:rsidR="0080416E" w:rsidRPr="00FF397D" w:rsidRDefault="0080416E" w:rsidP="00E804EE">
            <w:pPr>
              <w:spacing w:line="240" w:lineRule="auto"/>
              <w:jc w:val="center"/>
              <w:rPr>
                <w:szCs w:val="22"/>
                <w:lang w:val="lt-LT"/>
              </w:rPr>
            </w:pPr>
            <w:r w:rsidRPr="00FF397D">
              <w:rPr>
                <w:szCs w:val="22"/>
                <w:lang w:val="lt-LT"/>
              </w:rPr>
              <w:t>56,5 %</w:t>
            </w:r>
          </w:p>
        </w:tc>
        <w:tc>
          <w:tcPr>
            <w:tcW w:w="862" w:type="pct"/>
            <w:shd w:val="clear" w:color="auto" w:fill="auto"/>
            <w:vAlign w:val="center"/>
          </w:tcPr>
          <w:p w14:paraId="47D300AE" w14:textId="77777777" w:rsidR="0080416E" w:rsidRPr="00FF397D" w:rsidRDefault="0080416E" w:rsidP="00E804EE">
            <w:pPr>
              <w:spacing w:line="240" w:lineRule="auto"/>
              <w:ind w:left="59"/>
              <w:jc w:val="center"/>
              <w:rPr>
                <w:szCs w:val="22"/>
                <w:lang w:val="lt-LT"/>
              </w:rPr>
            </w:pPr>
            <w:r w:rsidRPr="00FF397D">
              <w:rPr>
                <w:szCs w:val="22"/>
                <w:lang w:val="lt-LT"/>
              </w:rPr>
              <w:t>45,6 %</w:t>
            </w:r>
          </w:p>
        </w:tc>
        <w:tc>
          <w:tcPr>
            <w:tcW w:w="939" w:type="pct"/>
            <w:shd w:val="clear" w:color="auto" w:fill="auto"/>
            <w:vAlign w:val="center"/>
          </w:tcPr>
          <w:p w14:paraId="04CDDB85" w14:textId="77777777" w:rsidR="0080416E" w:rsidRPr="00FF397D" w:rsidRDefault="0080416E" w:rsidP="00E804EE">
            <w:pPr>
              <w:spacing w:line="240" w:lineRule="auto"/>
              <w:ind w:left="59"/>
              <w:jc w:val="center"/>
              <w:rPr>
                <w:szCs w:val="22"/>
                <w:lang w:val="lt-LT"/>
              </w:rPr>
            </w:pPr>
            <w:r w:rsidRPr="00FF397D">
              <w:rPr>
                <w:szCs w:val="22"/>
                <w:lang w:val="lt-LT"/>
              </w:rPr>
              <w:t>57,1 %</w:t>
            </w:r>
          </w:p>
        </w:tc>
        <w:tc>
          <w:tcPr>
            <w:tcW w:w="699" w:type="pct"/>
            <w:shd w:val="clear" w:color="auto" w:fill="auto"/>
            <w:vAlign w:val="center"/>
          </w:tcPr>
          <w:p w14:paraId="686B3BA8" w14:textId="77777777" w:rsidR="0080416E" w:rsidRPr="00FF397D" w:rsidRDefault="0080416E" w:rsidP="00E804EE">
            <w:pPr>
              <w:spacing w:line="240" w:lineRule="auto"/>
              <w:ind w:left="59"/>
              <w:jc w:val="center"/>
              <w:rPr>
                <w:szCs w:val="22"/>
                <w:lang w:val="lt-LT"/>
              </w:rPr>
            </w:pPr>
            <w:r w:rsidRPr="00FF397D">
              <w:rPr>
                <w:szCs w:val="22"/>
                <w:lang w:val="lt-LT"/>
              </w:rPr>
              <w:t>46,8 %</w:t>
            </w:r>
          </w:p>
        </w:tc>
      </w:tr>
      <w:tr w:rsidR="0080416E" w:rsidRPr="00FF397D" w14:paraId="53DFEE27" w14:textId="77777777" w:rsidTr="00E804EE">
        <w:tc>
          <w:tcPr>
            <w:tcW w:w="1562" w:type="pct"/>
            <w:shd w:val="clear" w:color="auto" w:fill="auto"/>
          </w:tcPr>
          <w:p w14:paraId="495AB568" w14:textId="77777777" w:rsidR="0080416E" w:rsidRPr="00FF397D" w:rsidRDefault="0080416E" w:rsidP="00E804EE">
            <w:pPr>
              <w:spacing w:line="240" w:lineRule="auto"/>
              <w:ind w:left="170"/>
              <w:rPr>
                <w:i/>
                <w:szCs w:val="22"/>
                <w:lang w:val="lt-LT"/>
              </w:rPr>
            </w:pPr>
            <w:r w:rsidRPr="00FF397D">
              <w:rPr>
                <w:i/>
                <w:szCs w:val="22"/>
                <w:lang w:val="lt-LT"/>
              </w:rPr>
              <w:t>Rizikos santykis (PI</w:t>
            </w:r>
            <w:r w:rsidRPr="00FF397D">
              <w:rPr>
                <w:i/>
                <w:szCs w:val="22"/>
                <w:vertAlign w:val="subscript"/>
                <w:lang w:val="lt-LT"/>
              </w:rPr>
              <w:t>95%</w:t>
            </w:r>
            <w:r w:rsidRPr="00FF397D">
              <w:rPr>
                <w:i/>
                <w:szCs w:val="22"/>
                <w:lang w:val="lt-LT"/>
              </w:rPr>
              <w:t>)</w:t>
            </w:r>
          </w:p>
        </w:tc>
        <w:tc>
          <w:tcPr>
            <w:tcW w:w="1800" w:type="pct"/>
            <w:gridSpan w:val="2"/>
            <w:shd w:val="clear" w:color="auto" w:fill="auto"/>
            <w:vAlign w:val="center"/>
          </w:tcPr>
          <w:p w14:paraId="37EE351E" w14:textId="77777777" w:rsidR="0080416E" w:rsidRPr="00FF397D" w:rsidRDefault="0080416E" w:rsidP="00E804EE">
            <w:pPr>
              <w:spacing w:line="240" w:lineRule="auto"/>
              <w:jc w:val="center"/>
              <w:rPr>
                <w:szCs w:val="22"/>
                <w:lang w:val="lt-LT"/>
              </w:rPr>
            </w:pPr>
            <w:r w:rsidRPr="00FF397D">
              <w:rPr>
                <w:szCs w:val="22"/>
                <w:lang w:val="lt-LT"/>
              </w:rPr>
              <w:t>0,72, (0,58, 0,89)</w:t>
            </w:r>
            <w:r w:rsidRPr="00FF397D">
              <w:rPr>
                <w:rFonts w:ascii="Cambria Math" w:hAnsi="Cambria Math" w:cs="Cambria Math"/>
                <w:szCs w:val="22"/>
                <w:vertAlign w:val="superscript"/>
                <w:lang w:val="lt-LT"/>
              </w:rPr>
              <w:t>∗∗</w:t>
            </w:r>
          </w:p>
        </w:tc>
        <w:tc>
          <w:tcPr>
            <w:tcW w:w="1638" w:type="pct"/>
            <w:gridSpan w:val="2"/>
            <w:shd w:val="clear" w:color="auto" w:fill="auto"/>
            <w:vAlign w:val="center"/>
          </w:tcPr>
          <w:p w14:paraId="48788DAC" w14:textId="77777777" w:rsidR="0080416E" w:rsidRPr="00FF397D" w:rsidRDefault="0080416E" w:rsidP="00E804EE">
            <w:pPr>
              <w:spacing w:line="240" w:lineRule="auto"/>
              <w:ind w:left="59"/>
              <w:jc w:val="center"/>
              <w:rPr>
                <w:szCs w:val="22"/>
                <w:lang w:val="lt-LT"/>
              </w:rPr>
            </w:pPr>
            <w:r w:rsidRPr="00FF397D">
              <w:rPr>
                <w:szCs w:val="22"/>
                <w:lang w:val="lt-LT"/>
              </w:rPr>
              <w:t>0,63, (0,50, 0,79)</w:t>
            </w:r>
            <w:r w:rsidRPr="00FF397D">
              <w:rPr>
                <w:rFonts w:ascii="Cambria Math" w:hAnsi="Cambria Math" w:cs="Cambria Math"/>
                <w:szCs w:val="22"/>
                <w:vertAlign w:val="superscript"/>
                <w:lang w:val="lt-LT"/>
              </w:rPr>
              <w:t>∗∗∗∗</w:t>
            </w:r>
          </w:p>
        </w:tc>
      </w:tr>
      <w:tr w:rsidR="0080416E" w:rsidRPr="00FF397D" w14:paraId="4E7A1004" w14:textId="77777777" w:rsidTr="00E804EE">
        <w:tc>
          <w:tcPr>
            <w:tcW w:w="1562" w:type="pct"/>
            <w:shd w:val="clear" w:color="auto" w:fill="auto"/>
          </w:tcPr>
          <w:p w14:paraId="50C032DF" w14:textId="77777777" w:rsidR="0080416E" w:rsidRPr="00FF397D" w:rsidRDefault="0080416E" w:rsidP="00E804EE">
            <w:pPr>
              <w:spacing w:line="240" w:lineRule="auto"/>
              <w:rPr>
                <w:szCs w:val="22"/>
                <w:lang w:val="lt-LT"/>
              </w:rPr>
            </w:pPr>
            <w:r w:rsidRPr="00FF397D">
              <w:rPr>
                <w:szCs w:val="22"/>
                <w:lang w:val="lt-LT"/>
              </w:rPr>
              <w:t>Pacientai, kuriems buvo 3 mėnesius išliekantis negalios progresavimas</w:t>
            </w:r>
            <w:r w:rsidRPr="00FF397D">
              <w:rPr>
                <w:szCs w:val="22"/>
                <w:vertAlign w:val="subscript"/>
                <w:lang w:val="lt-LT"/>
              </w:rPr>
              <w:t> 108 savaitė</w:t>
            </w:r>
          </w:p>
        </w:tc>
        <w:tc>
          <w:tcPr>
            <w:tcW w:w="938" w:type="pct"/>
            <w:shd w:val="clear" w:color="auto" w:fill="auto"/>
            <w:vAlign w:val="center"/>
          </w:tcPr>
          <w:p w14:paraId="786C73A5" w14:textId="77777777" w:rsidR="0080416E" w:rsidRPr="00FF397D" w:rsidRDefault="0080416E" w:rsidP="00E804EE">
            <w:pPr>
              <w:spacing w:line="240" w:lineRule="auto"/>
              <w:jc w:val="center"/>
              <w:rPr>
                <w:szCs w:val="22"/>
                <w:lang w:val="lt-LT"/>
              </w:rPr>
            </w:pPr>
            <w:r w:rsidRPr="00FF397D">
              <w:rPr>
                <w:szCs w:val="22"/>
                <w:lang w:val="lt-LT"/>
              </w:rPr>
              <w:t>20,2 %</w:t>
            </w:r>
          </w:p>
        </w:tc>
        <w:tc>
          <w:tcPr>
            <w:tcW w:w="862" w:type="pct"/>
            <w:shd w:val="clear" w:color="auto" w:fill="auto"/>
            <w:vAlign w:val="center"/>
          </w:tcPr>
          <w:p w14:paraId="739D6A96" w14:textId="77777777" w:rsidR="0080416E" w:rsidRPr="00FF397D" w:rsidRDefault="0080416E" w:rsidP="00E804EE">
            <w:pPr>
              <w:spacing w:line="240" w:lineRule="auto"/>
              <w:ind w:left="59"/>
              <w:jc w:val="center"/>
              <w:rPr>
                <w:szCs w:val="22"/>
                <w:lang w:val="lt-LT"/>
              </w:rPr>
            </w:pPr>
            <w:r w:rsidRPr="00FF397D">
              <w:rPr>
                <w:szCs w:val="22"/>
                <w:lang w:val="lt-LT"/>
              </w:rPr>
              <w:t>27,3 %</w:t>
            </w:r>
          </w:p>
        </w:tc>
        <w:tc>
          <w:tcPr>
            <w:tcW w:w="939" w:type="pct"/>
            <w:shd w:val="clear" w:color="auto" w:fill="auto"/>
            <w:vAlign w:val="center"/>
          </w:tcPr>
          <w:p w14:paraId="790F0130" w14:textId="77777777" w:rsidR="0080416E" w:rsidRPr="00FF397D" w:rsidRDefault="0080416E" w:rsidP="00E804EE">
            <w:pPr>
              <w:spacing w:line="240" w:lineRule="auto"/>
              <w:ind w:left="59"/>
              <w:jc w:val="center"/>
              <w:rPr>
                <w:szCs w:val="22"/>
                <w:lang w:val="lt-LT"/>
              </w:rPr>
            </w:pPr>
            <w:r w:rsidRPr="00FF397D">
              <w:rPr>
                <w:szCs w:val="22"/>
                <w:lang w:val="lt-LT"/>
              </w:rPr>
              <w:t>15,8 %</w:t>
            </w:r>
          </w:p>
        </w:tc>
        <w:tc>
          <w:tcPr>
            <w:tcW w:w="699" w:type="pct"/>
            <w:shd w:val="clear" w:color="auto" w:fill="auto"/>
            <w:vAlign w:val="center"/>
          </w:tcPr>
          <w:p w14:paraId="4FAD82A7" w14:textId="77777777" w:rsidR="0080416E" w:rsidRPr="00FF397D" w:rsidRDefault="0080416E" w:rsidP="00E804EE">
            <w:pPr>
              <w:spacing w:line="240" w:lineRule="auto"/>
              <w:ind w:left="59"/>
              <w:jc w:val="center"/>
              <w:rPr>
                <w:szCs w:val="22"/>
                <w:lang w:val="lt-LT"/>
              </w:rPr>
            </w:pPr>
            <w:r w:rsidRPr="00FF397D">
              <w:rPr>
                <w:szCs w:val="22"/>
                <w:lang w:val="lt-LT"/>
              </w:rPr>
              <w:t>19,7 %</w:t>
            </w:r>
          </w:p>
        </w:tc>
      </w:tr>
      <w:tr w:rsidR="0080416E" w:rsidRPr="00FF397D" w14:paraId="73F8792B" w14:textId="77777777" w:rsidTr="00E804EE">
        <w:tc>
          <w:tcPr>
            <w:tcW w:w="1562" w:type="pct"/>
            <w:shd w:val="clear" w:color="auto" w:fill="auto"/>
          </w:tcPr>
          <w:p w14:paraId="3BC55101" w14:textId="77777777" w:rsidR="0080416E" w:rsidRPr="00FF397D" w:rsidRDefault="0080416E" w:rsidP="00E804EE">
            <w:pPr>
              <w:spacing w:line="240" w:lineRule="auto"/>
              <w:ind w:left="170"/>
              <w:rPr>
                <w:szCs w:val="22"/>
                <w:lang w:val="lt-LT"/>
              </w:rPr>
            </w:pPr>
            <w:r w:rsidRPr="00FF397D">
              <w:rPr>
                <w:i/>
                <w:szCs w:val="22"/>
                <w:lang w:val="lt-LT"/>
              </w:rPr>
              <w:t>Rizikos santykis (PI</w:t>
            </w:r>
            <w:r w:rsidRPr="00FF397D">
              <w:rPr>
                <w:i/>
                <w:szCs w:val="22"/>
                <w:vertAlign w:val="subscript"/>
                <w:lang w:val="lt-LT"/>
              </w:rPr>
              <w:t>95%</w:t>
            </w:r>
            <w:r w:rsidRPr="00FF397D">
              <w:rPr>
                <w:i/>
                <w:szCs w:val="22"/>
                <w:lang w:val="lt-LT"/>
              </w:rPr>
              <w:t>)</w:t>
            </w:r>
          </w:p>
        </w:tc>
        <w:tc>
          <w:tcPr>
            <w:tcW w:w="1800" w:type="pct"/>
            <w:gridSpan w:val="2"/>
            <w:shd w:val="clear" w:color="auto" w:fill="auto"/>
            <w:vAlign w:val="center"/>
          </w:tcPr>
          <w:p w14:paraId="1BC16E41" w14:textId="77777777" w:rsidR="0080416E" w:rsidRPr="00FF397D" w:rsidRDefault="0080416E" w:rsidP="00E804EE">
            <w:pPr>
              <w:spacing w:line="240" w:lineRule="auto"/>
              <w:jc w:val="center"/>
              <w:rPr>
                <w:szCs w:val="22"/>
                <w:lang w:val="lt-LT"/>
              </w:rPr>
            </w:pPr>
            <w:r w:rsidRPr="00FF397D">
              <w:rPr>
                <w:szCs w:val="22"/>
                <w:lang w:val="lt-LT"/>
              </w:rPr>
              <w:t>0,70 (0,51, 0,97)</w:t>
            </w:r>
            <w:r w:rsidRPr="00FF397D">
              <w:rPr>
                <w:rFonts w:ascii="Cambria Math" w:hAnsi="Cambria Math" w:cs="Cambria Math"/>
                <w:szCs w:val="22"/>
                <w:vertAlign w:val="superscript"/>
                <w:lang w:val="lt-LT"/>
              </w:rPr>
              <w:t>∗</w:t>
            </w:r>
          </w:p>
        </w:tc>
        <w:tc>
          <w:tcPr>
            <w:tcW w:w="1638" w:type="pct"/>
            <w:gridSpan w:val="2"/>
            <w:shd w:val="clear" w:color="auto" w:fill="auto"/>
            <w:vAlign w:val="center"/>
          </w:tcPr>
          <w:p w14:paraId="66AF73C0" w14:textId="77777777" w:rsidR="0080416E" w:rsidRPr="00FF397D" w:rsidRDefault="0080416E" w:rsidP="00E804EE">
            <w:pPr>
              <w:spacing w:line="240" w:lineRule="auto"/>
              <w:ind w:left="59"/>
              <w:jc w:val="center"/>
              <w:rPr>
                <w:szCs w:val="22"/>
                <w:lang w:val="lt-LT"/>
              </w:rPr>
            </w:pPr>
            <w:r w:rsidRPr="00FF397D">
              <w:rPr>
                <w:szCs w:val="22"/>
                <w:lang w:val="lt-LT"/>
              </w:rPr>
              <w:t>0,68 (0,47, 1,00)</w:t>
            </w:r>
            <w:r w:rsidRPr="00FF397D">
              <w:rPr>
                <w:rFonts w:ascii="Cambria Math" w:hAnsi="Cambria Math" w:cs="Cambria Math"/>
                <w:szCs w:val="22"/>
                <w:vertAlign w:val="superscript"/>
                <w:lang w:val="lt-LT"/>
              </w:rPr>
              <w:t>∗</w:t>
            </w:r>
          </w:p>
        </w:tc>
      </w:tr>
      <w:tr w:rsidR="0080416E" w:rsidRPr="00FF397D" w14:paraId="35BBA56D" w14:textId="77777777" w:rsidTr="00E804EE">
        <w:tc>
          <w:tcPr>
            <w:tcW w:w="1562" w:type="pct"/>
            <w:shd w:val="clear" w:color="auto" w:fill="auto"/>
          </w:tcPr>
          <w:p w14:paraId="1E4D6075" w14:textId="77777777" w:rsidR="0080416E" w:rsidRPr="00FF397D" w:rsidRDefault="0080416E" w:rsidP="00E804EE">
            <w:pPr>
              <w:spacing w:line="240" w:lineRule="auto"/>
              <w:rPr>
                <w:szCs w:val="22"/>
                <w:lang w:val="lt-LT"/>
              </w:rPr>
            </w:pPr>
            <w:r w:rsidRPr="00FF397D">
              <w:rPr>
                <w:szCs w:val="22"/>
                <w:lang w:val="lt-LT"/>
              </w:rPr>
              <w:t>Pacientai, kuriems buvo 6 mėnesius išliekantis negalios progresavimas</w:t>
            </w:r>
            <w:r w:rsidRPr="00FF397D">
              <w:rPr>
                <w:szCs w:val="22"/>
                <w:vertAlign w:val="subscript"/>
                <w:lang w:val="lt-LT"/>
              </w:rPr>
              <w:t> </w:t>
            </w:r>
          </w:p>
          <w:p w14:paraId="197A2978" w14:textId="77777777" w:rsidR="0080416E" w:rsidRPr="00FF397D" w:rsidRDefault="0080416E" w:rsidP="00E804EE">
            <w:pPr>
              <w:spacing w:line="240" w:lineRule="auto"/>
              <w:rPr>
                <w:szCs w:val="22"/>
                <w:lang w:val="lt-LT"/>
              </w:rPr>
            </w:pPr>
            <w:r w:rsidRPr="00FF397D">
              <w:rPr>
                <w:szCs w:val="22"/>
                <w:vertAlign w:val="subscript"/>
                <w:lang w:val="lt-LT"/>
              </w:rPr>
              <w:t>108 savaitė</w:t>
            </w:r>
          </w:p>
        </w:tc>
        <w:tc>
          <w:tcPr>
            <w:tcW w:w="938" w:type="pct"/>
            <w:shd w:val="clear" w:color="auto" w:fill="auto"/>
            <w:vAlign w:val="center"/>
          </w:tcPr>
          <w:p w14:paraId="7E95A693" w14:textId="77777777" w:rsidR="0080416E" w:rsidRPr="00FF397D" w:rsidRDefault="0080416E" w:rsidP="00E804EE">
            <w:pPr>
              <w:spacing w:line="240" w:lineRule="auto"/>
              <w:ind w:left="-83" w:right="-196"/>
              <w:jc w:val="center"/>
              <w:rPr>
                <w:szCs w:val="22"/>
                <w:lang w:val="lt-LT"/>
              </w:rPr>
            </w:pPr>
            <w:r w:rsidRPr="00FF397D">
              <w:rPr>
                <w:szCs w:val="22"/>
                <w:lang w:val="lt-LT"/>
              </w:rPr>
              <w:t>13,8 %</w:t>
            </w:r>
          </w:p>
        </w:tc>
        <w:tc>
          <w:tcPr>
            <w:tcW w:w="862" w:type="pct"/>
            <w:shd w:val="clear" w:color="auto" w:fill="auto"/>
            <w:vAlign w:val="center"/>
          </w:tcPr>
          <w:p w14:paraId="4E244844" w14:textId="77777777" w:rsidR="0080416E" w:rsidRPr="00FF397D" w:rsidRDefault="0080416E" w:rsidP="00E804EE">
            <w:pPr>
              <w:spacing w:line="240" w:lineRule="auto"/>
              <w:ind w:left="59"/>
              <w:jc w:val="center"/>
              <w:rPr>
                <w:szCs w:val="22"/>
                <w:lang w:val="lt-LT"/>
              </w:rPr>
            </w:pPr>
            <w:r w:rsidRPr="00FF397D">
              <w:rPr>
                <w:szCs w:val="22"/>
                <w:lang w:val="lt-LT"/>
              </w:rPr>
              <w:t>18,7 %</w:t>
            </w:r>
          </w:p>
        </w:tc>
        <w:tc>
          <w:tcPr>
            <w:tcW w:w="939" w:type="pct"/>
            <w:shd w:val="clear" w:color="auto" w:fill="auto"/>
            <w:vAlign w:val="center"/>
          </w:tcPr>
          <w:p w14:paraId="60F54413" w14:textId="77777777" w:rsidR="0080416E" w:rsidRPr="00FF397D" w:rsidRDefault="0080416E" w:rsidP="00E804EE">
            <w:pPr>
              <w:spacing w:line="240" w:lineRule="auto"/>
              <w:ind w:left="59"/>
              <w:jc w:val="center"/>
              <w:rPr>
                <w:szCs w:val="22"/>
                <w:lang w:val="lt-LT"/>
              </w:rPr>
            </w:pPr>
            <w:r w:rsidRPr="00FF397D">
              <w:rPr>
                <w:szCs w:val="22"/>
                <w:lang w:val="lt-LT"/>
              </w:rPr>
              <w:t>11,7 %</w:t>
            </w:r>
          </w:p>
        </w:tc>
        <w:tc>
          <w:tcPr>
            <w:tcW w:w="699" w:type="pct"/>
            <w:shd w:val="clear" w:color="auto" w:fill="auto"/>
            <w:vAlign w:val="center"/>
          </w:tcPr>
          <w:p w14:paraId="3C4171E8" w14:textId="77777777" w:rsidR="0080416E" w:rsidRPr="00FF397D" w:rsidRDefault="0080416E" w:rsidP="00E804EE">
            <w:pPr>
              <w:spacing w:line="240" w:lineRule="auto"/>
              <w:ind w:left="59"/>
              <w:jc w:val="center"/>
              <w:rPr>
                <w:szCs w:val="22"/>
                <w:lang w:val="lt-LT"/>
              </w:rPr>
            </w:pPr>
            <w:r w:rsidRPr="00FF397D">
              <w:rPr>
                <w:szCs w:val="22"/>
                <w:lang w:val="lt-LT"/>
              </w:rPr>
              <w:t>11,9 %</w:t>
            </w:r>
          </w:p>
        </w:tc>
      </w:tr>
      <w:tr w:rsidR="0080416E" w:rsidRPr="00FF397D" w14:paraId="64076BD5" w14:textId="77777777" w:rsidTr="00E804EE">
        <w:tc>
          <w:tcPr>
            <w:tcW w:w="1562" w:type="pct"/>
            <w:shd w:val="clear" w:color="auto" w:fill="auto"/>
          </w:tcPr>
          <w:p w14:paraId="7AC61FC2" w14:textId="77777777" w:rsidR="0080416E" w:rsidRPr="00FF397D" w:rsidRDefault="0080416E" w:rsidP="00E804EE">
            <w:pPr>
              <w:spacing w:line="240" w:lineRule="auto"/>
              <w:ind w:left="170"/>
              <w:rPr>
                <w:i/>
                <w:szCs w:val="22"/>
                <w:lang w:val="lt-LT"/>
              </w:rPr>
            </w:pPr>
            <w:r w:rsidRPr="00FF397D">
              <w:rPr>
                <w:i/>
                <w:szCs w:val="22"/>
                <w:lang w:val="lt-LT"/>
              </w:rPr>
              <w:t>Rizikos santykis (PI</w:t>
            </w:r>
            <w:r w:rsidRPr="00FF397D">
              <w:rPr>
                <w:i/>
                <w:szCs w:val="22"/>
                <w:vertAlign w:val="subscript"/>
                <w:lang w:val="lt-LT"/>
              </w:rPr>
              <w:t>95%</w:t>
            </w:r>
            <w:r w:rsidRPr="00FF397D">
              <w:rPr>
                <w:i/>
                <w:szCs w:val="22"/>
                <w:lang w:val="lt-LT"/>
              </w:rPr>
              <w:t>)</w:t>
            </w:r>
          </w:p>
        </w:tc>
        <w:tc>
          <w:tcPr>
            <w:tcW w:w="1800" w:type="pct"/>
            <w:gridSpan w:val="2"/>
            <w:shd w:val="clear" w:color="auto" w:fill="auto"/>
            <w:vAlign w:val="center"/>
          </w:tcPr>
          <w:p w14:paraId="1DBD5B87" w14:textId="77777777" w:rsidR="0080416E" w:rsidRPr="00FF397D" w:rsidRDefault="0080416E" w:rsidP="00E804EE">
            <w:pPr>
              <w:spacing w:line="240" w:lineRule="auto"/>
              <w:ind w:left="-83" w:right="-196"/>
              <w:jc w:val="center"/>
              <w:rPr>
                <w:szCs w:val="22"/>
                <w:lang w:val="lt-LT"/>
              </w:rPr>
            </w:pPr>
            <w:r w:rsidRPr="00FF397D">
              <w:rPr>
                <w:szCs w:val="22"/>
                <w:lang w:val="lt-LT"/>
              </w:rPr>
              <w:t>0,75 (0,50, 1,11)</w:t>
            </w:r>
          </w:p>
        </w:tc>
        <w:tc>
          <w:tcPr>
            <w:tcW w:w="1638" w:type="pct"/>
            <w:gridSpan w:val="2"/>
            <w:shd w:val="clear" w:color="auto" w:fill="auto"/>
            <w:vAlign w:val="center"/>
          </w:tcPr>
          <w:p w14:paraId="046CFBE0" w14:textId="77777777" w:rsidR="0080416E" w:rsidRPr="00FF397D" w:rsidRDefault="0080416E" w:rsidP="00E804EE">
            <w:pPr>
              <w:spacing w:line="240" w:lineRule="auto"/>
              <w:ind w:left="59"/>
              <w:jc w:val="center"/>
              <w:rPr>
                <w:szCs w:val="22"/>
                <w:lang w:val="lt-LT"/>
              </w:rPr>
            </w:pPr>
            <w:r w:rsidRPr="00FF397D">
              <w:rPr>
                <w:szCs w:val="22"/>
                <w:lang w:val="lt-LT"/>
              </w:rPr>
              <w:t>0,84 (0,53, 1,33)</w:t>
            </w:r>
          </w:p>
        </w:tc>
      </w:tr>
      <w:tr w:rsidR="0080416E" w:rsidRPr="00FF397D" w14:paraId="5D0C9544" w14:textId="77777777" w:rsidTr="00E804EE">
        <w:tc>
          <w:tcPr>
            <w:tcW w:w="1562" w:type="pct"/>
            <w:shd w:val="clear" w:color="auto" w:fill="auto"/>
          </w:tcPr>
          <w:p w14:paraId="0BC0B1B5" w14:textId="77777777" w:rsidR="0080416E" w:rsidRPr="00FF397D" w:rsidRDefault="0080416E" w:rsidP="00E804EE">
            <w:pPr>
              <w:spacing w:line="240" w:lineRule="auto"/>
              <w:rPr>
                <w:b/>
                <w:szCs w:val="22"/>
                <w:lang w:val="lt-LT"/>
              </w:rPr>
            </w:pPr>
            <w:r w:rsidRPr="00FF397D">
              <w:rPr>
                <w:b/>
                <w:szCs w:val="22"/>
                <w:lang w:val="lt-LT"/>
              </w:rPr>
              <w:t>MRT vertinamosios baigtys</w:t>
            </w:r>
          </w:p>
        </w:tc>
        <w:tc>
          <w:tcPr>
            <w:tcW w:w="1800" w:type="pct"/>
            <w:gridSpan w:val="2"/>
            <w:shd w:val="clear" w:color="auto" w:fill="auto"/>
          </w:tcPr>
          <w:p w14:paraId="7A6E32BC" w14:textId="77777777" w:rsidR="0080416E" w:rsidRPr="00FF397D" w:rsidRDefault="0080416E" w:rsidP="00E804EE">
            <w:pPr>
              <w:spacing w:line="240" w:lineRule="auto"/>
              <w:ind w:left="59"/>
              <w:rPr>
                <w:szCs w:val="22"/>
                <w:lang w:val="lt-LT"/>
              </w:rPr>
            </w:pPr>
          </w:p>
        </w:tc>
        <w:tc>
          <w:tcPr>
            <w:tcW w:w="1638" w:type="pct"/>
            <w:gridSpan w:val="2"/>
            <w:vMerge w:val="restart"/>
            <w:shd w:val="clear" w:color="auto" w:fill="auto"/>
            <w:vAlign w:val="center"/>
          </w:tcPr>
          <w:p w14:paraId="709D4929" w14:textId="77777777" w:rsidR="0080416E" w:rsidRPr="00FF397D" w:rsidRDefault="0080416E" w:rsidP="00E804EE">
            <w:pPr>
              <w:spacing w:line="240" w:lineRule="auto"/>
              <w:ind w:left="59"/>
              <w:jc w:val="center"/>
              <w:rPr>
                <w:szCs w:val="22"/>
                <w:lang w:val="lt-LT"/>
              </w:rPr>
            </w:pPr>
            <w:r w:rsidRPr="00FF397D">
              <w:rPr>
                <w:szCs w:val="22"/>
                <w:lang w:val="lt-LT"/>
              </w:rPr>
              <w:t>Netirta</w:t>
            </w:r>
          </w:p>
        </w:tc>
      </w:tr>
      <w:tr w:rsidR="0080416E" w:rsidRPr="00FF397D" w14:paraId="771E8CA7" w14:textId="77777777" w:rsidTr="00E804EE">
        <w:tc>
          <w:tcPr>
            <w:tcW w:w="1562" w:type="pct"/>
            <w:shd w:val="clear" w:color="auto" w:fill="auto"/>
          </w:tcPr>
          <w:p w14:paraId="46C736C8" w14:textId="77777777" w:rsidR="0080416E" w:rsidRPr="00FF397D" w:rsidRDefault="0080416E" w:rsidP="00E804EE">
            <w:pPr>
              <w:spacing w:line="240" w:lineRule="auto"/>
              <w:rPr>
                <w:szCs w:val="22"/>
                <w:lang w:val="lt-LT"/>
              </w:rPr>
            </w:pPr>
            <w:r w:rsidRPr="00FF397D">
              <w:rPr>
                <w:szCs w:val="22"/>
                <w:lang w:val="lt-LT"/>
              </w:rPr>
              <w:t>Vidutinis BOD pokytis</w:t>
            </w:r>
          </w:p>
          <w:p w14:paraId="638D71C4" w14:textId="77777777" w:rsidR="0080416E" w:rsidRPr="00FF397D" w:rsidRDefault="0080416E" w:rsidP="00E804EE">
            <w:pPr>
              <w:spacing w:line="240" w:lineRule="auto"/>
              <w:rPr>
                <w:szCs w:val="22"/>
                <w:lang w:val="lt-LT"/>
              </w:rPr>
            </w:pPr>
            <w:r w:rsidRPr="00FF397D">
              <w:rPr>
                <w:szCs w:val="22"/>
                <w:lang w:val="lt-LT"/>
              </w:rPr>
              <w:t xml:space="preserve">nuo pradinio rodmens </w:t>
            </w:r>
            <w:r w:rsidRPr="00FF397D">
              <w:rPr>
                <w:szCs w:val="22"/>
                <w:vertAlign w:val="subscript"/>
                <w:lang w:val="lt-LT"/>
              </w:rPr>
              <w:t> 108 savaitė</w:t>
            </w:r>
            <w:r w:rsidRPr="00FF397D">
              <w:rPr>
                <w:szCs w:val="22"/>
                <w:vertAlign w:val="superscript"/>
                <w:lang w:val="lt-LT"/>
              </w:rPr>
              <w:t>(1)</w:t>
            </w:r>
          </w:p>
        </w:tc>
        <w:tc>
          <w:tcPr>
            <w:tcW w:w="938" w:type="pct"/>
            <w:shd w:val="clear" w:color="auto" w:fill="auto"/>
            <w:vAlign w:val="center"/>
          </w:tcPr>
          <w:p w14:paraId="4452679C" w14:textId="77777777" w:rsidR="0080416E" w:rsidRPr="00FF397D" w:rsidRDefault="0080416E" w:rsidP="00E804EE">
            <w:pPr>
              <w:spacing w:line="240" w:lineRule="auto"/>
              <w:ind w:left="-83" w:right="-54"/>
              <w:jc w:val="center"/>
              <w:rPr>
                <w:szCs w:val="22"/>
                <w:lang w:val="lt-LT"/>
              </w:rPr>
            </w:pPr>
            <w:r w:rsidRPr="00FF397D">
              <w:rPr>
                <w:szCs w:val="22"/>
                <w:lang w:val="lt-LT"/>
              </w:rPr>
              <w:t>0,72</w:t>
            </w:r>
          </w:p>
        </w:tc>
        <w:tc>
          <w:tcPr>
            <w:tcW w:w="862" w:type="pct"/>
            <w:shd w:val="clear" w:color="auto" w:fill="auto"/>
            <w:vAlign w:val="center"/>
          </w:tcPr>
          <w:p w14:paraId="285DABBB" w14:textId="77777777" w:rsidR="0080416E" w:rsidRPr="00FF397D" w:rsidRDefault="0080416E" w:rsidP="00E804EE">
            <w:pPr>
              <w:spacing w:line="240" w:lineRule="auto"/>
              <w:ind w:left="59"/>
              <w:jc w:val="center"/>
              <w:rPr>
                <w:szCs w:val="22"/>
                <w:lang w:val="lt-LT"/>
              </w:rPr>
            </w:pPr>
            <w:r w:rsidRPr="00FF397D">
              <w:rPr>
                <w:szCs w:val="22"/>
                <w:lang w:val="lt-LT"/>
              </w:rPr>
              <w:t>2,21</w:t>
            </w:r>
          </w:p>
        </w:tc>
        <w:tc>
          <w:tcPr>
            <w:tcW w:w="1638" w:type="pct"/>
            <w:gridSpan w:val="2"/>
            <w:vMerge/>
            <w:shd w:val="clear" w:color="auto" w:fill="auto"/>
          </w:tcPr>
          <w:p w14:paraId="2C91F987" w14:textId="77777777" w:rsidR="0080416E" w:rsidRPr="00FF397D" w:rsidRDefault="0080416E" w:rsidP="00E804EE">
            <w:pPr>
              <w:spacing w:line="240" w:lineRule="auto"/>
              <w:ind w:left="59"/>
              <w:rPr>
                <w:szCs w:val="22"/>
                <w:lang w:val="lt-LT"/>
              </w:rPr>
            </w:pPr>
          </w:p>
        </w:tc>
      </w:tr>
      <w:tr w:rsidR="0080416E" w:rsidRPr="00FF397D" w14:paraId="25938EF9" w14:textId="77777777" w:rsidTr="00E804EE">
        <w:tc>
          <w:tcPr>
            <w:tcW w:w="1562" w:type="pct"/>
            <w:shd w:val="clear" w:color="auto" w:fill="auto"/>
          </w:tcPr>
          <w:p w14:paraId="6A06CFFC" w14:textId="77777777" w:rsidR="0080416E" w:rsidRPr="00FF397D" w:rsidRDefault="0080416E" w:rsidP="00E804EE">
            <w:pPr>
              <w:spacing w:line="240" w:lineRule="auto"/>
              <w:ind w:left="170" w:right="-108"/>
              <w:rPr>
                <w:i/>
                <w:szCs w:val="22"/>
                <w:lang w:val="lt-LT"/>
              </w:rPr>
            </w:pPr>
            <w:r w:rsidRPr="00FF397D">
              <w:rPr>
                <w:i/>
                <w:szCs w:val="22"/>
                <w:lang w:val="lt-LT"/>
              </w:rPr>
              <w:t>Pokytis, palyginti su</w:t>
            </w:r>
          </w:p>
          <w:p w14:paraId="2265F75A" w14:textId="77777777" w:rsidR="0080416E" w:rsidRPr="00FF397D" w:rsidRDefault="0080416E" w:rsidP="00E804EE">
            <w:pPr>
              <w:spacing w:line="240" w:lineRule="auto"/>
              <w:ind w:right="-108"/>
              <w:rPr>
                <w:i/>
                <w:szCs w:val="22"/>
                <w:lang w:val="lt-LT"/>
              </w:rPr>
            </w:pPr>
            <w:r w:rsidRPr="00FF397D">
              <w:rPr>
                <w:i/>
                <w:szCs w:val="22"/>
                <w:lang w:val="lt-LT"/>
              </w:rPr>
              <w:t xml:space="preserve"> placebu</w:t>
            </w:r>
          </w:p>
        </w:tc>
        <w:tc>
          <w:tcPr>
            <w:tcW w:w="1800" w:type="pct"/>
            <w:gridSpan w:val="2"/>
            <w:shd w:val="clear" w:color="auto" w:fill="auto"/>
            <w:vAlign w:val="center"/>
          </w:tcPr>
          <w:p w14:paraId="3CCEF463" w14:textId="77777777" w:rsidR="0080416E" w:rsidRPr="00FF397D" w:rsidRDefault="0080416E" w:rsidP="00E804EE">
            <w:pPr>
              <w:spacing w:line="240" w:lineRule="auto"/>
              <w:ind w:left="-83" w:right="-54"/>
              <w:jc w:val="center"/>
              <w:rPr>
                <w:szCs w:val="22"/>
                <w:lang w:val="lt-LT"/>
              </w:rPr>
            </w:pPr>
            <w:r w:rsidRPr="00FF397D">
              <w:rPr>
                <w:szCs w:val="22"/>
                <w:lang w:val="lt-LT"/>
              </w:rPr>
              <w:t>67 %</w:t>
            </w:r>
            <w:r w:rsidRPr="00FF397D">
              <w:rPr>
                <w:rFonts w:ascii="Cambria Math" w:hAnsi="Cambria Math" w:cs="Cambria Math"/>
                <w:szCs w:val="22"/>
                <w:vertAlign w:val="superscript"/>
                <w:lang w:val="lt-LT"/>
              </w:rPr>
              <w:t>∗∗∗</w:t>
            </w:r>
          </w:p>
        </w:tc>
        <w:tc>
          <w:tcPr>
            <w:tcW w:w="1638" w:type="pct"/>
            <w:gridSpan w:val="2"/>
            <w:vMerge/>
            <w:shd w:val="clear" w:color="auto" w:fill="auto"/>
          </w:tcPr>
          <w:p w14:paraId="6A8258BF" w14:textId="77777777" w:rsidR="0080416E" w:rsidRPr="00FF397D" w:rsidRDefault="0080416E" w:rsidP="00E804EE">
            <w:pPr>
              <w:spacing w:line="240" w:lineRule="auto"/>
              <w:ind w:left="59"/>
              <w:rPr>
                <w:szCs w:val="22"/>
                <w:lang w:val="lt-LT"/>
              </w:rPr>
            </w:pPr>
          </w:p>
        </w:tc>
      </w:tr>
      <w:tr w:rsidR="0080416E" w:rsidRPr="00FF397D" w14:paraId="6404218E" w14:textId="77777777" w:rsidTr="00E804EE">
        <w:tc>
          <w:tcPr>
            <w:tcW w:w="1562" w:type="pct"/>
            <w:shd w:val="clear" w:color="auto" w:fill="auto"/>
          </w:tcPr>
          <w:p w14:paraId="28E0BC67" w14:textId="77777777" w:rsidR="0080416E" w:rsidRPr="00FF397D" w:rsidRDefault="0080416E" w:rsidP="00E804EE">
            <w:pPr>
              <w:spacing w:line="240" w:lineRule="auto"/>
              <w:rPr>
                <w:szCs w:val="22"/>
                <w:lang w:val="lt-LT"/>
              </w:rPr>
            </w:pPr>
            <w:r w:rsidRPr="00FF397D">
              <w:rPr>
                <w:szCs w:val="22"/>
                <w:lang w:val="lt-LT"/>
              </w:rPr>
              <w:t>Vidutinis Gd kaupiančių pažeidimų skaičius 108 savaitę</w:t>
            </w:r>
          </w:p>
        </w:tc>
        <w:tc>
          <w:tcPr>
            <w:tcW w:w="938" w:type="pct"/>
            <w:shd w:val="clear" w:color="auto" w:fill="auto"/>
            <w:vAlign w:val="center"/>
          </w:tcPr>
          <w:p w14:paraId="50A87C01" w14:textId="77777777" w:rsidR="0080416E" w:rsidRPr="00FF397D" w:rsidRDefault="0080416E" w:rsidP="00E804EE">
            <w:pPr>
              <w:spacing w:line="240" w:lineRule="auto"/>
              <w:ind w:left="-83" w:right="-54"/>
              <w:jc w:val="center"/>
              <w:rPr>
                <w:szCs w:val="22"/>
                <w:lang w:val="lt-LT"/>
              </w:rPr>
            </w:pPr>
            <w:r w:rsidRPr="00FF397D">
              <w:rPr>
                <w:szCs w:val="22"/>
                <w:lang w:val="lt-LT"/>
              </w:rPr>
              <w:t>0,38</w:t>
            </w:r>
          </w:p>
        </w:tc>
        <w:tc>
          <w:tcPr>
            <w:tcW w:w="862" w:type="pct"/>
            <w:shd w:val="clear" w:color="auto" w:fill="auto"/>
            <w:vAlign w:val="center"/>
          </w:tcPr>
          <w:p w14:paraId="6AAA223B" w14:textId="77777777" w:rsidR="0080416E" w:rsidRPr="00FF397D" w:rsidRDefault="0080416E" w:rsidP="00E804EE">
            <w:pPr>
              <w:spacing w:line="240" w:lineRule="auto"/>
              <w:ind w:left="59"/>
              <w:jc w:val="center"/>
              <w:rPr>
                <w:szCs w:val="22"/>
                <w:lang w:val="lt-LT"/>
              </w:rPr>
            </w:pPr>
            <w:r w:rsidRPr="00FF397D">
              <w:rPr>
                <w:szCs w:val="22"/>
                <w:lang w:val="lt-LT"/>
              </w:rPr>
              <w:t>1,18</w:t>
            </w:r>
          </w:p>
        </w:tc>
        <w:tc>
          <w:tcPr>
            <w:tcW w:w="1638" w:type="pct"/>
            <w:gridSpan w:val="2"/>
            <w:vMerge/>
            <w:shd w:val="clear" w:color="auto" w:fill="auto"/>
          </w:tcPr>
          <w:p w14:paraId="1BF0128B" w14:textId="77777777" w:rsidR="0080416E" w:rsidRPr="00FF397D" w:rsidRDefault="0080416E" w:rsidP="00E804EE">
            <w:pPr>
              <w:spacing w:line="240" w:lineRule="auto"/>
              <w:ind w:left="59"/>
              <w:rPr>
                <w:szCs w:val="22"/>
                <w:lang w:val="lt-LT"/>
              </w:rPr>
            </w:pPr>
          </w:p>
        </w:tc>
      </w:tr>
      <w:tr w:rsidR="0080416E" w:rsidRPr="00FF397D" w14:paraId="613126BB" w14:textId="77777777" w:rsidTr="00E804EE">
        <w:tc>
          <w:tcPr>
            <w:tcW w:w="1562" w:type="pct"/>
            <w:shd w:val="clear" w:color="auto" w:fill="auto"/>
          </w:tcPr>
          <w:p w14:paraId="0D88343C" w14:textId="77777777" w:rsidR="0080416E" w:rsidRPr="00FF397D" w:rsidRDefault="0080416E" w:rsidP="00E804EE">
            <w:pPr>
              <w:autoSpaceDE w:val="0"/>
              <w:autoSpaceDN w:val="0"/>
              <w:adjustRightInd w:val="0"/>
              <w:spacing w:line="240" w:lineRule="auto"/>
              <w:rPr>
                <w:i/>
                <w:iCs/>
                <w:szCs w:val="22"/>
                <w:lang w:val="lt-LT"/>
              </w:rPr>
            </w:pPr>
            <w:r w:rsidRPr="00FF397D">
              <w:rPr>
                <w:i/>
                <w:iCs/>
                <w:szCs w:val="22"/>
                <w:lang w:val="lt-LT"/>
              </w:rPr>
              <w:t>Pokytis, palyginti su placebu (PI95%)</w:t>
            </w:r>
          </w:p>
        </w:tc>
        <w:tc>
          <w:tcPr>
            <w:tcW w:w="1800" w:type="pct"/>
            <w:gridSpan w:val="2"/>
            <w:shd w:val="clear" w:color="auto" w:fill="auto"/>
            <w:vAlign w:val="center"/>
          </w:tcPr>
          <w:p w14:paraId="3D4887A3" w14:textId="77777777" w:rsidR="0080416E" w:rsidRPr="00FF397D" w:rsidRDefault="0080416E" w:rsidP="00E804EE">
            <w:pPr>
              <w:spacing w:line="240" w:lineRule="auto"/>
              <w:ind w:left="-83" w:right="-54"/>
              <w:jc w:val="center"/>
              <w:rPr>
                <w:szCs w:val="22"/>
                <w:lang w:val="lt-LT"/>
              </w:rPr>
            </w:pPr>
            <w:r w:rsidRPr="00FF397D">
              <w:rPr>
                <w:szCs w:val="22"/>
                <w:lang w:val="lt-LT"/>
              </w:rPr>
              <w:t>-0,80 (-1,20, -0,39)</w:t>
            </w:r>
            <w:r w:rsidRPr="00FF397D">
              <w:rPr>
                <w:rFonts w:ascii="Cambria Math" w:hAnsi="Cambria Math" w:cs="Cambria Math"/>
                <w:szCs w:val="22"/>
                <w:vertAlign w:val="superscript"/>
                <w:lang w:val="lt-LT"/>
              </w:rPr>
              <w:t>∗∗∗∗</w:t>
            </w:r>
          </w:p>
        </w:tc>
        <w:tc>
          <w:tcPr>
            <w:tcW w:w="1638" w:type="pct"/>
            <w:gridSpan w:val="2"/>
            <w:vMerge/>
            <w:shd w:val="clear" w:color="auto" w:fill="auto"/>
          </w:tcPr>
          <w:p w14:paraId="228847A4" w14:textId="77777777" w:rsidR="0080416E" w:rsidRPr="00FF397D" w:rsidRDefault="0080416E" w:rsidP="00E804EE">
            <w:pPr>
              <w:spacing w:line="240" w:lineRule="auto"/>
              <w:ind w:left="59"/>
              <w:rPr>
                <w:szCs w:val="22"/>
                <w:lang w:val="lt-LT"/>
              </w:rPr>
            </w:pPr>
          </w:p>
        </w:tc>
      </w:tr>
      <w:tr w:rsidR="0080416E" w:rsidRPr="00FF397D" w14:paraId="42D02D25" w14:textId="77777777" w:rsidTr="00E804EE">
        <w:tc>
          <w:tcPr>
            <w:tcW w:w="1562" w:type="pct"/>
            <w:shd w:val="clear" w:color="auto" w:fill="auto"/>
          </w:tcPr>
          <w:p w14:paraId="35A7D111" w14:textId="77777777" w:rsidR="0080416E" w:rsidRPr="00FF397D" w:rsidRDefault="0080416E" w:rsidP="00E804EE">
            <w:pPr>
              <w:spacing w:line="240" w:lineRule="auto"/>
              <w:rPr>
                <w:szCs w:val="22"/>
                <w:lang w:val="lt-LT"/>
              </w:rPr>
            </w:pPr>
            <w:r w:rsidRPr="00FF397D">
              <w:rPr>
                <w:szCs w:val="22"/>
                <w:lang w:val="lt-LT"/>
              </w:rPr>
              <w:t>Atskirų aktyvių pažeidimų skaičius skenavimui</w:t>
            </w:r>
          </w:p>
        </w:tc>
        <w:tc>
          <w:tcPr>
            <w:tcW w:w="938" w:type="pct"/>
            <w:shd w:val="clear" w:color="auto" w:fill="auto"/>
            <w:vAlign w:val="center"/>
          </w:tcPr>
          <w:p w14:paraId="020C39B1" w14:textId="77777777" w:rsidR="0080416E" w:rsidRPr="00FF397D" w:rsidRDefault="0080416E" w:rsidP="00E804EE">
            <w:pPr>
              <w:spacing w:line="240" w:lineRule="auto"/>
              <w:ind w:left="-83" w:right="-54"/>
              <w:jc w:val="center"/>
              <w:rPr>
                <w:szCs w:val="22"/>
                <w:lang w:val="lt-LT"/>
              </w:rPr>
            </w:pPr>
            <w:r w:rsidRPr="00FF397D">
              <w:rPr>
                <w:szCs w:val="22"/>
                <w:lang w:val="lt-LT"/>
              </w:rPr>
              <w:t>0,75</w:t>
            </w:r>
          </w:p>
        </w:tc>
        <w:tc>
          <w:tcPr>
            <w:tcW w:w="862" w:type="pct"/>
            <w:shd w:val="clear" w:color="auto" w:fill="auto"/>
            <w:vAlign w:val="center"/>
          </w:tcPr>
          <w:p w14:paraId="2A0DFDD7" w14:textId="77777777" w:rsidR="0080416E" w:rsidRPr="00FF397D" w:rsidRDefault="0080416E" w:rsidP="00E804EE">
            <w:pPr>
              <w:spacing w:line="240" w:lineRule="auto"/>
              <w:ind w:left="59"/>
              <w:jc w:val="center"/>
              <w:rPr>
                <w:szCs w:val="22"/>
                <w:lang w:val="lt-LT"/>
              </w:rPr>
            </w:pPr>
            <w:r w:rsidRPr="00FF397D">
              <w:rPr>
                <w:szCs w:val="22"/>
                <w:lang w:val="lt-LT"/>
              </w:rPr>
              <w:t>2,46</w:t>
            </w:r>
          </w:p>
        </w:tc>
        <w:tc>
          <w:tcPr>
            <w:tcW w:w="1638" w:type="pct"/>
            <w:gridSpan w:val="2"/>
            <w:vMerge/>
            <w:shd w:val="clear" w:color="auto" w:fill="auto"/>
          </w:tcPr>
          <w:p w14:paraId="75CFDFF8" w14:textId="77777777" w:rsidR="0080416E" w:rsidRPr="00FF397D" w:rsidRDefault="0080416E" w:rsidP="00E804EE">
            <w:pPr>
              <w:spacing w:line="240" w:lineRule="auto"/>
              <w:ind w:left="59"/>
              <w:rPr>
                <w:szCs w:val="22"/>
                <w:lang w:val="lt-LT"/>
              </w:rPr>
            </w:pPr>
          </w:p>
        </w:tc>
      </w:tr>
      <w:tr w:rsidR="0080416E" w:rsidRPr="00FF397D" w14:paraId="540D7F35" w14:textId="77777777" w:rsidTr="00E804EE">
        <w:tc>
          <w:tcPr>
            <w:tcW w:w="1562" w:type="pct"/>
            <w:shd w:val="clear" w:color="auto" w:fill="auto"/>
          </w:tcPr>
          <w:p w14:paraId="4760CE9D" w14:textId="77777777" w:rsidR="0080416E" w:rsidRPr="00FF397D" w:rsidRDefault="0080416E" w:rsidP="00E804EE">
            <w:pPr>
              <w:keepNext/>
              <w:spacing w:line="240" w:lineRule="auto"/>
              <w:ind w:left="170"/>
              <w:rPr>
                <w:i/>
                <w:iCs/>
                <w:szCs w:val="22"/>
                <w:lang w:val="lt-LT"/>
              </w:rPr>
            </w:pPr>
            <w:r w:rsidRPr="00FF397D">
              <w:rPr>
                <w:i/>
                <w:iCs/>
                <w:szCs w:val="22"/>
                <w:lang w:val="lt-LT"/>
              </w:rPr>
              <w:t>Pokytis, palyginti su placebu (CI</w:t>
            </w:r>
            <w:r w:rsidRPr="00FF397D">
              <w:rPr>
                <w:i/>
                <w:iCs/>
                <w:szCs w:val="22"/>
                <w:vertAlign w:val="subscript"/>
                <w:lang w:val="lt-LT"/>
              </w:rPr>
              <w:t>95%</w:t>
            </w:r>
            <w:r w:rsidRPr="00FF397D">
              <w:rPr>
                <w:i/>
                <w:iCs/>
                <w:szCs w:val="22"/>
                <w:lang w:val="lt-LT"/>
              </w:rPr>
              <w:t>)</w:t>
            </w:r>
          </w:p>
        </w:tc>
        <w:tc>
          <w:tcPr>
            <w:tcW w:w="1800" w:type="pct"/>
            <w:gridSpan w:val="2"/>
            <w:shd w:val="clear" w:color="auto" w:fill="auto"/>
            <w:vAlign w:val="center"/>
          </w:tcPr>
          <w:p w14:paraId="67E345A2" w14:textId="77777777" w:rsidR="0080416E" w:rsidRPr="00FF397D" w:rsidRDefault="0080416E" w:rsidP="00E804EE">
            <w:pPr>
              <w:keepNext/>
              <w:spacing w:line="240" w:lineRule="auto"/>
              <w:ind w:left="-83" w:right="-54"/>
              <w:jc w:val="center"/>
              <w:rPr>
                <w:szCs w:val="22"/>
                <w:lang w:val="lt-LT"/>
              </w:rPr>
            </w:pPr>
            <w:r w:rsidRPr="00FF397D">
              <w:rPr>
                <w:szCs w:val="22"/>
                <w:lang w:val="lt-LT"/>
              </w:rPr>
              <w:t>69 %, (59 %; 77 %)</w:t>
            </w:r>
            <w:r w:rsidRPr="00FF397D">
              <w:rPr>
                <w:rFonts w:ascii="Cambria Math" w:hAnsi="Cambria Math" w:cs="Cambria Math"/>
                <w:szCs w:val="22"/>
                <w:vertAlign w:val="superscript"/>
                <w:lang w:val="lt-LT"/>
              </w:rPr>
              <w:t>∗∗∗∗</w:t>
            </w:r>
          </w:p>
        </w:tc>
        <w:tc>
          <w:tcPr>
            <w:tcW w:w="1638" w:type="pct"/>
            <w:gridSpan w:val="2"/>
            <w:vMerge/>
            <w:shd w:val="clear" w:color="auto" w:fill="auto"/>
          </w:tcPr>
          <w:p w14:paraId="14F34793" w14:textId="77777777" w:rsidR="0080416E" w:rsidRPr="00FF397D" w:rsidRDefault="0080416E" w:rsidP="00E804EE">
            <w:pPr>
              <w:spacing w:line="240" w:lineRule="auto"/>
              <w:ind w:left="59"/>
              <w:rPr>
                <w:szCs w:val="22"/>
                <w:lang w:val="lt-LT"/>
              </w:rPr>
            </w:pPr>
          </w:p>
        </w:tc>
      </w:tr>
    </w:tbl>
    <w:p w14:paraId="24D605EC" w14:textId="77777777" w:rsidR="0080416E" w:rsidRPr="00FF397D" w:rsidRDefault="0080416E" w:rsidP="0080416E">
      <w:pPr>
        <w:keepLines/>
        <w:spacing w:line="240" w:lineRule="auto"/>
        <w:rPr>
          <w:szCs w:val="22"/>
          <w:vertAlign w:val="superscript"/>
          <w:lang w:val="lt-LT"/>
        </w:rPr>
      </w:pPr>
    </w:p>
    <w:p w14:paraId="41ADF744" w14:textId="77777777" w:rsidR="0080416E" w:rsidRPr="00FF397D" w:rsidRDefault="0080416E" w:rsidP="0080416E">
      <w:pPr>
        <w:keepLines/>
        <w:spacing w:line="240" w:lineRule="auto"/>
        <w:rPr>
          <w:szCs w:val="22"/>
          <w:lang w:val="lt-LT"/>
        </w:rPr>
      </w:pPr>
      <w:r w:rsidRPr="00FF397D">
        <w:rPr>
          <w:rFonts w:ascii="Cambria Math" w:hAnsi="Cambria Math" w:cs="Cambria Math"/>
          <w:szCs w:val="22"/>
          <w:vertAlign w:val="superscript"/>
          <w:lang w:val="lt-LT"/>
        </w:rPr>
        <w:t>∗∗∗∗</w:t>
      </w:r>
      <w:r w:rsidRPr="00FF397D">
        <w:rPr>
          <w:szCs w:val="22"/>
          <w:lang w:val="lt-LT"/>
        </w:rPr>
        <w:t xml:space="preserve">p&lt;0,0001 </w:t>
      </w:r>
      <w:r w:rsidRPr="00FF397D">
        <w:rPr>
          <w:rFonts w:ascii="Cambria Math" w:hAnsi="Cambria Math" w:cs="Cambria Math"/>
          <w:szCs w:val="22"/>
          <w:vertAlign w:val="superscript"/>
          <w:lang w:val="lt-LT"/>
        </w:rPr>
        <w:t>∗∗∗</w:t>
      </w:r>
      <w:r w:rsidRPr="00FF397D">
        <w:rPr>
          <w:szCs w:val="22"/>
          <w:lang w:val="lt-LT"/>
        </w:rPr>
        <w:t xml:space="preserve"> p&lt;0,001 </w:t>
      </w:r>
      <w:r w:rsidRPr="00FF397D">
        <w:rPr>
          <w:rFonts w:ascii="Cambria Math" w:hAnsi="Cambria Math" w:cs="Cambria Math"/>
          <w:szCs w:val="22"/>
          <w:vertAlign w:val="superscript"/>
          <w:lang w:val="lt-LT"/>
        </w:rPr>
        <w:t>∗∗</w:t>
      </w:r>
      <w:r w:rsidRPr="00FF397D">
        <w:rPr>
          <w:szCs w:val="22"/>
          <w:lang w:val="lt-LT"/>
        </w:rPr>
        <w:t xml:space="preserve"> p&lt;0,01 </w:t>
      </w:r>
      <w:r w:rsidRPr="00FF397D">
        <w:rPr>
          <w:rFonts w:ascii="Cambria Math" w:hAnsi="Cambria Math" w:cs="Cambria Math"/>
          <w:szCs w:val="22"/>
          <w:vertAlign w:val="superscript"/>
          <w:lang w:val="lt-LT"/>
        </w:rPr>
        <w:t>∗</w:t>
      </w:r>
      <w:r w:rsidRPr="00FF397D">
        <w:rPr>
          <w:szCs w:val="22"/>
          <w:lang w:val="lt-LT"/>
        </w:rPr>
        <w:t xml:space="preserve"> p&lt;0,05 palyginti su placebo poveikiu.</w:t>
      </w:r>
    </w:p>
    <w:p w14:paraId="49F3BEF3" w14:textId="77777777" w:rsidR="0080416E" w:rsidRPr="00FF397D" w:rsidRDefault="0080416E" w:rsidP="0080416E">
      <w:pPr>
        <w:keepLines/>
        <w:spacing w:line="240" w:lineRule="auto"/>
        <w:rPr>
          <w:szCs w:val="22"/>
          <w:lang w:val="lt-LT"/>
        </w:rPr>
      </w:pPr>
      <w:r w:rsidRPr="00FF397D">
        <w:rPr>
          <w:szCs w:val="22"/>
          <w:lang w:val="lt-LT"/>
        </w:rPr>
        <w:t xml:space="preserve">(1) BOD (angl., </w:t>
      </w:r>
      <w:r w:rsidRPr="00FF397D">
        <w:rPr>
          <w:i/>
          <w:iCs/>
          <w:szCs w:val="22"/>
          <w:lang w:val="lt-LT"/>
        </w:rPr>
        <w:t>burden of disease [BOD]</w:t>
      </w:r>
      <w:r w:rsidRPr="00FF397D">
        <w:rPr>
          <w:szCs w:val="22"/>
          <w:lang w:val="lt-LT"/>
        </w:rPr>
        <w:t>): ligos našta visa pažeidimo apimtis (T2 ir T1 hipointensyvūs) vertinant ml.</w:t>
      </w:r>
    </w:p>
    <w:p w14:paraId="26F1428D"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p w14:paraId="1092DFA3" w14:textId="77777777" w:rsidR="0080416E" w:rsidRPr="00FF397D" w:rsidRDefault="0080416E" w:rsidP="0080416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Veiksmingumas pacientams, kurių ligos aktyvumas didelis:</w:t>
      </w:r>
    </w:p>
    <w:p w14:paraId="6D9A1D78"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TEMSO tyrimo metu pacientų, kurių ligos aktyvumas buvo didelis, pogrupyje (n = 127) pasireiškė nuoseklus atkryčius retinantis ir laiką iki 3 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gadolinį (Gd) kaupiančių pažeidimų. Panašios pogrupių analizės TOWER tyrimo metu neatlikta, kadangi nebuvo gauta MRT duomenų. Duomenų apie pacientus, kurie nereagavo į visą ir tinkamai atliktą gydymo beta interferonu kursą (paprastai mažiausiai vienerius metus trunkantį gydymą), kuriems ankstesniais metais gydymo laikotarpiu buvo bent 1 atkrytis ir kuriems buvo mažiausiai 9 T2</w:t>
      </w:r>
      <w:r w:rsidRPr="00FF397D">
        <w:rPr>
          <w:rFonts w:eastAsia="Calibri"/>
          <w:szCs w:val="22"/>
          <w:lang w:val="lt-LT"/>
        </w:rPr>
        <w:noBreakHyphen/>
        <w:t>hiperintensyvūs pažeidimai, nustatyti galvos MRT metu, arba bent vienas 1 Gd kaupiantis pažeidimas, arba pacientus, kuriems paskutiniais metais atkryčių dažnis nepakito ar padidėjo, palyginti su 2 ankstesnių metų laikotarpių, nėra.</w:t>
      </w:r>
    </w:p>
    <w:p w14:paraId="4C6979B5"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056EEB00"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 xml:space="preserve">TOPIC buvo dvigubai koduotas, placebu kontroliuojamas tyrimas; jo metu tirtas kartą per parą iki 108 savaičių vartojamų 7 mg ir 14 mg teriflunomido dozių poveikis pacientams, kuriems pasireiškė </w:t>
      </w:r>
      <w:r w:rsidRPr="00FF397D">
        <w:rPr>
          <w:rFonts w:eastAsia="Calibri"/>
          <w:szCs w:val="22"/>
          <w:lang w:val="lt-LT"/>
        </w:rPr>
        <w:lastRenderedPageBreak/>
        <w:t>pirmasis klinikinis su demielinizacija susijęs reiškinys (vidutinis amžius – 32,1 metų). Pagrindinė vertinamoji baigtis buvo laikas iki antrojo klinikinio epizodo (atkryčio). Iš viso 618 pacientų buvo suskirstyti į atsitiktines imtis ir vartojo 7 mg (n = 205) arba 14 mg (n = 216) teriflunomido dozę arba placebo (n = 197). Antrojo klinikinio priepuolio rizika 2 metų laikotarpiu buvo 35,9 % placebo vartojusiųjų grupėje ir 24,0 % 14 mg teriflunomido dozę vartojusių grupėje (rizikos santykis: 0,57, 95 % pasikliautinieji intervalai: 0,38-0,87, p = 0,0087). TOPIC tyrimo rezultatai patvirtino teriflunomido veiksmingumą gydant recidyvuojančią remituojančią išsėtinę sklerozę (RRIS) (įskaitant ankstyvąją RRIS, pasireiškusią pirmuoju klinikiniu su demielinizacija susijusiu reiškiniu, bei MRT nustatomus išplitusius įvairios lokalizacijos ir atsiradusius įvairiu laiku pažeidimus).</w:t>
      </w:r>
    </w:p>
    <w:p w14:paraId="0B3A151A"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4E483F77"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Teriflunomido veiksmingumas buvo palygintas su po oda leidžiamo beta</w:t>
      </w:r>
      <w:r w:rsidRPr="00FF397D">
        <w:rPr>
          <w:rFonts w:eastAsia="Calibri"/>
          <w:szCs w:val="22"/>
          <w:lang w:val="lt-LT"/>
        </w:rPr>
        <w:noBreakHyphen/>
        <w:t>1a interferono veiksmingumu (vartojant rekomenduojamą 44 μg dozę tris kartus per savaitę) 324 atsitiktine tvarka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gydymą, skaičius teriflunomido 14 mg dozę vartojusiųjų grupėje buvo 22 iš 111 (19,8 %), nutraukimo priežastys buvo nepageidaujami reiškiniai (10,8 %), veiksmingumo nebuvimas (3,6 %), kitos priežastys (4,5 %) ir stebėjimo nutrūkimas (0,9 %). Pacientų, kurie visam laikui nutraukė gydymą, skaičius beta</w:t>
      </w:r>
      <w:r w:rsidRPr="00FF397D">
        <w:rPr>
          <w:rFonts w:eastAsia="Calibri"/>
          <w:szCs w:val="22"/>
          <w:lang w:val="lt-LT"/>
        </w:rPr>
        <w:noBreakHyphen/>
        <w:t>1a interferoną po oda vartojusiųjų grupėje buvo 30 iš 104 (28,8 %), nutraukimo priežastys buvo nepageidaujami reiškiniai (21,2 %), veiksmingumo nebuvimas (1,9 %), kitos priežastys (4,8 %) ir blogas protokolo nurodymų laikymasis (1 %). Po 14 mg/parą vartojamas teriflunomidas nebuvo pranašesnis už beta</w:t>
      </w:r>
      <w:r w:rsidRPr="00FF397D">
        <w:rPr>
          <w:rFonts w:eastAsia="Calibri"/>
          <w:szCs w:val="22"/>
          <w:lang w:val="lt-LT"/>
        </w:rPr>
        <w:noBreakHyphen/>
        <w:t>1a interferoną pagal pagrindinę vertinamąją baigtį: pagal Kaplan-Meier metodą apskaičiuotas nesėkmingai 96 savaites gydytų pacientų procentinė dalis buvo 41,1 % palyginti su 44,4 % (14 mg teriflunomido, palyginti su beta</w:t>
      </w:r>
      <w:r w:rsidRPr="00FF397D">
        <w:rPr>
          <w:rFonts w:eastAsia="Calibri"/>
          <w:szCs w:val="22"/>
          <w:lang w:val="lt-LT"/>
        </w:rPr>
        <w:noBreakHyphen/>
        <w:t>1a interferono grupe, p = 0,595).</w:t>
      </w:r>
    </w:p>
    <w:p w14:paraId="44B79AD6"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52BBDF14" w14:textId="77777777" w:rsidR="0080416E" w:rsidRPr="00FF397D" w:rsidRDefault="0080416E" w:rsidP="0080416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u w:val="single"/>
          <w:lang w:val="lt-LT"/>
        </w:rPr>
      </w:pPr>
      <w:r w:rsidRPr="00FF397D">
        <w:rPr>
          <w:rFonts w:eastAsia="Calibri"/>
          <w:szCs w:val="22"/>
          <w:u w:val="single"/>
          <w:lang w:val="lt-LT"/>
        </w:rPr>
        <w:t>Vaikų populiacija</w:t>
      </w:r>
    </w:p>
    <w:p w14:paraId="0C69EC38" w14:textId="77777777" w:rsidR="0080416E" w:rsidRPr="00FF397D" w:rsidRDefault="0080416E" w:rsidP="0080416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u w:val="single"/>
          <w:lang w:val="lt-LT"/>
        </w:rPr>
      </w:pPr>
    </w:p>
    <w:p w14:paraId="5697CDAD" w14:textId="77777777" w:rsidR="0080416E" w:rsidRPr="00FF397D" w:rsidRDefault="0080416E" w:rsidP="0080416E">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i/>
          <w:iCs/>
          <w:szCs w:val="22"/>
          <w:lang w:val="lt-LT"/>
        </w:rPr>
      </w:pPr>
      <w:r w:rsidRPr="00FF397D">
        <w:rPr>
          <w:rFonts w:eastAsia="Calibri"/>
          <w:i/>
          <w:iCs/>
          <w:szCs w:val="22"/>
          <w:lang w:val="lt-LT"/>
        </w:rPr>
        <w:t>Vaikai ir paaugliai (10-17 metų amžiaus)</w:t>
      </w:r>
    </w:p>
    <w:p w14:paraId="18BA3B91"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Tyrimas EFC11759/TERIKIDS buvo tarptautinis dvigubai koduotas, placebu kontroliuotas tyrimas, kuriame dalyvavo recidyvuojančia remituojančia IS sergantys 10-17 metų vaikai ir kurio metu vertintas kartą per parą vartojamo teriflunomido dozių (koreguotų, kad būtų pasiekta ekspozicija, atitinkanti būnančią vartojant 14 mg dozę suaugusiesiems) poveikis laikotarpiu iki 96 savaičių ir tolesnio atviro pratęsimo metu. Visi pacientai buvo patyrę bent 1 atkrytį 1 metų laikotarpiu arba bent 2 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dvejuose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14:paraId="3B8BFBB9"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0444BE14"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 xml:space="preserve">Iš viso 166 pacientai buvo priskirti atsitiktinėms imtims santykiu 2:1 ir vartojo teriflunomidą (n = 109) arba placebą (n = 57). Įtraukimo į tyrimą metu pacientų </w:t>
      </w:r>
      <w:r w:rsidRPr="00FF397D">
        <w:rPr>
          <w:rFonts w:eastAsia="Calibri"/>
          <w:i/>
          <w:iCs/>
          <w:szCs w:val="22"/>
          <w:lang w:val="lt-LT"/>
        </w:rPr>
        <w:t>EDSS</w:t>
      </w:r>
      <w:r w:rsidRPr="00FF397D">
        <w:rPr>
          <w:rFonts w:eastAsia="Calibri"/>
          <w:szCs w:val="22"/>
          <w:lang w:val="lt-LT"/>
        </w:rPr>
        <w:t xml:space="preserve"> įvertinimas buvo ≤ 5,5; vidutinis amžius buvo 14,6 metų; vidutinis kūno svoris buvo 58,1 kg; vidutinė ligos trukmė nuo diagnozės nustatymo buvo 1,4 metų; tyrimo pradžioje vidutinis T1 Gd kaupiančių pažeidimų skaičius MRT tyrime buvo 3,9 pažeidimo. Visi pacientai sirgo recidyvuojančia remituojančia IS, </w:t>
      </w:r>
      <w:r w:rsidRPr="00FF397D">
        <w:rPr>
          <w:rFonts w:eastAsia="Calibri"/>
          <w:i/>
          <w:iCs/>
          <w:szCs w:val="22"/>
          <w:lang w:val="lt-LT"/>
        </w:rPr>
        <w:t>EDSS</w:t>
      </w:r>
      <w:r w:rsidRPr="00FF397D">
        <w:rPr>
          <w:rFonts w:eastAsia="Calibri"/>
          <w:szCs w:val="22"/>
          <w:lang w:val="lt-LT"/>
        </w:rPr>
        <w:t xml:space="preserve"> įvertinimo mediana tyrimo pradžioje buvo 1,5. Vidutinė gydymo trukmė buvo 362 dienos (kai vartota placebo) ir 488 dienos (kai vartota teriflunomido). Perėjimas nuo dvigubai koduoto laikotarpio į nekoduotą gydymą dėl didelio MRT aktyvumo įvyko dažniau nei tikėtasi, ir dažniau bei anksčiau įvyko placebo grupėje, palyginti su teriflunomido grupe (26 % placebo grupėje, 13 % teriflunomido grupėje).</w:t>
      </w:r>
    </w:p>
    <w:p w14:paraId="5C3CBEE2"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p>
    <w:p w14:paraId="2173D818"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 xml:space="preserve">Teriflunomidas, palyginti su placebu, sumažino klinikinio atkryčio riziką 34 %, statistiškai reikšmingas skirtumas pasiektas nebuvo (p = 0,29) (2 lentelė). Atlikus iš anksto numatytą jautrumo analizę, nustatyta, kad vartojant teriflunomido, palyginti su placebu, pasiektas statistiškai reikšmingas </w:t>
      </w:r>
      <w:r w:rsidRPr="00FF397D">
        <w:rPr>
          <w:rFonts w:eastAsia="Calibri"/>
          <w:szCs w:val="22"/>
          <w:lang w:val="lt-LT"/>
        </w:rPr>
        <w:lastRenderedPageBreak/>
        <w:t>kombinuotos klinikinio atkryčio ar didelio MRT aktyvumo rizikos sumažėjimas 43 % (p = 0,04) (2 lentelė).</w:t>
      </w:r>
    </w:p>
    <w:p w14:paraId="7435CB16"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4EBCF7F0"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szCs w:val="22"/>
          <w:lang w:val="lt-LT"/>
        </w:rPr>
      </w:pPr>
      <w:r w:rsidRPr="00FF397D">
        <w:rPr>
          <w:rFonts w:eastAsia="Calibri"/>
          <w:szCs w:val="22"/>
          <w:lang w:val="lt-LT"/>
        </w:rPr>
        <w:t>Teriflunomidas reikšmingai sumažino naujų ir padidėjusių T2 pažeidimų skaičių, nustatytą MRT tyrimu, 55 % (p = 0,0006) (</w:t>
      </w:r>
      <w:r w:rsidRPr="00FF397D">
        <w:rPr>
          <w:rFonts w:eastAsia="Calibri"/>
          <w:i/>
          <w:iCs/>
          <w:szCs w:val="22"/>
          <w:lang w:val="lt-LT"/>
        </w:rPr>
        <w:t>post-hoc</w:t>
      </w:r>
      <w:r w:rsidRPr="00FF397D">
        <w:rPr>
          <w:rFonts w:eastAsia="Calibri"/>
          <w:szCs w:val="22"/>
          <w:lang w:val="lt-LT"/>
        </w:rPr>
        <w:t xml:space="preserve"> analizė buvo koreguota ir pagal pradinį T2 pažeidimų skaičių: 34 %, p = 0,0446) ir gadolinį kaupiančių T1 pažeidimų skaičių, nustatytą MRT tyrimu, 75 % (p &lt; 0,0001) (2 lentelė).</w:t>
      </w:r>
    </w:p>
    <w:p w14:paraId="42809039"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szCs w:val="22"/>
          <w:lang w:val="lt-LT"/>
        </w:rPr>
      </w:pPr>
    </w:p>
    <w:p w14:paraId="5929B2F9"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b/>
          <w:bCs/>
          <w:szCs w:val="22"/>
          <w:lang w:val="lt-LT"/>
        </w:rPr>
      </w:pPr>
      <w:r w:rsidRPr="00FF397D">
        <w:rPr>
          <w:rFonts w:eastAsia="Calibri"/>
          <w:b/>
          <w:bCs/>
          <w:szCs w:val="22"/>
          <w:lang w:val="lt-LT"/>
        </w:rPr>
        <w:t>2 lentelė. EFC11759/TERIKIDS klinikiniai ir MRT rezultatai</w:t>
      </w:r>
    </w:p>
    <w:p w14:paraId="2FC3D340"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843"/>
        <w:gridCol w:w="1977"/>
      </w:tblGrid>
      <w:tr w:rsidR="0080416E" w:rsidRPr="00FF397D" w14:paraId="12CA0182" w14:textId="77777777" w:rsidTr="00E804EE">
        <w:trPr>
          <w:tblHeader/>
        </w:trPr>
        <w:tc>
          <w:tcPr>
            <w:tcW w:w="2892" w:type="pct"/>
            <w:shd w:val="clear" w:color="auto" w:fill="auto"/>
            <w:vAlign w:val="center"/>
          </w:tcPr>
          <w:p w14:paraId="068BFB18" w14:textId="77777777" w:rsidR="0080416E" w:rsidRPr="00FF397D" w:rsidRDefault="0080416E" w:rsidP="00E804EE">
            <w:pPr>
              <w:spacing w:line="240" w:lineRule="auto"/>
              <w:jc w:val="center"/>
              <w:rPr>
                <w:b/>
                <w:szCs w:val="22"/>
                <w:lang w:val="lt-LT"/>
              </w:rPr>
            </w:pPr>
            <w:r w:rsidRPr="00FF397D">
              <w:rPr>
                <w:b/>
                <w:szCs w:val="22"/>
                <w:lang w:val="lt-LT"/>
              </w:rPr>
              <w:t>EFC11759 ITT populiacija</w:t>
            </w:r>
          </w:p>
        </w:tc>
        <w:tc>
          <w:tcPr>
            <w:tcW w:w="1017" w:type="pct"/>
            <w:shd w:val="clear" w:color="auto" w:fill="auto"/>
            <w:vAlign w:val="center"/>
          </w:tcPr>
          <w:p w14:paraId="432C8E14" w14:textId="77777777" w:rsidR="0080416E" w:rsidRPr="00FF397D" w:rsidRDefault="0080416E" w:rsidP="00E804EE">
            <w:pPr>
              <w:spacing w:line="240" w:lineRule="auto"/>
              <w:jc w:val="center"/>
              <w:rPr>
                <w:b/>
                <w:szCs w:val="22"/>
                <w:lang w:val="lt-LT"/>
              </w:rPr>
            </w:pPr>
            <w:r w:rsidRPr="00FF397D">
              <w:rPr>
                <w:b/>
                <w:szCs w:val="22"/>
                <w:lang w:val="lt-LT"/>
              </w:rPr>
              <w:t>Teriflunomidas</w:t>
            </w:r>
          </w:p>
          <w:p w14:paraId="1F535E40" w14:textId="77777777" w:rsidR="0080416E" w:rsidRPr="00FF397D" w:rsidRDefault="0080416E" w:rsidP="00E804EE">
            <w:pPr>
              <w:spacing w:line="240" w:lineRule="auto"/>
              <w:jc w:val="center"/>
              <w:rPr>
                <w:b/>
                <w:szCs w:val="22"/>
                <w:lang w:val="lt-LT"/>
              </w:rPr>
            </w:pPr>
            <w:r w:rsidRPr="00FF397D">
              <w:rPr>
                <w:b/>
                <w:szCs w:val="22"/>
                <w:lang w:val="lt-LT"/>
              </w:rPr>
              <w:t>(n = 109)</w:t>
            </w:r>
          </w:p>
        </w:tc>
        <w:tc>
          <w:tcPr>
            <w:tcW w:w="1091" w:type="pct"/>
            <w:shd w:val="clear" w:color="auto" w:fill="auto"/>
            <w:vAlign w:val="center"/>
          </w:tcPr>
          <w:p w14:paraId="5C536D94" w14:textId="77777777" w:rsidR="0080416E" w:rsidRPr="00FF397D" w:rsidRDefault="0080416E" w:rsidP="00E804EE">
            <w:pPr>
              <w:spacing w:line="240" w:lineRule="auto"/>
              <w:jc w:val="center"/>
              <w:rPr>
                <w:b/>
                <w:szCs w:val="22"/>
                <w:lang w:val="lt-LT"/>
              </w:rPr>
            </w:pPr>
            <w:r w:rsidRPr="00FF397D">
              <w:rPr>
                <w:b/>
                <w:szCs w:val="22"/>
                <w:lang w:val="lt-LT"/>
              </w:rPr>
              <w:t>Placebas</w:t>
            </w:r>
          </w:p>
          <w:p w14:paraId="079FA6AD" w14:textId="77777777" w:rsidR="0080416E" w:rsidRPr="00FF397D" w:rsidRDefault="0080416E" w:rsidP="00E804EE">
            <w:pPr>
              <w:spacing w:line="240" w:lineRule="auto"/>
              <w:jc w:val="center"/>
              <w:rPr>
                <w:b/>
                <w:szCs w:val="22"/>
                <w:lang w:val="lt-LT"/>
              </w:rPr>
            </w:pPr>
            <w:r w:rsidRPr="00FF397D">
              <w:rPr>
                <w:b/>
                <w:szCs w:val="22"/>
                <w:lang w:val="lt-LT"/>
              </w:rPr>
              <w:t>(n = 57)</w:t>
            </w:r>
          </w:p>
        </w:tc>
      </w:tr>
      <w:tr w:rsidR="0080416E" w:rsidRPr="00FF397D" w14:paraId="60AAD70D" w14:textId="77777777" w:rsidTr="00E804EE">
        <w:trPr>
          <w:trHeight w:val="549"/>
        </w:trPr>
        <w:tc>
          <w:tcPr>
            <w:tcW w:w="5000" w:type="pct"/>
            <w:gridSpan w:val="3"/>
            <w:shd w:val="clear" w:color="auto" w:fill="auto"/>
            <w:vAlign w:val="center"/>
          </w:tcPr>
          <w:p w14:paraId="6AA896B7" w14:textId="77777777" w:rsidR="0080416E" w:rsidRPr="00FF397D" w:rsidRDefault="0080416E" w:rsidP="00E804EE">
            <w:pPr>
              <w:spacing w:line="240" w:lineRule="auto"/>
              <w:ind w:left="1451"/>
              <w:rPr>
                <w:b/>
                <w:szCs w:val="22"/>
                <w:lang w:val="lt-LT"/>
              </w:rPr>
            </w:pPr>
            <w:r w:rsidRPr="00FF397D">
              <w:rPr>
                <w:b/>
                <w:szCs w:val="22"/>
                <w:lang w:val="lt-LT"/>
              </w:rPr>
              <w:t>Klinikinės vertinamosios baigtys</w:t>
            </w:r>
          </w:p>
        </w:tc>
      </w:tr>
      <w:tr w:rsidR="0080416E" w:rsidRPr="00FF397D" w14:paraId="06C0D1E4" w14:textId="77777777" w:rsidTr="00E804EE">
        <w:tc>
          <w:tcPr>
            <w:tcW w:w="2892" w:type="pct"/>
            <w:shd w:val="clear" w:color="auto" w:fill="auto"/>
            <w:vAlign w:val="center"/>
          </w:tcPr>
          <w:p w14:paraId="1508EF22" w14:textId="77777777" w:rsidR="0080416E" w:rsidRPr="00FF397D" w:rsidRDefault="0080416E" w:rsidP="00E804EE">
            <w:pPr>
              <w:spacing w:line="240" w:lineRule="auto"/>
              <w:rPr>
                <w:szCs w:val="22"/>
                <w:lang w:val="lt-LT"/>
              </w:rPr>
            </w:pPr>
            <w:r w:rsidRPr="00FF397D">
              <w:rPr>
                <w:szCs w:val="22"/>
                <w:lang w:val="lt-LT"/>
              </w:rPr>
              <w:t xml:space="preserve">Laikas iki pirmojo patvirtinto klinikinio atkryčio, Patvirtinto atkryčio tikimybė (95 % PI) 96 savaitę </w:t>
            </w:r>
            <w:r w:rsidRPr="00FF397D">
              <w:rPr>
                <w:i/>
                <w:iCs/>
                <w:szCs w:val="22"/>
                <w:lang w:val="lt-LT"/>
              </w:rPr>
              <w:t>Patvirtinto atkryčio tikimybė (95  % PI) 48 savaitę</w:t>
            </w:r>
          </w:p>
        </w:tc>
        <w:tc>
          <w:tcPr>
            <w:tcW w:w="1017" w:type="pct"/>
            <w:shd w:val="clear" w:color="auto" w:fill="auto"/>
            <w:vAlign w:val="center"/>
          </w:tcPr>
          <w:p w14:paraId="12CAA3ED" w14:textId="77777777" w:rsidR="0080416E" w:rsidRPr="00FF397D" w:rsidRDefault="0080416E" w:rsidP="00E804EE">
            <w:pPr>
              <w:spacing w:line="240" w:lineRule="auto"/>
              <w:rPr>
                <w:szCs w:val="22"/>
                <w:lang w:val="lt-LT"/>
              </w:rPr>
            </w:pPr>
          </w:p>
          <w:p w14:paraId="02FF73E6" w14:textId="77777777" w:rsidR="0080416E" w:rsidRPr="00FF397D" w:rsidRDefault="0080416E" w:rsidP="00E804EE">
            <w:pPr>
              <w:spacing w:line="240" w:lineRule="auto"/>
              <w:rPr>
                <w:szCs w:val="22"/>
                <w:lang w:val="lt-LT"/>
              </w:rPr>
            </w:pPr>
            <w:r w:rsidRPr="00FF397D">
              <w:rPr>
                <w:szCs w:val="22"/>
                <w:lang w:val="lt-LT"/>
              </w:rPr>
              <w:t>0,39 (0,29, 0,48)</w:t>
            </w:r>
          </w:p>
          <w:p w14:paraId="1D0DE5E5" w14:textId="77777777" w:rsidR="0080416E" w:rsidRPr="00FF397D" w:rsidRDefault="0080416E" w:rsidP="00E804EE">
            <w:pPr>
              <w:spacing w:line="240" w:lineRule="auto"/>
              <w:rPr>
                <w:b/>
                <w:i/>
                <w:szCs w:val="22"/>
                <w:lang w:val="lt-LT"/>
              </w:rPr>
            </w:pPr>
            <w:r w:rsidRPr="00FF397D">
              <w:rPr>
                <w:i/>
                <w:szCs w:val="22"/>
                <w:lang w:val="lt-LT"/>
              </w:rPr>
              <w:t>0,30 (0,21, 0,39)</w:t>
            </w:r>
          </w:p>
        </w:tc>
        <w:tc>
          <w:tcPr>
            <w:tcW w:w="1091" w:type="pct"/>
            <w:shd w:val="clear" w:color="auto" w:fill="auto"/>
            <w:vAlign w:val="center"/>
          </w:tcPr>
          <w:p w14:paraId="39394388" w14:textId="77777777" w:rsidR="0080416E" w:rsidRPr="00FF397D" w:rsidRDefault="0080416E" w:rsidP="00E804EE">
            <w:pPr>
              <w:spacing w:line="240" w:lineRule="auto"/>
              <w:rPr>
                <w:szCs w:val="22"/>
                <w:lang w:val="lt-LT"/>
              </w:rPr>
            </w:pPr>
          </w:p>
          <w:p w14:paraId="64E091DE" w14:textId="77777777" w:rsidR="0080416E" w:rsidRPr="00FF397D" w:rsidRDefault="0080416E" w:rsidP="00E804EE">
            <w:pPr>
              <w:spacing w:line="240" w:lineRule="auto"/>
              <w:rPr>
                <w:szCs w:val="22"/>
                <w:lang w:val="lt-LT"/>
              </w:rPr>
            </w:pPr>
            <w:r w:rsidRPr="00FF397D">
              <w:rPr>
                <w:szCs w:val="22"/>
                <w:lang w:val="lt-LT"/>
              </w:rPr>
              <w:t>0,53 (0,36, 0,68)</w:t>
            </w:r>
          </w:p>
          <w:p w14:paraId="1648ED35" w14:textId="77777777" w:rsidR="0080416E" w:rsidRPr="00FF397D" w:rsidRDefault="0080416E" w:rsidP="00E804EE">
            <w:pPr>
              <w:spacing w:line="240" w:lineRule="auto"/>
              <w:rPr>
                <w:i/>
                <w:szCs w:val="22"/>
                <w:lang w:val="lt-LT"/>
              </w:rPr>
            </w:pPr>
            <w:r w:rsidRPr="00FF397D">
              <w:rPr>
                <w:i/>
                <w:szCs w:val="22"/>
                <w:lang w:val="lt-LT"/>
              </w:rPr>
              <w:t>0,39 (0,30, 0,52)</w:t>
            </w:r>
          </w:p>
        </w:tc>
      </w:tr>
      <w:tr w:rsidR="0080416E" w:rsidRPr="00FF397D" w14:paraId="287C4ECC" w14:textId="77777777" w:rsidTr="00E804EE">
        <w:trPr>
          <w:trHeight w:val="355"/>
        </w:trPr>
        <w:tc>
          <w:tcPr>
            <w:tcW w:w="2892" w:type="pct"/>
            <w:shd w:val="clear" w:color="auto" w:fill="auto"/>
            <w:vAlign w:val="center"/>
          </w:tcPr>
          <w:p w14:paraId="2E40BDD1" w14:textId="77777777" w:rsidR="0080416E" w:rsidRPr="00FF397D" w:rsidRDefault="0080416E" w:rsidP="00E804EE">
            <w:pPr>
              <w:spacing w:line="240" w:lineRule="auto"/>
              <w:rPr>
                <w:szCs w:val="22"/>
                <w:lang w:val="lt-LT"/>
              </w:rPr>
            </w:pPr>
            <w:r w:rsidRPr="00FF397D">
              <w:rPr>
                <w:szCs w:val="22"/>
                <w:lang w:val="lt-LT"/>
              </w:rPr>
              <w:t>Rizikos santykis (95% PI)</w:t>
            </w:r>
          </w:p>
        </w:tc>
        <w:tc>
          <w:tcPr>
            <w:tcW w:w="2108" w:type="pct"/>
            <w:gridSpan w:val="2"/>
            <w:shd w:val="clear" w:color="auto" w:fill="auto"/>
            <w:vAlign w:val="center"/>
          </w:tcPr>
          <w:p w14:paraId="04BED84A" w14:textId="77777777" w:rsidR="0080416E" w:rsidRPr="00FF397D" w:rsidRDefault="0080416E" w:rsidP="00E804EE">
            <w:pPr>
              <w:spacing w:line="240" w:lineRule="auto"/>
              <w:jc w:val="center"/>
              <w:rPr>
                <w:szCs w:val="22"/>
                <w:lang w:val="lt-LT"/>
              </w:rPr>
            </w:pPr>
            <w:r w:rsidRPr="00FF397D">
              <w:rPr>
                <w:szCs w:val="22"/>
                <w:lang w:val="lt-LT"/>
              </w:rPr>
              <w:t>0,66 (0,39, 1,11)^</w:t>
            </w:r>
          </w:p>
        </w:tc>
      </w:tr>
      <w:tr w:rsidR="0080416E" w:rsidRPr="00FF397D" w14:paraId="684361EA" w14:textId="77777777" w:rsidTr="00E804EE">
        <w:tc>
          <w:tcPr>
            <w:tcW w:w="2892" w:type="pct"/>
            <w:shd w:val="clear" w:color="auto" w:fill="auto"/>
            <w:vAlign w:val="center"/>
          </w:tcPr>
          <w:p w14:paraId="43E7BFA0" w14:textId="77777777" w:rsidR="0080416E" w:rsidRPr="00FF397D" w:rsidRDefault="0080416E" w:rsidP="00E804EE">
            <w:pPr>
              <w:spacing w:line="240" w:lineRule="auto"/>
              <w:rPr>
                <w:szCs w:val="22"/>
                <w:lang w:val="lt-LT"/>
              </w:rPr>
            </w:pPr>
            <w:r w:rsidRPr="00FF397D">
              <w:rPr>
                <w:szCs w:val="22"/>
                <w:lang w:val="lt-LT"/>
              </w:rPr>
              <w:t>Laikas iki pirmojo patvirtinto klinikinio atkryčio ar didelio MRT aktyvumo,</w:t>
            </w:r>
          </w:p>
          <w:p w14:paraId="2CAF3CF6" w14:textId="77777777" w:rsidR="0080416E" w:rsidRPr="00FF397D" w:rsidRDefault="0080416E" w:rsidP="00E804EE">
            <w:pPr>
              <w:spacing w:line="240" w:lineRule="auto"/>
              <w:rPr>
                <w:szCs w:val="22"/>
                <w:lang w:val="lt-LT"/>
              </w:rPr>
            </w:pPr>
            <w:r w:rsidRPr="00FF397D">
              <w:rPr>
                <w:szCs w:val="22"/>
                <w:lang w:val="lt-LT"/>
              </w:rPr>
              <w:t>Patvirtinto atkryčio ar didelio MRT aktyvumo tikimybė (95 % PI) 96 savaitę</w:t>
            </w:r>
          </w:p>
          <w:p w14:paraId="59C2690E" w14:textId="77777777" w:rsidR="0080416E" w:rsidRPr="00FF397D" w:rsidRDefault="0080416E" w:rsidP="00E804EE">
            <w:pPr>
              <w:spacing w:line="240" w:lineRule="auto"/>
              <w:rPr>
                <w:i/>
                <w:iCs/>
                <w:szCs w:val="22"/>
                <w:lang w:val="lt-LT"/>
              </w:rPr>
            </w:pPr>
            <w:r w:rsidRPr="00FF397D">
              <w:rPr>
                <w:i/>
                <w:iCs/>
                <w:szCs w:val="22"/>
                <w:lang w:val="lt-LT"/>
              </w:rPr>
              <w:t>Patvirtinto atkryčio ar didelio MRT aktyvumo tikimybė (95 % PI) 48 savaitę</w:t>
            </w:r>
          </w:p>
        </w:tc>
        <w:tc>
          <w:tcPr>
            <w:tcW w:w="1017" w:type="pct"/>
            <w:shd w:val="clear" w:color="auto" w:fill="auto"/>
            <w:vAlign w:val="center"/>
          </w:tcPr>
          <w:p w14:paraId="12452710" w14:textId="77777777" w:rsidR="0080416E" w:rsidRPr="00FF397D" w:rsidRDefault="0080416E" w:rsidP="00E804EE">
            <w:pPr>
              <w:spacing w:line="240" w:lineRule="auto"/>
              <w:rPr>
                <w:szCs w:val="22"/>
                <w:lang w:val="lt-LT"/>
              </w:rPr>
            </w:pPr>
          </w:p>
          <w:p w14:paraId="01F856A6" w14:textId="77777777" w:rsidR="0080416E" w:rsidRPr="00FF397D" w:rsidRDefault="0080416E" w:rsidP="00E804EE">
            <w:pPr>
              <w:spacing w:line="240" w:lineRule="auto"/>
              <w:rPr>
                <w:szCs w:val="22"/>
                <w:lang w:val="lt-LT"/>
              </w:rPr>
            </w:pPr>
            <w:r w:rsidRPr="00FF397D">
              <w:rPr>
                <w:szCs w:val="22"/>
                <w:lang w:val="lt-LT"/>
              </w:rPr>
              <w:t>0,51 (0,41, 0,60)</w:t>
            </w:r>
          </w:p>
          <w:p w14:paraId="2F20DCDF" w14:textId="77777777" w:rsidR="0080416E" w:rsidRPr="00FF397D" w:rsidRDefault="0080416E" w:rsidP="00E804EE">
            <w:pPr>
              <w:spacing w:line="240" w:lineRule="auto"/>
              <w:rPr>
                <w:szCs w:val="22"/>
                <w:lang w:val="lt-LT"/>
              </w:rPr>
            </w:pPr>
          </w:p>
          <w:p w14:paraId="1AC62431" w14:textId="77777777" w:rsidR="0080416E" w:rsidRPr="00FF397D" w:rsidRDefault="0080416E" w:rsidP="00E804EE">
            <w:pPr>
              <w:spacing w:line="240" w:lineRule="auto"/>
              <w:rPr>
                <w:i/>
                <w:szCs w:val="22"/>
                <w:lang w:val="lt-LT"/>
              </w:rPr>
            </w:pPr>
            <w:r w:rsidRPr="00FF397D">
              <w:rPr>
                <w:i/>
                <w:szCs w:val="22"/>
                <w:lang w:val="lt-LT"/>
              </w:rPr>
              <w:t>0,38 (0,29, 0,47)</w:t>
            </w:r>
          </w:p>
        </w:tc>
        <w:tc>
          <w:tcPr>
            <w:tcW w:w="1091" w:type="pct"/>
            <w:shd w:val="clear" w:color="auto" w:fill="auto"/>
            <w:vAlign w:val="center"/>
          </w:tcPr>
          <w:p w14:paraId="3E6739BA" w14:textId="77777777" w:rsidR="0080416E" w:rsidRPr="00FF397D" w:rsidRDefault="0080416E" w:rsidP="00E804EE">
            <w:pPr>
              <w:spacing w:line="240" w:lineRule="auto"/>
              <w:rPr>
                <w:szCs w:val="22"/>
                <w:lang w:val="lt-LT"/>
              </w:rPr>
            </w:pPr>
          </w:p>
          <w:p w14:paraId="191E6AD1" w14:textId="77777777" w:rsidR="0080416E" w:rsidRPr="00FF397D" w:rsidRDefault="0080416E" w:rsidP="00E804EE">
            <w:pPr>
              <w:spacing w:line="240" w:lineRule="auto"/>
              <w:rPr>
                <w:szCs w:val="22"/>
                <w:lang w:val="lt-LT"/>
              </w:rPr>
            </w:pPr>
            <w:r w:rsidRPr="00FF397D">
              <w:rPr>
                <w:szCs w:val="22"/>
                <w:lang w:val="lt-LT"/>
              </w:rPr>
              <w:t>0,72 (0,58, 0,82)</w:t>
            </w:r>
          </w:p>
          <w:p w14:paraId="3EF48A06" w14:textId="77777777" w:rsidR="0080416E" w:rsidRPr="00FF397D" w:rsidRDefault="0080416E" w:rsidP="00E804EE">
            <w:pPr>
              <w:spacing w:line="240" w:lineRule="auto"/>
              <w:rPr>
                <w:szCs w:val="22"/>
                <w:lang w:val="lt-LT"/>
              </w:rPr>
            </w:pPr>
          </w:p>
          <w:p w14:paraId="465FE790" w14:textId="77777777" w:rsidR="0080416E" w:rsidRPr="00FF397D" w:rsidRDefault="0080416E" w:rsidP="00E804EE">
            <w:pPr>
              <w:spacing w:line="240" w:lineRule="auto"/>
              <w:rPr>
                <w:i/>
                <w:szCs w:val="22"/>
                <w:lang w:val="lt-LT"/>
              </w:rPr>
            </w:pPr>
            <w:r w:rsidRPr="00FF397D">
              <w:rPr>
                <w:i/>
                <w:szCs w:val="22"/>
                <w:lang w:val="lt-LT"/>
              </w:rPr>
              <w:t>0,56 (0,42, 0,68)</w:t>
            </w:r>
          </w:p>
        </w:tc>
      </w:tr>
      <w:tr w:rsidR="0080416E" w:rsidRPr="00FF397D" w14:paraId="4E2A193C" w14:textId="77777777" w:rsidTr="00E804EE">
        <w:trPr>
          <w:trHeight w:val="421"/>
        </w:trPr>
        <w:tc>
          <w:tcPr>
            <w:tcW w:w="2892" w:type="pct"/>
            <w:shd w:val="clear" w:color="auto" w:fill="auto"/>
            <w:vAlign w:val="center"/>
          </w:tcPr>
          <w:p w14:paraId="7C104FB5" w14:textId="77777777" w:rsidR="0080416E" w:rsidRPr="00FF397D" w:rsidRDefault="0080416E" w:rsidP="00E804EE">
            <w:pPr>
              <w:spacing w:line="240" w:lineRule="auto"/>
              <w:rPr>
                <w:szCs w:val="22"/>
                <w:lang w:val="lt-LT"/>
              </w:rPr>
            </w:pPr>
            <w:r w:rsidRPr="00FF397D">
              <w:rPr>
                <w:szCs w:val="22"/>
                <w:lang w:val="lt-LT"/>
              </w:rPr>
              <w:t>Rizikos santykis (95 % PI)</w:t>
            </w:r>
          </w:p>
        </w:tc>
        <w:tc>
          <w:tcPr>
            <w:tcW w:w="2108" w:type="pct"/>
            <w:gridSpan w:val="2"/>
            <w:shd w:val="clear" w:color="auto" w:fill="auto"/>
            <w:vAlign w:val="center"/>
          </w:tcPr>
          <w:p w14:paraId="18CEBCB5" w14:textId="77777777" w:rsidR="0080416E" w:rsidRPr="00FF397D" w:rsidRDefault="0080416E" w:rsidP="00E804EE">
            <w:pPr>
              <w:spacing w:line="240" w:lineRule="auto"/>
              <w:jc w:val="center"/>
              <w:rPr>
                <w:szCs w:val="22"/>
                <w:lang w:val="lt-LT"/>
              </w:rPr>
            </w:pPr>
            <w:r w:rsidRPr="00FF397D">
              <w:rPr>
                <w:szCs w:val="22"/>
                <w:lang w:val="lt-LT"/>
              </w:rPr>
              <w:t>0,57 (0,37, 0,87)*</w:t>
            </w:r>
          </w:p>
        </w:tc>
      </w:tr>
      <w:tr w:rsidR="0080416E" w:rsidRPr="00FF397D" w14:paraId="4BF989F2" w14:textId="77777777" w:rsidTr="00E804EE">
        <w:trPr>
          <w:trHeight w:val="537"/>
        </w:trPr>
        <w:tc>
          <w:tcPr>
            <w:tcW w:w="5000" w:type="pct"/>
            <w:gridSpan w:val="3"/>
            <w:shd w:val="clear" w:color="auto" w:fill="auto"/>
            <w:vAlign w:val="center"/>
          </w:tcPr>
          <w:p w14:paraId="4016F674" w14:textId="77777777" w:rsidR="0080416E" w:rsidRPr="00FF397D" w:rsidRDefault="0080416E" w:rsidP="00E804EE">
            <w:pPr>
              <w:spacing w:line="240" w:lineRule="auto"/>
              <w:ind w:left="1451"/>
              <w:rPr>
                <w:b/>
                <w:szCs w:val="22"/>
                <w:lang w:val="lt-LT"/>
              </w:rPr>
            </w:pPr>
            <w:r w:rsidRPr="00FF397D">
              <w:rPr>
                <w:b/>
                <w:szCs w:val="22"/>
                <w:lang w:val="lt-LT"/>
              </w:rPr>
              <w:t>Svarbiausios MRT baigtys</w:t>
            </w:r>
          </w:p>
        </w:tc>
      </w:tr>
      <w:tr w:rsidR="0080416E" w:rsidRPr="00FF397D" w14:paraId="21C2537A" w14:textId="77777777" w:rsidTr="00E804EE">
        <w:tc>
          <w:tcPr>
            <w:tcW w:w="2892" w:type="pct"/>
            <w:shd w:val="clear" w:color="auto" w:fill="auto"/>
            <w:vAlign w:val="center"/>
          </w:tcPr>
          <w:p w14:paraId="3F2DDF88" w14:textId="77777777" w:rsidR="0080416E" w:rsidRPr="00FF397D" w:rsidRDefault="0080416E" w:rsidP="00E804EE">
            <w:pPr>
              <w:spacing w:line="240" w:lineRule="auto"/>
              <w:rPr>
                <w:szCs w:val="22"/>
                <w:lang w:val="lt-LT"/>
              </w:rPr>
            </w:pPr>
            <w:r w:rsidRPr="00FF397D">
              <w:rPr>
                <w:szCs w:val="22"/>
                <w:lang w:val="lt-LT"/>
              </w:rPr>
              <w:t>Koreguotas naujų ar padidėjusių T2 pažeidimų skaičius,</w:t>
            </w:r>
          </w:p>
          <w:p w14:paraId="5DE53D58" w14:textId="77777777" w:rsidR="0080416E" w:rsidRPr="00FF397D" w:rsidRDefault="0080416E" w:rsidP="00E804EE">
            <w:pPr>
              <w:spacing w:line="240" w:lineRule="auto"/>
              <w:rPr>
                <w:szCs w:val="22"/>
                <w:lang w:val="lt-LT"/>
              </w:rPr>
            </w:pPr>
            <w:r w:rsidRPr="00FF397D">
              <w:rPr>
                <w:szCs w:val="22"/>
                <w:lang w:val="lt-LT"/>
              </w:rPr>
              <w:t>Įvertis (95 % PI)</w:t>
            </w:r>
          </w:p>
          <w:p w14:paraId="3E6F4A1C" w14:textId="77777777" w:rsidR="0080416E" w:rsidRPr="00FF397D" w:rsidRDefault="0080416E" w:rsidP="00E804EE">
            <w:pPr>
              <w:spacing w:line="240" w:lineRule="auto"/>
              <w:rPr>
                <w:i/>
                <w:iCs/>
                <w:szCs w:val="22"/>
                <w:lang w:val="lt-LT"/>
              </w:rPr>
            </w:pPr>
            <w:r w:rsidRPr="00FF397D">
              <w:rPr>
                <w:i/>
                <w:iCs/>
                <w:szCs w:val="22"/>
                <w:lang w:val="lt-LT"/>
              </w:rPr>
              <w:t>Įvertis (95 % PI), post-hoc analizė koreguota ir pagal pradinį T2 skaičių</w:t>
            </w:r>
          </w:p>
        </w:tc>
        <w:tc>
          <w:tcPr>
            <w:tcW w:w="1017" w:type="pct"/>
            <w:shd w:val="clear" w:color="auto" w:fill="auto"/>
            <w:vAlign w:val="center"/>
          </w:tcPr>
          <w:p w14:paraId="4E7AF8A6" w14:textId="77777777" w:rsidR="0080416E" w:rsidRPr="00FF397D" w:rsidRDefault="0080416E" w:rsidP="00E804EE">
            <w:pPr>
              <w:spacing w:line="240" w:lineRule="auto"/>
              <w:rPr>
                <w:szCs w:val="22"/>
                <w:lang w:val="lt-LT"/>
              </w:rPr>
            </w:pPr>
          </w:p>
          <w:p w14:paraId="5EA1E865" w14:textId="77777777" w:rsidR="0080416E" w:rsidRPr="00FF397D" w:rsidRDefault="0080416E" w:rsidP="00E804EE">
            <w:pPr>
              <w:spacing w:line="240" w:lineRule="auto"/>
              <w:rPr>
                <w:szCs w:val="22"/>
                <w:lang w:val="lt-LT"/>
              </w:rPr>
            </w:pPr>
            <w:r w:rsidRPr="00FF397D">
              <w:rPr>
                <w:szCs w:val="22"/>
                <w:lang w:val="lt-LT"/>
              </w:rPr>
              <w:t>4,74 (2,12, 10,57)</w:t>
            </w:r>
          </w:p>
          <w:p w14:paraId="045D60B5" w14:textId="77777777" w:rsidR="0080416E" w:rsidRPr="00FF397D" w:rsidRDefault="0080416E" w:rsidP="00E804EE">
            <w:pPr>
              <w:spacing w:line="240" w:lineRule="auto"/>
              <w:rPr>
                <w:szCs w:val="22"/>
                <w:lang w:val="lt-LT"/>
              </w:rPr>
            </w:pPr>
          </w:p>
          <w:p w14:paraId="0D53B674" w14:textId="77777777" w:rsidR="0080416E" w:rsidRPr="00FF397D" w:rsidRDefault="0080416E" w:rsidP="00E804EE">
            <w:pPr>
              <w:spacing w:line="240" w:lineRule="auto"/>
              <w:rPr>
                <w:i/>
                <w:szCs w:val="22"/>
                <w:lang w:val="lt-LT"/>
              </w:rPr>
            </w:pPr>
            <w:r w:rsidRPr="00FF397D">
              <w:rPr>
                <w:i/>
                <w:szCs w:val="22"/>
                <w:lang w:val="lt-LT"/>
              </w:rPr>
              <w:t>3,57 (1,97, 6,46)</w:t>
            </w:r>
          </w:p>
        </w:tc>
        <w:tc>
          <w:tcPr>
            <w:tcW w:w="1091" w:type="pct"/>
            <w:shd w:val="clear" w:color="auto" w:fill="auto"/>
            <w:vAlign w:val="center"/>
          </w:tcPr>
          <w:p w14:paraId="5F8B4A8B" w14:textId="77777777" w:rsidR="0080416E" w:rsidRPr="00FF397D" w:rsidRDefault="0080416E" w:rsidP="00E804EE">
            <w:pPr>
              <w:spacing w:line="240" w:lineRule="auto"/>
              <w:rPr>
                <w:szCs w:val="22"/>
                <w:lang w:val="lt-LT"/>
              </w:rPr>
            </w:pPr>
          </w:p>
          <w:p w14:paraId="7DB79E7E" w14:textId="77777777" w:rsidR="0080416E" w:rsidRPr="00FF397D" w:rsidRDefault="0080416E" w:rsidP="00E804EE">
            <w:pPr>
              <w:spacing w:line="240" w:lineRule="auto"/>
              <w:rPr>
                <w:szCs w:val="22"/>
                <w:lang w:val="lt-LT"/>
              </w:rPr>
            </w:pPr>
            <w:r w:rsidRPr="00FF397D">
              <w:rPr>
                <w:szCs w:val="22"/>
                <w:lang w:val="lt-LT"/>
              </w:rPr>
              <w:t>10,52 (4,71, 23,50)</w:t>
            </w:r>
          </w:p>
          <w:p w14:paraId="08484C7A" w14:textId="77777777" w:rsidR="0080416E" w:rsidRPr="00FF397D" w:rsidRDefault="0080416E" w:rsidP="00E804EE">
            <w:pPr>
              <w:spacing w:line="240" w:lineRule="auto"/>
              <w:rPr>
                <w:szCs w:val="22"/>
                <w:lang w:val="lt-LT"/>
              </w:rPr>
            </w:pPr>
          </w:p>
          <w:p w14:paraId="58AA8BCE" w14:textId="77777777" w:rsidR="0080416E" w:rsidRPr="00FF397D" w:rsidRDefault="0080416E" w:rsidP="00E804EE">
            <w:pPr>
              <w:spacing w:line="240" w:lineRule="auto"/>
              <w:rPr>
                <w:i/>
                <w:szCs w:val="22"/>
                <w:lang w:val="lt-LT"/>
              </w:rPr>
            </w:pPr>
            <w:r w:rsidRPr="00FF397D">
              <w:rPr>
                <w:i/>
                <w:szCs w:val="22"/>
                <w:lang w:val="lt-LT"/>
              </w:rPr>
              <w:t>5,37 (2,.84, 10,16)</w:t>
            </w:r>
          </w:p>
        </w:tc>
      </w:tr>
      <w:tr w:rsidR="0080416E" w:rsidRPr="00FF397D" w14:paraId="5B40F6DF" w14:textId="77777777" w:rsidTr="00E804EE">
        <w:tc>
          <w:tcPr>
            <w:tcW w:w="2892" w:type="pct"/>
            <w:shd w:val="clear" w:color="auto" w:fill="auto"/>
            <w:vAlign w:val="center"/>
          </w:tcPr>
          <w:p w14:paraId="3709298A" w14:textId="77777777" w:rsidR="0080416E" w:rsidRPr="00FF397D" w:rsidRDefault="0080416E" w:rsidP="00E804EE">
            <w:pPr>
              <w:spacing w:line="240" w:lineRule="auto"/>
              <w:rPr>
                <w:szCs w:val="22"/>
                <w:lang w:val="lt-LT"/>
              </w:rPr>
            </w:pPr>
            <w:r w:rsidRPr="00FF397D">
              <w:rPr>
                <w:szCs w:val="22"/>
                <w:lang w:val="lt-LT"/>
              </w:rPr>
              <w:t>Santykinė rizika (95 % PI)</w:t>
            </w:r>
          </w:p>
          <w:p w14:paraId="758B7224" w14:textId="77777777" w:rsidR="0080416E" w:rsidRPr="00FF397D" w:rsidRDefault="0080416E" w:rsidP="00E804EE">
            <w:pPr>
              <w:spacing w:line="240" w:lineRule="auto"/>
              <w:rPr>
                <w:i/>
                <w:iCs/>
                <w:szCs w:val="22"/>
                <w:lang w:val="lt-LT"/>
              </w:rPr>
            </w:pPr>
            <w:r w:rsidRPr="00FF397D">
              <w:rPr>
                <w:szCs w:val="22"/>
                <w:lang w:val="lt-LT"/>
              </w:rPr>
              <w:t xml:space="preserve">Santykinė rizika (95 % PI), </w:t>
            </w:r>
            <w:r w:rsidRPr="00FF397D">
              <w:rPr>
                <w:i/>
                <w:iCs/>
                <w:szCs w:val="22"/>
                <w:lang w:val="lt-LT"/>
              </w:rPr>
              <w:t>post-hoc koreguota ir pagal pradinį T2 skaičių</w:t>
            </w:r>
          </w:p>
        </w:tc>
        <w:tc>
          <w:tcPr>
            <w:tcW w:w="2108" w:type="pct"/>
            <w:gridSpan w:val="2"/>
            <w:shd w:val="clear" w:color="auto" w:fill="auto"/>
            <w:vAlign w:val="center"/>
          </w:tcPr>
          <w:p w14:paraId="01A6B536" w14:textId="77777777" w:rsidR="0080416E" w:rsidRPr="00FF397D" w:rsidRDefault="0080416E" w:rsidP="00E804EE">
            <w:pPr>
              <w:spacing w:line="240" w:lineRule="auto"/>
              <w:jc w:val="center"/>
              <w:rPr>
                <w:szCs w:val="22"/>
                <w:lang w:val="lt-LT"/>
              </w:rPr>
            </w:pPr>
            <w:r w:rsidRPr="00FF397D">
              <w:rPr>
                <w:szCs w:val="22"/>
                <w:lang w:val="lt-LT"/>
              </w:rPr>
              <w:t>0,45 (0,29, 0,71)**</w:t>
            </w:r>
          </w:p>
          <w:p w14:paraId="73827BE8" w14:textId="77777777" w:rsidR="0080416E" w:rsidRPr="00FF397D" w:rsidRDefault="0080416E" w:rsidP="00E804EE">
            <w:pPr>
              <w:spacing w:line="240" w:lineRule="auto"/>
              <w:rPr>
                <w:szCs w:val="22"/>
                <w:lang w:val="lt-LT"/>
              </w:rPr>
            </w:pPr>
          </w:p>
          <w:p w14:paraId="6FD86253" w14:textId="77777777" w:rsidR="0080416E" w:rsidRPr="00FF397D" w:rsidRDefault="0080416E" w:rsidP="00E804EE">
            <w:pPr>
              <w:spacing w:line="240" w:lineRule="auto"/>
              <w:jc w:val="center"/>
              <w:rPr>
                <w:i/>
                <w:szCs w:val="22"/>
                <w:lang w:val="lt-LT"/>
              </w:rPr>
            </w:pPr>
            <w:r w:rsidRPr="00FF397D">
              <w:rPr>
                <w:i/>
                <w:szCs w:val="22"/>
                <w:lang w:val="lt-LT"/>
              </w:rPr>
              <w:t>0,67 (0,45, 0,99)</w:t>
            </w:r>
            <w:r w:rsidRPr="00FF397D">
              <w:rPr>
                <w:szCs w:val="22"/>
                <w:lang w:val="lt-LT"/>
              </w:rPr>
              <w:t>*</w:t>
            </w:r>
          </w:p>
        </w:tc>
      </w:tr>
      <w:tr w:rsidR="0080416E" w:rsidRPr="00FF397D" w14:paraId="26923874" w14:textId="77777777" w:rsidTr="00E804EE">
        <w:tc>
          <w:tcPr>
            <w:tcW w:w="2892" w:type="pct"/>
            <w:shd w:val="clear" w:color="auto" w:fill="auto"/>
            <w:vAlign w:val="center"/>
          </w:tcPr>
          <w:p w14:paraId="664BB86E" w14:textId="77777777" w:rsidR="0080416E" w:rsidRPr="00FF397D" w:rsidRDefault="0080416E" w:rsidP="00E804EE">
            <w:pPr>
              <w:spacing w:line="240" w:lineRule="auto"/>
              <w:rPr>
                <w:szCs w:val="22"/>
                <w:lang w:val="lt-LT"/>
              </w:rPr>
            </w:pPr>
            <w:r w:rsidRPr="00FF397D">
              <w:rPr>
                <w:szCs w:val="22"/>
                <w:lang w:val="lt-LT"/>
              </w:rPr>
              <w:t>Koreguotas T1 Gd kaupiančių pažeidimų skaičius,</w:t>
            </w:r>
          </w:p>
          <w:p w14:paraId="01EF31A0" w14:textId="77777777" w:rsidR="0080416E" w:rsidRPr="00FF397D" w:rsidRDefault="0080416E" w:rsidP="00E804EE">
            <w:pPr>
              <w:spacing w:line="240" w:lineRule="auto"/>
              <w:rPr>
                <w:szCs w:val="22"/>
                <w:lang w:val="lt-LT"/>
              </w:rPr>
            </w:pPr>
            <w:r w:rsidRPr="00FF397D">
              <w:rPr>
                <w:szCs w:val="22"/>
                <w:lang w:val="lt-LT"/>
              </w:rPr>
              <w:t>Įvertis (95 % PI)</w:t>
            </w:r>
          </w:p>
        </w:tc>
        <w:tc>
          <w:tcPr>
            <w:tcW w:w="1017" w:type="pct"/>
            <w:shd w:val="clear" w:color="auto" w:fill="auto"/>
            <w:vAlign w:val="center"/>
          </w:tcPr>
          <w:p w14:paraId="504F7C8C" w14:textId="77777777" w:rsidR="0080416E" w:rsidRPr="00FF397D" w:rsidRDefault="0080416E" w:rsidP="00E804EE">
            <w:pPr>
              <w:spacing w:line="240" w:lineRule="auto"/>
              <w:rPr>
                <w:szCs w:val="22"/>
                <w:lang w:val="lt-LT"/>
              </w:rPr>
            </w:pPr>
          </w:p>
          <w:p w14:paraId="1469F443" w14:textId="77777777" w:rsidR="0080416E" w:rsidRPr="00FF397D" w:rsidRDefault="0080416E" w:rsidP="00E804EE">
            <w:pPr>
              <w:spacing w:line="240" w:lineRule="auto"/>
              <w:rPr>
                <w:szCs w:val="22"/>
                <w:lang w:val="lt-LT"/>
              </w:rPr>
            </w:pPr>
            <w:r w:rsidRPr="00FF397D">
              <w:rPr>
                <w:szCs w:val="22"/>
                <w:lang w:val="lt-LT"/>
              </w:rPr>
              <w:t>1,90 (0,66, 5,49)</w:t>
            </w:r>
          </w:p>
        </w:tc>
        <w:tc>
          <w:tcPr>
            <w:tcW w:w="1091" w:type="pct"/>
            <w:shd w:val="clear" w:color="auto" w:fill="auto"/>
            <w:vAlign w:val="center"/>
          </w:tcPr>
          <w:p w14:paraId="3FCC59F3" w14:textId="77777777" w:rsidR="0080416E" w:rsidRPr="00FF397D" w:rsidRDefault="0080416E" w:rsidP="00E804EE">
            <w:pPr>
              <w:spacing w:line="240" w:lineRule="auto"/>
              <w:rPr>
                <w:szCs w:val="22"/>
                <w:lang w:val="lt-LT"/>
              </w:rPr>
            </w:pPr>
          </w:p>
          <w:p w14:paraId="1DA38E2E" w14:textId="77777777" w:rsidR="0080416E" w:rsidRPr="00FF397D" w:rsidRDefault="0080416E" w:rsidP="00E804EE">
            <w:pPr>
              <w:spacing w:line="240" w:lineRule="auto"/>
              <w:rPr>
                <w:szCs w:val="22"/>
                <w:lang w:val="lt-LT"/>
              </w:rPr>
            </w:pPr>
            <w:r w:rsidRPr="00FF397D">
              <w:rPr>
                <w:szCs w:val="22"/>
                <w:lang w:val="lt-LT"/>
              </w:rPr>
              <w:t>7,51 (2,48, 22,70)</w:t>
            </w:r>
          </w:p>
        </w:tc>
      </w:tr>
      <w:tr w:rsidR="0080416E" w:rsidRPr="00FF397D" w14:paraId="60848E51" w14:textId="77777777" w:rsidTr="00E804EE">
        <w:trPr>
          <w:trHeight w:val="384"/>
        </w:trPr>
        <w:tc>
          <w:tcPr>
            <w:tcW w:w="2892" w:type="pct"/>
            <w:shd w:val="clear" w:color="auto" w:fill="auto"/>
            <w:vAlign w:val="center"/>
          </w:tcPr>
          <w:p w14:paraId="528C8764" w14:textId="77777777" w:rsidR="0080416E" w:rsidRPr="00FF397D" w:rsidRDefault="0080416E" w:rsidP="00E804EE">
            <w:pPr>
              <w:spacing w:line="240" w:lineRule="auto"/>
              <w:rPr>
                <w:szCs w:val="22"/>
                <w:lang w:val="lt-LT"/>
              </w:rPr>
            </w:pPr>
            <w:r w:rsidRPr="00FF397D">
              <w:rPr>
                <w:szCs w:val="22"/>
                <w:lang w:val="lt-LT"/>
              </w:rPr>
              <w:t>Santykinė rizika (95 % PI)</w:t>
            </w:r>
          </w:p>
        </w:tc>
        <w:tc>
          <w:tcPr>
            <w:tcW w:w="2108" w:type="pct"/>
            <w:gridSpan w:val="2"/>
            <w:shd w:val="clear" w:color="auto" w:fill="auto"/>
            <w:vAlign w:val="center"/>
          </w:tcPr>
          <w:p w14:paraId="7432EB94" w14:textId="77777777" w:rsidR="0080416E" w:rsidRPr="00FF397D" w:rsidRDefault="0080416E" w:rsidP="00E804EE">
            <w:pPr>
              <w:spacing w:line="240" w:lineRule="auto"/>
              <w:jc w:val="center"/>
              <w:rPr>
                <w:szCs w:val="22"/>
                <w:lang w:val="lt-LT"/>
              </w:rPr>
            </w:pPr>
            <w:r w:rsidRPr="00FF397D">
              <w:rPr>
                <w:szCs w:val="22"/>
                <w:lang w:val="lt-LT"/>
              </w:rPr>
              <w:t>0,25 (0,13, 0,51)***</w:t>
            </w:r>
          </w:p>
        </w:tc>
      </w:tr>
      <w:tr w:rsidR="0080416E" w:rsidRPr="0089081B" w14:paraId="40F1C9FC" w14:textId="77777777" w:rsidTr="00E804EE">
        <w:tc>
          <w:tcPr>
            <w:tcW w:w="5000" w:type="pct"/>
            <w:gridSpan w:val="3"/>
            <w:shd w:val="clear" w:color="auto" w:fill="auto"/>
            <w:vAlign w:val="center"/>
          </w:tcPr>
          <w:p w14:paraId="58549583" w14:textId="77777777" w:rsidR="0080416E" w:rsidRPr="00FF397D" w:rsidRDefault="0080416E" w:rsidP="00E804EE">
            <w:pPr>
              <w:spacing w:line="240" w:lineRule="auto"/>
              <w:rPr>
                <w:szCs w:val="22"/>
                <w:lang w:val="lt-LT"/>
              </w:rPr>
            </w:pPr>
            <w:r w:rsidRPr="00FF397D">
              <w:rPr>
                <w:szCs w:val="22"/>
                <w:lang w:val="lt-LT"/>
              </w:rPr>
              <w:t>^p ≥ 0,05, palyginti su placebo poveikiu, * p &lt; 0,05, ** p &lt; 0,001, *** p &lt; 0,0001</w:t>
            </w:r>
          </w:p>
          <w:p w14:paraId="3FF8A57F" w14:textId="77777777" w:rsidR="0080416E" w:rsidRPr="00FF397D" w:rsidRDefault="0080416E" w:rsidP="00E804EE">
            <w:pPr>
              <w:spacing w:line="240" w:lineRule="auto"/>
              <w:rPr>
                <w:szCs w:val="22"/>
                <w:lang w:val="lt-LT"/>
              </w:rPr>
            </w:pPr>
            <w:r w:rsidRPr="00FF397D">
              <w:rPr>
                <w:szCs w:val="22"/>
                <w:lang w:val="lt-LT"/>
              </w:rPr>
              <w:t xml:space="preserve">Tikimybė buvo paremta </w:t>
            </w:r>
            <w:r w:rsidRPr="00FF397D">
              <w:rPr>
                <w:i/>
                <w:iCs/>
                <w:szCs w:val="22"/>
                <w:lang w:val="lt-LT"/>
              </w:rPr>
              <w:t>Kaplan-Meier</w:t>
            </w:r>
            <w:r w:rsidRPr="00FF397D">
              <w:rPr>
                <w:szCs w:val="22"/>
                <w:lang w:val="lt-LT"/>
              </w:rPr>
              <w:t xml:space="preserve"> vertinimu, ir 96 savaitė buvo gydymo laikotarpio pabaiga (angl. </w:t>
            </w:r>
            <w:r w:rsidRPr="00FF397D">
              <w:rPr>
                <w:i/>
                <w:iCs/>
                <w:szCs w:val="22"/>
                <w:lang w:val="lt-LT"/>
              </w:rPr>
              <w:t>end of study treatment, EOT</w:t>
            </w:r>
            <w:r w:rsidRPr="00FF397D">
              <w:rPr>
                <w:szCs w:val="22"/>
                <w:lang w:val="lt-LT"/>
              </w:rPr>
              <w:t>).</w:t>
            </w:r>
          </w:p>
        </w:tc>
      </w:tr>
    </w:tbl>
    <w:p w14:paraId="16DEA204"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Cs w:val="22"/>
          <w:lang w:val="lt-LT"/>
        </w:rPr>
      </w:pPr>
    </w:p>
    <w:p w14:paraId="75FA2248" w14:textId="77777777" w:rsidR="0080416E" w:rsidRPr="00FF397D" w:rsidRDefault="0080416E" w:rsidP="008041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val="lt-LT"/>
        </w:rPr>
      </w:pPr>
      <w:r w:rsidRPr="00FF397D">
        <w:rPr>
          <w:rFonts w:eastAsia="Calibri"/>
          <w:szCs w:val="22"/>
          <w:lang w:val="lt-LT"/>
        </w:rPr>
        <w:t xml:space="preserve">Europos vaistų agentūra atleido nuo įpareigojimo pateikti referencinio vaistinio preparato, kurio sudėtyje yra teriflunomido, tyrimų su vaikais nuo gimimo iki jaunesnių nei 10 metų duomenis, gydant išsėtinę sklerozę (vartojimo vaikams informacija </w:t>
      </w:r>
      <w:r w:rsidRPr="00FF397D">
        <w:rPr>
          <w:szCs w:val="22"/>
          <w:lang w:val="lt-LT"/>
        </w:rPr>
        <w:t>pateikiama 4.2 skyriuje).</w:t>
      </w:r>
    </w:p>
    <w:p w14:paraId="18021227" w14:textId="77777777" w:rsidR="0080416E" w:rsidRPr="00FF397D" w:rsidRDefault="0080416E" w:rsidP="00B45D31">
      <w:pPr>
        <w:pStyle w:val="BTEMEASMCA"/>
      </w:pPr>
    </w:p>
    <w:p w14:paraId="227F2E86" w14:textId="5AE19AA4" w:rsidR="0080416E" w:rsidRPr="00FF397D" w:rsidRDefault="0080416E" w:rsidP="0080416E">
      <w:pPr>
        <w:pStyle w:val="PI-2EMEASMCA"/>
      </w:pPr>
      <w:bookmarkStart w:id="31" w:name="_Toc129243113"/>
      <w:bookmarkStart w:id="32" w:name="_Toc129243238"/>
      <w:r w:rsidRPr="00FF397D">
        <w:t>5.2</w:t>
      </w:r>
      <w:r w:rsidRPr="00FF397D">
        <w:tab/>
        <w:t>Farmakokinetinės savybės</w:t>
      </w:r>
      <w:bookmarkEnd w:id="31"/>
      <w:bookmarkEnd w:id="32"/>
    </w:p>
    <w:p w14:paraId="042881AE" w14:textId="77777777" w:rsidR="0080416E" w:rsidRPr="00FF397D" w:rsidRDefault="0080416E" w:rsidP="00B45D31">
      <w:pPr>
        <w:pStyle w:val="BTEMEASMCA"/>
      </w:pPr>
    </w:p>
    <w:p w14:paraId="2103B021"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Absorbcija</w:t>
      </w:r>
    </w:p>
    <w:p w14:paraId="25889325"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0381ABE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Vartojant kartotines teriflunomido dozes per burną, medianos laikas, per kurį plazmoje susidaro didžiausia koncentracija, yra nuo 1 iki 4 valandų po dozės, kai yra didelis biologinis prieinamumas (maždaug 100 %).</w:t>
      </w:r>
    </w:p>
    <w:p w14:paraId="20ACEFB3" w14:textId="77777777" w:rsidR="0080416E" w:rsidRPr="00FF397D" w:rsidRDefault="0080416E" w:rsidP="0080416E">
      <w:pPr>
        <w:autoSpaceDE w:val="0"/>
        <w:autoSpaceDN w:val="0"/>
        <w:adjustRightInd w:val="0"/>
        <w:spacing w:line="240" w:lineRule="auto"/>
        <w:rPr>
          <w:rFonts w:eastAsia="Calibri"/>
          <w:szCs w:val="22"/>
          <w:lang w:val="lt-LT"/>
        </w:rPr>
      </w:pPr>
    </w:p>
    <w:p w14:paraId="257468A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Maistas neturi kliniškai reikšmingo poveikio teriflunomido farmakokinetikai.</w:t>
      </w:r>
    </w:p>
    <w:p w14:paraId="7DDF2168" w14:textId="77777777" w:rsidR="0080416E" w:rsidRPr="00FF397D" w:rsidRDefault="0080416E" w:rsidP="0080416E">
      <w:pPr>
        <w:autoSpaceDE w:val="0"/>
        <w:autoSpaceDN w:val="0"/>
        <w:adjustRightInd w:val="0"/>
        <w:spacing w:line="240" w:lineRule="auto"/>
        <w:rPr>
          <w:rFonts w:eastAsia="Calibri"/>
          <w:szCs w:val="22"/>
          <w:lang w:val="lt-LT"/>
        </w:rPr>
      </w:pPr>
    </w:p>
    <w:p w14:paraId="74119E1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Nuo vidutinių prognozuojamų farmakokinetikos parametrų, apskaičiuotų pagal populiacijos farmakokinetikos analizę [angl</w:t>
      </w:r>
      <w:r w:rsidRPr="00FF397D">
        <w:rPr>
          <w:rFonts w:eastAsia="Calibri"/>
          <w:i/>
          <w:iCs/>
          <w:szCs w:val="22"/>
          <w:lang w:val="lt-LT"/>
        </w:rPr>
        <w:t>., population pharmacokinetic</w:t>
      </w:r>
      <w:r w:rsidRPr="00FF397D">
        <w:rPr>
          <w:rFonts w:eastAsia="Calibri"/>
          <w:szCs w:val="22"/>
          <w:lang w:val="lt-LT"/>
        </w:rPr>
        <w:t xml:space="preserve"> (</w:t>
      </w:r>
      <w:r w:rsidRPr="00FF397D">
        <w:rPr>
          <w:rFonts w:eastAsia="Calibri"/>
          <w:i/>
          <w:iCs/>
          <w:szCs w:val="22"/>
          <w:lang w:val="lt-LT"/>
        </w:rPr>
        <w:t>PopPK</w:t>
      </w:r>
      <w:r w:rsidRPr="00FF397D">
        <w:rPr>
          <w:rFonts w:eastAsia="Calibri"/>
          <w:szCs w:val="22"/>
          <w:lang w:val="lt-LT"/>
        </w:rPr>
        <w:t>)], naudojant sveikų savanorių ir IS sergančių pacientų duomenis, pusiausvyrinė koncentracija nusistovi iš lėto (t. y. maždaug per 100 dienų [3,5 mėn.] nusistovi 95 % pusiausvyrinės koncentracijos), o apskaičiuotas AUC kaupimosi santykis yra maždaug 34 kartai.</w:t>
      </w:r>
    </w:p>
    <w:p w14:paraId="62EA0C27" w14:textId="77777777" w:rsidR="0080416E" w:rsidRPr="00FF397D" w:rsidRDefault="0080416E" w:rsidP="0080416E">
      <w:pPr>
        <w:autoSpaceDE w:val="0"/>
        <w:autoSpaceDN w:val="0"/>
        <w:adjustRightInd w:val="0"/>
        <w:spacing w:line="240" w:lineRule="auto"/>
        <w:rPr>
          <w:rFonts w:eastAsia="Calibri"/>
          <w:szCs w:val="22"/>
          <w:lang w:val="lt-LT"/>
        </w:rPr>
      </w:pPr>
    </w:p>
    <w:p w14:paraId="47E1187F"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Pasiskirstymas</w:t>
      </w:r>
    </w:p>
    <w:p w14:paraId="2175A24C"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8DFEF2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Daug teriflunomido susijungia su plazmos baltymais (&gt; 99 %), daugiausiai albuminu, ir pasiskirsto daugiausia plazmoje. Po vienkartinės injekcijos į veną pasiskirstymo tūris yra 11 l. Tačiau labiausiai tikėtina, kad tai yra nepakankamas įvertinimas, nes žiurkėms buvo pastebėtas didelis pasiskirstymas organuose.</w:t>
      </w:r>
    </w:p>
    <w:p w14:paraId="01E5EE08" w14:textId="77777777" w:rsidR="0080416E" w:rsidRPr="00FF397D" w:rsidRDefault="0080416E" w:rsidP="0080416E">
      <w:pPr>
        <w:autoSpaceDE w:val="0"/>
        <w:autoSpaceDN w:val="0"/>
        <w:adjustRightInd w:val="0"/>
        <w:spacing w:line="240" w:lineRule="auto"/>
        <w:rPr>
          <w:rFonts w:eastAsia="Calibri"/>
          <w:szCs w:val="22"/>
          <w:lang w:val="lt-LT"/>
        </w:rPr>
      </w:pPr>
    </w:p>
    <w:p w14:paraId="6CE953FD"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Biotransformacija</w:t>
      </w:r>
    </w:p>
    <w:p w14:paraId="4E47FBC2"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A92332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Teriflunomidas metabolizuojamas vidutiniškai ir yra vienintelis plazmoje aptinkamas komponentas. Pagrindinis teriflunomido biotransformacijos būdas yra hidrolizė, o nedidelė dalis metabolizuojama oksidacijos būdu. Antriniai metabolizmo būdai yra oksidacija, N</w:t>
      </w:r>
      <w:r w:rsidRPr="00FF397D">
        <w:rPr>
          <w:rFonts w:eastAsia="Calibri"/>
          <w:szCs w:val="22"/>
          <w:lang w:val="lt-LT"/>
        </w:rPr>
        <w:noBreakHyphen/>
        <w:t>acetilinimas ir sulfatų konjugacija.</w:t>
      </w:r>
    </w:p>
    <w:p w14:paraId="15C0DAFA" w14:textId="77777777" w:rsidR="0080416E" w:rsidRPr="00FF397D" w:rsidRDefault="0080416E" w:rsidP="0080416E">
      <w:pPr>
        <w:autoSpaceDE w:val="0"/>
        <w:autoSpaceDN w:val="0"/>
        <w:adjustRightInd w:val="0"/>
        <w:spacing w:line="240" w:lineRule="auto"/>
        <w:rPr>
          <w:rFonts w:eastAsia="Calibri"/>
          <w:szCs w:val="22"/>
          <w:lang w:val="lt-LT"/>
        </w:rPr>
      </w:pPr>
    </w:p>
    <w:p w14:paraId="229D55B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Eliminacija</w:t>
      </w:r>
    </w:p>
    <w:p w14:paraId="08EDACAA"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2105BA2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Teriflunomidas šalinamas per virškinimo traktą, daugiausia su tulžimi nepakitusios veikliosios medžiagos pavidalu ir veikiausiai tiesioginės sekrecijos būdu. Teriflunomidas yra šalinimo iš ląstelės nešiklio </w:t>
      </w:r>
      <w:r w:rsidRPr="00FF397D">
        <w:rPr>
          <w:rFonts w:eastAsia="Calibri"/>
          <w:i/>
          <w:iCs/>
          <w:szCs w:val="22"/>
          <w:lang w:val="lt-LT"/>
        </w:rPr>
        <w:t>BCRP</w:t>
      </w:r>
      <w:r w:rsidRPr="00FF397D">
        <w:rPr>
          <w:rFonts w:eastAsia="Calibri"/>
          <w:szCs w:val="22"/>
          <w:lang w:val="lt-LT"/>
        </w:rPr>
        <w:t xml:space="preserve"> substratas, galintis dalyvauti tiesioginėje sekrecijoje. Per 21 parą 60,1 % suvartotos dozės pasišalina su išmatomis (37,5 %) ir šlapimu (22,6 %). Po pagreitintos eliminacijos procedūros su kolestiraminu pasišalino papildomai 23,1 % dozės (daugiausia su išmatomis). Remiantis teriflunomido </w:t>
      </w:r>
      <w:r w:rsidRPr="00FF397D">
        <w:rPr>
          <w:rFonts w:eastAsia="Calibri"/>
          <w:i/>
          <w:iCs/>
          <w:szCs w:val="22"/>
          <w:lang w:val="lt-LT"/>
        </w:rPr>
        <w:t>PopPK</w:t>
      </w:r>
      <w:r w:rsidRPr="00FF397D">
        <w:rPr>
          <w:rFonts w:eastAsia="Calibri"/>
          <w:szCs w:val="22"/>
          <w:lang w:val="lt-LT"/>
        </w:rPr>
        <w:t xml:space="preserve"> modeliu individualiai prognozuojant sveikų savanorių ir IS sergančių pacientų farmakokinetikos parametrus, mediana t</w:t>
      </w:r>
      <w:r w:rsidRPr="00FF397D">
        <w:rPr>
          <w:rFonts w:eastAsia="Calibri"/>
          <w:szCs w:val="22"/>
          <w:vertAlign w:val="subscript"/>
          <w:lang w:val="lt-LT"/>
        </w:rPr>
        <w:t>1</w:t>
      </w:r>
      <w:r w:rsidRPr="00FF397D">
        <w:rPr>
          <w:rFonts w:eastAsia="Calibri"/>
          <w:szCs w:val="22"/>
          <w:lang w:val="lt-LT"/>
        </w:rPr>
        <w:t>/</w:t>
      </w:r>
      <w:r w:rsidRPr="00FF397D">
        <w:rPr>
          <w:rFonts w:eastAsia="Calibri"/>
          <w:szCs w:val="22"/>
          <w:vertAlign w:val="subscript"/>
          <w:lang w:val="lt-LT"/>
        </w:rPr>
        <w:t>2z</w:t>
      </w:r>
      <w:r w:rsidRPr="00FF397D">
        <w:rPr>
          <w:rFonts w:eastAsia="Calibri"/>
          <w:szCs w:val="22"/>
          <w:lang w:val="lt-LT"/>
        </w:rPr>
        <w:t xml:space="preserve"> buvo maždaug 19 dienų po kartotinių 14 mg dozių vartojimo. Po vienkartinės injekcijos į veną bendrasis teriflunomido klirensas iš organizmo buvo 30,5 ml/val.</w:t>
      </w:r>
    </w:p>
    <w:p w14:paraId="73C3D73D" w14:textId="77777777" w:rsidR="0080416E" w:rsidRPr="00FF397D" w:rsidRDefault="0080416E" w:rsidP="0080416E">
      <w:pPr>
        <w:autoSpaceDE w:val="0"/>
        <w:autoSpaceDN w:val="0"/>
        <w:adjustRightInd w:val="0"/>
        <w:spacing w:line="240" w:lineRule="auto"/>
        <w:rPr>
          <w:rFonts w:eastAsia="Calibri"/>
          <w:szCs w:val="22"/>
          <w:lang w:val="lt-LT"/>
        </w:rPr>
      </w:pPr>
    </w:p>
    <w:p w14:paraId="3B253446"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Pagreitintos eliminacijos procedūra: kolestiraminas arba aktyvintoji anglis</w:t>
      </w:r>
    </w:p>
    <w:p w14:paraId="1D5337A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Teriflunomido eliminaciją iš kraujotakos galima paspartinti vartojant kolestiramino arba aktyvintosios anglies, kurie greičiausiai nutraukia reabsorbcijos procesus žarnyne. Teriflunomido koncentracijos, išmatuotos per 11 dienų trukmės teriflunomido eliminacijos greitinimo procedūrą skiriant 8 g kolestiramino dozę tris kartus per parą arba 4 g kolestiramino dozę tris kartus per parą, arba 50 g aktyvintosios anglies dozę du kartus per parą nutraukus gydymą teriflunomidu, parodė, kad gydymas pagal šiuos planus veiksmingai pagreitino teriflunomido eliminaciją, nes daugiau kaip 98 % sumažėjo teriflunomido koncentracijos plazmoje, ir kolestiraminas veikė greičiau už anglį. Nutraukus teriflunomido vartojimą ir vartojant 8 g kolestiramino dozę tris kartus per parą, teriflunomido koncentracija plazmoje sumažėjo 52 % pirmos dienos pabaigoje, 91 % 3-ios dienos pabaigoje, 99,2 % 7-os dienos pabaigoje, ir 99,9 % 11-os dienos pabaigoje. Vienos iš 3 eliminacijos procedūrų pasirinkimas priklauso nuo to, kaip jas toleruoja pacientas. Jei 8 g kolestiramino dozė tris kartus per parą gerai netoleruojama, galima vartoti 4 g kolestiramino dozę tris kartus per parą. Arba galima vartoti aktyvintąją anglį (nebūtinai 11 parų iš eilės, išskyrus atvejus, kai teriflunomido koncentraciją plazmoje reikia sumažinti greitai).</w:t>
      </w:r>
    </w:p>
    <w:p w14:paraId="1C8B9DF3" w14:textId="77777777" w:rsidR="0080416E" w:rsidRPr="00FF397D" w:rsidRDefault="0080416E" w:rsidP="0080416E">
      <w:pPr>
        <w:autoSpaceDE w:val="0"/>
        <w:autoSpaceDN w:val="0"/>
        <w:adjustRightInd w:val="0"/>
        <w:spacing w:line="240" w:lineRule="auto"/>
        <w:rPr>
          <w:rFonts w:eastAsia="Calibri"/>
          <w:szCs w:val="22"/>
          <w:lang w:val="lt-LT"/>
        </w:rPr>
      </w:pPr>
    </w:p>
    <w:p w14:paraId="33372C4D"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Tiesinis / netiesinis pobūdis</w:t>
      </w:r>
    </w:p>
    <w:p w14:paraId="66AB4237"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5318135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Sisteminė ekspozicija didėja proporcingai dozei, vartojant nuo 7 iki 14 mg teriflunomido dozes per burną.</w:t>
      </w:r>
    </w:p>
    <w:p w14:paraId="5DA9F45F" w14:textId="77777777" w:rsidR="0080416E" w:rsidRPr="00FF397D" w:rsidRDefault="0080416E" w:rsidP="0080416E">
      <w:pPr>
        <w:autoSpaceDE w:val="0"/>
        <w:autoSpaceDN w:val="0"/>
        <w:adjustRightInd w:val="0"/>
        <w:spacing w:line="240" w:lineRule="auto"/>
        <w:rPr>
          <w:rFonts w:eastAsia="Calibri"/>
          <w:szCs w:val="22"/>
          <w:lang w:val="lt-LT"/>
        </w:rPr>
      </w:pPr>
    </w:p>
    <w:p w14:paraId="5C10DA92"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lastRenderedPageBreak/>
        <w:t>Tam tikrų grupių pacientų savybės</w:t>
      </w:r>
    </w:p>
    <w:p w14:paraId="0D9DE8C3"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7DF72C85"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Lytis ir senyvi pacientai</w:t>
      </w:r>
    </w:p>
    <w:p w14:paraId="0E73E68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Remiantis </w:t>
      </w:r>
      <w:r w:rsidRPr="00FF397D">
        <w:rPr>
          <w:rFonts w:eastAsia="Calibri"/>
          <w:i/>
          <w:iCs/>
          <w:szCs w:val="22"/>
          <w:lang w:val="lt-LT"/>
        </w:rPr>
        <w:t>PopPK</w:t>
      </w:r>
      <w:r w:rsidRPr="00FF397D">
        <w:rPr>
          <w:rFonts w:eastAsia="Calibri"/>
          <w:szCs w:val="22"/>
          <w:lang w:val="lt-LT"/>
        </w:rPr>
        <w:t xml:space="preserve"> analize, buvo nustatyti keli vidinio kintamumo šaltiniai sveikiems asmenims ir IS sergantiems pacientams: amžius, kūno masė, lytis, rasė ir albumino bei bilirubino koncentracijos. Nepaisant to, jų įtaka išlieka ribota (≤ 31 %).</w:t>
      </w:r>
    </w:p>
    <w:p w14:paraId="0F6068FF" w14:textId="77777777" w:rsidR="0080416E" w:rsidRPr="00FF397D" w:rsidRDefault="0080416E" w:rsidP="0080416E">
      <w:pPr>
        <w:autoSpaceDE w:val="0"/>
        <w:autoSpaceDN w:val="0"/>
        <w:adjustRightInd w:val="0"/>
        <w:spacing w:line="240" w:lineRule="auto"/>
        <w:rPr>
          <w:rFonts w:eastAsia="Calibri"/>
          <w:szCs w:val="22"/>
          <w:lang w:val="lt-LT"/>
        </w:rPr>
      </w:pPr>
    </w:p>
    <w:p w14:paraId="00A8B3D7"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Sutrikusi kepenų funkcija</w:t>
      </w:r>
    </w:p>
    <w:p w14:paraId="6307F13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Lengvas ir vidutinio sunkumo kepenų funkcijos sutrikimas teriflunomido farmakokinetikai įtakos neturi. Pacientams, kuriems pasireiškia lengvas ir vidutinio sunkumo kepenų funkcijos sutrikimas, dozės koreguoti nereikia. Tačiau teriflunomido draudžiama vartoti pacientams, kuriems yra sunkus kepenų funkcijos sutrikimas (žr. 4.2 ir 4.3 skyrius).</w:t>
      </w:r>
    </w:p>
    <w:p w14:paraId="42BE5221" w14:textId="77777777" w:rsidR="0080416E" w:rsidRPr="00FF397D" w:rsidRDefault="0080416E" w:rsidP="0080416E">
      <w:pPr>
        <w:autoSpaceDE w:val="0"/>
        <w:autoSpaceDN w:val="0"/>
        <w:adjustRightInd w:val="0"/>
        <w:spacing w:line="240" w:lineRule="auto"/>
        <w:rPr>
          <w:rFonts w:eastAsia="Calibri"/>
          <w:szCs w:val="22"/>
          <w:lang w:val="lt-LT"/>
        </w:rPr>
      </w:pPr>
    </w:p>
    <w:p w14:paraId="1A619E4C"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Sutrikusi inkstų funkcija</w:t>
      </w:r>
    </w:p>
    <w:p w14:paraId="2E02891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Sunkus inkstų funkcijos sutrikimas teriflunomido farmakokinetikai įtakos neturi. Pacientams, kuriems yra lengvas, vidutinio sunkumo ir sunkus inkstų funkcijos sutrikimas, dozės koreguoti nereikia.</w:t>
      </w:r>
    </w:p>
    <w:p w14:paraId="325171F9" w14:textId="77777777" w:rsidR="0080416E" w:rsidRPr="00FF397D" w:rsidRDefault="0080416E" w:rsidP="0080416E">
      <w:pPr>
        <w:autoSpaceDE w:val="0"/>
        <w:autoSpaceDN w:val="0"/>
        <w:adjustRightInd w:val="0"/>
        <w:spacing w:line="240" w:lineRule="auto"/>
        <w:rPr>
          <w:rFonts w:eastAsia="Calibri"/>
          <w:szCs w:val="22"/>
          <w:lang w:val="lt-LT"/>
        </w:rPr>
      </w:pPr>
    </w:p>
    <w:p w14:paraId="798E2FA6" w14:textId="77777777" w:rsidR="0080416E" w:rsidRPr="00FF397D" w:rsidRDefault="0080416E" w:rsidP="0080416E">
      <w:pPr>
        <w:keepNext/>
        <w:autoSpaceDE w:val="0"/>
        <w:autoSpaceDN w:val="0"/>
        <w:adjustRightInd w:val="0"/>
        <w:spacing w:line="240" w:lineRule="auto"/>
        <w:rPr>
          <w:rFonts w:eastAsia="Calibri"/>
          <w:i/>
          <w:iCs/>
          <w:szCs w:val="22"/>
          <w:lang w:val="lt-LT"/>
        </w:rPr>
      </w:pPr>
      <w:r w:rsidRPr="00FF397D">
        <w:rPr>
          <w:rFonts w:eastAsia="Calibri"/>
          <w:i/>
          <w:iCs/>
          <w:szCs w:val="22"/>
          <w:lang w:val="lt-LT"/>
        </w:rPr>
        <w:t>Vaikų populiacija</w:t>
      </w:r>
    </w:p>
    <w:p w14:paraId="5EC6FD79"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Vaikams, kurių kūno svoris buvo &gt; 40 kg ir kurie vieną kartą per parą vartojo 14 mg dozę, ekspozicija nusistovėjus pusiausvyrinei koncentracijai atitiko suaugusių pacientų ekspoziciją, kurie buvo gydyti pagal tokią pačią dozavimo schemą.</w:t>
      </w:r>
    </w:p>
    <w:p w14:paraId="12F6E2B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Vaikams, kurių kūno svoris buvo ≤ 40 kg, gydymas kartą per parą vartojama 7 mg doze (remiantis ribotais klinikiniais duomenimis ir modeliavimo duomenimis) lėmė pusiausvyrinės koncentracijos ekspoziciją, kuri buvo nustatyta suaugusiems pacientams, gydytiems kartą per parą vartojama 14 mg doze.</w:t>
      </w:r>
    </w:p>
    <w:p w14:paraId="2463BB6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Nustatytos mažiausios koncentracijos nusistovėjus pusiausvyrinei koncentracijai pacientų organizme labai skyrėsi, kaip ir stebėta suaugusiems IS sergantiems pacientams</w:t>
      </w:r>
      <w:r w:rsidRPr="00FF397D">
        <w:rPr>
          <w:szCs w:val="22"/>
          <w:lang w:val="lt-LT"/>
        </w:rPr>
        <w:t>.</w:t>
      </w:r>
    </w:p>
    <w:p w14:paraId="2119381C" w14:textId="77777777" w:rsidR="0080416E" w:rsidRPr="00FF397D" w:rsidRDefault="0080416E" w:rsidP="00B45D31">
      <w:pPr>
        <w:pStyle w:val="BTEMEASMCA"/>
      </w:pPr>
    </w:p>
    <w:p w14:paraId="5F8A4DE8" w14:textId="37072B12" w:rsidR="0080416E" w:rsidRPr="00FF397D" w:rsidRDefault="0080416E" w:rsidP="0080416E">
      <w:pPr>
        <w:pStyle w:val="PI-2EMEASMCA"/>
      </w:pPr>
      <w:bookmarkStart w:id="33" w:name="_Toc129243114"/>
      <w:bookmarkStart w:id="34" w:name="_Toc129243239"/>
      <w:r w:rsidRPr="00FF397D">
        <w:t>5.3</w:t>
      </w:r>
      <w:r w:rsidRPr="00FF397D">
        <w:tab/>
        <w:t>Ikiklinikinių saugumo tyrimų duomenys</w:t>
      </w:r>
      <w:bookmarkEnd w:id="33"/>
      <w:bookmarkEnd w:id="34"/>
    </w:p>
    <w:p w14:paraId="57DB9EE9" w14:textId="77777777" w:rsidR="0080416E" w:rsidRPr="00FF397D" w:rsidRDefault="0080416E" w:rsidP="00B45D31">
      <w:pPr>
        <w:pStyle w:val="BTEMEASMCA"/>
      </w:pPr>
    </w:p>
    <w:p w14:paraId="1F6C447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Toksinis kartotinių dozių poveikis</w:t>
      </w:r>
    </w:p>
    <w:p w14:paraId="178C1BD8"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7514FC4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Duodant kartotines teriflunomido dozes pelėms, žiurkėms ir šunims atitinkamai 3, 6 ir 12 mėnesių, nustatyta, kad pagrindiniai toksinio poveikio organai taikiniai yra kaulų čiulpai, limfiniai organai, burnos ertmė/ virškinimo traktas, reprodukcijos organai ir kasa. Taip pat buvo pastebėtas oksidacinis poveikis eritrocitams. Anemija, sumažėjęs trombocitų kiekis ir poveikis imuninei sistemai, įskaitant leukopeniją, limfopeniją ir antrines infekcijas, buvo susiję su poveikiu kaulų čiulpams ir (arba) limfoidiniams organams. Didžioji dalis poveikio atspindi pagrindinį veikliosios medžiagos veikimo mechanizmą (ląstelių dalijimosi slopinimą). Gyvūnai yra jautresni farmakologiniam, o taip pat ir toksiniam teriflunomido poveikiui nei žmonės. Todėl toksinis poveikis gyvūnams pasireiškė esant tokioms pat arba mažesnėms ekspozicijoms už tas, kurios atsiranda žmogaus, vartojančio gydomąją dozę, organizme.</w:t>
      </w:r>
    </w:p>
    <w:p w14:paraId="411FA662" w14:textId="77777777" w:rsidR="0080416E" w:rsidRPr="00FF397D" w:rsidRDefault="0080416E" w:rsidP="0080416E">
      <w:pPr>
        <w:autoSpaceDE w:val="0"/>
        <w:autoSpaceDN w:val="0"/>
        <w:adjustRightInd w:val="0"/>
        <w:spacing w:line="240" w:lineRule="auto"/>
        <w:rPr>
          <w:rFonts w:eastAsia="Calibri"/>
          <w:szCs w:val="22"/>
          <w:lang w:val="lt-LT"/>
        </w:rPr>
      </w:pPr>
    </w:p>
    <w:p w14:paraId="763ECF0C"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Galimas genotoksinis ir kancerogeninis poveikis</w:t>
      </w:r>
    </w:p>
    <w:p w14:paraId="6299EA35"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45BACDF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Teriflunomidas nesukėlė mutageninio poveikio </w:t>
      </w:r>
      <w:r w:rsidRPr="00FF397D">
        <w:rPr>
          <w:rFonts w:eastAsia="Calibri"/>
          <w:i/>
          <w:iCs/>
          <w:szCs w:val="22"/>
          <w:lang w:val="lt-LT"/>
        </w:rPr>
        <w:t>in vitro</w:t>
      </w:r>
      <w:r w:rsidRPr="00FF397D">
        <w:rPr>
          <w:rFonts w:eastAsia="Calibri"/>
          <w:szCs w:val="22"/>
          <w:lang w:val="lt-LT"/>
        </w:rPr>
        <w:t xml:space="preserve"> arba klastogeninio poveikio </w:t>
      </w:r>
      <w:r w:rsidRPr="00FF397D">
        <w:rPr>
          <w:rFonts w:eastAsia="Calibri"/>
          <w:i/>
          <w:iCs/>
          <w:szCs w:val="22"/>
          <w:lang w:val="lt-LT"/>
        </w:rPr>
        <w:t>in vivo</w:t>
      </w:r>
      <w:r w:rsidRPr="00FF397D">
        <w:rPr>
          <w:rFonts w:eastAsia="Calibri"/>
          <w:szCs w:val="22"/>
          <w:lang w:val="lt-LT"/>
        </w:rPr>
        <w:t xml:space="preserve">. Manoma, kad klastogeniškumas, pastebėtas </w:t>
      </w:r>
      <w:r w:rsidRPr="00FF397D">
        <w:rPr>
          <w:rFonts w:eastAsia="Calibri"/>
          <w:i/>
          <w:iCs/>
          <w:szCs w:val="22"/>
          <w:lang w:val="lt-LT"/>
        </w:rPr>
        <w:t>in vitro</w:t>
      </w:r>
      <w:r w:rsidRPr="00FF397D">
        <w:rPr>
          <w:rFonts w:eastAsia="Calibri"/>
          <w:szCs w:val="22"/>
          <w:lang w:val="lt-LT"/>
        </w:rPr>
        <w:t>, pasireiškia dėl netiesioginio poveikio, susijusio su nukleotidų fondo disbalansu, kylančiu dėl farmakologinio DHO-DH slopinimo. Nereikšmingas TFMA (4</w:t>
      </w:r>
      <w:r w:rsidRPr="00FF397D">
        <w:rPr>
          <w:rFonts w:eastAsia="Calibri"/>
          <w:szCs w:val="22"/>
          <w:lang w:val="lt-LT"/>
        </w:rPr>
        <w:noBreakHyphen/>
        <w:t xml:space="preserve">trifluoro metilanilino) metabolitas sukėlė mutageninį ir klastogeninį poveikį </w:t>
      </w:r>
      <w:r w:rsidRPr="00FF397D">
        <w:rPr>
          <w:rFonts w:eastAsia="Calibri"/>
          <w:i/>
          <w:iCs/>
          <w:szCs w:val="22"/>
          <w:lang w:val="lt-LT"/>
        </w:rPr>
        <w:t>in vitro</w:t>
      </w:r>
      <w:r w:rsidRPr="00FF397D">
        <w:rPr>
          <w:rFonts w:eastAsia="Calibri"/>
          <w:szCs w:val="22"/>
          <w:lang w:val="lt-LT"/>
        </w:rPr>
        <w:t xml:space="preserve">, bet ne </w:t>
      </w:r>
      <w:r w:rsidRPr="00FF397D">
        <w:rPr>
          <w:rFonts w:eastAsia="Calibri"/>
          <w:i/>
          <w:iCs/>
          <w:szCs w:val="22"/>
          <w:lang w:val="lt-LT"/>
        </w:rPr>
        <w:t>in vivo</w:t>
      </w:r>
      <w:r w:rsidRPr="00FF397D">
        <w:rPr>
          <w:rFonts w:eastAsia="Calibri"/>
          <w:szCs w:val="22"/>
          <w:lang w:val="lt-LT"/>
        </w:rPr>
        <w:t>.</w:t>
      </w:r>
    </w:p>
    <w:p w14:paraId="2A7D61D7" w14:textId="77777777" w:rsidR="0080416E" w:rsidRPr="00FF397D" w:rsidRDefault="0080416E" w:rsidP="0080416E">
      <w:pPr>
        <w:autoSpaceDE w:val="0"/>
        <w:autoSpaceDN w:val="0"/>
        <w:adjustRightInd w:val="0"/>
        <w:spacing w:line="240" w:lineRule="auto"/>
        <w:rPr>
          <w:rFonts w:eastAsia="Calibri"/>
          <w:szCs w:val="22"/>
          <w:lang w:val="lt-LT"/>
        </w:rPr>
      </w:pPr>
    </w:p>
    <w:p w14:paraId="271F436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Žiurkėms ir pelėms kancerogeninio poveikio požymių nepastebėta.</w:t>
      </w:r>
    </w:p>
    <w:p w14:paraId="7569BF80" w14:textId="77777777" w:rsidR="0080416E" w:rsidRPr="00FF397D" w:rsidRDefault="0080416E" w:rsidP="0080416E">
      <w:pPr>
        <w:autoSpaceDE w:val="0"/>
        <w:autoSpaceDN w:val="0"/>
        <w:adjustRightInd w:val="0"/>
        <w:spacing w:line="240" w:lineRule="auto"/>
        <w:rPr>
          <w:rFonts w:eastAsia="Calibri"/>
          <w:szCs w:val="22"/>
          <w:lang w:val="lt-LT"/>
        </w:rPr>
      </w:pPr>
    </w:p>
    <w:p w14:paraId="74E47FB7"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Toksinis poveikis reprodukcijai</w:t>
      </w:r>
    </w:p>
    <w:p w14:paraId="7D04972C"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3428716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Žiurkių vaisingumas dėl teriflunomido neigiamo poveikio patinų reprodukcijos organams, įskaitant sumažėjusį spermatozoidų skaičių, nepakito. Žiurkių patinų, gavusių teriflunomido prieš poruojantis su negydytomis patelėmis, palikuonys neturėjo jokių išorinių apsigimimų. Teriflunomidas sukėlė </w:t>
      </w:r>
      <w:r w:rsidRPr="00FF397D">
        <w:rPr>
          <w:rFonts w:eastAsia="Calibri"/>
          <w:szCs w:val="22"/>
          <w:lang w:val="lt-LT"/>
        </w:rPr>
        <w:lastRenderedPageBreak/>
        <w:t>embriotoksinį ir teratogeninį poveikį žiurkėms ir triušiams, gavusiems žmogui skiriamų gydomųjų dozių. Taip pat buvo pastebėtas nepageidaujamas poveikis palikuoniams žiurkių, kurios veisimosi ir žindymo laikotarpiu gavo teriflunomido. Manoma, kad gydant teriflunomidu, su poveikiu vyrui susijusio toksiškumo vaisiui rizika yra maža. Manoma, kad tikėtina ekspozicija moterų, paveiktų gydytų pacientų sperma, plazmoje gali būti 100 kartų mažesnė už ekspoziciją plazmoje, kuri atsiranda pavartojus 14 mg geriamojo teriflunomido dozę.</w:t>
      </w:r>
    </w:p>
    <w:p w14:paraId="0E92CD4B" w14:textId="77777777" w:rsidR="0080416E" w:rsidRPr="00FF397D" w:rsidRDefault="0080416E" w:rsidP="0080416E">
      <w:pPr>
        <w:autoSpaceDE w:val="0"/>
        <w:autoSpaceDN w:val="0"/>
        <w:adjustRightInd w:val="0"/>
        <w:spacing w:line="240" w:lineRule="auto"/>
        <w:rPr>
          <w:rFonts w:eastAsia="Calibri"/>
          <w:szCs w:val="22"/>
          <w:lang w:val="lt-LT"/>
        </w:rPr>
      </w:pPr>
    </w:p>
    <w:p w14:paraId="30DA600F"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Toksinis poveikis jaunikliams</w:t>
      </w:r>
    </w:p>
    <w:p w14:paraId="44A3E090"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5DEAC83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Žiurkių jaunikliams, kuriems teriflunomido buvo girdoma 7 savaites nuo atjunkymo ir lytinės brandos laikotarpiu, nepageidaujamo poveikio augimui ir fizinei bei nervų sistemos raidai, mokymuisi bei atminčiai, lokomotoriniam aktyvumui, lytinei raidai ar vislumui nenustatyta. Pasireiškęs nepageidaujamas poveikis buvo anemija, limfoidinio reaktyvumo sumažėjimas, nuo dozės priklausomas sumažėjęs nuo T ląstelių priklausomas antikūnų atsakas ir labai sumažėjusios IgM ir IgG koncentracijos,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w:t>
      </w:r>
    </w:p>
    <w:p w14:paraId="13106A0F" w14:textId="77777777" w:rsidR="0080416E" w:rsidRPr="00FF397D" w:rsidRDefault="0080416E" w:rsidP="0080416E">
      <w:pPr>
        <w:autoSpaceDE w:val="0"/>
        <w:autoSpaceDN w:val="0"/>
        <w:adjustRightInd w:val="0"/>
        <w:spacing w:line="240" w:lineRule="auto"/>
        <w:rPr>
          <w:rFonts w:eastAsia="Calibri"/>
          <w:szCs w:val="22"/>
          <w:lang w:val="lt-LT"/>
        </w:rPr>
      </w:pPr>
    </w:p>
    <w:p w14:paraId="77C18721" w14:textId="77777777" w:rsidR="0080416E" w:rsidRPr="00FF397D" w:rsidRDefault="0080416E" w:rsidP="0080416E">
      <w:pPr>
        <w:autoSpaceDE w:val="0"/>
        <w:autoSpaceDN w:val="0"/>
        <w:adjustRightInd w:val="0"/>
        <w:spacing w:line="240" w:lineRule="auto"/>
        <w:rPr>
          <w:szCs w:val="22"/>
          <w:lang w:val="lt-LT"/>
        </w:rPr>
      </w:pPr>
      <w:r w:rsidRPr="00FF397D">
        <w:rPr>
          <w:rFonts w:eastAsia="Calibri"/>
          <w:szCs w:val="22"/>
          <w:lang w:val="lt-LT"/>
        </w:rPr>
        <w:t xml:space="preserve">Dėl didelio gyvūnų jautrumo teriflunomidui žiurkių jaunikliams pasiekta ekspozicija buvo mažesnė nei būna vaikams ir paaugliams, vartojant didžiausią rekomenduojamą dozę žmogui (angl. </w:t>
      </w:r>
      <w:r w:rsidRPr="00FF397D">
        <w:rPr>
          <w:rFonts w:eastAsia="Calibri"/>
          <w:i/>
          <w:iCs/>
          <w:szCs w:val="22"/>
          <w:lang w:val="lt-LT"/>
        </w:rPr>
        <w:t>maximum recommended human dose</w:t>
      </w:r>
      <w:r w:rsidRPr="00FF397D">
        <w:rPr>
          <w:rFonts w:eastAsia="Calibri"/>
          <w:szCs w:val="22"/>
          <w:lang w:val="lt-LT"/>
        </w:rPr>
        <w:t xml:space="preserve">, </w:t>
      </w:r>
      <w:r w:rsidRPr="00FF397D">
        <w:rPr>
          <w:rFonts w:eastAsia="Calibri"/>
          <w:i/>
          <w:iCs/>
          <w:szCs w:val="22"/>
          <w:lang w:val="lt-LT"/>
        </w:rPr>
        <w:t>MRHD</w:t>
      </w:r>
      <w:r w:rsidRPr="00FF397D">
        <w:rPr>
          <w:rFonts w:eastAsia="Calibri"/>
          <w:szCs w:val="22"/>
          <w:lang w:val="lt-LT"/>
        </w:rPr>
        <w:t>).</w:t>
      </w:r>
    </w:p>
    <w:p w14:paraId="5669FA58" w14:textId="77777777" w:rsidR="0080416E" w:rsidRPr="00FF397D" w:rsidRDefault="0080416E" w:rsidP="00B45D31">
      <w:pPr>
        <w:pStyle w:val="BTEMEASMCA"/>
      </w:pPr>
    </w:p>
    <w:p w14:paraId="3AB5D776" w14:textId="77777777" w:rsidR="0080416E" w:rsidRPr="00FF397D" w:rsidRDefault="0080416E" w:rsidP="00B45D31">
      <w:pPr>
        <w:pStyle w:val="BTEMEASMCA"/>
      </w:pPr>
    </w:p>
    <w:p w14:paraId="6D17AD5F" w14:textId="50308350" w:rsidR="0080416E" w:rsidRPr="00FF397D" w:rsidRDefault="0080416E" w:rsidP="0080416E">
      <w:pPr>
        <w:pStyle w:val="PI-1EMEASMCA"/>
        <w:rPr>
          <w:lang w:val="lt-LT"/>
        </w:rPr>
      </w:pPr>
      <w:bookmarkStart w:id="35" w:name="_Toc129243115"/>
      <w:bookmarkStart w:id="36" w:name="_Toc129243240"/>
      <w:r w:rsidRPr="00FF397D">
        <w:rPr>
          <w:lang w:val="lt-LT"/>
        </w:rPr>
        <w:t>6.</w:t>
      </w:r>
      <w:r w:rsidRPr="00FF397D">
        <w:rPr>
          <w:lang w:val="lt-LT"/>
        </w:rPr>
        <w:tab/>
        <w:t>FARMACINĖ INFORMACIJA</w:t>
      </w:r>
      <w:bookmarkEnd w:id="35"/>
      <w:bookmarkEnd w:id="36"/>
    </w:p>
    <w:p w14:paraId="4062F7BE" w14:textId="77777777" w:rsidR="0080416E" w:rsidRPr="00FF397D" w:rsidRDefault="0080416E" w:rsidP="00B45D31">
      <w:pPr>
        <w:pStyle w:val="BTEMEASMCA"/>
      </w:pPr>
    </w:p>
    <w:p w14:paraId="2FC712F5" w14:textId="038E2F0D" w:rsidR="0080416E" w:rsidRPr="00FF397D" w:rsidRDefault="0080416E" w:rsidP="0080416E">
      <w:pPr>
        <w:pStyle w:val="PI-2EMEASMCA"/>
      </w:pPr>
      <w:bookmarkStart w:id="37" w:name="_Toc129243116"/>
      <w:bookmarkStart w:id="38" w:name="_Toc129243241"/>
      <w:r w:rsidRPr="00FF397D">
        <w:t>6.1</w:t>
      </w:r>
      <w:r w:rsidRPr="00FF397D">
        <w:tab/>
        <w:t>Pagalbinių medžiagų sąrašas</w:t>
      </w:r>
      <w:bookmarkEnd w:id="37"/>
      <w:bookmarkEnd w:id="38"/>
    </w:p>
    <w:p w14:paraId="032F202B" w14:textId="77777777" w:rsidR="0080416E" w:rsidRPr="00FF397D" w:rsidRDefault="0080416E" w:rsidP="00B45D31">
      <w:pPr>
        <w:pStyle w:val="BTEMEASMCA"/>
      </w:pPr>
    </w:p>
    <w:p w14:paraId="41F1B8F5" w14:textId="77777777" w:rsidR="0080416E" w:rsidRPr="00FF397D" w:rsidRDefault="0080416E" w:rsidP="0080416E">
      <w:pPr>
        <w:keepNext/>
        <w:autoSpaceDE w:val="0"/>
        <w:autoSpaceDN w:val="0"/>
        <w:adjustRightInd w:val="0"/>
        <w:spacing w:line="240" w:lineRule="auto"/>
        <w:rPr>
          <w:rFonts w:eastAsia="Calibri"/>
          <w:szCs w:val="22"/>
          <w:u w:val="single"/>
          <w:lang w:val="lt-LT"/>
        </w:rPr>
      </w:pPr>
      <w:bookmarkStart w:id="39" w:name="_Toc129243117"/>
      <w:bookmarkStart w:id="40" w:name="_Toc129243242"/>
      <w:r w:rsidRPr="00FF397D">
        <w:rPr>
          <w:rFonts w:eastAsia="Calibri"/>
          <w:szCs w:val="22"/>
          <w:u w:val="single"/>
          <w:lang w:val="lt-LT"/>
        </w:rPr>
        <w:t>Tabletės branduolys</w:t>
      </w:r>
    </w:p>
    <w:p w14:paraId="715176B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Laktozė monohidratas</w:t>
      </w:r>
    </w:p>
    <w:p w14:paraId="5D43D73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Mikrokristalinė celiuliozė (E460)</w:t>
      </w:r>
    </w:p>
    <w:p w14:paraId="0EA454B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Kukurūzų krakmolas</w:t>
      </w:r>
    </w:p>
    <w:p w14:paraId="5151B981" w14:textId="77777777" w:rsidR="0080416E" w:rsidRPr="00FF397D" w:rsidRDefault="0080416E" w:rsidP="0080416E">
      <w:pPr>
        <w:autoSpaceDE w:val="0"/>
        <w:autoSpaceDN w:val="0"/>
        <w:adjustRightInd w:val="0"/>
        <w:spacing w:line="240" w:lineRule="auto"/>
        <w:rPr>
          <w:color w:val="000000"/>
          <w:szCs w:val="22"/>
          <w:lang w:val="lt-LT"/>
        </w:rPr>
      </w:pPr>
      <w:r w:rsidRPr="00FF397D">
        <w:rPr>
          <w:color w:val="000000"/>
          <w:szCs w:val="22"/>
          <w:lang w:val="lt-LT"/>
        </w:rPr>
        <w:t>Karboksimetilkrakmolo natrio druska (A tipas)</w:t>
      </w:r>
    </w:p>
    <w:p w14:paraId="4746745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Hidroksipropilceliuliozė (E463)</w:t>
      </w:r>
    </w:p>
    <w:p w14:paraId="74E9E559" w14:textId="2476510F" w:rsidR="0080416E" w:rsidRPr="00FF397D" w:rsidRDefault="009B3249" w:rsidP="0080416E">
      <w:pPr>
        <w:autoSpaceDE w:val="0"/>
        <w:autoSpaceDN w:val="0"/>
        <w:adjustRightInd w:val="0"/>
        <w:spacing w:line="240" w:lineRule="auto"/>
        <w:rPr>
          <w:rFonts w:eastAsia="Calibri"/>
          <w:szCs w:val="22"/>
          <w:lang w:val="lt-LT"/>
        </w:rPr>
      </w:pPr>
      <w:r w:rsidRPr="00FF397D">
        <w:rPr>
          <w:rFonts w:eastAsia="Calibri"/>
          <w:szCs w:val="22"/>
          <w:lang w:val="lt-LT"/>
        </w:rPr>
        <w:t>Bevandenis k</w:t>
      </w:r>
      <w:r w:rsidR="0080416E" w:rsidRPr="00FF397D">
        <w:rPr>
          <w:rFonts w:eastAsia="Calibri"/>
          <w:szCs w:val="22"/>
          <w:lang w:val="lt-LT"/>
        </w:rPr>
        <w:t>oloidinis silici</w:t>
      </w:r>
      <w:r w:rsidRPr="00FF397D">
        <w:rPr>
          <w:rFonts w:eastAsia="Calibri"/>
          <w:szCs w:val="22"/>
          <w:lang w:val="lt-LT"/>
        </w:rPr>
        <w:t>o</w:t>
      </w:r>
      <w:r w:rsidR="0080416E" w:rsidRPr="00FF397D">
        <w:rPr>
          <w:rFonts w:eastAsia="Calibri"/>
          <w:szCs w:val="22"/>
          <w:lang w:val="lt-LT"/>
        </w:rPr>
        <w:t xml:space="preserve"> dioksidas</w:t>
      </w:r>
      <w:r w:rsidRPr="00FF397D">
        <w:rPr>
          <w:rFonts w:eastAsia="Calibri"/>
          <w:szCs w:val="22"/>
          <w:lang w:val="lt-LT"/>
        </w:rPr>
        <w:t xml:space="preserve"> </w:t>
      </w:r>
      <w:r w:rsidR="0080416E" w:rsidRPr="00FF397D">
        <w:rPr>
          <w:rFonts w:eastAsia="Calibri"/>
          <w:szCs w:val="22"/>
          <w:lang w:val="lt-LT"/>
        </w:rPr>
        <w:t>(E551)</w:t>
      </w:r>
    </w:p>
    <w:p w14:paraId="4C108CE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Natrio stearilfumaratas</w:t>
      </w:r>
    </w:p>
    <w:p w14:paraId="31FB5B35" w14:textId="77777777" w:rsidR="0080416E" w:rsidRPr="00FF397D" w:rsidRDefault="0080416E" w:rsidP="0080416E">
      <w:pPr>
        <w:autoSpaceDE w:val="0"/>
        <w:autoSpaceDN w:val="0"/>
        <w:adjustRightInd w:val="0"/>
        <w:spacing w:line="240" w:lineRule="auto"/>
        <w:rPr>
          <w:rFonts w:eastAsia="Calibri"/>
          <w:szCs w:val="22"/>
          <w:lang w:val="lt-LT"/>
        </w:rPr>
      </w:pPr>
    </w:p>
    <w:p w14:paraId="12E6C471"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Tabletės plėvelė</w:t>
      </w:r>
    </w:p>
    <w:p w14:paraId="3A0AE1C4" w14:textId="77777777" w:rsidR="0080416E" w:rsidRPr="00FF397D" w:rsidRDefault="0080416E" w:rsidP="0080416E">
      <w:pPr>
        <w:autoSpaceDE w:val="0"/>
        <w:autoSpaceDN w:val="0"/>
        <w:adjustRightInd w:val="0"/>
        <w:spacing w:line="240" w:lineRule="auto"/>
        <w:rPr>
          <w:rFonts w:eastAsia="Calibri"/>
          <w:i/>
          <w:szCs w:val="22"/>
          <w:lang w:val="lt-LT"/>
        </w:rPr>
      </w:pPr>
      <w:r w:rsidRPr="00FF397D">
        <w:rPr>
          <w:rFonts w:eastAsia="Calibri"/>
          <w:i/>
          <w:szCs w:val="22"/>
          <w:lang w:val="lt-LT"/>
        </w:rPr>
        <w:t>Opadry 03F205013 mėlynasis:</w:t>
      </w:r>
    </w:p>
    <w:p w14:paraId="4E83F75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Hipromeliozė (E464)</w:t>
      </w:r>
    </w:p>
    <w:p w14:paraId="37B3B37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Titano dioksidas (E171)</w:t>
      </w:r>
    </w:p>
    <w:p w14:paraId="03F8E2A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Talkas (E553b)</w:t>
      </w:r>
    </w:p>
    <w:p w14:paraId="7E1BF54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Makrogolis (E1521)</w:t>
      </w:r>
    </w:p>
    <w:p w14:paraId="119CE7F4" w14:textId="3108F786"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Indigokarmin</w:t>
      </w:r>
      <w:r w:rsidR="009B3249" w:rsidRPr="00FF397D">
        <w:rPr>
          <w:rFonts w:eastAsia="Calibri"/>
          <w:szCs w:val="22"/>
          <w:lang w:val="lt-LT"/>
        </w:rPr>
        <w:t>as</w:t>
      </w:r>
      <w:r w:rsidRPr="00FF397D">
        <w:rPr>
          <w:rFonts w:eastAsia="Calibri"/>
          <w:szCs w:val="22"/>
          <w:lang w:val="lt-LT"/>
        </w:rPr>
        <w:t xml:space="preserve"> (E132)</w:t>
      </w:r>
    </w:p>
    <w:p w14:paraId="4B7B4299" w14:textId="77777777" w:rsidR="0080416E" w:rsidRPr="00FF397D" w:rsidRDefault="0080416E" w:rsidP="00B45D31">
      <w:pPr>
        <w:pStyle w:val="BTEMEASMCA"/>
      </w:pPr>
    </w:p>
    <w:p w14:paraId="52B6C1F2" w14:textId="161F3384" w:rsidR="0080416E" w:rsidRPr="00FF397D" w:rsidRDefault="0080416E" w:rsidP="0080416E">
      <w:pPr>
        <w:pStyle w:val="PI-2EMEASMCA"/>
      </w:pPr>
      <w:r w:rsidRPr="00FF397D">
        <w:t>6.2</w:t>
      </w:r>
      <w:r w:rsidRPr="00FF397D">
        <w:tab/>
        <w:t>Nesuderinamumas</w:t>
      </w:r>
      <w:bookmarkEnd w:id="39"/>
      <w:bookmarkEnd w:id="40"/>
    </w:p>
    <w:p w14:paraId="483B3D00" w14:textId="77777777" w:rsidR="0080416E" w:rsidRPr="00FF397D" w:rsidRDefault="0080416E" w:rsidP="00B45D31">
      <w:pPr>
        <w:pStyle w:val="BTEMEASMCA"/>
      </w:pPr>
    </w:p>
    <w:p w14:paraId="23A00BE8" w14:textId="77777777" w:rsidR="0080416E" w:rsidRPr="00FF397D" w:rsidRDefault="0080416E" w:rsidP="00B45D31">
      <w:pPr>
        <w:pStyle w:val="BTEMEASMCA"/>
      </w:pPr>
      <w:r w:rsidRPr="00FF397D">
        <w:t>Duomenys nebūtini.</w:t>
      </w:r>
    </w:p>
    <w:p w14:paraId="4DF59421" w14:textId="77777777" w:rsidR="0080416E" w:rsidRPr="00FF397D" w:rsidRDefault="0080416E" w:rsidP="00B45D31">
      <w:pPr>
        <w:pStyle w:val="BTEMEASMCA"/>
      </w:pPr>
    </w:p>
    <w:p w14:paraId="61408F73" w14:textId="2B1FCF54" w:rsidR="0080416E" w:rsidRPr="00FF397D" w:rsidRDefault="0080416E" w:rsidP="0080416E">
      <w:pPr>
        <w:pStyle w:val="PI-2EMEASMCA"/>
      </w:pPr>
      <w:bookmarkStart w:id="41" w:name="_Toc129243118"/>
      <w:bookmarkStart w:id="42" w:name="_Toc129243243"/>
      <w:r w:rsidRPr="00FF397D">
        <w:t>6.3</w:t>
      </w:r>
      <w:r w:rsidRPr="00FF397D">
        <w:tab/>
        <w:t>Tinkamumo laikas</w:t>
      </w:r>
      <w:bookmarkEnd w:id="41"/>
      <w:bookmarkEnd w:id="42"/>
    </w:p>
    <w:p w14:paraId="04CC2A57" w14:textId="77777777" w:rsidR="0080416E" w:rsidRPr="00FF397D" w:rsidRDefault="0080416E" w:rsidP="00B45D31">
      <w:pPr>
        <w:pStyle w:val="BTEMEASMCA"/>
      </w:pPr>
    </w:p>
    <w:p w14:paraId="2780ECE0" w14:textId="77777777" w:rsidR="0080416E" w:rsidRPr="00FF397D" w:rsidRDefault="0080416E" w:rsidP="00B45D31">
      <w:pPr>
        <w:pStyle w:val="BTEMEASMCA"/>
      </w:pPr>
      <w:r w:rsidRPr="00FF397D">
        <w:t>3 metai</w:t>
      </w:r>
    </w:p>
    <w:p w14:paraId="180C19BB" w14:textId="77777777" w:rsidR="0080416E" w:rsidRPr="00FF397D" w:rsidRDefault="0080416E" w:rsidP="00B45D31">
      <w:pPr>
        <w:pStyle w:val="BTEMEASMCA"/>
      </w:pPr>
    </w:p>
    <w:p w14:paraId="2343D1EF" w14:textId="66F8A43A" w:rsidR="0080416E" w:rsidRPr="00FF397D" w:rsidRDefault="0080416E" w:rsidP="0080416E">
      <w:pPr>
        <w:pStyle w:val="PI-2EMEASMCA"/>
        <w:keepLines w:val="0"/>
      </w:pPr>
      <w:bookmarkStart w:id="43" w:name="_Toc129243119"/>
      <w:bookmarkStart w:id="44" w:name="_Toc129243244"/>
      <w:r w:rsidRPr="00FF397D">
        <w:t>6.4</w:t>
      </w:r>
      <w:r w:rsidRPr="00FF397D">
        <w:tab/>
        <w:t>Specialios laikymo sąlygos</w:t>
      </w:r>
      <w:bookmarkEnd w:id="43"/>
      <w:bookmarkEnd w:id="44"/>
    </w:p>
    <w:p w14:paraId="7BD97DBC" w14:textId="77777777" w:rsidR="0080416E" w:rsidRPr="00FF397D" w:rsidRDefault="0080416E" w:rsidP="00B45D31">
      <w:pPr>
        <w:pStyle w:val="BTEMEASMCA"/>
      </w:pPr>
    </w:p>
    <w:p w14:paraId="61B9932D" w14:textId="77777777" w:rsidR="0080416E" w:rsidRPr="00FF397D" w:rsidRDefault="0080416E" w:rsidP="00B45D31">
      <w:pPr>
        <w:pStyle w:val="BTEMEASMCA"/>
      </w:pPr>
      <w:r w:rsidRPr="00FF397D">
        <w:t>Šiam vaistiniam preparatui specialių laikymo sąlygų nereikia.</w:t>
      </w:r>
    </w:p>
    <w:p w14:paraId="2750052F" w14:textId="77777777" w:rsidR="0080416E" w:rsidRPr="00FF397D" w:rsidRDefault="0080416E" w:rsidP="00B45D31">
      <w:pPr>
        <w:pStyle w:val="BTEMEASMCA"/>
      </w:pPr>
    </w:p>
    <w:p w14:paraId="43E39BC3" w14:textId="17B5D278" w:rsidR="0080416E" w:rsidRPr="00FF397D" w:rsidRDefault="0080416E" w:rsidP="0080416E">
      <w:pPr>
        <w:pStyle w:val="PI-2EMEASMCA"/>
      </w:pPr>
      <w:bookmarkStart w:id="45" w:name="_Toc129243120"/>
      <w:bookmarkStart w:id="46" w:name="_Toc129243245"/>
      <w:r w:rsidRPr="00FF397D">
        <w:t>6.5</w:t>
      </w:r>
      <w:r w:rsidRPr="00FF397D">
        <w:tab/>
        <w:t>Talpyklės pobūdis ir jos turinys</w:t>
      </w:r>
      <w:bookmarkEnd w:id="45"/>
      <w:bookmarkEnd w:id="46"/>
    </w:p>
    <w:p w14:paraId="0DDB70D1" w14:textId="77777777" w:rsidR="0080416E" w:rsidRPr="00FF397D" w:rsidRDefault="0080416E" w:rsidP="0080416E">
      <w:pPr>
        <w:pStyle w:val="PI-2EMEASMCA"/>
      </w:pPr>
    </w:p>
    <w:p w14:paraId="3683C7C3" w14:textId="3D242F47" w:rsidR="0080416E" w:rsidRPr="00FF397D" w:rsidRDefault="0080416E" w:rsidP="00B45D31">
      <w:pPr>
        <w:pStyle w:val="BTEMEASMCA"/>
      </w:pPr>
      <w:r w:rsidRPr="00FF397D">
        <w:t xml:space="preserve">OPA/Alu/PVC/Al lizdinių plokštelių pakuotės po 10, 14, 28, 30 </w:t>
      </w:r>
      <w:r w:rsidR="009B3249" w:rsidRPr="00FF397D">
        <w:rPr>
          <w:lang w:val="lt-LT"/>
        </w:rPr>
        <w:t>arba</w:t>
      </w:r>
      <w:r w:rsidRPr="00FF397D">
        <w:t xml:space="preserve"> 84 plėvele dengtas tabletes.</w:t>
      </w:r>
    </w:p>
    <w:p w14:paraId="78934267" w14:textId="78591AB9" w:rsidR="0080416E" w:rsidRPr="00FF397D" w:rsidRDefault="0080416E" w:rsidP="00B45D31">
      <w:pPr>
        <w:pStyle w:val="BTEMEASMCA"/>
      </w:pPr>
      <w:r w:rsidRPr="00FF397D">
        <w:t>OPA/Alu/PVC/Al perforuot</w:t>
      </w:r>
      <w:r w:rsidR="009B3249" w:rsidRPr="00FF397D">
        <w:rPr>
          <w:lang w:val="lt-LT"/>
        </w:rPr>
        <w:t>ų</w:t>
      </w:r>
      <w:r w:rsidRPr="00FF397D">
        <w:t xml:space="preserve"> </w:t>
      </w:r>
      <w:r w:rsidR="009B3249" w:rsidRPr="00FF397D">
        <w:rPr>
          <w:lang w:val="lt-LT"/>
        </w:rPr>
        <w:t>dalomųjų</w:t>
      </w:r>
      <w:r w:rsidRPr="00FF397D">
        <w:t xml:space="preserve"> lizdinių plokštelių pakuotės po 10x1, 28x1, 30x1 </w:t>
      </w:r>
      <w:r w:rsidR="009B3249" w:rsidRPr="00FF397D">
        <w:rPr>
          <w:lang w:val="lt-LT"/>
        </w:rPr>
        <w:t>arba</w:t>
      </w:r>
      <w:r w:rsidRPr="00FF397D">
        <w:t xml:space="preserve"> 84x1 plėvele dengtas tabletes.</w:t>
      </w:r>
    </w:p>
    <w:p w14:paraId="44675CF5" w14:textId="77777777" w:rsidR="0080416E" w:rsidRPr="00FF397D" w:rsidRDefault="0080416E" w:rsidP="00B45D31">
      <w:pPr>
        <w:pStyle w:val="BTEMEASMCA"/>
      </w:pPr>
    </w:p>
    <w:p w14:paraId="4C660070" w14:textId="77777777" w:rsidR="0080416E" w:rsidRPr="00FF397D" w:rsidRDefault="0080416E" w:rsidP="00B45D31">
      <w:pPr>
        <w:pStyle w:val="BTEMEASMCA"/>
      </w:pPr>
      <w:r w:rsidRPr="00FF397D">
        <w:t>Gali būti tiekiamos ne visų dydžių pakuotės.</w:t>
      </w:r>
    </w:p>
    <w:p w14:paraId="002BB5F0" w14:textId="77777777" w:rsidR="0080416E" w:rsidRPr="00FF397D" w:rsidRDefault="0080416E" w:rsidP="00B45D31">
      <w:pPr>
        <w:pStyle w:val="BTEMEASMCA"/>
      </w:pPr>
    </w:p>
    <w:p w14:paraId="27EF6539" w14:textId="012814BC" w:rsidR="0080416E" w:rsidRPr="00FF397D" w:rsidRDefault="0080416E" w:rsidP="0080416E">
      <w:pPr>
        <w:pStyle w:val="PI-2EMEASMCA"/>
      </w:pPr>
      <w:bookmarkStart w:id="47" w:name="_Toc129243121"/>
      <w:bookmarkStart w:id="48" w:name="_Toc129243246"/>
      <w:r w:rsidRPr="00FF397D">
        <w:t>6.6</w:t>
      </w:r>
      <w:r w:rsidRPr="00FF397D">
        <w:tab/>
        <w:t xml:space="preserve">Specialūs reikalavimai atliekoms tvarkyti </w:t>
      </w:r>
      <w:bookmarkEnd w:id="47"/>
      <w:bookmarkEnd w:id="48"/>
    </w:p>
    <w:p w14:paraId="260AF58E" w14:textId="77777777" w:rsidR="0080416E" w:rsidRPr="00FF397D" w:rsidRDefault="0080416E" w:rsidP="00B45D31">
      <w:pPr>
        <w:pStyle w:val="BTEMEASMCA"/>
      </w:pPr>
    </w:p>
    <w:p w14:paraId="0D7B1325" w14:textId="77777777" w:rsidR="0080416E" w:rsidRPr="00FF397D" w:rsidRDefault="0080416E" w:rsidP="00B45D31">
      <w:pPr>
        <w:pStyle w:val="BTEMEASMCA"/>
      </w:pPr>
      <w:r w:rsidRPr="00FF397D">
        <w:t>Nesuvartotą vaistinį preparatą ar atliekas reikia tvarkyti laikantis vietinių reikalavimų.</w:t>
      </w:r>
    </w:p>
    <w:p w14:paraId="459A1BA7" w14:textId="77777777" w:rsidR="0080416E" w:rsidRPr="00FF397D" w:rsidRDefault="0080416E" w:rsidP="00B45D31">
      <w:pPr>
        <w:pStyle w:val="BTEMEASMCA"/>
      </w:pPr>
    </w:p>
    <w:p w14:paraId="4423ABC3" w14:textId="77777777" w:rsidR="0080416E" w:rsidRPr="00FF397D" w:rsidRDefault="0080416E" w:rsidP="00B45D31">
      <w:pPr>
        <w:pStyle w:val="BTEMEASMCA"/>
      </w:pPr>
    </w:p>
    <w:p w14:paraId="2781265E" w14:textId="78254060" w:rsidR="0080416E" w:rsidRPr="00FF397D" w:rsidRDefault="0080416E" w:rsidP="0080416E">
      <w:pPr>
        <w:pStyle w:val="PI-1EMEASMCA"/>
        <w:rPr>
          <w:lang w:val="lt-LT"/>
        </w:rPr>
      </w:pPr>
      <w:bookmarkStart w:id="49" w:name="_Toc129243122"/>
      <w:bookmarkStart w:id="50" w:name="_Toc129243247"/>
      <w:r w:rsidRPr="00FF397D">
        <w:rPr>
          <w:lang w:val="lt-LT"/>
        </w:rPr>
        <w:t>7.</w:t>
      </w:r>
      <w:r w:rsidRPr="00FF397D">
        <w:rPr>
          <w:lang w:val="lt-LT"/>
        </w:rPr>
        <w:tab/>
      </w:r>
      <w:bookmarkEnd w:id="49"/>
      <w:bookmarkEnd w:id="50"/>
      <w:r w:rsidRPr="00FF397D">
        <w:rPr>
          <w:lang w:val="lt-LT"/>
        </w:rPr>
        <w:t>REGISTRUOTOJAS</w:t>
      </w:r>
    </w:p>
    <w:p w14:paraId="20A9A56A" w14:textId="77777777" w:rsidR="0080416E" w:rsidRPr="00FF397D" w:rsidRDefault="0080416E" w:rsidP="00B45D31">
      <w:pPr>
        <w:pStyle w:val="BTEMEASMCA"/>
      </w:pPr>
    </w:p>
    <w:p w14:paraId="273B8F01" w14:textId="0D6333CE" w:rsidR="0080416E" w:rsidRPr="00FF397D" w:rsidRDefault="0080416E" w:rsidP="00B45D31">
      <w:pPr>
        <w:pStyle w:val="BTEMEASMCA"/>
        <w:rPr>
          <w:shd w:val="clear" w:color="auto" w:fill="FFFFFF"/>
        </w:rPr>
      </w:pPr>
      <w:r w:rsidRPr="00FF397D">
        <w:rPr>
          <w:shd w:val="clear" w:color="auto" w:fill="FFFFFF"/>
        </w:rPr>
        <w:t>Teva B.V</w:t>
      </w:r>
    </w:p>
    <w:p w14:paraId="32E9D562" w14:textId="31C71E68" w:rsidR="0080416E" w:rsidRPr="00FF397D" w:rsidRDefault="0080416E" w:rsidP="00B45D31">
      <w:pPr>
        <w:pStyle w:val="BTEMEASMCA"/>
      </w:pPr>
      <w:r w:rsidRPr="00FF397D">
        <w:t>Swensweg 5</w:t>
      </w:r>
    </w:p>
    <w:p w14:paraId="4FABD709" w14:textId="3EE65AF1" w:rsidR="0080416E" w:rsidRPr="00FF397D" w:rsidRDefault="0080416E" w:rsidP="00B45D31">
      <w:pPr>
        <w:pStyle w:val="BTEMEASMCA"/>
      </w:pPr>
      <w:r w:rsidRPr="00FF397D">
        <w:t>2031 GA Haarlem</w:t>
      </w:r>
    </w:p>
    <w:p w14:paraId="0E654439" w14:textId="77777777" w:rsidR="0080416E" w:rsidRPr="00FF397D" w:rsidRDefault="0080416E" w:rsidP="00B45D31">
      <w:pPr>
        <w:pStyle w:val="BTEMEASMCA"/>
      </w:pPr>
      <w:r w:rsidRPr="00FF397D">
        <w:rPr>
          <w:shd w:val="clear" w:color="auto" w:fill="FFFFFF"/>
        </w:rPr>
        <w:t>Nyderlandai</w:t>
      </w:r>
    </w:p>
    <w:p w14:paraId="5DF6EAEA" w14:textId="77777777" w:rsidR="0080416E" w:rsidRPr="00FF397D" w:rsidRDefault="0080416E" w:rsidP="00B45D31">
      <w:pPr>
        <w:pStyle w:val="BTEMEASMCA"/>
      </w:pPr>
    </w:p>
    <w:p w14:paraId="649EF34A" w14:textId="77777777" w:rsidR="0080416E" w:rsidRPr="00FF397D" w:rsidRDefault="0080416E" w:rsidP="00B45D31">
      <w:pPr>
        <w:pStyle w:val="BTEMEASMCA"/>
      </w:pPr>
    </w:p>
    <w:p w14:paraId="40E84762" w14:textId="1851E162" w:rsidR="0080416E" w:rsidRPr="00FF397D" w:rsidRDefault="0080416E" w:rsidP="0080416E">
      <w:pPr>
        <w:pStyle w:val="PI-1EMEASMCA"/>
        <w:keepLines/>
        <w:rPr>
          <w:lang w:val="lt-LT"/>
        </w:rPr>
      </w:pPr>
      <w:bookmarkStart w:id="51" w:name="_Toc129243123"/>
      <w:bookmarkStart w:id="52" w:name="_Toc129243248"/>
      <w:r w:rsidRPr="00FF397D">
        <w:rPr>
          <w:lang w:val="lt-LT"/>
        </w:rPr>
        <w:t>8.</w:t>
      </w:r>
      <w:r w:rsidRPr="00FF397D">
        <w:rPr>
          <w:lang w:val="lt-LT"/>
        </w:rPr>
        <w:tab/>
        <w:t>REGISTRACIJOS PAŽYMĖJIMO NUMERIS</w:t>
      </w:r>
      <w:bookmarkEnd w:id="51"/>
      <w:bookmarkEnd w:id="52"/>
      <w:r w:rsidRPr="00FF397D">
        <w:rPr>
          <w:lang w:val="lt-LT"/>
        </w:rPr>
        <w:t xml:space="preserve"> (-IAI)</w:t>
      </w:r>
    </w:p>
    <w:p w14:paraId="2A074ADA" w14:textId="77777777" w:rsidR="0080416E" w:rsidRDefault="0080416E" w:rsidP="00B45D31">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D2BAE" w14:paraId="6DAEC4F8" w14:textId="77777777" w:rsidTr="00E52129">
        <w:tc>
          <w:tcPr>
            <w:tcW w:w="4530" w:type="dxa"/>
          </w:tcPr>
          <w:p w14:paraId="6A58CD34" w14:textId="77777777" w:rsidR="006D2BAE" w:rsidRDefault="006D2BAE" w:rsidP="00B45D31">
            <w:pPr>
              <w:pStyle w:val="BTEMEASMCA"/>
            </w:pPr>
            <w:r w:rsidRPr="00E52129">
              <w:t>Lizdinė plokštelė</w:t>
            </w:r>
            <w:r>
              <w:t>:</w:t>
            </w:r>
          </w:p>
          <w:p w14:paraId="6BC5413E" w14:textId="77777777" w:rsidR="006D2BAE" w:rsidRDefault="006D2BAE" w:rsidP="00B45D31">
            <w:pPr>
              <w:pStyle w:val="BTEMEASMCA"/>
            </w:pPr>
            <w:r>
              <w:t>LT/1/23/5234/001 – N10</w:t>
            </w:r>
          </w:p>
          <w:p w14:paraId="0964E34F" w14:textId="77777777" w:rsidR="006D2BAE" w:rsidRDefault="006D2BAE" w:rsidP="00B45D31">
            <w:pPr>
              <w:pStyle w:val="BTEMEASMCA"/>
            </w:pPr>
            <w:r>
              <w:t>LT/1/23/5234/002 – N14</w:t>
            </w:r>
          </w:p>
          <w:p w14:paraId="7E7103DE" w14:textId="77777777" w:rsidR="006D2BAE" w:rsidRDefault="006D2BAE" w:rsidP="00B45D31">
            <w:pPr>
              <w:pStyle w:val="BTEMEASMCA"/>
            </w:pPr>
            <w:r>
              <w:t>LT/1/23/5234/003 – N28</w:t>
            </w:r>
          </w:p>
          <w:p w14:paraId="50AE685D" w14:textId="77777777" w:rsidR="006D2BAE" w:rsidRDefault="006D2BAE" w:rsidP="00B45D31">
            <w:pPr>
              <w:pStyle w:val="BTEMEASMCA"/>
            </w:pPr>
            <w:r>
              <w:t>LT/1/23/5234/004 – N30</w:t>
            </w:r>
          </w:p>
          <w:p w14:paraId="63C8AFC9" w14:textId="22257086" w:rsidR="006D2BAE" w:rsidRDefault="006D2BAE" w:rsidP="00B45D31">
            <w:pPr>
              <w:pStyle w:val="BTEMEASMCA"/>
            </w:pPr>
            <w:r>
              <w:t>LT/1/23/5234/005 – N84</w:t>
            </w:r>
          </w:p>
        </w:tc>
        <w:tc>
          <w:tcPr>
            <w:tcW w:w="4530" w:type="dxa"/>
          </w:tcPr>
          <w:p w14:paraId="425ABFFB" w14:textId="77777777" w:rsidR="006D2BAE" w:rsidRDefault="006D2BAE" w:rsidP="00B45D31">
            <w:pPr>
              <w:pStyle w:val="BTEMEASMCA"/>
            </w:pPr>
            <w:r w:rsidRPr="00E52129">
              <w:t>Dalomoji lizdinė plokštelė</w:t>
            </w:r>
            <w:r>
              <w:t>:</w:t>
            </w:r>
          </w:p>
          <w:p w14:paraId="2E83C831" w14:textId="0065A88F" w:rsidR="006D2BAE" w:rsidRDefault="006D2BAE" w:rsidP="00B45D31">
            <w:pPr>
              <w:pStyle w:val="BTEMEASMCA"/>
            </w:pPr>
            <w:r>
              <w:t>LT/1/23/5234/006 – N10</w:t>
            </w:r>
            <w:r w:rsidR="00E52129">
              <w:rPr>
                <w:lang w:val="lt-LT"/>
              </w:rPr>
              <w:t>×</w:t>
            </w:r>
            <w:r>
              <w:t>1</w:t>
            </w:r>
          </w:p>
          <w:p w14:paraId="10A3C8A2" w14:textId="3B8A148C" w:rsidR="006D2BAE" w:rsidRDefault="006D2BAE" w:rsidP="00B45D31">
            <w:pPr>
              <w:pStyle w:val="BTEMEASMCA"/>
            </w:pPr>
            <w:r>
              <w:t>LT/1/23/5234/007 – N28</w:t>
            </w:r>
            <w:r w:rsidR="00E52129">
              <w:rPr>
                <w:lang w:val="lt-LT"/>
              </w:rPr>
              <w:t>×</w:t>
            </w:r>
            <w:r>
              <w:t>1</w:t>
            </w:r>
          </w:p>
          <w:p w14:paraId="7654B79B" w14:textId="19760CED" w:rsidR="006D2BAE" w:rsidRDefault="006D2BAE" w:rsidP="00B45D31">
            <w:pPr>
              <w:pStyle w:val="BTEMEASMCA"/>
            </w:pPr>
            <w:r>
              <w:t>LT/1/23/5234/008 – N30</w:t>
            </w:r>
            <w:r w:rsidR="00E52129">
              <w:rPr>
                <w:lang w:val="lt-LT"/>
              </w:rPr>
              <w:t>×</w:t>
            </w:r>
            <w:r>
              <w:t>1</w:t>
            </w:r>
          </w:p>
          <w:p w14:paraId="25ACBAF3" w14:textId="3BAFC7D6" w:rsidR="006D2BAE" w:rsidRDefault="006D2BAE" w:rsidP="00B45D31">
            <w:pPr>
              <w:pStyle w:val="BTEMEASMCA"/>
            </w:pPr>
            <w:r>
              <w:t>LT/1/23/5234/009 – N84</w:t>
            </w:r>
            <w:r w:rsidR="00E52129">
              <w:rPr>
                <w:lang w:val="lt-LT"/>
              </w:rPr>
              <w:t>×</w:t>
            </w:r>
            <w:r>
              <w:t>1</w:t>
            </w:r>
          </w:p>
          <w:p w14:paraId="250C8DF5" w14:textId="77777777" w:rsidR="006D2BAE" w:rsidRDefault="006D2BAE" w:rsidP="00B45D31">
            <w:pPr>
              <w:pStyle w:val="BTEMEASMCA"/>
            </w:pPr>
          </w:p>
        </w:tc>
      </w:tr>
    </w:tbl>
    <w:p w14:paraId="0B4FA28B" w14:textId="77777777" w:rsidR="006D2BAE" w:rsidRPr="00FF397D" w:rsidRDefault="006D2BAE" w:rsidP="00B45D31">
      <w:pPr>
        <w:pStyle w:val="BTEMEASMCA"/>
      </w:pPr>
    </w:p>
    <w:p w14:paraId="74CF5546" w14:textId="77777777" w:rsidR="0080416E" w:rsidRPr="00FF397D" w:rsidRDefault="0080416E" w:rsidP="00B45D31">
      <w:pPr>
        <w:pStyle w:val="BTEMEASMCA"/>
      </w:pPr>
    </w:p>
    <w:p w14:paraId="51075497" w14:textId="07033804" w:rsidR="0080416E" w:rsidRPr="00FF397D" w:rsidRDefault="0080416E" w:rsidP="0080416E">
      <w:pPr>
        <w:pStyle w:val="PI-1EMEASMCA"/>
        <w:rPr>
          <w:lang w:val="lt-LT"/>
        </w:rPr>
      </w:pPr>
      <w:bookmarkStart w:id="53" w:name="_Toc129243124"/>
      <w:bookmarkStart w:id="54" w:name="_Toc129243249"/>
      <w:r w:rsidRPr="00FF397D">
        <w:rPr>
          <w:lang w:val="lt-LT"/>
        </w:rPr>
        <w:t>9.</w:t>
      </w:r>
      <w:r w:rsidRPr="00FF397D">
        <w:rPr>
          <w:lang w:val="lt-LT"/>
        </w:rPr>
        <w:tab/>
        <w:t>REGISTRAVIMO/ PERREGISTRAVIMO DATA</w:t>
      </w:r>
      <w:bookmarkEnd w:id="53"/>
      <w:bookmarkEnd w:id="54"/>
    </w:p>
    <w:p w14:paraId="21450FEE" w14:textId="77777777" w:rsidR="0080416E" w:rsidRPr="00FF397D" w:rsidRDefault="0080416E" w:rsidP="00B45D31">
      <w:pPr>
        <w:pStyle w:val="BTEMEASMCA"/>
      </w:pPr>
    </w:p>
    <w:p w14:paraId="7180E697" w14:textId="243EEAC5" w:rsidR="0080416E" w:rsidRPr="00E52129" w:rsidRDefault="0080416E" w:rsidP="00B45D31">
      <w:pPr>
        <w:pStyle w:val="BTEMEASMCA"/>
      </w:pPr>
      <w:r w:rsidRPr="00FF397D">
        <w:rPr>
          <w:snapToGrid w:val="0"/>
        </w:rPr>
        <w:t xml:space="preserve">Registravimo data </w:t>
      </w:r>
      <w:r w:rsidR="00E52129">
        <w:t>2023 m. rugsėjo 19 d.</w:t>
      </w:r>
    </w:p>
    <w:p w14:paraId="791B137B" w14:textId="77777777" w:rsidR="0080416E" w:rsidRPr="00FF397D" w:rsidRDefault="0080416E" w:rsidP="00B45D31">
      <w:pPr>
        <w:pStyle w:val="BTEMEASMCA"/>
      </w:pPr>
    </w:p>
    <w:p w14:paraId="1EC753CA" w14:textId="19AAFC77" w:rsidR="0080416E" w:rsidRPr="00E52129" w:rsidRDefault="00E52129" w:rsidP="00B45D31">
      <w:pPr>
        <w:pStyle w:val="BTEMEASMCA"/>
      </w:pPr>
      <w:r>
        <w:t xml:space="preserve"> </w:t>
      </w:r>
    </w:p>
    <w:p w14:paraId="5FE63AD5" w14:textId="0BCCA029" w:rsidR="0080416E" w:rsidRPr="00FF397D" w:rsidRDefault="0080416E" w:rsidP="0080416E">
      <w:pPr>
        <w:pStyle w:val="PI-1EMEASMCA"/>
        <w:rPr>
          <w:lang w:val="lt-LT"/>
        </w:rPr>
      </w:pPr>
      <w:bookmarkStart w:id="55" w:name="_Toc129243125"/>
      <w:bookmarkStart w:id="56" w:name="_Toc129243250"/>
      <w:r w:rsidRPr="00FF397D">
        <w:rPr>
          <w:lang w:val="lt-LT"/>
        </w:rPr>
        <w:t>10.</w:t>
      </w:r>
      <w:r w:rsidRPr="00FF397D">
        <w:rPr>
          <w:lang w:val="lt-LT"/>
        </w:rPr>
        <w:tab/>
        <w:t>TEKSTO PERŽIŪROS DATA</w:t>
      </w:r>
      <w:bookmarkEnd w:id="55"/>
      <w:bookmarkEnd w:id="56"/>
    </w:p>
    <w:p w14:paraId="1E6BDE0A" w14:textId="77777777" w:rsidR="0080416E" w:rsidRPr="00FF397D" w:rsidRDefault="0080416E" w:rsidP="00B45D31">
      <w:pPr>
        <w:pStyle w:val="BTEMEASMCA"/>
      </w:pPr>
    </w:p>
    <w:p w14:paraId="2B31E540" w14:textId="4A3B1411" w:rsidR="0080416E" w:rsidRDefault="008611B5" w:rsidP="00B45D31">
      <w:pPr>
        <w:pStyle w:val="BTEMEASMCA"/>
      </w:pPr>
      <w:r>
        <w:t>202</w:t>
      </w:r>
      <w:r w:rsidR="00EB0C7A">
        <w:t>4</w:t>
      </w:r>
      <w:r>
        <w:t xml:space="preserve"> </w:t>
      </w:r>
      <w:r w:rsidR="00E52129">
        <w:t xml:space="preserve">m. </w:t>
      </w:r>
      <w:r w:rsidR="00415914">
        <w:t>rugpjūčio</w:t>
      </w:r>
      <w:r w:rsidR="00B45D31">
        <w:t xml:space="preserve"> 2</w:t>
      </w:r>
      <w:r w:rsidR="00BE68A0">
        <w:t>7</w:t>
      </w:r>
      <w:r w:rsidR="00B45D31">
        <w:t xml:space="preserve"> </w:t>
      </w:r>
      <w:r w:rsidR="00E52129">
        <w:t>d.</w:t>
      </w:r>
    </w:p>
    <w:p w14:paraId="28381D85" w14:textId="77777777" w:rsidR="00E52129" w:rsidRPr="00E52129" w:rsidRDefault="00E52129" w:rsidP="00B45D31">
      <w:pPr>
        <w:pStyle w:val="BTEMEASMCA"/>
      </w:pPr>
    </w:p>
    <w:p w14:paraId="343483E5" w14:textId="77777777" w:rsidR="0080416E" w:rsidRPr="00FF397D" w:rsidRDefault="0080416E" w:rsidP="00B45D31">
      <w:pPr>
        <w:pStyle w:val="BTEMEASMCA"/>
      </w:pPr>
    </w:p>
    <w:p w14:paraId="5DB4B225" w14:textId="77777777" w:rsidR="0080416E" w:rsidRPr="00FF397D" w:rsidRDefault="0080416E" w:rsidP="00B45D31">
      <w:pPr>
        <w:pStyle w:val="BTEMEASMCA"/>
      </w:pPr>
      <w:r w:rsidRPr="00FF397D">
        <w:t xml:space="preserve">Išsami informacija apie šį vaistinį preparatą pateikiama Valstybinės vaistų kontrolės tarnybos prie Lietuvos Respublikos sveikatos apsaugos ministerijos tinklalapyje </w:t>
      </w:r>
      <w:hyperlink r:id="rId9" w:history="1">
        <w:r w:rsidRPr="00FF397D">
          <w:rPr>
            <w:rStyle w:val="Hipersaitas"/>
            <w:rFonts w:eastAsia="Times New Roman"/>
            <w:noProof w:val="0"/>
          </w:rPr>
          <w:t>http://www.vvkt.lt/</w:t>
        </w:r>
      </w:hyperlink>
    </w:p>
    <w:p w14:paraId="782319FE" w14:textId="77777777" w:rsidR="0080416E" w:rsidRPr="00FF397D" w:rsidRDefault="0080416E" w:rsidP="0080416E">
      <w:pPr>
        <w:jc w:val="both"/>
        <w:rPr>
          <w:szCs w:val="22"/>
          <w:lang w:val="lt-LT"/>
        </w:rPr>
      </w:pPr>
    </w:p>
    <w:p w14:paraId="75A91C55" w14:textId="77777777" w:rsidR="000E1E8B" w:rsidRPr="00FF397D" w:rsidRDefault="009B5484" w:rsidP="0080416E">
      <w:pPr>
        <w:pStyle w:val="Antrat3"/>
        <w:tabs>
          <w:tab w:val="left" w:pos="9214"/>
        </w:tabs>
        <w:spacing w:before="0" w:after="0" w:line="240" w:lineRule="auto"/>
        <w:ind w:right="282"/>
        <w:rPr>
          <w:rFonts w:ascii="Times New Roman" w:hAnsi="Times New Roman"/>
          <w:sz w:val="22"/>
          <w:szCs w:val="22"/>
          <w:lang w:val="lt-LT"/>
        </w:rPr>
      </w:pPr>
      <w:r w:rsidRPr="00FF397D">
        <w:rPr>
          <w:rFonts w:ascii="Times New Roman" w:hAnsi="Times New Roman"/>
          <w:sz w:val="22"/>
          <w:szCs w:val="22"/>
          <w:lang w:val="lt-LT"/>
        </w:rPr>
        <w:br w:type="page"/>
      </w:r>
    </w:p>
    <w:p w14:paraId="73B0DAD8" w14:textId="77777777" w:rsidR="00DE1326" w:rsidRPr="00FF397D" w:rsidRDefault="00DE1326" w:rsidP="00DE1326">
      <w:pPr>
        <w:rPr>
          <w:noProof/>
          <w:szCs w:val="22"/>
          <w:lang w:val="lt-LT"/>
        </w:rPr>
      </w:pPr>
    </w:p>
    <w:p w14:paraId="62C874F2" w14:textId="77777777" w:rsidR="00DE1326" w:rsidRPr="00FF397D" w:rsidRDefault="00DE1326" w:rsidP="00DE1326">
      <w:pPr>
        <w:rPr>
          <w:noProof/>
          <w:szCs w:val="22"/>
          <w:lang w:val="lt-LT"/>
        </w:rPr>
      </w:pPr>
    </w:p>
    <w:p w14:paraId="3F3B5815" w14:textId="77777777" w:rsidR="00DE1326" w:rsidRPr="00FF397D" w:rsidRDefault="00DE1326" w:rsidP="00DE1326">
      <w:pPr>
        <w:rPr>
          <w:noProof/>
          <w:szCs w:val="22"/>
          <w:lang w:val="lt-LT"/>
        </w:rPr>
      </w:pPr>
    </w:p>
    <w:p w14:paraId="62AEF43F" w14:textId="77777777" w:rsidR="00DE1326" w:rsidRPr="00FF397D" w:rsidRDefault="00DE1326" w:rsidP="00DE1326">
      <w:pPr>
        <w:rPr>
          <w:noProof/>
          <w:szCs w:val="22"/>
          <w:lang w:val="lt-LT"/>
        </w:rPr>
      </w:pPr>
    </w:p>
    <w:p w14:paraId="6CDCEDD3" w14:textId="77777777" w:rsidR="00DE1326" w:rsidRPr="00FF397D" w:rsidRDefault="00DE1326" w:rsidP="00DE1326">
      <w:pPr>
        <w:rPr>
          <w:noProof/>
          <w:szCs w:val="22"/>
          <w:lang w:val="lt-LT"/>
        </w:rPr>
      </w:pPr>
    </w:p>
    <w:p w14:paraId="729CA8CB" w14:textId="77777777" w:rsidR="00DE1326" w:rsidRPr="00FF397D" w:rsidRDefault="00DE1326" w:rsidP="00DE1326">
      <w:pPr>
        <w:rPr>
          <w:noProof/>
          <w:szCs w:val="22"/>
          <w:lang w:val="lt-LT"/>
        </w:rPr>
      </w:pPr>
    </w:p>
    <w:p w14:paraId="7F04585F" w14:textId="77777777" w:rsidR="00DE1326" w:rsidRPr="00FF397D" w:rsidRDefault="00DE1326" w:rsidP="00DE1326">
      <w:pPr>
        <w:rPr>
          <w:noProof/>
          <w:szCs w:val="22"/>
          <w:lang w:val="lt-LT"/>
        </w:rPr>
      </w:pPr>
    </w:p>
    <w:p w14:paraId="64BF329D" w14:textId="77777777" w:rsidR="00DE1326" w:rsidRPr="00FF397D" w:rsidRDefault="00DE1326" w:rsidP="00DE1326">
      <w:pPr>
        <w:rPr>
          <w:noProof/>
          <w:szCs w:val="22"/>
          <w:lang w:val="lt-LT"/>
        </w:rPr>
      </w:pPr>
    </w:p>
    <w:p w14:paraId="1605A5DA" w14:textId="77777777" w:rsidR="00DE1326" w:rsidRPr="00FF397D" w:rsidRDefault="00DE1326" w:rsidP="00DE1326">
      <w:pPr>
        <w:rPr>
          <w:noProof/>
          <w:szCs w:val="22"/>
          <w:lang w:val="lt-LT"/>
        </w:rPr>
      </w:pPr>
    </w:p>
    <w:p w14:paraId="71B8567D" w14:textId="77777777" w:rsidR="00DE1326" w:rsidRPr="00FF397D" w:rsidRDefault="00DE1326" w:rsidP="00DE1326">
      <w:pPr>
        <w:rPr>
          <w:noProof/>
          <w:szCs w:val="22"/>
          <w:lang w:val="lt-LT"/>
        </w:rPr>
      </w:pPr>
    </w:p>
    <w:p w14:paraId="47DADF63" w14:textId="77777777" w:rsidR="00DE1326" w:rsidRPr="00FF397D" w:rsidRDefault="00DE1326" w:rsidP="00DE1326">
      <w:pPr>
        <w:rPr>
          <w:noProof/>
          <w:szCs w:val="22"/>
          <w:lang w:val="lt-LT"/>
        </w:rPr>
      </w:pPr>
    </w:p>
    <w:p w14:paraId="32B8BB0C" w14:textId="77777777" w:rsidR="00DE1326" w:rsidRPr="00FF397D" w:rsidRDefault="00DE1326" w:rsidP="00DE1326">
      <w:pPr>
        <w:rPr>
          <w:noProof/>
          <w:szCs w:val="22"/>
          <w:lang w:val="lt-LT"/>
        </w:rPr>
      </w:pPr>
    </w:p>
    <w:p w14:paraId="73EC8C47" w14:textId="77777777" w:rsidR="00DE1326" w:rsidRPr="00FF397D" w:rsidRDefault="00DE1326" w:rsidP="00DE1326">
      <w:pPr>
        <w:rPr>
          <w:noProof/>
          <w:szCs w:val="22"/>
          <w:lang w:val="lt-LT"/>
        </w:rPr>
      </w:pPr>
    </w:p>
    <w:p w14:paraId="54CE8697" w14:textId="77777777" w:rsidR="00F52243" w:rsidRPr="00FF397D" w:rsidRDefault="00F52243" w:rsidP="00DE1326">
      <w:pPr>
        <w:jc w:val="center"/>
        <w:rPr>
          <w:b/>
          <w:szCs w:val="22"/>
          <w:lang w:val="lt-LT"/>
        </w:rPr>
      </w:pPr>
    </w:p>
    <w:p w14:paraId="120E2002" w14:textId="77777777" w:rsidR="00F52243" w:rsidRPr="00FF397D" w:rsidRDefault="00F52243" w:rsidP="00DE1326">
      <w:pPr>
        <w:jc w:val="center"/>
        <w:rPr>
          <w:b/>
          <w:szCs w:val="22"/>
          <w:lang w:val="lt-LT"/>
        </w:rPr>
      </w:pPr>
    </w:p>
    <w:p w14:paraId="42EE9556" w14:textId="77777777" w:rsidR="00F52243" w:rsidRPr="00FF397D" w:rsidRDefault="00F52243" w:rsidP="00DE1326">
      <w:pPr>
        <w:jc w:val="center"/>
        <w:rPr>
          <w:b/>
          <w:szCs w:val="22"/>
          <w:lang w:val="lt-LT"/>
        </w:rPr>
      </w:pPr>
    </w:p>
    <w:p w14:paraId="55E3EF50" w14:textId="77777777" w:rsidR="00F52243" w:rsidRPr="00FF397D" w:rsidRDefault="00F52243" w:rsidP="00DE1326">
      <w:pPr>
        <w:jc w:val="center"/>
        <w:rPr>
          <w:b/>
          <w:szCs w:val="22"/>
          <w:lang w:val="lt-LT"/>
        </w:rPr>
      </w:pPr>
    </w:p>
    <w:p w14:paraId="2460BF8F" w14:textId="77777777" w:rsidR="00F52243" w:rsidRPr="00FF397D" w:rsidRDefault="00F52243" w:rsidP="00DE1326">
      <w:pPr>
        <w:jc w:val="center"/>
        <w:rPr>
          <w:b/>
          <w:szCs w:val="22"/>
          <w:lang w:val="lt-LT"/>
        </w:rPr>
      </w:pPr>
    </w:p>
    <w:p w14:paraId="2EA18F37" w14:textId="77777777" w:rsidR="00F52243" w:rsidRPr="00FF397D" w:rsidRDefault="00F52243" w:rsidP="00DE1326">
      <w:pPr>
        <w:jc w:val="center"/>
        <w:rPr>
          <w:b/>
          <w:szCs w:val="22"/>
          <w:lang w:val="lt-LT"/>
        </w:rPr>
      </w:pPr>
    </w:p>
    <w:p w14:paraId="070008A6" w14:textId="77777777" w:rsidR="00F52243" w:rsidRPr="00FF397D" w:rsidRDefault="00F52243" w:rsidP="00DE1326">
      <w:pPr>
        <w:jc w:val="center"/>
        <w:rPr>
          <w:b/>
          <w:szCs w:val="22"/>
          <w:lang w:val="lt-LT"/>
        </w:rPr>
      </w:pPr>
    </w:p>
    <w:p w14:paraId="27588FB7" w14:textId="77777777" w:rsidR="00F52243" w:rsidRPr="00FF397D" w:rsidRDefault="00F52243" w:rsidP="00DE1326">
      <w:pPr>
        <w:jc w:val="center"/>
        <w:rPr>
          <w:b/>
          <w:szCs w:val="22"/>
          <w:lang w:val="lt-LT"/>
        </w:rPr>
      </w:pPr>
    </w:p>
    <w:p w14:paraId="0B8E16EE" w14:textId="77777777" w:rsidR="00F52243" w:rsidRPr="00FF397D" w:rsidRDefault="00F52243" w:rsidP="00DE1326">
      <w:pPr>
        <w:jc w:val="center"/>
        <w:rPr>
          <w:b/>
          <w:szCs w:val="22"/>
          <w:lang w:val="lt-LT"/>
        </w:rPr>
      </w:pPr>
    </w:p>
    <w:p w14:paraId="65126BD2" w14:textId="77777777" w:rsidR="00F52243" w:rsidRPr="00FF397D" w:rsidRDefault="00F52243" w:rsidP="00DE1326">
      <w:pPr>
        <w:jc w:val="center"/>
        <w:rPr>
          <w:b/>
          <w:szCs w:val="22"/>
          <w:lang w:val="lt-LT"/>
        </w:rPr>
      </w:pPr>
    </w:p>
    <w:p w14:paraId="0EBF3C72" w14:textId="77777777" w:rsidR="00DE1326" w:rsidRPr="00FF397D" w:rsidRDefault="00DE1326" w:rsidP="00DE1326">
      <w:pPr>
        <w:jc w:val="center"/>
        <w:rPr>
          <w:b/>
          <w:szCs w:val="22"/>
          <w:lang w:val="lt-LT"/>
        </w:rPr>
      </w:pPr>
      <w:r w:rsidRPr="00FF397D">
        <w:rPr>
          <w:b/>
          <w:szCs w:val="22"/>
          <w:lang w:val="lt-LT"/>
        </w:rPr>
        <w:t>II PRIEDAS</w:t>
      </w:r>
    </w:p>
    <w:p w14:paraId="597E9D21" w14:textId="77777777" w:rsidR="00DE1326" w:rsidRPr="00FF397D" w:rsidRDefault="00DE1326" w:rsidP="00DE1326">
      <w:pPr>
        <w:ind w:left="1701" w:right="1416" w:hanging="567"/>
        <w:rPr>
          <w:szCs w:val="22"/>
          <w:lang w:val="lt-LT"/>
        </w:rPr>
      </w:pPr>
    </w:p>
    <w:p w14:paraId="695EF246" w14:textId="77777777" w:rsidR="00DE1326" w:rsidRPr="00FF397D" w:rsidRDefault="00DE1326" w:rsidP="00DE1326">
      <w:pPr>
        <w:jc w:val="center"/>
        <w:rPr>
          <w:i/>
          <w:szCs w:val="22"/>
          <w:lang w:val="lt-LT"/>
        </w:rPr>
      </w:pPr>
      <w:r w:rsidRPr="00FF397D">
        <w:rPr>
          <w:b/>
          <w:szCs w:val="22"/>
          <w:lang w:val="lt-LT"/>
        </w:rPr>
        <w:t>REGISTRACIJOS SĄLYGOS</w:t>
      </w:r>
    </w:p>
    <w:p w14:paraId="7A8147DC" w14:textId="77777777" w:rsidR="00DE1326" w:rsidRPr="00FF397D" w:rsidRDefault="00DE1326" w:rsidP="00DE1326">
      <w:pPr>
        <w:rPr>
          <w:szCs w:val="22"/>
          <w:lang w:val="lt-LT"/>
        </w:rPr>
      </w:pPr>
    </w:p>
    <w:p w14:paraId="4CAEBA5B" w14:textId="77777777" w:rsidR="00DE1326" w:rsidRPr="00FF397D" w:rsidRDefault="00DE1326" w:rsidP="00DE1326">
      <w:pPr>
        <w:tabs>
          <w:tab w:val="clear" w:pos="567"/>
          <w:tab w:val="left" w:pos="1701"/>
        </w:tabs>
        <w:ind w:left="1701" w:right="567" w:hanging="567"/>
        <w:rPr>
          <w:b/>
          <w:noProof/>
          <w:szCs w:val="22"/>
          <w:lang w:val="lt-LT"/>
        </w:rPr>
      </w:pPr>
      <w:r w:rsidRPr="00FF397D">
        <w:rPr>
          <w:b/>
          <w:noProof/>
          <w:szCs w:val="22"/>
          <w:lang w:val="lt-LT"/>
        </w:rPr>
        <w:t>A.</w:t>
      </w:r>
      <w:r w:rsidRPr="00FF397D">
        <w:rPr>
          <w:b/>
          <w:noProof/>
          <w:szCs w:val="22"/>
          <w:lang w:val="lt-LT"/>
        </w:rPr>
        <w:tab/>
        <w:t>GAMINTOJAS (-AI), ATSAKINGAS (-I) UŽ SERIJŲ IŠLEIDIMĄ</w:t>
      </w:r>
    </w:p>
    <w:p w14:paraId="66302393" w14:textId="77777777" w:rsidR="00DE1326" w:rsidRPr="00FF397D" w:rsidRDefault="00DE1326" w:rsidP="00DE1326">
      <w:pPr>
        <w:tabs>
          <w:tab w:val="clear" w:pos="567"/>
          <w:tab w:val="left" w:pos="1701"/>
        </w:tabs>
        <w:ind w:left="567" w:right="567" w:hanging="567"/>
        <w:rPr>
          <w:noProof/>
          <w:szCs w:val="22"/>
          <w:lang w:val="lt-LT"/>
        </w:rPr>
      </w:pPr>
    </w:p>
    <w:p w14:paraId="5FD1BB88" w14:textId="77777777" w:rsidR="00DE1326" w:rsidRPr="00FF397D" w:rsidRDefault="00DE1326" w:rsidP="00DE1326">
      <w:pPr>
        <w:tabs>
          <w:tab w:val="clear" w:pos="567"/>
          <w:tab w:val="left" w:pos="1701"/>
        </w:tabs>
        <w:ind w:left="1701" w:right="567" w:hanging="567"/>
        <w:rPr>
          <w:b/>
          <w:szCs w:val="22"/>
          <w:lang w:val="lt-LT"/>
        </w:rPr>
      </w:pPr>
      <w:r w:rsidRPr="00FF397D">
        <w:rPr>
          <w:b/>
          <w:szCs w:val="22"/>
          <w:lang w:val="lt-LT"/>
        </w:rPr>
        <w:t>B.</w:t>
      </w:r>
      <w:r w:rsidRPr="00FF397D">
        <w:rPr>
          <w:b/>
          <w:szCs w:val="22"/>
          <w:lang w:val="lt-LT"/>
        </w:rPr>
        <w:tab/>
        <w:t>TIEKIMO IR VARTOJIMO SĄLYGOS AR APRIBOJIMAI</w:t>
      </w:r>
    </w:p>
    <w:p w14:paraId="0C143749" w14:textId="77777777" w:rsidR="00DE1326" w:rsidRPr="00FF397D" w:rsidRDefault="00DE1326" w:rsidP="00DE1326">
      <w:pPr>
        <w:tabs>
          <w:tab w:val="clear" w:pos="567"/>
          <w:tab w:val="left" w:pos="1701"/>
        </w:tabs>
        <w:ind w:left="567" w:right="567" w:hanging="567"/>
        <w:rPr>
          <w:szCs w:val="22"/>
          <w:lang w:val="lt-LT"/>
        </w:rPr>
      </w:pPr>
    </w:p>
    <w:p w14:paraId="7E99AE0D" w14:textId="77777777" w:rsidR="00F52243" w:rsidRPr="00FF397D" w:rsidRDefault="00F52243" w:rsidP="00F52243">
      <w:pPr>
        <w:tabs>
          <w:tab w:val="clear" w:pos="567"/>
          <w:tab w:val="left" w:pos="1701"/>
        </w:tabs>
        <w:ind w:left="1701" w:right="567" w:hanging="567"/>
        <w:rPr>
          <w:b/>
          <w:szCs w:val="22"/>
          <w:lang w:val="lt-LT"/>
        </w:rPr>
      </w:pPr>
      <w:r w:rsidRPr="00FF397D">
        <w:rPr>
          <w:b/>
          <w:szCs w:val="22"/>
          <w:lang w:val="lt-LT"/>
        </w:rPr>
        <w:t>C.</w:t>
      </w:r>
      <w:r w:rsidRPr="00FF397D">
        <w:rPr>
          <w:b/>
          <w:szCs w:val="22"/>
          <w:lang w:val="lt-LT"/>
        </w:rPr>
        <w:tab/>
        <w:t xml:space="preserve">KITOS SĄLYGOS IR REIKALAVIMAI REGISTRUOTOJUI </w:t>
      </w:r>
    </w:p>
    <w:p w14:paraId="68B73450" w14:textId="77777777" w:rsidR="00F52243" w:rsidRPr="00FF397D" w:rsidRDefault="00F52243" w:rsidP="00F52243">
      <w:pPr>
        <w:tabs>
          <w:tab w:val="clear" w:pos="567"/>
          <w:tab w:val="left" w:pos="1701"/>
        </w:tabs>
        <w:ind w:left="1701" w:right="567" w:hanging="567"/>
        <w:rPr>
          <w:b/>
          <w:szCs w:val="22"/>
          <w:lang w:val="lt-LT"/>
        </w:rPr>
      </w:pPr>
    </w:p>
    <w:p w14:paraId="575ECA30" w14:textId="77777777" w:rsidR="00F52243" w:rsidRPr="00FF397D" w:rsidRDefault="00F52243" w:rsidP="00F52243">
      <w:pPr>
        <w:tabs>
          <w:tab w:val="clear" w:pos="567"/>
          <w:tab w:val="left" w:pos="1701"/>
        </w:tabs>
        <w:ind w:left="1701" w:right="567" w:hanging="567"/>
        <w:rPr>
          <w:b/>
          <w:szCs w:val="22"/>
          <w:lang w:val="lt-LT"/>
        </w:rPr>
      </w:pPr>
      <w:r w:rsidRPr="00FF397D">
        <w:rPr>
          <w:b/>
          <w:szCs w:val="22"/>
          <w:lang w:val="lt-LT"/>
        </w:rPr>
        <w:t>D.</w:t>
      </w:r>
      <w:r w:rsidRPr="00FF397D">
        <w:rPr>
          <w:b/>
          <w:szCs w:val="22"/>
          <w:lang w:val="lt-LT"/>
        </w:rPr>
        <w:tab/>
      </w:r>
      <w:r w:rsidRPr="00FF397D">
        <w:rPr>
          <w:b/>
          <w:caps/>
          <w:noProof/>
          <w:szCs w:val="22"/>
          <w:lang w:val="lt-LT"/>
        </w:rPr>
        <w:t>SĄLYGOS AR APRIBOJIMAI SAUGIAM IR VEIKSMINGAM VAISTINIO PREPARATO VARTOJIMUI UŽTIKRINTI</w:t>
      </w:r>
    </w:p>
    <w:p w14:paraId="6A7F6734" w14:textId="77777777" w:rsidR="00DE1326" w:rsidRPr="00FF397D" w:rsidRDefault="00DE1326" w:rsidP="00DE1326">
      <w:pPr>
        <w:tabs>
          <w:tab w:val="clear" w:pos="567"/>
          <w:tab w:val="left" w:pos="1701"/>
        </w:tabs>
        <w:ind w:left="1701" w:right="567" w:hanging="567"/>
        <w:rPr>
          <w:b/>
          <w:szCs w:val="22"/>
          <w:lang w:val="lt-LT"/>
        </w:rPr>
      </w:pPr>
    </w:p>
    <w:p w14:paraId="34A738F1" w14:textId="77777777" w:rsidR="00DE1326" w:rsidRPr="00FF397D" w:rsidRDefault="00DE1326" w:rsidP="00DE1326">
      <w:pPr>
        <w:ind w:left="1701" w:right="1558" w:hanging="850"/>
        <w:rPr>
          <w:b/>
          <w:szCs w:val="22"/>
          <w:lang w:val="lt-LT"/>
        </w:rPr>
      </w:pPr>
    </w:p>
    <w:p w14:paraId="0E40437B" w14:textId="77777777" w:rsidR="00DE1326" w:rsidRPr="00FF397D" w:rsidRDefault="00DE1326" w:rsidP="00DE1326">
      <w:pPr>
        <w:ind w:left="567" w:hanging="567"/>
        <w:rPr>
          <w:szCs w:val="22"/>
          <w:lang w:val="lt-LT"/>
        </w:rPr>
      </w:pPr>
    </w:p>
    <w:p w14:paraId="52697590" w14:textId="77777777" w:rsidR="00DE1326" w:rsidRPr="00FF397D" w:rsidRDefault="00DE1326" w:rsidP="00DE1326">
      <w:pPr>
        <w:ind w:right="-1"/>
        <w:rPr>
          <w:szCs w:val="22"/>
          <w:lang w:val="lt-LT"/>
        </w:rPr>
      </w:pPr>
    </w:p>
    <w:p w14:paraId="32CFF1C6" w14:textId="77777777" w:rsidR="00DE1326" w:rsidRPr="00FF397D" w:rsidRDefault="00DE1326" w:rsidP="00DE1326">
      <w:pPr>
        <w:ind w:left="567" w:hanging="567"/>
        <w:rPr>
          <w:b/>
          <w:szCs w:val="22"/>
          <w:lang w:val="lt-LT"/>
        </w:rPr>
      </w:pPr>
      <w:r w:rsidRPr="00FF397D">
        <w:rPr>
          <w:szCs w:val="22"/>
          <w:lang w:val="lt-LT"/>
        </w:rPr>
        <w:br w:type="page"/>
      </w:r>
      <w:r w:rsidRPr="00FF397D">
        <w:rPr>
          <w:b/>
          <w:szCs w:val="22"/>
          <w:lang w:val="lt-LT"/>
        </w:rPr>
        <w:lastRenderedPageBreak/>
        <w:t>A.</w:t>
      </w:r>
      <w:r w:rsidRPr="00FF397D">
        <w:rPr>
          <w:b/>
          <w:szCs w:val="22"/>
          <w:lang w:val="lt-LT"/>
        </w:rPr>
        <w:tab/>
        <w:t>GAMINTOJAS (-AI), ATSAKINGAS (-I) UŽ SERIJŲ IŠLEIDIMĄ</w:t>
      </w:r>
    </w:p>
    <w:p w14:paraId="6E7B1850" w14:textId="77777777" w:rsidR="00DE1326" w:rsidRPr="00FF397D" w:rsidRDefault="00DE1326" w:rsidP="00DE1326">
      <w:pPr>
        <w:rPr>
          <w:szCs w:val="22"/>
          <w:lang w:val="lt-LT"/>
        </w:rPr>
      </w:pPr>
    </w:p>
    <w:p w14:paraId="036097AC" w14:textId="77777777" w:rsidR="00DE1326" w:rsidRPr="00FF397D" w:rsidRDefault="00DE1326" w:rsidP="00DE1326">
      <w:pPr>
        <w:spacing w:line="240" w:lineRule="auto"/>
        <w:jc w:val="both"/>
        <w:rPr>
          <w:szCs w:val="22"/>
          <w:lang w:val="lt-LT"/>
        </w:rPr>
      </w:pPr>
      <w:r w:rsidRPr="00FF397D">
        <w:rPr>
          <w:noProof/>
          <w:szCs w:val="22"/>
          <w:u w:val="single"/>
          <w:lang w:val="lt-LT"/>
        </w:rPr>
        <w:t>Gamintojo (-ų), atsakingo (-ų) už serijų išleidimą, pavadinimas (-ai) ir adresas (-ai)</w:t>
      </w:r>
    </w:p>
    <w:p w14:paraId="2BA75676" w14:textId="77777777" w:rsidR="00DE1326" w:rsidRPr="00FF397D" w:rsidRDefault="00DE1326" w:rsidP="00DE1326">
      <w:pPr>
        <w:rPr>
          <w:szCs w:val="22"/>
          <w:lang w:val="lt-LT"/>
        </w:rPr>
      </w:pPr>
    </w:p>
    <w:p w14:paraId="4DACB074"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Teva Operations Poland Sp. z o.o.</w:t>
      </w:r>
    </w:p>
    <w:p w14:paraId="74FA25D5"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Mogilska 80 Str.</w:t>
      </w:r>
    </w:p>
    <w:p w14:paraId="3B8A5876"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31-546 Krakow</w:t>
      </w:r>
    </w:p>
    <w:p w14:paraId="457078EA"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Lenkija</w:t>
      </w:r>
    </w:p>
    <w:p w14:paraId="06DB7EE1" w14:textId="77777777" w:rsidR="0080416E" w:rsidRPr="00FF397D" w:rsidRDefault="0080416E" w:rsidP="0080416E">
      <w:pPr>
        <w:shd w:val="clear" w:color="auto" w:fill="FFFFFF"/>
        <w:spacing w:line="240" w:lineRule="auto"/>
        <w:ind w:left="74"/>
        <w:rPr>
          <w:color w:val="222222"/>
          <w:szCs w:val="22"/>
          <w:lang w:val="lt-LT"/>
        </w:rPr>
      </w:pPr>
      <w:r w:rsidRPr="00FF397D">
        <w:rPr>
          <w:color w:val="222222"/>
          <w:szCs w:val="22"/>
          <w:lang w:val="lt-LT"/>
        </w:rPr>
        <w:t> </w:t>
      </w:r>
    </w:p>
    <w:p w14:paraId="2D9F375C"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 xml:space="preserve">arba </w:t>
      </w:r>
    </w:p>
    <w:p w14:paraId="501B920C" w14:textId="77777777" w:rsidR="0080416E" w:rsidRPr="00FF397D" w:rsidRDefault="0080416E" w:rsidP="0080416E">
      <w:pPr>
        <w:shd w:val="clear" w:color="auto" w:fill="FFFFFF"/>
        <w:spacing w:line="240" w:lineRule="auto"/>
        <w:rPr>
          <w:color w:val="222222"/>
          <w:szCs w:val="22"/>
          <w:lang w:val="lt-LT"/>
        </w:rPr>
      </w:pPr>
    </w:p>
    <w:p w14:paraId="4CBEB717"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Balkanpharma Dupnitsa AD</w:t>
      </w:r>
    </w:p>
    <w:p w14:paraId="4B82DA4D"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3 Samokovsko Shosse Str.</w:t>
      </w:r>
    </w:p>
    <w:p w14:paraId="75FD99DB"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2600 Dupnitsa</w:t>
      </w:r>
    </w:p>
    <w:p w14:paraId="1D045741"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Bulgarija</w:t>
      </w:r>
    </w:p>
    <w:p w14:paraId="4A941348" w14:textId="77777777" w:rsidR="00555E26" w:rsidRPr="00FF397D" w:rsidRDefault="00555E26" w:rsidP="00555E26">
      <w:pPr>
        <w:rPr>
          <w:bCs/>
          <w:szCs w:val="22"/>
          <w:lang w:val="lt-LT"/>
        </w:rPr>
      </w:pPr>
    </w:p>
    <w:p w14:paraId="2DB4939D" w14:textId="77777777" w:rsidR="00DE1326" w:rsidRPr="00FF397D" w:rsidRDefault="00DE1326" w:rsidP="00DE1326">
      <w:pPr>
        <w:rPr>
          <w:szCs w:val="22"/>
          <w:lang w:val="lt-LT"/>
        </w:rPr>
      </w:pPr>
    </w:p>
    <w:p w14:paraId="038FBB71" w14:textId="77777777" w:rsidR="00DE1326" w:rsidRPr="00FF397D" w:rsidRDefault="00DE1326" w:rsidP="00DE1326">
      <w:pPr>
        <w:spacing w:line="240" w:lineRule="auto"/>
        <w:ind w:left="567" w:hanging="567"/>
        <w:rPr>
          <w:szCs w:val="22"/>
          <w:lang w:val="lt-LT"/>
        </w:rPr>
      </w:pPr>
      <w:r w:rsidRPr="00FF397D">
        <w:rPr>
          <w:b/>
          <w:noProof/>
          <w:szCs w:val="22"/>
          <w:lang w:val="lt-LT"/>
        </w:rPr>
        <w:t>B.</w:t>
      </w:r>
      <w:r w:rsidRPr="00FF397D">
        <w:rPr>
          <w:b/>
          <w:szCs w:val="22"/>
          <w:lang w:val="lt-LT"/>
        </w:rPr>
        <w:tab/>
      </w:r>
      <w:r w:rsidRPr="00FF397D">
        <w:rPr>
          <w:b/>
          <w:noProof/>
          <w:szCs w:val="22"/>
          <w:lang w:val="lt-LT"/>
        </w:rPr>
        <w:t>TIEKIMO IR VARTOJIMO SĄLYGOS AR APRIBOJIMAI</w:t>
      </w:r>
    </w:p>
    <w:p w14:paraId="3C168384" w14:textId="77777777" w:rsidR="00DE1326" w:rsidRPr="00FF397D" w:rsidRDefault="00DE1326" w:rsidP="00DE1326">
      <w:pPr>
        <w:rPr>
          <w:szCs w:val="22"/>
          <w:lang w:val="lt-LT"/>
        </w:rPr>
      </w:pPr>
    </w:p>
    <w:p w14:paraId="46C031E6" w14:textId="77777777" w:rsidR="00DE1326" w:rsidRPr="00FF397D" w:rsidRDefault="00DE1326" w:rsidP="00DE1326">
      <w:pPr>
        <w:rPr>
          <w:szCs w:val="22"/>
          <w:lang w:val="lt-LT"/>
        </w:rPr>
      </w:pPr>
      <w:r w:rsidRPr="00FF397D">
        <w:rPr>
          <w:szCs w:val="22"/>
          <w:lang w:val="lt-LT"/>
        </w:rPr>
        <w:t>R</w:t>
      </w:r>
      <w:r w:rsidR="00E34C4A" w:rsidRPr="00FF397D">
        <w:rPr>
          <w:szCs w:val="22"/>
          <w:lang w:val="lt-LT"/>
        </w:rPr>
        <w:t>eceptinis vaistinis preparatas.</w:t>
      </w:r>
    </w:p>
    <w:p w14:paraId="56472151" w14:textId="77777777" w:rsidR="00DE1326" w:rsidRPr="00FF397D" w:rsidRDefault="00DE1326" w:rsidP="00DE1326">
      <w:pPr>
        <w:rPr>
          <w:szCs w:val="22"/>
          <w:lang w:val="lt-LT"/>
        </w:rPr>
      </w:pPr>
    </w:p>
    <w:p w14:paraId="01D5F553" w14:textId="77777777" w:rsidR="00DE1326" w:rsidRPr="00FF397D" w:rsidRDefault="00DE1326" w:rsidP="00DE1326">
      <w:pPr>
        <w:rPr>
          <w:szCs w:val="22"/>
          <w:lang w:val="lt-LT"/>
        </w:rPr>
      </w:pPr>
    </w:p>
    <w:p w14:paraId="08311CEA" w14:textId="77777777" w:rsidR="00372FC7" w:rsidRPr="00FF397D" w:rsidRDefault="00372FC7" w:rsidP="00372FC7">
      <w:pPr>
        <w:rPr>
          <w:b/>
          <w:szCs w:val="22"/>
          <w:lang w:val="lt-LT"/>
        </w:rPr>
      </w:pPr>
      <w:r w:rsidRPr="00FF397D">
        <w:rPr>
          <w:b/>
          <w:szCs w:val="22"/>
          <w:lang w:val="lt-LT"/>
        </w:rPr>
        <w:t>C.</w:t>
      </w:r>
      <w:r w:rsidRPr="00FF397D">
        <w:rPr>
          <w:b/>
          <w:szCs w:val="22"/>
          <w:lang w:val="lt-LT"/>
        </w:rPr>
        <w:tab/>
        <w:t>KITOS SĄLYGOS IR REIKALAVIMAI REGISTRUOTOJUI</w:t>
      </w:r>
    </w:p>
    <w:p w14:paraId="5F2EF37B" w14:textId="77777777" w:rsidR="006C1C5B" w:rsidRPr="00EB0C7A" w:rsidRDefault="006C1C5B" w:rsidP="00DB639D">
      <w:pPr>
        <w:rPr>
          <w:lang w:val="pt-PT"/>
        </w:rPr>
      </w:pPr>
    </w:p>
    <w:p w14:paraId="273FA88B" w14:textId="77777777" w:rsidR="006C1C5B" w:rsidRPr="00EB0C7A" w:rsidRDefault="006C1C5B" w:rsidP="006C1C5B">
      <w:pPr>
        <w:autoSpaceDE w:val="0"/>
        <w:autoSpaceDN w:val="0"/>
        <w:adjustRightInd w:val="0"/>
        <w:rPr>
          <w:rFonts w:eastAsia="SymbolMT"/>
          <w:szCs w:val="22"/>
          <w:lang w:val="pt-PT"/>
        </w:rPr>
      </w:pPr>
    </w:p>
    <w:p w14:paraId="50319225" w14:textId="77777777" w:rsidR="006C1C5B" w:rsidRPr="006D2BAE" w:rsidRDefault="006C1C5B" w:rsidP="00DB639D">
      <w:pPr>
        <w:keepNext/>
        <w:numPr>
          <w:ilvl w:val="0"/>
          <w:numId w:val="106"/>
        </w:numPr>
        <w:spacing w:line="240" w:lineRule="auto"/>
        <w:ind w:right="-1" w:hanging="720"/>
        <w:rPr>
          <w:b/>
          <w:lang w:val="it-CH"/>
        </w:rPr>
      </w:pPr>
      <w:r w:rsidRPr="006D2BAE">
        <w:rPr>
          <w:b/>
          <w:lang w:val="it-CH"/>
        </w:rPr>
        <w:t>Periodiškai atnaujinami saugumo protokolai (PASP)</w:t>
      </w:r>
    </w:p>
    <w:p w14:paraId="18C07162" w14:textId="77777777" w:rsidR="006C1C5B" w:rsidRPr="006D2BAE" w:rsidRDefault="006C1C5B" w:rsidP="00DB639D">
      <w:pPr>
        <w:autoSpaceDE w:val="0"/>
        <w:autoSpaceDN w:val="0"/>
        <w:adjustRightInd w:val="0"/>
        <w:rPr>
          <w:rFonts w:eastAsia="TimesNewRomanPSMT"/>
          <w:lang w:val="it-CH"/>
        </w:rPr>
      </w:pPr>
    </w:p>
    <w:p w14:paraId="29CA6B35" w14:textId="77777777" w:rsidR="006C1C5B" w:rsidRPr="006D2BAE" w:rsidRDefault="002B706E" w:rsidP="006C1C5B">
      <w:pPr>
        <w:autoSpaceDE w:val="0"/>
        <w:autoSpaceDN w:val="0"/>
        <w:adjustRightInd w:val="0"/>
        <w:rPr>
          <w:rFonts w:eastAsia="TimesNewRomanPSMT"/>
          <w:szCs w:val="22"/>
          <w:lang w:val="it-CH"/>
        </w:rPr>
      </w:pPr>
      <w:r w:rsidRPr="00FF397D">
        <w:rPr>
          <w:noProof/>
          <w:szCs w:val="22"/>
          <w:lang w:val="lt-LT"/>
        </w:rPr>
        <w:t xml:space="preserve">Registruotojas šio vaistinio preparato PASP teikia remdamasis Direktyvos 2001/83/EB 107c straipsnio 7 dalyje numatytame Sąjungos </w:t>
      </w:r>
      <w:r w:rsidRPr="00FF397D">
        <w:rPr>
          <w:szCs w:val="22"/>
          <w:lang w:val="lt-LT"/>
        </w:rPr>
        <w:t xml:space="preserve">referencinių </w:t>
      </w:r>
      <w:r w:rsidRPr="00FF397D">
        <w:rPr>
          <w:noProof/>
          <w:szCs w:val="22"/>
          <w:lang w:val="lt-LT"/>
        </w:rPr>
        <w:t>datų sąraše (</w:t>
      </w:r>
      <w:r w:rsidRPr="00FF397D">
        <w:rPr>
          <w:i/>
          <w:noProof/>
          <w:szCs w:val="22"/>
          <w:lang w:val="lt-LT"/>
        </w:rPr>
        <w:t>EURD</w:t>
      </w:r>
      <w:r w:rsidRPr="00FF397D">
        <w:rPr>
          <w:noProof/>
          <w:szCs w:val="22"/>
          <w:lang w:val="lt-LT"/>
        </w:rPr>
        <w:t xml:space="preserve"> sąraše), kuris skelbiamas Europos vaistų </w:t>
      </w:r>
      <w:r w:rsidRPr="00FF397D">
        <w:rPr>
          <w:szCs w:val="22"/>
          <w:lang w:val="lt-LT"/>
        </w:rPr>
        <w:t>tinklalapyje</w:t>
      </w:r>
      <w:r w:rsidRPr="00FF397D">
        <w:rPr>
          <w:noProof/>
          <w:szCs w:val="22"/>
          <w:lang w:val="lt-LT"/>
        </w:rPr>
        <w:t>, nustatytais reikalavimais</w:t>
      </w:r>
      <w:r w:rsidR="006C1C5B" w:rsidRPr="006D2BAE">
        <w:rPr>
          <w:rFonts w:eastAsia="TimesNewRomanPSMT"/>
          <w:szCs w:val="22"/>
          <w:lang w:val="it-CH"/>
        </w:rPr>
        <w:t>.</w:t>
      </w:r>
    </w:p>
    <w:p w14:paraId="557FA958" w14:textId="77777777" w:rsidR="006C1C5B" w:rsidRPr="006D2BAE" w:rsidRDefault="006C1C5B" w:rsidP="006C1C5B">
      <w:pPr>
        <w:autoSpaceDE w:val="0"/>
        <w:autoSpaceDN w:val="0"/>
        <w:adjustRightInd w:val="0"/>
        <w:rPr>
          <w:szCs w:val="22"/>
          <w:lang w:val="it-CH" w:eastAsia="lt-LT"/>
        </w:rPr>
      </w:pPr>
    </w:p>
    <w:p w14:paraId="1D906DB0" w14:textId="77777777" w:rsidR="006C1C5B" w:rsidRPr="006D2BAE" w:rsidRDefault="006C1C5B" w:rsidP="006C1C5B">
      <w:pPr>
        <w:autoSpaceDE w:val="0"/>
        <w:autoSpaceDN w:val="0"/>
        <w:adjustRightInd w:val="0"/>
        <w:rPr>
          <w:b/>
          <w:bCs/>
          <w:szCs w:val="22"/>
          <w:lang w:val="it-CH"/>
        </w:rPr>
      </w:pPr>
    </w:p>
    <w:p w14:paraId="48CCAED0" w14:textId="3E0A7DF1" w:rsidR="006C1C5B" w:rsidRPr="006D2BAE" w:rsidRDefault="006C1C5B" w:rsidP="00DB639D">
      <w:pPr>
        <w:autoSpaceDE w:val="0"/>
        <w:autoSpaceDN w:val="0"/>
        <w:adjustRightInd w:val="0"/>
        <w:ind w:left="567" w:hanging="567"/>
        <w:rPr>
          <w:b/>
          <w:lang w:val="it-CH"/>
        </w:rPr>
      </w:pPr>
      <w:r w:rsidRPr="006D2BAE">
        <w:rPr>
          <w:b/>
          <w:lang w:val="it-CH"/>
        </w:rPr>
        <w:t>D.</w:t>
      </w:r>
      <w:r w:rsidRPr="006D2BAE">
        <w:rPr>
          <w:b/>
          <w:lang w:val="it-CH"/>
        </w:rPr>
        <w:tab/>
        <w:t>SĄLYGOS AR APRIBOJIMAI, SKIRTI SAUGIAM IR VEIKSMINGAM VAISTINIO PREPARATO VARTOJIMUI UŽTIKRINTI</w:t>
      </w:r>
    </w:p>
    <w:p w14:paraId="6F5B2C0A" w14:textId="77777777" w:rsidR="006C1C5B" w:rsidRPr="006D2BAE" w:rsidRDefault="006C1C5B" w:rsidP="00DB639D">
      <w:pPr>
        <w:autoSpaceDE w:val="0"/>
        <w:autoSpaceDN w:val="0"/>
        <w:adjustRightInd w:val="0"/>
        <w:rPr>
          <w:rFonts w:eastAsia="SymbolMT"/>
          <w:lang w:val="it-CH"/>
        </w:rPr>
      </w:pPr>
    </w:p>
    <w:p w14:paraId="17B56A9B" w14:textId="77777777" w:rsidR="006C1C5B" w:rsidRPr="00FF397D" w:rsidRDefault="006C1C5B" w:rsidP="006C1C5B">
      <w:pPr>
        <w:keepNext/>
        <w:numPr>
          <w:ilvl w:val="0"/>
          <w:numId w:val="106"/>
        </w:numPr>
        <w:spacing w:line="240" w:lineRule="auto"/>
        <w:ind w:right="-1" w:hanging="720"/>
        <w:rPr>
          <w:b/>
          <w:szCs w:val="22"/>
          <w:lang w:eastAsia="lt-LT"/>
        </w:rPr>
      </w:pPr>
      <w:r w:rsidRPr="00FF397D">
        <w:rPr>
          <w:b/>
          <w:szCs w:val="22"/>
          <w:lang w:eastAsia="lt-LT"/>
        </w:rPr>
        <w:t>Rizikos valdymo planas (RVP)</w:t>
      </w:r>
    </w:p>
    <w:p w14:paraId="25C7703C" w14:textId="77777777" w:rsidR="006C1C5B" w:rsidRPr="00FF397D" w:rsidRDefault="006C1C5B" w:rsidP="006C1C5B">
      <w:pPr>
        <w:autoSpaceDE w:val="0"/>
        <w:autoSpaceDN w:val="0"/>
        <w:adjustRightInd w:val="0"/>
        <w:rPr>
          <w:rFonts w:eastAsia="TimesNewRomanPSMT"/>
          <w:szCs w:val="22"/>
        </w:rPr>
      </w:pPr>
    </w:p>
    <w:p w14:paraId="6F2982EA" w14:textId="77777777" w:rsidR="006C1C5B" w:rsidRPr="00EB0C7A" w:rsidRDefault="006C1C5B" w:rsidP="006C1C5B">
      <w:pPr>
        <w:autoSpaceDE w:val="0"/>
        <w:autoSpaceDN w:val="0"/>
        <w:adjustRightInd w:val="0"/>
        <w:rPr>
          <w:rFonts w:eastAsia="TimesNewRomanPSMT"/>
          <w:szCs w:val="22"/>
          <w:lang w:val="pt-PT"/>
        </w:rPr>
      </w:pPr>
      <w:r w:rsidRPr="00EB0C7A">
        <w:rPr>
          <w:rFonts w:eastAsia="TimesNewRomanPSMT"/>
          <w:szCs w:val="22"/>
          <w:lang w:val="pt-PT"/>
        </w:rPr>
        <w:t>Registruotojas atlieka reikalaujamą farmakologinio budrumo veiklą ir veiksmus, kurie išsamiai</w:t>
      </w:r>
    </w:p>
    <w:p w14:paraId="26903209" w14:textId="77777777" w:rsidR="006C1C5B" w:rsidRPr="00EB0C7A" w:rsidRDefault="006C1C5B" w:rsidP="006C1C5B">
      <w:pPr>
        <w:rPr>
          <w:szCs w:val="22"/>
          <w:lang w:val="pt-PT"/>
        </w:rPr>
      </w:pPr>
      <w:r w:rsidRPr="00EB0C7A">
        <w:rPr>
          <w:rFonts w:eastAsia="TimesNewRomanPSMT"/>
          <w:szCs w:val="22"/>
          <w:lang w:val="pt-PT"/>
        </w:rPr>
        <w:t>aprašyti registracijos bylos 1.8.2 modulyje pateiktame RVP ir suderintose tolesnėse jo versijose.</w:t>
      </w:r>
    </w:p>
    <w:p w14:paraId="04DC53D2" w14:textId="77777777" w:rsidR="006C1C5B" w:rsidRPr="00EB0C7A" w:rsidRDefault="006C1C5B" w:rsidP="006C1C5B">
      <w:pPr>
        <w:rPr>
          <w:szCs w:val="22"/>
          <w:lang w:val="pt-PT"/>
        </w:rPr>
      </w:pPr>
    </w:p>
    <w:p w14:paraId="13885CE2" w14:textId="77777777" w:rsidR="006C1C5B" w:rsidRPr="00EB0C7A" w:rsidRDefault="006C1C5B" w:rsidP="006C1C5B">
      <w:pPr>
        <w:ind w:right="-1"/>
        <w:rPr>
          <w:iCs/>
          <w:szCs w:val="22"/>
          <w:lang w:val="pt-PT" w:eastAsia="lt-LT"/>
        </w:rPr>
      </w:pPr>
      <w:r w:rsidRPr="00EB0C7A">
        <w:rPr>
          <w:szCs w:val="22"/>
          <w:lang w:val="pt-PT" w:eastAsia="lt-LT"/>
        </w:rPr>
        <w:t>Atnaujintas rizikos valdymo planas turi būti pateiktas:</w:t>
      </w:r>
    </w:p>
    <w:p w14:paraId="7160096A" w14:textId="77777777" w:rsidR="006C1C5B" w:rsidRPr="00EB0C7A" w:rsidRDefault="006C1C5B" w:rsidP="006C1C5B">
      <w:pPr>
        <w:numPr>
          <w:ilvl w:val="0"/>
          <w:numId w:val="105"/>
        </w:numPr>
        <w:spacing w:line="240" w:lineRule="auto"/>
        <w:ind w:right="-1"/>
        <w:rPr>
          <w:iCs/>
          <w:szCs w:val="22"/>
          <w:lang w:val="pt-PT" w:eastAsia="lt-LT"/>
        </w:rPr>
      </w:pPr>
      <w:r w:rsidRPr="00EB0C7A">
        <w:rPr>
          <w:szCs w:val="22"/>
          <w:lang w:val="pt-PT" w:eastAsia="lt-LT"/>
        </w:rPr>
        <w:t xml:space="preserve">pareikalavus </w:t>
      </w:r>
      <w:r w:rsidR="00611443" w:rsidRPr="00FF397D">
        <w:rPr>
          <w:szCs w:val="22"/>
          <w:lang w:val="lt-LT"/>
        </w:rPr>
        <w:t>Valstybinei vaistų kontrolės tarnybai prie Lietuvos Respublikos sveikatos apsaugos ministerijos</w:t>
      </w:r>
      <w:r w:rsidRPr="00EB0C7A">
        <w:rPr>
          <w:szCs w:val="22"/>
          <w:lang w:val="pt-PT" w:eastAsia="lt-LT"/>
        </w:rPr>
        <w:t>;</w:t>
      </w:r>
    </w:p>
    <w:p w14:paraId="0C561402" w14:textId="77777777" w:rsidR="006C1C5B" w:rsidRPr="00EB0C7A" w:rsidRDefault="006C1C5B" w:rsidP="006C1C5B">
      <w:pPr>
        <w:numPr>
          <w:ilvl w:val="0"/>
          <w:numId w:val="105"/>
        </w:numPr>
        <w:tabs>
          <w:tab w:val="clear" w:pos="567"/>
        </w:tabs>
        <w:spacing w:line="240" w:lineRule="auto"/>
        <w:ind w:left="567" w:right="-1" w:hanging="207"/>
        <w:rPr>
          <w:iCs/>
          <w:szCs w:val="22"/>
          <w:lang w:val="pt-PT" w:eastAsia="lt-LT"/>
        </w:rPr>
      </w:pPr>
      <w:r w:rsidRPr="00EB0C7A">
        <w:rPr>
          <w:szCs w:val="22"/>
          <w:lang w:val="pt-PT" w:eastAsia="lt-LT"/>
        </w:rPr>
        <w:t>kai keičiama rizikos valdymo sistema, ypač gavus naujos informacijos, kuri gali lemti didelį naudos ir rizikos santykio pokytį arba pasiekus svarbų (farmakologinio budrumo ar rizikos mažinimo) etapą.</w:t>
      </w:r>
    </w:p>
    <w:p w14:paraId="5D4A44CD" w14:textId="77777777" w:rsidR="006C1C5B" w:rsidRPr="00EB0C7A" w:rsidRDefault="006C1C5B" w:rsidP="006C1C5B">
      <w:pPr>
        <w:ind w:right="-1"/>
        <w:rPr>
          <w:iCs/>
          <w:szCs w:val="22"/>
          <w:lang w:val="pt-PT" w:eastAsia="lt-LT"/>
        </w:rPr>
      </w:pPr>
    </w:p>
    <w:p w14:paraId="053E4F88" w14:textId="77777777" w:rsidR="00611443" w:rsidRPr="00DB639D" w:rsidRDefault="00611443" w:rsidP="00DB639D">
      <w:pPr>
        <w:snapToGrid w:val="0"/>
        <w:spacing w:line="240" w:lineRule="auto"/>
        <w:ind w:right="-1"/>
        <w:rPr>
          <w:szCs w:val="22"/>
          <w:lang w:val="lt-LT"/>
        </w:rPr>
      </w:pPr>
      <w:r w:rsidRPr="00FF397D">
        <w:rPr>
          <w:szCs w:val="22"/>
          <w:lang w:val="lt-LT"/>
        </w:rPr>
        <w:t>Jei sutampa PASP ir atnaujinto RVP teikimo datos, jie gali būti pateikiami kartu, tik per skirtingas procedūras.</w:t>
      </w:r>
    </w:p>
    <w:p w14:paraId="427DCCD4" w14:textId="77777777" w:rsidR="00611443" w:rsidRPr="00EB0C7A" w:rsidRDefault="00611443" w:rsidP="006C1C5B">
      <w:pPr>
        <w:ind w:right="-1"/>
        <w:rPr>
          <w:iCs/>
          <w:szCs w:val="22"/>
          <w:lang w:val="pt-PT" w:eastAsia="lt-LT"/>
        </w:rPr>
      </w:pPr>
    </w:p>
    <w:p w14:paraId="6F27B23C" w14:textId="77777777" w:rsidR="006C1C5B" w:rsidRPr="00FF397D" w:rsidRDefault="006C1C5B" w:rsidP="006C1C5B">
      <w:pPr>
        <w:numPr>
          <w:ilvl w:val="0"/>
          <w:numId w:val="106"/>
        </w:numPr>
        <w:spacing w:line="240" w:lineRule="auto"/>
        <w:ind w:right="-1" w:hanging="720"/>
        <w:rPr>
          <w:iCs/>
          <w:szCs w:val="22"/>
          <w:lang w:eastAsia="lt-LT"/>
        </w:rPr>
      </w:pPr>
      <w:r w:rsidRPr="00FF397D">
        <w:rPr>
          <w:b/>
          <w:szCs w:val="22"/>
          <w:lang w:eastAsia="lt-LT"/>
        </w:rPr>
        <w:t xml:space="preserve">Papildomos rizikos mažinimo priemonės </w:t>
      </w:r>
    </w:p>
    <w:p w14:paraId="60EDA41A" w14:textId="77777777" w:rsidR="006C1C5B" w:rsidRPr="00FF397D" w:rsidRDefault="006C1C5B" w:rsidP="006C1C5B">
      <w:pPr>
        <w:ind w:right="-1"/>
        <w:rPr>
          <w:iCs/>
          <w:szCs w:val="22"/>
          <w:lang w:eastAsia="lt-LT"/>
        </w:rPr>
      </w:pPr>
    </w:p>
    <w:p w14:paraId="17BD6079" w14:textId="77777777" w:rsidR="006C1C5B" w:rsidRPr="00EB0C7A" w:rsidRDefault="006C1C5B" w:rsidP="006C1C5B">
      <w:pPr>
        <w:rPr>
          <w:szCs w:val="22"/>
          <w:lang w:val="pt-PT"/>
        </w:rPr>
      </w:pPr>
      <w:r w:rsidRPr="00EB0C7A">
        <w:rPr>
          <w:szCs w:val="22"/>
          <w:lang w:val="pt-PT"/>
        </w:rPr>
        <w:t>Mokomoji medžiaga, pateikta  sveikatos priežiūros specialisto (SPS) vadovo ir paciento kortelės forma, turi būti taikoma siekiant išspręsti saugos problemas, susijusias su:</w:t>
      </w:r>
    </w:p>
    <w:p w14:paraId="572AD26E" w14:textId="77777777" w:rsidR="006C1C5B"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t>poveik</w:t>
      </w:r>
      <w:r w:rsidR="00A60D71">
        <w:rPr>
          <w:snapToGrid w:val="0"/>
          <w:szCs w:val="22"/>
        </w:rPr>
        <w:t>iu</w:t>
      </w:r>
      <w:r w:rsidRPr="00FF397D">
        <w:rPr>
          <w:snapToGrid w:val="0"/>
          <w:szCs w:val="22"/>
        </w:rPr>
        <w:t xml:space="preserve"> kepenims;</w:t>
      </w:r>
    </w:p>
    <w:p w14:paraId="20D7A2F3" w14:textId="77777777" w:rsidR="006C1C5B"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lastRenderedPageBreak/>
        <w:t>hipertenzija;</w:t>
      </w:r>
    </w:p>
    <w:p w14:paraId="0B9307B7" w14:textId="77777777" w:rsidR="006C1C5B"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t>poveik</w:t>
      </w:r>
      <w:r w:rsidR="00A60D71">
        <w:rPr>
          <w:snapToGrid w:val="0"/>
          <w:szCs w:val="22"/>
        </w:rPr>
        <w:t>iu</w:t>
      </w:r>
      <w:r w:rsidRPr="00FF397D">
        <w:rPr>
          <w:snapToGrid w:val="0"/>
          <w:szCs w:val="22"/>
        </w:rPr>
        <w:t xml:space="preserve"> kraujui ir kraujo gamybai;</w:t>
      </w:r>
    </w:p>
    <w:p w14:paraId="229BBD3E" w14:textId="77777777" w:rsidR="006C1C5B"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t>infekcijomis;</w:t>
      </w:r>
    </w:p>
    <w:p w14:paraId="4BB7AB1F" w14:textId="77777777" w:rsidR="006C1C5B"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t>teratogeniš</w:t>
      </w:r>
      <w:r w:rsidR="00611443" w:rsidRPr="00FF397D">
        <w:rPr>
          <w:snapToGrid w:val="0"/>
          <w:szCs w:val="22"/>
        </w:rPr>
        <w:t>k</w:t>
      </w:r>
      <w:r w:rsidRPr="00FF397D">
        <w:rPr>
          <w:snapToGrid w:val="0"/>
          <w:szCs w:val="22"/>
        </w:rPr>
        <w:t xml:space="preserve">umu; </w:t>
      </w:r>
    </w:p>
    <w:p w14:paraId="602C958F" w14:textId="77777777" w:rsidR="00611443" w:rsidRPr="00FF397D" w:rsidRDefault="006C1C5B" w:rsidP="006C1C5B">
      <w:pPr>
        <w:pStyle w:val="Sraopastraipa"/>
        <w:numPr>
          <w:ilvl w:val="0"/>
          <w:numId w:val="198"/>
        </w:numPr>
        <w:spacing w:line="240" w:lineRule="auto"/>
        <w:ind w:left="1134" w:hanging="567"/>
        <w:rPr>
          <w:snapToGrid w:val="0"/>
          <w:szCs w:val="22"/>
        </w:rPr>
      </w:pPr>
      <w:r w:rsidRPr="00FF397D">
        <w:rPr>
          <w:snapToGrid w:val="0"/>
          <w:szCs w:val="22"/>
        </w:rPr>
        <w:t>sunkiomis oportunistinėmis infekcijomis, įskaitant progresuojančią daugiažidinin</w:t>
      </w:r>
      <w:r w:rsidR="00611443" w:rsidRPr="00FF397D">
        <w:rPr>
          <w:snapToGrid w:val="0"/>
          <w:szCs w:val="22"/>
        </w:rPr>
        <w:t>ę</w:t>
      </w:r>
    </w:p>
    <w:p w14:paraId="29726BDD" w14:textId="77777777" w:rsidR="006C1C5B" w:rsidRPr="00FF397D" w:rsidRDefault="006C1C5B" w:rsidP="00DB639D">
      <w:pPr>
        <w:pStyle w:val="Sraopastraipa"/>
        <w:spacing w:line="240" w:lineRule="auto"/>
        <w:ind w:left="567"/>
        <w:rPr>
          <w:snapToGrid w:val="0"/>
          <w:szCs w:val="22"/>
        </w:rPr>
      </w:pPr>
      <w:r w:rsidRPr="00FF397D">
        <w:rPr>
          <w:snapToGrid w:val="0"/>
          <w:szCs w:val="22"/>
        </w:rPr>
        <w:t>leukoencefalopatiją.</w:t>
      </w:r>
    </w:p>
    <w:p w14:paraId="25A0B9C1" w14:textId="77777777" w:rsidR="006C1C5B" w:rsidRPr="00FF397D" w:rsidRDefault="006C1C5B" w:rsidP="006C1C5B">
      <w:pPr>
        <w:rPr>
          <w:szCs w:val="22"/>
        </w:rPr>
      </w:pPr>
    </w:p>
    <w:p w14:paraId="2202EAFF" w14:textId="77777777" w:rsidR="006C1C5B" w:rsidRPr="00FF397D" w:rsidRDefault="006C1C5B" w:rsidP="006C1C5B">
      <w:pPr>
        <w:pStyle w:val="Sraopastraipa"/>
        <w:numPr>
          <w:ilvl w:val="0"/>
          <w:numId w:val="199"/>
        </w:numPr>
        <w:spacing w:line="240" w:lineRule="auto"/>
        <w:ind w:left="284" w:hanging="284"/>
        <w:rPr>
          <w:b/>
          <w:bCs/>
          <w:snapToGrid w:val="0"/>
          <w:szCs w:val="22"/>
        </w:rPr>
      </w:pPr>
      <w:r w:rsidRPr="00FF397D">
        <w:rPr>
          <w:b/>
          <w:bCs/>
          <w:snapToGrid w:val="0"/>
          <w:szCs w:val="22"/>
        </w:rPr>
        <w:t>Gydytojo mokomoji medžiaga</w:t>
      </w:r>
    </w:p>
    <w:p w14:paraId="64FDEFDB" w14:textId="77777777" w:rsidR="006C1C5B" w:rsidRPr="00FF397D" w:rsidRDefault="006C1C5B" w:rsidP="006C1C5B">
      <w:pPr>
        <w:pStyle w:val="Sraopastraipa"/>
        <w:numPr>
          <w:ilvl w:val="0"/>
          <w:numId w:val="184"/>
        </w:numPr>
        <w:spacing w:before="120" w:line="240" w:lineRule="auto"/>
        <w:ind w:left="1134" w:hanging="567"/>
        <w:rPr>
          <w:snapToGrid w:val="0"/>
          <w:szCs w:val="22"/>
        </w:rPr>
      </w:pPr>
      <w:r w:rsidRPr="00FF397D">
        <w:rPr>
          <w:snapToGrid w:val="0"/>
          <w:szCs w:val="22"/>
        </w:rPr>
        <w:t>Preparato charakteristikų santrauka (PCS)</w:t>
      </w:r>
    </w:p>
    <w:p w14:paraId="7CE79FBD" w14:textId="77777777" w:rsidR="006C1C5B" w:rsidRPr="00FF397D" w:rsidRDefault="006C1C5B" w:rsidP="006C1C5B">
      <w:pPr>
        <w:pStyle w:val="Sraopastraipa"/>
        <w:numPr>
          <w:ilvl w:val="0"/>
          <w:numId w:val="184"/>
        </w:numPr>
        <w:spacing w:line="240" w:lineRule="auto"/>
        <w:ind w:left="1134" w:hanging="567"/>
        <w:rPr>
          <w:snapToGrid w:val="0"/>
          <w:szCs w:val="22"/>
        </w:rPr>
      </w:pPr>
      <w:r w:rsidRPr="00FF397D">
        <w:rPr>
          <w:snapToGrid w:val="0"/>
          <w:szCs w:val="22"/>
        </w:rPr>
        <w:t>Sveikatos priežiūros specialisto (SPS)vadovas</w:t>
      </w:r>
    </w:p>
    <w:p w14:paraId="5CE8072D" w14:textId="77777777" w:rsidR="006C1C5B" w:rsidRPr="00FF397D" w:rsidRDefault="006C1C5B" w:rsidP="006C1C5B">
      <w:pPr>
        <w:ind w:left="284" w:hanging="284"/>
        <w:rPr>
          <w:szCs w:val="22"/>
        </w:rPr>
      </w:pPr>
    </w:p>
    <w:p w14:paraId="4C682A61" w14:textId="77777777" w:rsidR="006C1C5B" w:rsidRPr="00FF397D" w:rsidRDefault="006C1C5B" w:rsidP="006C1C5B">
      <w:pPr>
        <w:ind w:left="284" w:hanging="284"/>
        <w:rPr>
          <w:b/>
          <w:bCs/>
          <w:szCs w:val="22"/>
        </w:rPr>
      </w:pPr>
      <w:r w:rsidRPr="00FF397D">
        <w:rPr>
          <w:b/>
          <w:bCs/>
          <w:szCs w:val="22"/>
        </w:rPr>
        <w:t>1.1</w:t>
      </w:r>
      <w:r w:rsidRPr="00FF397D">
        <w:rPr>
          <w:b/>
          <w:bCs/>
          <w:szCs w:val="22"/>
        </w:rPr>
        <w:tab/>
        <w:t>.</w:t>
      </w:r>
      <w:r w:rsidRPr="00FF397D">
        <w:rPr>
          <w:b/>
          <w:bCs/>
          <w:szCs w:val="22"/>
        </w:rPr>
        <w:tab/>
        <w:t>Sveikatos priežiūros specialisto vadovas</w:t>
      </w:r>
    </w:p>
    <w:p w14:paraId="532EADB1" w14:textId="77777777" w:rsidR="006C1C5B" w:rsidRPr="006D2BAE" w:rsidRDefault="006C1C5B" w:rsidP="006C1C5B">
      <w:pPr>
        <w:ind w:left="284" w:hanging="284"/>
        <w:rPr>
          <w:szCs w:val="22"/>
          <w:lang w:val="it-CH"/>
        </w:rPr>
      </w:pPr>
      <w:r w:rsidRPr="006D2BAE">
        <w:rPr>
          <w:szCs w:val="22"/>
          <w:lang w:val="it-CH"/>
        </w:rPr>
        <w:t>Sveikatos priežiūros specialisto vadovas apima šiuos pagrindinius elementus:</w:t>
      </w:r>
    </w:p>
    <w:p w14:paraId="40CA5311" w14:textId="77777777" w:rsidR="006C1C5B" w:rsidRPr="006D2BAE" w:rsidRDefault="006C1C5B" w:rsidP="006C1C5B">
      <w:pPr>
        <w:ind w:left="567" w:hanging="283"/>
        <w:rPr>
          <w:szCs w:val="22"/>
          <w:lang w:val="it-CH"/>
        </w:rPr>
      </w:pPr>
      <w:r w:rsidRPr="006D2BAE">
        <w:rPr>
          <w:szCs w:val="22"/>
          <w:lang w:val="it-CH"/>
        </w:rPr>
        <w:t>1</w:t>
      </w:r>
      <w:r w:rsidR="00A60D71" w:rsidRPr="006D2BAE">
        <w:rPr>
          <w:szCs w:val="22"/>
          <w:lang w:val="it-CH"/>
        </w:rPr>
        <w:t>.</w:t>
      </w:r>
      <w:r w:rsidRPr="006D2BAE">
        <w:rPr>
          <w:szCs w:val="22"/>
          <w:lang w:val="it-CH"/>
        </w:rPr>
        <w:t xml:space="preserve"> Prieš pirmą kartą skiriant šį vaistinį preparatą ir reguliariai gydymo metu, SPS su savo pacientais turi aptarti specifinius su teriflunomido vartojimu susijusius toliau išvardytus saugumo klausimus, įskaitant saugiam vartojimui būtinų testų ir atsargumo priemonių aptarimą.</w:t>
      </w:r>
    </w:p>
    <w:p w14:paraId="2CE17F01" w14:textId="77777777" w:rsidR="006C1C5B" w:rsidRPr="00FF397D" w:rsidRDefault="006C1C5B" w:rsidP="006C1C5B">
      <w:pPr>
        <w:pStyle w:val="Sraopastraipa"/>
        <w:numPr>
          <w:ilvl w:val="1"/>
          <w:numId w:val="185"/>
        </w:numPr>
        <w:spacing w:line="240" w:lineRule="auto"/>
        <w:ind w:left="1134" w:hanging="567"/>
        <w:rPr>
          <w:snapToGrid w:val="0"/>
          <w:szCs w:val="22"/>
        </w:rPr>
      </w:pPr>
      <w:r w:rsidRPr="00FF397D">
        <w:rPr>
          <w:snapToGrid w:val="0"/>
          <w:szCs w:val="22"/>
        </w:rPr>
        <w:t>Poveikio kepenims rizika</w:t>
      </w:r>
    </w:p>
    <w:p w14:paraId="61D21C4F" w14:textId="77777777" w:rsidR="006C1C5B" w:rsidRPr="00FF397D" w:rsidRDefault="006C1C5B" w:rsidP="006C1C5B">
      <w:pPr>
        <w:pStyle w:val="Sraopastraipa"/>
        <w:numPr>
          <w:ilvl w:val="0"/>
          <w:numId w:val="186"/>
        </w:numPr>
        <w:spacing w:line="240" w:lineRule="auto"/>
        <w:ind w:left="1701" w:hanging="283"/>
        <w:rPr>
          <w:snapToGrid w:val="0"/>
          <w:szCs w:val="22"/>
        </w:rPr>
      </w:pPr>
      <w:r w:rsidRPr="00FF397D">
        <w:rPr>
          <w:snapToGrid w:val="0"/>
          <w:szCs w:val="22"/>
        </w:rPr>
        <w:t>Kepenų funkcijos tyrimus būtina atlikti prieš pradedant gydymą bei periodiškai jo metu.</w:t>
      </w:r>
    </w:p>
    <w:p w14:paraId="5494DF76" w14:textId="77777777" w:rsidR="006C1C5B" w:rsidRPr="00FF397D" w:rsidRDefault="006C1C5B" w:rsidP="006C1C5B">
      <w:pPr>
        <w:pStyle w:val="Sraopastraipa"/>
        <w:numPr>
          <w:ilvl w:val="0"/>
          <w:numId w:val="186"/>
        </w:numPr>
        <w:spacing w:line="240" w:lineRule="auto"/>
        <w:ind w:left="1701" w:hanging="283"/>
        <w:rPr>
          <w:snapToGrid w:val="0"/>
          <w:szCs w:val="22"/>
        </w:rPr>
      </w:pPr>
      <w:r w:rsidRPr="00FF397D">
        <w:rPr>
          <w:snapToGrid w:val="0"/>
          <w:szCs w:val="22"/>
        </w:rPr>
        <w:t>Pacientus reikia išmokyti atpažinti kepenų ligos požymius ir simptomus ir nurodyti, kad pasireiškus bet kokiam iš tokių požymių ar simptomų, apie tai būtina pranešti savo SPS.</w:t>
      </w:r>
    </w:p>
    <w:p w14:paraId="6E4D86C2" w14:textId="77777777" w:rsidR="006C1C5B" w:rsidRPr="00FF397D" w:rsidRDefault="006C1C5B" w:rsidP="006C1C5B">
      <w:pPr>
        <w:pStyle w:val="Sraopastraipa"/>
        <w:numPr>
          <w:ilvl w:val="1"/>
          <w:numId w:val="185"/>
        </w:numPr>
        <w:spacing w:line="240" w:lineRule="auto"/>
        <w:ind w:left="1134" w:hanging="567"/>
        <w:rPr>
          <w:snapToGrid w:val="0"/>
          <w:szCs w:val="22"/>
        </w:rPr>
      </w:pPr>
      <w:r w:rsidRPr="00FF397D">
        <w:rPr>
          <w:snapToGrid w:val="0"/>
          <w:szCs w:val="22"/>
        </w:rPr>
        <w:t>Galimo teratogeninio poveikio rizika</w:t>
      </w:r>
    </w:p>
    <w:p w14:paraId="2F37B8F6"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Vaisingoms moterims (VM), įskaitant paaugles (bei jų tėvams ar globėjams), reikia priminti, kad teriflunomido draudžiama vartoti nėščioms moterims ir VM, nenaudojančioms veiksmingos kontracepcijos gydymo metu ir po jo.</w:t>
      </w:r>
    </w:p>
    <w:p w14:paraId="07BF9235"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Būtina reguliariai tirti, ar moteris (įskaitant jaunesnes kaip 18 metų pacientes) nepastojo.</w:t>
      </w:r>
    </w:p>
    <w:p w14:paraId="5B58B0C0"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Moteriškos lyties vaikams ir (arba) moteriškos lyties vaikų tėvams ar globėjams reikia pasakyti apie būtinybę kreiptis į vaistinį preparatą skyrusį gydytoją po to, kai teriflunomidu gydomam moteriškos lyties vaikui prasideda menstruacijos. Naujos vaisingos pacientės turi būti pakonsultuotos dėl kontracepcijos ir galimos rizikos vaisiui.</w:t>
      </w:r>
    </w:p>
    <w:p w14:paraId="7481AA1C"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Prieš gydymą reikia patikrinti, ar moteris nėra nėščia.</w:t>
      </w:r>
    </w:p>
    <w:p w14:paraId="2D67F7BF"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Vaisingas pacientes reikia informuoti, kad būtina naudoti veiksmingą kontracepcijos metodą gydymo teriflunomidu metu ir baigus gydymą.</w:t>
      </w:r>
    </w:p>
    <w:p w14:paraId="089832BB"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Reikia priminti pacientei, kad jei ji nutraukia kontracepcijos metodo naudojimą ar nori jį keisti, ji turi nedelsdama informuoti gydytoją.</w:t>
      </w:r>
    </w:p>
    <w:p w14:paraId="51DEE954" w14:textId="77777777" w:rsidR="006C1C5B" w:rsidRPr="00FF397D" w:rsidRDefault="006C1C5B" w:rsidP="006C1C5B">
      <w:pPr>
        <w:pStyle w:val="Sraopastraipa"/>
        <w:numPr>
          <w:ilvl w:val="0"/>
          <w:numId w:val="187"/>
        </w:numPr>
        <w:spacing w:line="240" w:lineRule="auto"/>
        <w:ind w:left="1701" w:hanging="283"/>
        <w:rPr>
          <w:snapToGrid w:val="0"/>
          <w:szCs w:val="22"/>
        </w:rPr>
      </w:pPr>
      <w:r w:rsidRPr="00FF397D">
        <w:rPr>
          <w:snapToGrid w:val="0"/>
          <w:szCs w:val="22"/>
        </w:rPr>
        <w:t>Jei pacientė pastoja nepaisant kontracepcijos metodo naudojimo, ji turi nutraukti teriflunomido vartojimą ir nedelsdama kreiptis į gydytoją, kuris:</w:t>
      </w:r>
    </w:p>
    <w:p w14:paraId="6FAA1A99" w14:textId="77777777" w:rsidR="006C1C5B" w:rsidRPr="00FF397D" w:rsidRDefault="006C1C5B" w:rsidP="006C1C5B">
      <w:pPr>
        <w:pStyle w:val="Sraopastraipa"/>
        <w:numPr>
          <w:ilvl w:val="0"/>
          <w:numId w:val="188"/>
        </w:numPr>
        <w:spacing w:line="240" w:lineRule="auto"/>
        <w:ind w:left="2268" w:hanging="283"/>
        <w:rPr>
          <w:snapToGrid w:val="0"/>
          <w:szCs w:val="22"/>
        </w:rPr>
      </w:pPr>
      <w:r w:rsidRPr="00FF397D">
        <w:rPr>
          <w:snapToGrid w:val="0"/>
          <w:szCs w:val="22"/>
        </w:rPr>
        <w:t>turi apsvarstyti ir su paciente aptarti pagreitintos eliminacijos procedūrą;</w:t>
      </w:r>
    </w:p>
    <w:p w14:paraId="6BCB4CAD" w14:textId="77777777" w:rsidR="006C1C5B" w:rsidRPr="00FF397D" w:rsidRDefault="006C1C5B" w:rsidP="006C1C5B">
      <w:pPr>
        <w:pStyle w:val="Sraopastraipa"/>
        <w:numPr>
          <w:ilvl w:val="0"/>
          <w:numId w:val="188"/>
        </w:numPr>
        <w:spacing w:line="240" w:lineRule="auto"/>
        <w:ind w:left="2268" w:hanging="283"/>
        <w:rPr>
          <w:snapToGrid w:val="0"/>
          <w:szCs w:val="22"/>
        </w:rPr>
      </w:pPr>
      <w:r w:rsidRPr="00FF397D">
        <w:rPr>
          <w:snapToGrid w:val="0"/>
          <w:szCs w:val="22"/>
        </w:rPr>
        <w:t>pranešti apie bet kokį neštumo atvejį nacionaliniam registruotojui telefonu arba elektroniniu paštu, neatsižvelgiant į pastebėtus nepageidaujamus reiškinius).</w:t>
      </w:r>
    </w:p>
    <w:p w14:paraId="714974AB" w14:textId="77777777" w:rsidR="006C1C5B" w:rsidRPr="00FF397D" w:rsidRDefault="006C1C5B" w:rsidP="006C1C5B">
      <w:pPr>
        <w:pStyle w:val="Sraopastraipa"/>
        <w:numPr>
          <w:ilvl w:val="1"/>
          <w:numId w:val="185"/>
        </w:numPr>
        <w:spacing w:line="240" w:lineRule="auto"/>
        <w:ind w:left="1134" w:hanging="567"/>
        <w:rPr>
          <w:snapToGrid w:val="0"/>
          <w:szCs w:val="22"/>
        </w:rPr>
      </w:pPr>
      <w:r w:rsidRPr="00FF397D">
        <w:rPr>
          <w:snapToGrid w:val="0"/>
          <w:szCs w:val="22"/>
        </w:rPr>
        <w:t>Hipertenzijos rizika</w:t>
      </w:r>
    </w:p>
    <w:p w14:paraId="2A0DACA6" w14:textId="77777777" w:rsidR="006C1C5B" w:rsidRPr="00FF397D" w:rsidRDefault="006C1C5B" w:rsidP="006C1C5B">
      <w:pPr>
        <w:pStyle w:val="Sraopastraipa"/>
        <w:numPr>
          <w:ilvl w:val="0"/>
          <w:numId w:val="189"/>
        </w:numPr>
        <w:spacing w:line="240" w:lineRule="auto"/>
        <w:ind w:left="1701" w:hanging="283"/>
        <w:rPr>
          <w:snapToGrid w:val="0"/>
          <w:szCs w:val="22"/>
        </w:rPr>
      </w:pPr>
      <w:r w:rsidRPr="00FF397D">
        <w:rPr>
          <w:snapToGrid w:val="0"/>
          <w:szCs w:val="22"/>
        </w:rPr>
        <w:t>Būtina patikrinti, ar pacientas nesirgo hipertenzija, bei gydymo metu būtina užtikrinti tinkamą kraujospūdžio kontrolę.</w:t>
      </w:r>
    </w:p>
    <w:p w14:paraId="69A51EC4" w14:textId="77777777" w:rsidR="006C1C5B" w:rsidRPr="00FF397D" w:rsidRDefault="006C1C5B" w:rsidP="006C1C5B">
      <w:pPr>
        <w:pStyle w:val="Sraopastraipa"/>
        <w:numPr>
          <w:ilvl w:val="0"/>
          <w:numId w:val="189"/>
        </w:numPr>
        <w:spacing w:line="240" w:lineRule="auto"/>
        <w:ind w:left="1701" w:hanging="283"/>
        <w:rPr>
          <w:snapToGrid w:val="0"/>
          <w:szCs w:val="22"/>
        </w:rPr>
      </w:pPr>
      <w:r w:rsidRPr="00FF397D">
        <w:rPr>
          <w:snapToGrid w:val="0"/>
          <w:szCs w:val="22"/>
        </w:rPr>
        <w:t>Būtina matuoti kraujospūdį prieš gydymą bei periodiškai jo metu.</w:t>
      </w:r>
    </w:p>
    <w:p w14:paraId="7E9A2376" w14:textId="77777777" w:rsidR="006C1C5B" w:rsidRPr="00FF397D" w:rsidRDefault="006C1C5B" w:rsidP="006C1C5B">
      <w:pPr>
        <w:pStyle w:val="Sraopastraipa"/>
        <w:numPr>
          <w:ilvl w:val="1"/>
          <w:numId w:val="190"/>
        </w:numPr>
        <w:spacing w:line="240" w:lineRule="auto"/>
        <w:ind w:left="1134" w:hanging="567"/>
        <w:rPr>
          <w:snapToGrid w:val="0"/>
          <w:szCs w:val="22"/>
        </w:rPr>
      </w:pPr>
      <w:r w:rsidRPr="00FF397D">
        <w:rPr>
          <w:snapToGrid w:val="0"/>
          <w:szCs w:val="22"/>
        </w:rPr>
        <w:t>Poveikio kraujui ir kraujodarai rizika</w:t>
      </w:r>
    </w:p>
    <w:p w14:paraId="7A4F5309" w14:textId="77777777" w:rsidR="006C1C5B" w:rsidRPr="00FF397D" w:rsidRDefault="006C1C5B" w:rsidP="006C1C5B">
      <w:pPr>
        <w:pStyle w:val="Sraopastraipa"/>
        <w:numPr>
          <w:ilvl w:val="0"/>
          <w:numId w:val="191"/>
        </w:numPr>
        <w:spacing w:line="240" w:lineRule="auto"/>
        <w:ind w:left="1701" w:hanging="283"/>
        <w:rPr>
          <w:snapToGrid w:val="0"/>
          <w:szCs w:val="22"/>
        </w:rPr>
      </w:pPr>
      <w:r w:rsidRPr="00FF397D">
        <w:rPr>
          <w:snapToGrid w:val="0"/>
          <w:szCs w:val="22"/>
        </w:rPr>
        <w:t>Būtina aptarti kraujo ląstelių skaičiaus sumažėjimo riziką (daugiausiai baltųjų kraujo ląstelių) ir poreikį atlikti bendrąjį kraujo tyrimą prieš pradedant gydymą bei periodiškai jo metu (remiantis pasireiškiančiais požymiais ir simptomais).</w:t>
      </w:r>
    </w:p>
    <w:p w14:paraId="50317322" w14:textId="77777777" w:rsidR="006C1C5B" w:rsidRPr="00FF397D" w:rsidRDefault="006C1C5B" w:rsidP="006C1C5B">
      <w:pPr>
        <w:pStyle w:val="Sraopastraipa"/>
        <w:numPr>
          <w:ilvl w:val="1"/>
          <w:numId w:val="190"/>
        </w:numPr>
        <w:spacing w:line="240" w:lineRule="auto"/>
        <w:ind w:left="1134" w:hanging="567"/>
        <w:rPr>
          <w:snapToGrid w:val="0"/>
          <w:szCs w:val="22"/>
        </w:rPr>
      </w:pPr>
      <w:r w:rsidRPr="00FF397D">
        <w:rPr>
          <w:snapToGrid w:val="0"/>
          <w:szCs w:val="22"/>
        </w:rPr>
        <w:t>Infekcijos, įskaitant sunkią, rizika</w:t>
      </w:r>
    </w:p>
    <w:p w14:paraId="141ACABA" w14:textId="77777777" w:rsidR="006C1C5B" w:rsidRPr="00FF397D" w:rsidRDefault="006C1C5B" w:rsidP="006C1C5B">
      <w:pPr>
        <w:pStyle w:val="Sraopastraipa"/>
        <w:numPr>
          <w:ilvl w:val="0"/>
          <w:numId w:val="191"/>
        </w:numPr>
        <w:spacing w:line="240" w:lineRule="auto"/>
        <w:ind w:left="1701" w:hanging="283"/>
        <w:rPr>
          <w:snapToGrid w:val="0"/>
          <w:szCs w:val="22"/>
        </w:rPr>
      </w:pPr>
      <w:r w:rsidRPr="00FF397D">
        <w:rPr>
          <w:snapToGrid w:val="0"/>
          <w:szCs w:val="22"/>
        </w:rPr>
        <w:t xml:space="preserve">Būtina aptarti būtinybę kreiptis į gydytoją, jei atsiranda infekcinės ligos požymių ar simptomų arba jei pacientas vartoja imuninę sistemą veikiančių vaistinių preparatų. </w:t>
      </w:r>
      <w:r w:rsidRPr="00FF397D">
        <w:rPr>
          <w:snapToGrid w:val="0"/>
          <w:szCs w:val="22"/>
        </w:rPr>
        <w:lastRenderedPageBreak/>
        <w:t>Jei pasireiškia sunki infekcija, apsvarstykite pagreitintos eliminacijos iš organizmo procedūrą.</w:t>
      </w:r>
    </w:p>
    <w:p w14:paraId="62E00035" w14:textId="77777777" w:rsidR="006C1C5B" w:rsidRPr="006D2BAE" w:rsidRDefault="006C1C5B" w:rsidP="006C1C5B">
      <w:pPr>
        <w:ind w:left="284" w:hanging="284"/>
        <w:rPr>
          <w:szCs w:val="22"/>
          <w:lang w:val="lt-LT"/>
        </w:rPr>
      </w:pPr>
      <w:r w:rsidRPr="006D2BAE">
        <w:rPr>
          <w:szCs w:val="22"/>
          <w:lang w:val="lt-LT"/>
        </w:rPr>
        <w:t>2</w:t>
      </w:r>
      <w:r w:rsidR="00752E1B" w:rsidRPr="006D2BAE">
        <w:rPr>
          <w:szCs w:val="22"/>
          <w:lang w:val="lt-LT"/>
        </w:rPr>
        <w:t>.</w:t>
      </w:r>
      <w:r w:rsidRPr="006D2BAE">
        <w:rPr>
          <w:szCs w:val="22"/>
          <w:lang w:val="lt-LT"/>
        </w:rPr>
        <w:t xml:space="preserve"> Priminimas, kad pacientams ar teisiniams atstovams reikia duoti Paciento edukacinę kortelę (įrašius savo kontaktinius duomenis) ir, jei reikia, duoti pakaitinę Paciento edukacinę kortelę.</w:t>
      </w:r>
    </w:p>
    <w:p w14:paraId="4674EBC3" w14:textId="77777777" w:rsidR="006C1C5B" w:rsidRPr="006D2BAE" w:rsidRDefault="006C1C5B" w:rsidP="006C1C5B">
      <w:pPr>
        <w:ind w:left="284" w:hanging="284"/>
        <w:rPr>
          <w:szCs w:val="22"/>
          <w:lang w:val="lt-LT"/>
        </w:rPr>
      </w:pPr>
      <w:r w:rsidRPr="006D2BAE">
        <w:rPr>
          <w:szCs w:val="22"/>
          <w:lang w:val="lt-LT"/>
        </w:rPr>
        <w:t>3</w:t>
      </w:r>
      <w:r w:rsidR="00752E1B" w:rsidRPr="006D2BAE">
        <w:rPr>
          <w:szCs w:val="22"/>
          <w:lang w:val="lt-LT"/>
        </w:rPr>
        <w:t>.</w:t>
      </w:r>
      <w:r w:rsidRPr="006D2BAE">
        <w:rPr>
          <w:szCs w:val="22"/>
          <w:lang w:val="lt-LT"/>
        </w:rPr>
        <w:t xml:space="preserve"> Priminimas reguliariai su pacientu ar teisiniu atstovu aptarti Paciento edukacinės kortelės turinį kiekvienos konsultacijos metu bent kartą per metus gydymo metu.</w:t>
      </w:r>
    </w:p>
    <w:p w14:paraId="0E857102" w14:textId="77777777" w:rsidR="006C1C5B" w:rsidRPr="006D2BAE" w:rsidRDefault="006C1C5B" w:rsidP="006C1C5B">
      <w:pPr>
        <w:ind w:left="284" w:hanging="284"/>
        <w:rPr>
          <w:szCs w:val="22"/>
          <w:lang w:val="lt-LT"/>
        </w:rPr>
      </w:pPr>
      <w:r w:rsidRPr="006D2BAE">
        <w:rPr>
          <w:szCs w:val="22"/>
          <w:lang w:val="lt-LT"/>
        </w:rPr>
        <w:t>4</w:t>
      </w:r>
      <w:r w:rsidR="00752E1B" w:rsidRPr="006D2BAE">
        <w:rPr>
          <w:szCs w:val="22"/>
          <w:lang w:val="lt-LT"/>
        </w:rPr>
        <w:t>.</w:t>
      </w:r>
      <w:r w:rsidRPr="006D2BAE">
        <w:rPr>
          <w:szCs w:val="22"/>
          <w:lang w:val="lt-LT"/>
        </w:rPr>
        <w:t xml:space="preserve"> Paciento paskatinimas, kad jis kreiptųsi į savo IS (išsėtinės sklerozės) ar bendrosios praktikos gydytoją, jei atsiranda bet kuris iš paciento mokomojoje kortelėje aptariamų požymių ir simptomų.</w:t>
      </w:r>
    </w:p>
    <w:p w14:paraId="304D130C" w14:textId="77777777" w:rsidR="006C1C5B" w:rsidRPr="006D2BAE" w:rsidRDefault="006C1C5B" w:rsidP="006C1C5B">
      <w:pPr>
        <w:ind w:left="284" w:hanging="284"/>
        <w:rPr>
          <w:szCs w:val="22"/>
          <w:lang w:val="lt-LT"/>
        </w:rPr>
      </w:pPr>
      <w:r w:rsidRPr="006D2BAE">
        <w:rPr>
          <w:szCs w:val="22"/>
          <w:lang w:val="lt-LT"/>
        </w:rPr>
        <w:t>5</w:t>
      </w:r>
      <w:r w:rsidR="00752E1B" w:rsidRPr="006D2BAE">
        <w:rPr>
          <w:szCs w:val="22"/>
          <w:lang w:val="lt-LT"/>
        </w:rPr>
        <w:t>.</w:t>
      </w:r>
      <w:r w:rsidRPr="006D2BAE">
        <w:rPr>
          <w:szCs w:val="22"/>
          <w:lang w:val="lt-LT"/>
        </w:rPr>
        <w:t xml:space="preserve"> Pratęsiant gydymą ir išrašant naują receptą, turi būti tikrinamos nepageidaujamos reakcijos, aptariama esama rizika ir jų prevencija bei atliekami patikrinimai siekiant užtikrinti tinkamą stebėseną.</w:t>
      </w:r>
    </w:p>
    <w:p w14:paraId="17E08B7A" w14:textId="77777777" w:rsidR="006C1C5B" w:rsidRPr="006D2BAE" w:rsidRDefault="006C1C5B" w:rsidP="006C1C5B">
      <w:pPr>
        <w:ind w:left="284" w:hanging="284"/>
        <w:rPr>
          <w:szCs w:val="22"/>
          <w:lang w:val="lt-LT"/>
        </w:rPr>
      </w:pPr>
    </w:p>
    <w:p w14:paraId="1C53922D" w14:textId="77777777" w:rsidR="006C1C5B" w:rsidRPr="00FF397D" w:rsidRDefault="006C1C5B" w:rsidP="006C1C5B">
      <w:pPr>
        <w:pStyle w:val="Sraopastraipa"/>
        <w:numPr>
          <w:ilvl w:val="0"/>
          <w:numId w:val="199"/>
        </w:numPr>
        <w:spacing w:after="120" w:line="240" w:lineRule="auto"/>
        <w:ind w:left="284" w:hanging="284"/>
        <w:rPr>
          <w:b/>
          <w:bCs/>
          <w:snapToGrid w:val="0"/>
          <w:szCs w:val="22"/>
        </w:rPr>
      </w:pPr>
      <w:r w:rsidRPr="00FF397D">
        <w:rPr>
          <w:b/>
          <w:bCs/>
          <w:snapToGrid w:val="0"/>
          <w:szCs w:val="22"/>
        </w:rPr>
        <w:t>Paciento informacijos paketas</w:t>
      </w:r>
    </w:p>
    <w:p w14:paraId="4D1B8D6E" w14:textId="77777777" w:rsidR="006C1C5B" w:rsidRPr="00FF397D" w:rsidRDefault="006C1C5B" w:rsidP="006C1C5B">
      <w:pPr>
        <w:pStyle w:val="Sraopastraipa"/>
        <w:numPr>
          <w:ilvl w:val="0"/>
          <w:numId w:val="200"/>
        </w:numPr>
        <w:spacing w:before="120" w:line="240" w:lineRule="auto"/>
        <w:ind w:left="851" w:hanging="284"/>
        <w:rPr>
          <w:snapToGrid w:val="0"/>
          <w:szCs w:val="22"/>
        </w:rPr>
      </w:pPr>
      <w:r w:rsidRPr="00FF397D">
        <w:rPr>
          <w:snapToGrid w:val="0"/>
          <w:szCs w:val="22"/>
        </w:rPr>
        <w:t>Pakuotės lapelis (PL)</w:t>
      </w:r>
    </w:p>
    <w:p w14:paraId="350DA0EF" w14:textId="77777777" w:rsidR="006C1C5B" w:rsidRPr="00FF397D" w:rsidRDefault="006C1C5B" w:rsidP="006C1C5B">
      <w:pPr>
        <w:pStyle w:val="Sraopastraipa"/>
        <w:numPr>
          <w:ilvl w:val="0"/>
          <w:numId w:val="200"/>
        </w:numPr>
        <w:spacing w:line="240" w:lineRule="auto"/>
        <w:ind w:left="851" w:hanging="284"/>
        <w:rPr>
          <w:snapToGrid w:val="0"/>
          <w:szCs w:val="22"/>
        </w:rPr>
      </w:pPr>
      <w:r w:rsidRPr="00FF397D">
        <w:rPr>
          <w:snapToGrid w:val="0"/>
          <w:szCs w:val="22"/>
        </w:rPr>
        <w:t>Paciento kortelė</w:t>
      </w:r>
    </w:p>
    <w:p w14:paraId="66E3C0D8" w14:textId="77777777" w:rsidR="006C1C5B" w:rsidRPr="00FF397D" w:rsidRDefault="006C1C5B" w:rsidP="006C1C5B">
      <w:pPr>
        <w:ind w:left="284" w:hanging="284"/>
        <w:rPr>
          <w:szCs w:val="22"/>
        </w:rPr>
      </w:pPr>
    </w:p>
    <w:p w14:paraId="4A6A1E5F" w14:textId="77777777" w:rsidR="006C1C5B" w:rsidRPr="00FF397D" w:rsidRDefault="006C1C5B" w:rsidP="006C1C5B">
      <w:pPr>
        <w:tabs>
          <w:tab w:val="left" w:pos="426"/>
        </w:tabs>
        <w:rPr>
          <w:b/>
          <w:bCs/>
          <w:szCs w:val="22"/>
        </w:rPr>
      </w:pPr>
      <w:r w:rsidRPr="00FF397D">
        <w:rPr>
          <w:b/>
          <w:bCs/>
          <w:szCs w:val="22"/>
        </w:rPr>
        <w:t>2.1</w:t>
      </w:r>
      <w:r w:rsidRPr="00FF397D">
        <w:rPr>
          <w:b/>
          <w:bCs/>
          <w:szCs w:val="22"/>
        </w:rPr>
        <w:tab/>
        <w:t>Paciento kortelė</w:t>
      </w:r>
    </w:p>
    <w:p w14:paraId="641BFEAC" w14:textId="77777777" w:rsidR="006C1C5B" w:rsidRPr="00FF397D" w:rsidRDefault="006C1C5B" w:rsidP="006C1C5B">
      <w:pPr>
        <w:rPr>
          <w:szCs w:val="22"/>
        </w:rPr>
      </w:pPr>
    </w:p>
    <w:p w14:paraId="2105F65C" w14:textId="77777777" w:rsidR="006C1C5B" w:rsidRPr="00EB0C7A" w:rsidRDefault="006C1C5B" w:rsidP="006C1C5B">
      <w:pPr>
        <w:rPr>
          <w:szCs w:val="22"/>
          <w:lang w:val="pt-PT"/>
        </w:rPr>
      </w:pPr>
      <w:r w:rsidRPr="00EB0C7A">
        <w:rPr>
          <w:szCs w:val="22"/>
          <w:lang w:val="pt-PT"/>
        </w:rPr>
        <w:t>Pacientams skirta mokomoji kortelė yra suderinta su ženklinimo informacija ir joje yra toliau išvardyti svarbiausi elementai.</w:t>
      </w:r>
    </w:p>
    <w:p w14:paraId="7CC8F425" w14:textId="77777777" w:rsidR="006C1C5B" w:rsidRPr="00EB0C7A" w:rsidRDefault="006C1C5B" w:rsidP="006C1C5B">
      <w:pPr>
        <w:ind w:left="567" w:hanging="283"/>
        <w:rPr>
          <w:szCs w:val="22"/>
          <w:lang w:val="pt-PT"/>
        </w:rPr>
      </w:pPr>
      <w:r w:rsidRPr="00EB0C7A">
        <w:rPr>
          <w:szCs w:val="22"/>
          <w:lang w:val="pt-PT"/>
        </w:rPr>
        <w:t>1</w:t>
      </w:r>
      <w:r w:rsidR="00752E1B" w:rsidRPr="00EB0C7A">
        <w:rPr>
          <w:szCs w:val="22"/>
          <w:lang w:val="pt-PT"/>
        </w:rPr>
        <w:t>.</w:t>
      </w:r>
      <w:r w:rsidRPr="00EB0C7A">
        <w:rPr>
          <w:szCs w:val="22"/>
          <w:lang w:val="pt-PT"/>
        </w:rPr>
        <w:t xml:space="preserve"> Priminimas ir pacientui, ir visiems į jo gydymą įtrauktiems SPS, kad pacientas yra gydomas teriflunomidu, t. y. vaistu:</w:t>
      </w:r>
    </w:p>
    <w:p w14:paraId="444B2FA5" w14:textId="77777777" w:rsidR="006C1C5B" w:rsidRPr="00FF397D" w:rsidRDefault="006C1C5B" w:rsidP="006C1C5B">
      <w:pPr>
        <w:pStyle w:val="Sraopastraipa"/>
        <w:numPr>
          <w:ilvl w:val="1"/>
          <w:numId w:val="192"/>
        </w:numPr>
        <w:spacing w:line="240" w:lineRule="auto"/>
        <w:ind w:left="1134" w:hanging="567"/>
        <w:rPr>
          <w:snapToGrid w:val="0"/>
          <w:szCs w:val="22"/>
        </w:rPr>
      </w:pPr>
      <w:r w:rsidRPr="00FF397D">
        <w:rPr>
          <w:snapToGrid w:val="0"/>
          <w:szCs w:val="22"/>
        </w:rPr>
        <w:t>kurio draudžiama vartoti nėščioms moterims;</w:t>
      </w:r>
    </w:p>
    <w:p w14:paraId="136F9EB1" w14:textId="77777777" w:rsidR="006C1C5B" w:rsidRPr="00FF397D" w:rsidRDefault="006C1C5B" w:rsidP="006C1C5B">
      <w:pPr>
        <w:pStyle w:val="Sraopastraipa"/>
        <w:numPr>
          <w:ilvl w:val="1"/>
          <w:numId w:val="192"/>
        </w:numPr>
        <w:spacing w:line="240" w:lineRule="auto"/>
        <w:ind w:left="1134" w:hanging="567"/>
        <w:rPr>
          <w:snapToGrid w:val="0"/>
          <w:szCs w:val="22"/>
        </w:rPr>
      </w:pPr>
      <w:r w:rsidRPr="00FF397D">
        <w:rPr>
          <w:snapToGrid w:val="0"/>
          <w:szCs w:val="22"/>
        </w:rPr>
        <w:t>kurio vartojančios vaisingos moterys turi naudoti veiksmingą kontracepcijos metodą;</w:t>
      </w:r>
    </w:p>
    <w:p w14:paraId="3C27A64C" w14:textId="77777777" w:rsidR="006C1C5B" w:rsidRPr="00FF397D" w:rsidRDefault="006C1C5B" w:rsidP="006C1C5B">
      <w:pPr>
        <w:pStyle w:val="Sraopastraipa"/>
        <w:numPr>
          <w:ilvl w:val="1"/>
          <w:numId w:val="192"/>
        </w:numPr>
        <w:spacing w:line="240" w:lineRule="auto"/>
        <w:ind w:left="1134" w:hanging="567"/>
        <w:rPr>
          <w:snapToGrid w:val="0"/>
          <w:szCs w:val="22"/>
        </w:rPr>
      </w:pPr>
      <w:r w:rsidRPr="00FF397D">
        <w:rPr>
          <w:snapToGrid w:val="0"/>
          <w:szCs w:val="22"/>
        </w:rPr>
        <w:t>prieš kurio vartojimą būtina patikrinti, ar moteris nėra nėščia;</w:t>
      </w:r>
    </w:p>
    <w:p w14:paraId="58237BB6" w14:textId="77777777" w:rsidR="006C1C5B" w:rsidRPr="00FF397D" w:rsidRDefault="006C1C5B" w:rsidP="006C1C5B">
      <w:pPr>
        <w:pStyle w:val="Sraopastraipa"/>
        <w:numPr>
          <w:ilvl w:val="1"/>
          <w:numId w:val="192"/>
        </w:numPr>
        <w:spacing w:line="240" w:lineRule="auto"/>
        <w:ind w:left="1134" w:hanging="567"/>
        <w:rPr>
          <w:snapToGrid w:val="0"/>
          <w:szCs w:val="22"/>
        </w:rPr>
      </w:pPr>
      <w:r w:rsidRPr="00FF397D">
        <w:rPr>
          <w:snapToGrid w:val="0"/>
          <w:szCs w:val="22"/>
        </w:rPr>
        <w:t>kuris sukelia poveikį kepenų funkcijai;</w:t>
      </w:r>
    </w:p>
    <w:p w14:paraId="644DE79B" w14:textId="77777777" w:rsidR="006C1C5B" w:rsidRPr="00FF397D" w:rsidRDefault="006C1C5B" w:rsidP="006C1C5B">
      <w:pPr>
        <w:pStyle w:val="Sraopastraipa"/>
        <w:numPr>
          <w:ilvl w:val="1"/>
          <w:numId w:val="192"/>
        </w:numPr>
        <w:spacing w:line="240" w:lineRule="auto"/>
        <w:ind w:left="1134" w:hanging="567"/>
        <w:rPr>
          <w:snapToGrid w:val="0"/>
          <w:szCs w:val="22"/>
        </w:rPr>
      </w:pPr>
      <w:r w:rsidRPr="00FF397D">
        <w:rPr>
          <w:snapToGrid w:val="0"/>
          <w:szCs w:val="22"/>
        </w:rPr>
        <w:t>kuris sukelia poveikį kraujo ląstelių kiekiui ir imuninei sistemai.</w:t>
      </w:r>
    </w:p>
    <w:p w14:paraId="1BBB1421" w14:textId="77777777" w:rsidR="006C1C5B" w:rsidRPr="006D2BAE" w:rsidRDefault="006C1C5B" w:rsidP="006C1C5B">
      <w:pPr>
        <w:ind w:left="567" w:hanging="283"/>
        <w:rPr>
          <w:szCs w:val="22"/>
          <w:lang w:val="it-CH"/>
        </w:rPr>
      </w:pPr>
      <w:r w:rsidRPr="006D2BAE">
        <w:rPr>
          <w:szCs w:val="22"/>
          <w:lang w:val="it-CH"/>
        </w:rPr>
        <w:t>2</w:t>
      </w:r>
      <w:r w:rsidR="00752E1B" w:rsidRPr="006D2BAE">
        <w:rPr>
          <w:szCs w:val="22"/>
          <w:lang w:val="it-CH"/>
        </w:rPr>
        <w:t>.</w:t>
      </w:r>
      <w:r w:rsidRPr="006D2BAE">
        <w:rPr>
          <w:szCs w:val="22"/>
          <w:lang w:val="it-CH"/>
        </w:rPr>
        <w:t xml:space="preserve"> Mokomoji informacija pacientui apie svarbų šalutinį poveikį:</w:t>
      </w:r>
    </w:p>
    <w:p w14:paraId="73000243" w14:textId="77777777" w:rsidR="006C1C5B" w:rsidRPr="00FF397D" w:rsidRDefault="006C1C5B" w:rsidP="006C1C5B">
      <w:pPr>
        <w:pStyle w:val="Sraopastraipa"/>
        <w:numPr>
          <w:ilvl w:val="0"/>
          <w:numId w:val="193"/>
        </w:numPr>
        <w:spacing w:line="240" w:lineRule="auto"/>
        <w:ind w:left="1134" w:hanging="567"/>
        <w:rPr>
          <w:snapToGrid w:val="0"/>
          <w:szCs w:val="22"/>
        </w:rPr>
      </w:pPr>
      <w:r w:rsidRPr="00FF397D">
        <w:rPr>
          <w:snapToGrid w:val="0"/>
          <w:szCs w:val="22"/>
        </w:rPr>
        <w:t>Atkreipti dėmesį į tam tikrus požymius ir simptomus, kurie gali rodyti kepenų ligą ar infekcinę ligą, bei nedelsiant kreiptis į savo gydytoją ar SPS, jei atsiranda bet kuris nurodytas požymis ar simptomas.</w:t>
      </w:r>
    </w:p>
    <w:p w14:paraId="6263C118" w14:textId="77777777" w:rsidR="006C1C5B" w:rsidRPr="00FF397D" w:rsidRDefault="006C1C5B" w:rsidP="006C1C5B">
      <w:pPr>
        <w:pStyle w:val="Sraopastraipa"/>
        <w:numPr>
          <w:ilvl w:val="0"/>
          <w:numId w:val="193"/>
        </w:numPr>
        <w:spacing w:line="240" w:lineRule="auto"/>
        <w:ind w:left="1134" w:hanging="567"/>
        <w:rPr>
          <w:snapToGrid w:val="0"/>
          <w:szCs w:val="22"/>
        </w:rPr>
      </w:pPr>
      <w:r w:rsidRPr="00FF397D">
        <w:rPr>
          <w:snapToGrid w:val="0"/>
          <w:szCs w:val="22"/>
        </w:rPr>
        <w:t>Priminti vaisto vartojančioms moterims, kad pasakytų savo gydytojui, jei maitina krūtimi.</w:t>
      </w:r>
    </w:p>
    <w:p w14:paraId="27F3A032" w14:textId="77777777" w:rsidR="006C1C5B" w:rsidRPr="00FF397D" w:rsidRDefault="006C1C5B" w:rsidP="006C1C5B">
      <w:pPr>
        <w:pStyle w:val="Sraopastraipa"/>
        <w:numPr>
          <w:ilvl w:val="1"/>
          <w:numId w:val="193"/>
        </w:numPr>
        <w:spacing w:line="240" w:lineRule="auto"/>
        <w:ind w:left="1134" w:hanging="567"/>
        <w:rPr>
          <w:snapToGrid w:val="0"/>
          <w:szCs w:val="22"/>
        </w:rPr>
      </w:pPr>
      <w:r w:rsidRPr="00FF397D">
        <w:rPr>
          <w:snapToGrid w:val="0"/>
          <w:szCs w:val="22"/>
        </w:rPr>
        <w:t>Priminti vaisingoms moterims, įskaitant merginas ir jų tėvus ar globėjus:</w:t>
      </w:r>
    </w:p>
    <w:p w14:paraId="485555E9" w14:textId="77777777" w:rsidR="006C1C5B" w:rsidRPr="00FF397D" w:rsidRDefault="006C1C5B" w:rsidP="006C1C5B">
      <w:pPr>
        <w:pStyle w:val="Sraopastraipa"/>
        <w:numPr>
          <w:ilvl w:val="0"/>
          <w:numId w:val="194"/>
        </w:numPr>
        <w:spacing w:line="240" w:lineRule="auto"/>
        <w:ind w:left="1701" w:hanging="283"/>
        <w:rPr>
          <w:snapToGrid w:val="0"/>
          <w:szCs w:val="22"/>
        </w:rPr>
      </w:pPr>
      <w:r w:rsidRPr="00FF397D">
        <w:rPr>
          <w:snapToGrid w:val="0"/>
          <w:szCs w:val="22"/>
        </w:rPr>
        <w:t>taikyti veiksmingą kontracepciją gydymo teriflunomidu metu ir po jo;</w:t>
      </w:r>
    </w:p>
    <w:p w14:paraId="0CCDAAE2" w14:textId="77777777" w:rsidR="006C1C5B" w:rsidRPr="00FF397D" w:rsidRDefault="006C1C5B" w:rsidP="006C1C5B">
      <w:pPr>
        <w:pStyle w:val="Sraopastraipa"/>
        <w:numPr>
          <w:ilvl w:val="0"/>
          <w:numId w:val="194"/>
        </w:numPr>
        <w:spacing w:line="240" w:lineRule="auto"/>
        <w:ind w:left="1701" w:hanging="283"/>
        <w:rPr>
          <w:snapToGrid w:val="0"/>
          <w:szCs w:val="22"/>
        </w:rPr>
      </w:pPr>
      <w:r w:rsidRPr="00FF397D">
        <w:rPr>
          <w:snapToGrid w:val="0"/>
          <w:szCs w:val="22"/>
        </w:rPr>
        <w:t>kad gydytojas pateiks informacijos dėl galimos rizikos vaisiui ir būtinybės taikyti veiksmingą kontracepciją;</w:t>
      </w:r>
    </w:p>
    <w:p w14:paraId="49214E68" w14:textId="77777777" w:rsidR="006C1C5B" w:rsidRPr="00752E1B" w:rsidRDefault="006C1C5B" w:rsidP="00752E1B">
      <w:pPr>
        <w:pStyle w:val="Sraopastraipa"/>
        <w:numPr>
          <w:ilvl w:val="0"/>
          <w:numId w:val="194"/>
        </w:numPr>
        <w:spacing w:line="240" w:lineRule="auto"/>
        <w:ind w:left="1701" w:hanging="283"/>
        <w:rPr>
          <w:snapToGrid w:val="0"/>
          <w:szCs w:val="22"/>
        </w:rPr>
      </w:pPr>
      <w:r w:rsidRPr="00FF397D">
        <w:rPr>
          <w:snapToGrid w:val="0"/>
          <w:szCs w:val="22"/>
        </w:rPr>
        <w:t>jei moteris mano, kad ji galėjo pastoti, būtina nedelsiant nutraukti teriflunomido</w:t>
      </w:r>
      <w:r w:rsidR="00752E1B">
        <w:rPr>
          <w:snapToGrid w:val="0"/>
          <w:szCs w:val="22"/>
        </w:rPr>
        <w:t xml:space="preserve"> </w:t>
      </w:r>
      <w:r w:rsidRPr="00752E1B">
        <w:rPr>
          <w:snapToGrid w:val="0"/>
          <w:szCs w:val="22"/>
        </w:rPr>
        <w:t>vartojimą ir nedelsiant kreiptis į gydytoją.</w:t>
      </w:r>
    </w:p>
    <w:p w14:paraId="1DC9CF5D" w14:textId="77777777" w:rsidR="006C1C5B" w:rsidRPr="00FF397D" w:rsidRDefault="006C1C5B" w:rsidP="006C1C5B">
      <w:pPr>
        <w:pStyle w:val="Sraopastraipa"/>
        <w:numPr>
          <w:ilvl w:val="1"/>
          <w:numId w:val="195"/>
        </w:numPr>
        <w:spacing w:line="240" w:lineRule="auto"/>
        <w:ind w:left="1134" w:hanging="567"/>
        <w:rPr>
          <w:snapToGrid w:val="0"/>
          <w:szCs w:val="22"/>
        </w:rPr>
      </w:pPr>
      <w:r w:rsidRPr="00FF397D">
        <w:rPr>
          <w:snapToGrid w:val="0"/>
          <w:szCs w:val="22"/>
        </w:rPr>
        <w:t>Priminti tėvams ar globėjams ar merginoms:</w:t>
      </w:r>
    </w:p>
    <w:p w14:paraId="6224E59F" w14:textId="77777777" w:rsidR="006C1C5B" w:rsidRPr="00FF397D" w:rsidRDefault="006C1C5B" w:rsidP="006C1C5B">
      <w:pPr>
        <w:pStyle w:val="Sraopastraipa"/>
        <w:numPr>
          <w:ilvl w:val="0"/>
          <w:numId w:val="196"/>
        </w:numPr>
        <w:spacing w:line="240" w:lineRule="auto"/>
        <w:ind w:left="1701" w:hanging="283"/>
        <w:rPr>
          <w:snapToGrid w:val="0"/>
          <w:szCs w:val="22"/>
        </w:rPr>
      </w:pPr>
      <w:r w:rsidRPr="00FF397D">
        <w:rPr>
          <w:snapToGrid w:val="0"/>
          <w:szCs w:val="22"/>
        </w:rPr>
        <w:t>kad būtina kreiptis į gydytoją, kai merginai pirmąjį kartą prasideda menstruacijos, kad ji būtų pakonsultuota dėl galimos rizikos vaisiui ir kontracepcijos būtinybės;</w:t>
      </w:r>
    </w:p>
    <w:p w14:paraId="3C89DF80" w14:textId="77777777" w:rsidR="006C1C5B" w:rsidRPr="00FF397D" w:rsidRDefault="006C1C5B" w:rsidP="006C1C5B">
      <w:pPr>
        <w:pStyle w:val="Sraopastraipa"/>
        <w:numPr>
          <w:ilvl w:val="1"/>
          <w:numId w:val="195"/>
        </w:numPr>
        <w:spacing w:line="240" w:lineRule="auto"/>
        <w:ind w:left="1134" w:hanging="567"/>
        <w:rPr>
          <w:snapToGrid w:val="0"/>
          <w:szCs w:val="22"/>
        </w:rPr>
      </w:pPr>
      <w:r w:rsidRPr="00FF397D">
        <w:rPr>
          <w:snapToGrid w:val="0"/>
          <w:szCs w:val="22"/>
        </w:rPr>
        <w:t>Jeigu vaisinga moteris pastoja:</w:t>
      </w:r>
    </w:p>
    <w:p w14:paraId="10500A12" w14:textId="77777777" w:rsidR="006C1C5B" w:rsidRPr="00FF397D" w:rsidRDefault="006C1C5B" w:rsidP="006C1C5B">
      <w:pPr>
        <w:pStyle w:val="Sraopastraipa"/>
        <w:numPr>
          <w:ilvl w:val="0"/>
          <w:numId w:val="197"/>
        </w:numPr>
        <w:spacing w:line="240" w:lineRule="auto"/>
        <w:ind w:left="1701" w:hanging="283"/>
        <w:rPr>
          <w:snapToGrid w:val="0"/>
          <w:szCs w:val="22"/>
        </w:rPr>
      </w:pPr>
      <w:r w:rsidRPr="00FF397D">
        <w:rPr>
          <w:snapToGrid w:val="0"/>
          <w:szCs w:val="22"/>
        </w:rPr>
        <w:t>priminti pacientei ir SPS apie pagreitintos eliminacijos procedūrą</w:t>
      </w:r>
      <w:r w:rsidR="00752E1B">
        <w:rPr>
          <w:snapToGrid w:val="0"/>
          <w:szCs w:val="22"/>
        </w:rPr>
        <w:t>.</w:t>
      </w:r>
    </w:p>
    <w:p w14:paraId="699EFC79" w14:textId="77777777" w:rsidR="006C1C5B" w:rsidRPr="00FF397D" w:rsidRDefault="006C1C5B" w:rsidP="006C1C5B">
      <w:pPr>
        <w:pStyle w:val="Sraopastraipa"/>
        <w:numPr>
          <w:ilvl w:val="1"/>
          <w:numId w:val="195"/>
        </w:numPr>
        <w:spacing w:line="240" w:lineRule="auto"/>
        <w:ind w:left="1134" w:hanging="567"/>
        <w:rPr>
          <w:snapToGrid w:val="0"/>
          <w:szCs w:val="22"/>
        </w:rPr>
      </w:pPr>
      <w:r w:rsidRPr="00FF397D">
        <w:rPr>
          <w:snapToGrid w:val="0"/>
          <w:szCs w:val="22"/>
        </w:rPr>
        <w:t>Priminti pacientams, kad jie parodytų Paciento edukacinę kortelę gydytojams ar SPS, kurie yra įtraukti į jo medicininę priežiūrą (ypač jei yra būklė, kai būtina skubi medicininė pagalba, ir (arba) jei į paciento gydymą įtraukiamas naujas gydytojas ar SPS).</w:t>
      </w:r>
    </w:p>
    <w:p w14:paraId="1348A70B" w14:textId="77777777" w:rsidR="006C1C5B" w:rsidRPr="00FF397D" w:rsidRDefault="006C1C5B" w:rsidP="006C1C5B">
      <w:pPr>
        <w:pStyle w:val="Sraopastraipa"/>
        <w:numPr>
          <w:ilvl w:val="1"/>
          <w:numId w:val="195"/>
        </w:numPr>
        <w:spacing w:line="240" w:lineRule="auto"/>
        <w:ind w:left="1134" w:hanging="567"/>
        <w:rPr>
          <w:snapToGrid w:val="0"/>
          <w:szCs w:val="22"/>
        </w:rPr>
      </w:pPr>
      <w:r w:rsidRPr="00FF397D">
        <w:rPr>
          <w:snapToGrid w:val="0"/>
          <w:szCs w:val="22"/>
        </w:rPr>
        <w:t>Užrašyti pirmojo vaistinio preparato skyrimo datą ir jo skyrusio specialisto kontaktinius duomenis.</w:t>
      </w:r>
    </w:p>
    <w:p w14:paraId="653D18DA" w14:textId="77777777" w:rsidR="006C1C5B" w:rsidRPr="006D2BAE" w:rsidRDefault="006C1C5B" w:rsidP="006C1C5B">
      <w:pPr>
        <w:ind w:left="426" w:hanging="142"/>
        <w:rPr>
          <w:szCs w:val="22"/>
          <w:lang w:val="lt-LT"/>
        </w:rPr>
      </w:pPr>
      <w:r w:rsidRPr="006D2BAE">
        <w:rPr>
          <w:szCs w:val="22"/>
          <w:lang w:val="lt-LT"/>
        </w:rPr>
        <w:t>3</w:t>
      </w:r>
      <w:r w:rsidR="00752E1B" w:rsidRPr="006D2BAE">
        <w:rPr>
          <w:szCs w:val="22"/>
          <w:lang w:val="lt-LT"/>
        </w:rPr>
        <w:t>.</w:t>
      </w:r>
      <w:r w:rsidRPr="006D2BAE">
        <w:rPr>
          <w:szCs w:val="22"/>
          <w:lang w:val="lt-LT"/>
        </w:rPr>
        <w:t xml:space="preserve"> Paskatinimas, kad pacientas atidžiai perskaitytų pakuotės lapelį.</w:t>
      </w:r>
    </w:p>
    <w:p w14:paraId="73EF4473" w14:textId="77777777" w:rsidR="0080416E" w:rsidRPr="00FF397D" w:rsidRDefault="006C1C5B" w:rsidP="00DB639D">
      <w:pPr>
        <w:tabs>
          <w:tab w:val="left" w:pos="4962"/>
        </w:tabs>
        <w:ind w:firstLine="4962"/>
        <w:rPr>
          <w:rFonts w:eastAsia="Calibri"/>
          <w:snapToGrid/>
          <w:szCs w:val="22"/>
          <w:lang w:val="lt-LT" w:eastAsia="lt-LT"/>
        </w:rPr>
      </w:pPr>
      <w:r w:rsidRPr="006D2BAE">
        <w:rPr>
          <w:rFonts w:eastAsia="SimSun"/>
          <w:b/>
          <w:lang w:val="lt-LT"/>
        </w:rPr>
        <w:br w:type="page"/>
      </w:r>
    </w:p>
    <w:p w14:paraId="3D21E723" w14:textId="77777777" w:rsidR="00401F17" w:rsidRPr="00FF397D" w:rsidRDefault="00401F17" w:rsidP="00A952A2">
      <w:pPr>
        <w:tabs>
          <w:tab w:val="clear" w:pos="567"/>
        </w:tabs>
        <w:autoSpaceDE w:val="0"/>
        <w:autoSpaceDN w:val="0"/>
        <w:adjustRightInd w:val="0"/>
        <w:spacing w:line="240" w:lineRule="auto"/>
        <w:rPr>
          <w:rFonts w:eastAsia="Calibri"/>
          <w:snapToGrid/>
          <w:szCs w:val="22"/>
          <w:lang w:val="lt-LT" w:eastAsia="lt-LT"/>
        </w:rPr>
      </w:pPr>
    </w:p>
    <w:p w14:paraId="58AD1131" w14:textId="77777777" w:rsidR="00DE1326" w:rsidRPr="00FF397D" w:rsidRDefault="00DE1326" w:rsidP="00DE1326">
      <w:pPr>
        <w:rPr>
          <w:szCs w:val="22"/>
          <w:lang w:val="lt-LT"/>
        </w:rPr>
      </w:pPr>
    </w:p>
    <w:p w14:paraId="027958B9" w14:textId="77777777" w:rsidR="00DE1326" w:rsidRPr="00FF397D" w:rsidRDefault="00DE1326" w:rsidP="00DE1326">
      <w:pPr>
        <w:rPr>
          <w:szCs w:val="22"/>
          <w:lang w:val="lt-LT"/>
        </w:rPr>
      </w:pPr>
    </w:p>
    <w:p w14:paraId="044D7578" w14:textId="77777777" w:rsidR="00DE1326" w:rsidRPr="00FF397D" w:rsidRDefault="00DE1326" w:rsidP="00DE1326">
      <w:pPr>
        <w:rPr>
          <w:szCs w:val="22"/>
          <w:lang w:val="lt-LT"/>
        </w:rPr>
      </w:pPr>
    </w:p>
    <w:p w14:paraId="2AA04248" w14:textId="77777777" w:rsidR="00DE1326" w:rsidRPr="00FF397D" w:rsidRDefault="00DE1326" w:rsidP="00DE1326">
      <w:pPr>
        <w:rPr>
          <w:szCs w:val="22"/>
          <w:lang w:val="lt-LT"/>
        </w:rPr>
      </w:pPr>
    </w:p>
    <w:p w14:paraId="611B8BC7" w14:textId="77777777" w:rsidR="00DE1326" w:rsidRPr="00FF397D" w:rsidRDefault="00DE1326" w:rsidP="00DE1326">
      <w:pPr>
        <w:rPr>
          <w:szCs w:val="22"/>
          <w:lang w:val="lt-LT"/>
        </w:rPr>
      </w:pPr>
    </w:p>
    <w:p w14:paraId="78CE34C2" w14:textId="77777777" w:rsidR="00DE1326" w:rsidRPr="00FF397D" w:rsidRDefault="00DE1326" w:rsidP="00DE1326">
      <w:pPr>
        <w:rPr>
          <w:szCs w:val="22"/>
          <w:lang w:val="lt-LT"/>
        </w:rPr>
      </w:pPr>
    </w:p>
    <w:p w14:paraId="19CAE85F" w14:textId="77777777" w:rsidR="00DE1326" w:rsidRPr="00FF397D" w:rsidRDefault="00DE1326" w:rsidP="00DE1326">
      <w:pPr>
        <w:rPr>
          <w:szCs w:val="22"/>
          <w:lang w:val="lt-LT"/>
        </w:rPr>
      </w:pPr>
    </w:p>
    <w:p w14:paraId="18413B96" w14:textId="77777777" w:rsidR="00DE1326" w:rsidRPr="00FF397D" w:rsidRDefault="00DE1326" w:rsidP="00DE1326">
      <w:pPr>
        <w:rPr>
          <w:szCs w:val="22"/>
          <w:lang w:val="lt-LT"/>
        </w:rPr>
      </w:pPr>
    </w:p>
    <w:p w14:paraId="1997B061" w14:textId="77777777" w:rsidR="00DE1326" w:rsidRPr="00FF397D" w:rsidRDefault="00DE1326" w:rsidP="00DE1326">
      <w:pPr>
        <w:rPr>
          <w:szCs w:val="22"/>
          <w:lang w:val="lt-LT"/>
        </w:rPr>
      </w:pPr>
    </w:p>
    <w:p w14:paraId="6B562645" w14:textId="77777777" w:rsidR="00DE1326" w:rsidRPr="00FF397D" w:rsidRDefault="00DE1326" w:rsidP="00DE1326">
      <w:pPr>
        <w:rPr>
          <w:szCs w:val="22"/>
          <w:lang w:val="lt-LT"/>
        </w:rPr>
      </w:pPr>
    </w:p>
    <w:p w14:paraId="63070546" w14:textId="77777777" w:rsidR="00DE1326" w:rsidRPr="00FF397D" w:rsidRDefault="00DE1326" w:rsidP="00DE1326">
      <w:pPr>
        <w:outlineLvl w:val="0"/>
        <w:rPr>
          <w:b/>
          <w:szCs w:val="22"/>
          <w:lang w:val="lt-LT"/>
        </w:rPr>
      </w:pPr>
    </w:p>
    <w:p w14:paraId="1F6230F6" w14:textId="77777777" w:rsidR="00DE1326" w:rsidRPr="00FF397D" w:rsidRDefault="00DE1326" w:rsidP="00DE1326">
      <w:pPr>
        <w:outlineLvl w:val="0"/>
        <w:rPr>
          <w:b/>
          <w:szCs w:val="22"/>
          <w:lang w:val="lt-LT"/>
        </w:rPr>
      </w:pPr>
    </w:p>
    <w:p w14:paraId="14FD21BD" w14:textId="77777777" w:rsidR="00DE1326" w:rsidRPr="00FF397D" w:rsidRDefault="00DE1326" w:rsidP="00DE1326">
      <w:pPr>
        <w:outlineLvl w:val="0"/>
        <w:rPr>
          <w:b/>
          <w:szCs w:val="22"/>
          <w:lang w:val="lt-LT"/>
        </w:rPr>
      </w:pPr>
    </w:p>
    <w:p w14:paraId="4E04175E" w14:textId="77777777" w:rsidR="00DE1326" w:rsidRPr="00FF397D" w:rsidRDefault="00DE1326" w:rsidP="00DE1326">
      <w:pPr>
        <w:outlineLvl w:val="0"/>
        <w:rPr>
          <w:b/>
          <w:szCs w:val="22"/>
          <w:lang w:val="lt-LT"/>
        </w:rPr>
      </w:pPr>
    </w:p>
    <w:p w14:paraId="0E014479" w14:textId="77777777" w:rsidR="00DE1326" w:rsidRPr="00FF397D" w:rsidRDefault="00DE1326" w:rsidP="00DE1326">
      <w:pPr>
        <w:outlineLvl w:val="0"/>
        <w:rPr>
          <w:b/>
          <w:szCs w:val="22"/>
          <w:lang w:val="lt-LT"/>
        </w:rPr>
      </w:pPr>
    </w:p>
    <w:p w14:paraId="61AC88D5" w14:textId="77777777" w:rsidR="00DE1326" w:rsidRPr="00FF397D" w:rsidRDefault="00DE1326" w:rsidP="00DE1326">
      <w:pPr>
        <w:outlineLvl w:val="0"/>
        <w:rPr>
          <w:b/>
          <w:szCs w:val="22"/>
          <w:lang w:val="lt-LT"/>
        </w:rPr>
      </w:pPr>
    </w:p>
    <w:p w14:paraId="330A3A08" w14:textId="77777777" w:rsidR="00372FC7" w:rsidRPr="00FF397D" w:rsidRDefault="00372FC7" w:rsidP="00DE1326">
      <w:pPr>
        <w:pStyle w:val="Antrat2"/>
        <w:spacing w:before="0" w:after="0" w:line="240" w:lineRule="auto"/>
        <w:jc w:val="center"/>
        <w:rPr>
          <w:rFonts w:ascii="Times New Roman" w:hAnsi="Times New Roman"/>
          <w:i w:val="0"/>
          <w:sz w:val="22"/>
          <w:szCs w:val="22"/>
          <w:lang w:val="lt-LT"/>
        </w:rPr>
      </w:pPr>
    </w:p>
    <w:p w14:paraId="2A6118E7" w14:textId="77777777" w:rsidR="00372FC7" w:rsidRPr="00FF397D" w:rsidRDefault="00372FC7" w:rsidP="00DE1326">
      <w:pPr>
        <w:pStyle w:val="Antrat2"/>
        <w:spacing w:before="0" w:after="0" w:line="240" w:lineRule="auto"/>
        <w:jc w:val="center"/>
        <w:rPr>
          <w:rFonts w:ascii="Times New Roman" w:hAnsi="Times New Roman"/>
          <w:i w:val="0"/>
          <w:sz w:val="22"/>
          <w:szCs w:val="22"/>
          <w:lang w:val="lt-LT"/>
        </w:rPr>
      </w:pPr>
    </w:p>
    <w:p w14:paraId="6A052125" w14:textId="77777777" w:rsidR="00372FC7" w:rsidRPr="00FF397D" w:rsidRDefault="00372FC7" w:rsidP="00DE1326">
      <w:pPr>
        <w:pStyle w:val="Antrat2"/>
        <w:spacing w:before="0" w:after="0" w:line="240" w:lineRule="auto"/>
        <w:jc w:val="center"/>
        <w:rPr>
          <w:rFonts w:ascii="Times New Roman" w:hAnsi="Times New Roman"/>
          <w:i w:val="0"/>
          <w:sz w:val="22"/>
          <w:szCs w:val="22"/>
          <w:lang w:val="lt-LT"/>
        </w:rPr>
      </w:pPr>
    </w:p>
    <w:p w14:paraId="61D5705D" w14:textId="77777777" w:rsidR="00372FC7" w:rsidRPr="00FF397D" w:rsidRDefault="00372FC7" w:rsidP="00DE1326">
      <w:pPr>
        <w:pStyle w:val="Antrat2"/>
        <w:spacing w:before="0" w:after="0" w:line="240" w:lineRule="auto"/>
        <w:jc w:val="center"/>
        <w:rPr>
          <w:rFonts w:ascii="Times New Roman" w:hAnsi="Times New Roman"/>
          <w:i w:val="0"/>
          <w:sz w:val="22"/>
          <w:szCs w:val="22"/>
          <w:lang w:val="lt-LT"/>
        </w:rPr>
      </w:pPr>
    </w:p>
    <w:p w14:paraId="54449D84" w14:textId="77777777" w:rsidR="00A952A2" w:rsidRPr="00FF397D" w:rsidRDefault="00A952A2" w:rsidP="00A952A2">
      <w:pPr>
        <w:rPr>
          <w:szCs w:val="22"/>
          <w:lang w:val="lt-LT" w:eastAsia="x-none"/>
        </w:rPr>
      </w:pPr>
    </w:p>
    <w:p w14:paraId="675BA2D9" w14:textId="77777777" w:rsidR="00A952A2" w:rsidRPr="00FF397D" w:rsidRDefault="00A952A2" w:rsidP="00A952A2">
      <w:pPr>
        <w:rPr>
          <w:szCs w:val="22"/>
          <w:lang w:val="lt-LT" w:eastAsia="x-none"/>
        </w:rPr>
      </w:pPr>
    </w:p>
    <w:p w14:paraId="41834D20" w14:textId="77777777" w:rsidR="00DE1326" w:rsidRPr="00FF397D" w:rsidRDefault="00DE1326" w:rsidP="00DE1326">
      <w:pPr>
        <w:pStyle w:val="Antrat2"/>
        <w:spacing w:before="0" w:after="0" w:line="240" w:lineRule="auto"/>
        <w:jc w:val="center"/>
        <w:rPr>
          <w:rFonts w:ascii="Times New Roman" w:hAnsi="Times New Roman"/>
          <w:bCs w:val="0"/>
          <w:i w:val="0"/>
          <w:iCs w:val="0"/>
          <w:sz w:val="22"/>
          <w:szCs w:val="22"/>
          <w:lang w:val="lt-LT"/>
        </w:rPr>
      </w:pPr>
      <w:r w:rsidRPr="00FF397D">
        <w:rPr>
          <w:rFonts w:ascii="Times New Roman" w:hAnsi="Times New Roman"/>
          <w:i w:val="0"/>
          <w:sz w:val="22"/>
          <w:szCs w:val="22"/>
          <w:lang w:val="lt-LT"/>
        </w:rPr>
        <w:t>III PRIEDAS</w:t>
      </w:r>
    </w:p>
    <w:p w14:paraId="6532ACD9" w14:textId="77777777" w:rsidR="00DE1326" w:rsidRPr="00FF397D" w:rsidRDefault="00DE1326" w:rsidP="00DE1326">
      <w:pPr>
        <w:rPr>
          <w:szCs w:val="22"/>
          <w:lang w:val="lt-LT"/>
        </w:rPr>
      </w:pPr>
    </w:p>
    <w:p w14:paraId="641DF412" w14:textId="77777777" w:rsidR="00DE1326" w:rsidRPr="00FF397D" w:rsidRDefault="00DE1326" w:rsidP="00DE1326">
      <w:pPr>
        <w:pStyle w:val="Antrat2"/>
        <w:spacing w:before="0" w:after="0" w:line="240" w:lineRule="auto"/>
        <w:jc w:val="center"/>
        <w:rPr>
          <w:rFonts w:ascii="Times New Roman" w:hAnsi="Times New Roman"/>
          <w:bCs w:val="0"/>
          <w:i w:val="0"/>
          <w:iCs w:val="0"/>
          <w:sz w:val="22"/>
          <w:szCs w:val="22"/>
          <w:lang w:val="lt-LT"/>
        </w:rPr>
      </w:pPr>
      <w:r w:rsidRPr="00FF397D">
        <w:rPr>
          <w:rFonts w:ascii="Times New Roman" w:hAnsi="Times New Roman"/>
          <w:i w:val="0"/>
          <w:sz w:val="22"/>
          <w:szCs w:val="22"/>
          <w:lang w:val="lt-LT"/>
        </w:rPr>
        <w:t>ŽENKLINIMAS IR PAKUOTĖS LAPELIS</w:t>
      </w:r>
    </w:p>
    <w:p w14:paraId="6C293E50" w14:textId="77777777" w:rsidR="00DE1326" w:rsidRPr="00FF397D" w:rsidRDefault="00DE1326" w:rsidP="00DE1326">
      <w:pPr>
        <w:rPr>
          <w:szCs w:val="22"/>
          <w:lang w:val="lt-LT"/>
        </w:rPr>
      </w:pPr>
      <w:r w:rsidRPr="00FF397D">
        <w:rPr>
          <w:szCs w:val="22"/>
          <w:lang w:val="lt-LT"/>
        </w:rPr>
        <w:br w:type="page"/>
      </w:r>
    </w:p>
    <w:p w14:paraId="054872DC" w14:textId="77777777" w:rsidR="00DE1326" w:rsidRPr="00FF397D" w:rsidRDefault="00DE1326" w:rsidP="00DE1326">
      <w:pPr>
        <w:rPr>
          <w:szCs w:val="22"/>
          <w:lang w:val="lt-LT"/>
        </w:rPr>
      </w:pPr>
    </w:p>
    <w:p w14:paraId="476B15B2" w14:textId="77777777" w:rsidR="00DE1326" w:rsidRPr="00FF397D" w:rsidRDefault="00DE1326" w:rsidP="00DE1326">
      <w:pPr>
        <w:rPr>
          <w:szCs w:val="22"/>
          <w:lang w:val="lt-LT"/>
        </w:rPr>
      </w:pPr>
    </w:p>
    <w:p w14:paraId="722C3B35" w14:textId="77777777" w:rsidR="00DE1326" w:rsidRPr="00FF397D" w:rsidRDefault="00DE1326" w:rsidP="00DE1326">
      <w:pPr>
        <w:rPr>
          <w:szCs w:val="22"/>
          <w:lang w:val="lt-LT"/>
        </w:rPr>
      </w:pPr>
    </w:p>
    <w:p w14:paraId="25E84F86" w14:textId="77777777" w:rsidR="00DE1326" w:rsidRPr="00FF397D" w:rsidRDefault="00DE1326" w:rsidP="00DE1326">
      <w:pPr>
        <w:rPr>
          <w:szCs w:val="22"/>
          <w:lang w:val="lt-LT"/>
        </w:rPr>
      </w:pPr>
    </w:p>
    <w:p w14:paraId="5C3F977A" w14:textId="77777777" w:rsidR="00DE1326" w:rsidRPr="00FF397D" w:rsidRDefault="00DE1326" w:rsidP="00DE1326">
      <w:pPr>
        <w:rPr>
          <w:szCs w:val="22"/>
          <w:lang w:val="lt-LT"/>
        </w:rPr>
      </w:pPr>
    </w:p>
    <w:p w14:paraId="0EA30E52" w14:textId="77777777" w:rsidR="00DE1326" w:rsidRPr="00FF397D" w:rsidRDefault="00DE1326" w:rsidP="00DE1326">
      <w:pPr>
        <w:rPr>
          <w:szCs w:val="22"/>
          <w:lang w:val="lt-LT"/>
        </w:rPr>
      </w:pPr>
    </w:p>
    <w:p w14:paraId="206921F4" w14:textId="77777777" w:rsidR="00DE1326" w:rsidRPr="00FF397D" w:rsidRDefault="00DE1326" w:rsidP="00DE1326">
      <w:pPr>
        <w:rPr>
          <w:szCs w:val="22"/>
          <w:lang w:val="lt-LT"/>
        </w:rPr>
      </w:pPr>
    </w:p>
    <w:p w14:paraId="7C485006" w14:textId="77777777" w:rsidR="00DE1326" w:rsidRPr="00FF397D" w:rsidRDefault="00DE1326" w:rsidP="00DE1326">
      <w:pPr>
        <w:rPr>
          <w:szCs w:val="22"/>
          <w:lang w:val="lt-LT"/>
        </w:rPr>
      </w:pPr>
    </w:p>
    <w:p w14:paraId="7D32F3D5" w14:textId="77777777" w:rsidR="00DE1326" w:rsidRPr="00FF397D" w:rsidRDefault="00DE1326" w:rsidP="00DE1326">
      <w:pPr>
        <w:rPr>
          <w:szCs w:val="22"/>
          <w:lang w:val="lt-LT"/>
        </w:rPr>
      </w:pPr>
    </w:p>
    <w:p w14:paraId="26C123BF" w14:textId="77777777" w:rsidR="00DE1326" w:rsidRPr="00FF397D" w:rsidRDefault="00DE1326" w:rsidP="00DE1326">
      <w:pPr>
        <w:rPr>
          <w:szCs w:val="22"/>
          <w:lang w:val="lt-LT"/>
        </w:rPr>
      </w:pPr>
    </w:p>
    <w:p w14:paraId="5A85297B" w14:textId="77777777" w:rsidR="00DE1326" w:rsidRPr="00FF397D" w:rsidRDefault="00DE1326" w:rsidP="00DE1326">
      <w:pPr>
        <w:rPr>
          <w:szCs w:val="22"/>
          <w:lang w:val="lt-LT"/>
        </w:rPr>
      </w:pPr>
    </w:p>
    <w:p w14:paraId="41953E62" w14:textId="77777777" w:rsidR="00DE1326" w:rsidRPr="00FF397D" w:rsidRDefault="00DE1326" w:rsidP="00DE1326">
      <w:pPr>
        <w:rPr>
          <w:szCs w:val="22"/>
          <w:lang w:val="lt-LT"/>
        </w:rPr>
      </w:pPr>
    </w:p>
    <w:p w14:paraId="15870242" w14:textId="77777777" w:rsidR="00DE1326" w:rsidRPr="00FF397D" w:rsidRDefault="00DE1326" w:rsidP="00DE1326">
      <w:pPr>
        <w:rPr>
          <w:szCs w:val="22"/>
          <w:lang w:val="lt-LT"/>
        </w:rPr>
      </w:pPr>
    </w:p>
    <w:p w14:paraId="776E4A7B" w14:textId="77777777" w:rsidR="00DE1326" w:rsidRPr="00FF397D" w:rsidRDefault="00DE1326" w:rsidP="00DE1326">
      <w:pPr>
        <w:rPr>
          <w:szCs w:val="22"/>
          <w:lang w:val="lt-LT"/>
        </w:rPr>
      </w:pPr>
    </w:p>
    <w:p w14:paraId="5D2C4CD7" w14:textId="77777777" w:rsidR="00DE1326" w:rsidRPr="00FF397D" w:rsidRDefault="00DE1326" w:rsidP="00DE1326">
      <w:pPr>
        <w:rPr>
          <w:szCs w:val="22"/>
          <w:lang w:val="lt-LT"/>
        </w:rPr>
      </w:pPr>
    </w:p>
    <w:p w14:paraId="078CAD33" w14:textId="77777777" w:rsidR="00DE1326" w:rsidRPr="00FF397D" w:rsidRDefault="00DE1326" w:rsidP="00DE1326">
      <w:pPr>
        <w:rPr>
          <w:szCs w:val="22"/>
          <w:lang w:val="lt-LT"/>
        </w:rPr>
      </w:pPr>
    </w:p>
    <w:p w14:paraId="3ADD2FE1" w14:textId="77777777" w:rsidR="00DE1326" w:rsidRPr="00FF397D" w:rsidRDefault="00DE1326" w:rsidP="00DE1326">
      <w:pPr>
        <w:rPr>
          <w:szCs w:val="22"/>
          <w:lang w:val="lt-LT"/>
        </w:rPr>
      </w:pPr>
    </w:p>
    <w:p w14:paraId="5282A6F9" w14:textId="77777777" w:rsidR="00DE1326" w:rsidRPr="00FF397D" w:rsidRDefault="00DE1326" w:rsidP="00DE1326">
      <w:pPr>
        <w:rPr>
          <w:szCs w:val="22"/>
          <w:lang w:val="lt-LT"/>
        </w:rPr>
      </w:pPr>
    </w:p>
    <w:p w14:paraId="794C8F4C" w14:textId="77777777" w:rsidR="00DE1326" w:rsidRPr="00FF397D" w:rsidRDefault="00DE1326" w:rsidP="00DE1326">
      <w:pPr>
        <w:rPr>
          <w:szCs w:val="22"/>
          <w:lang w:val="lt-LT"/>
        </w:rPr>
      </w:pPr>
    </w:p>
    <w:p w14:paraId="09224595" w14:textId="77777777" w:rsidR="00DE1326" w:rsidRPr="00FF397D" w:rsidRDefault="00DE1326" w:rsidP="00DE1326">
      <w:pPr>
        <w:rPr>
          <w:szCs w:val="22"/>
          <w:lang w:val="lt-LT"/>
        </w:rPr>
      </w:pPr>
    </w:p>
    <w:p w14:paraId="02D4190F" w14:textId="77777777" w:rsidR="00DE1326" w:rsidRPr="00FF397D" w:rsidRDefault="00DE1326" w:rsidP="00DE1326">
      <w:pPr>
        <w:rPr>
          <w:szCs w:val="22"/>
          <w:lang w:val="lt-LT"/>
        </w:rPr>
      </w:pPr>
    </w:p>
    <w:p w14:paraId="1DD20335" w14:textId="77777777" w:rsidR="00DE1326" w:rsidRPr="00FF397D" w:rsidRDefault="00DE1326" w:rsidP="00DE1326">
      <w:pPr>
        <w:rPr>
          <w:szCs w:val="22"/>
          <w:lang w:val="lt-LT"/>
        </w:rPr>
      </w:pPr>
    </w:p>
    <w:p w14:paraId="1CD1C8EC" w14:textId="77777777" w:rsidR="00372FC7" w:rsidRPr="00FF397D" w:rsidRDefault="00372FC7" w:rsidP="00DE1326">
      <w:pPr>
        <w:pStyle w:val="Antrat2"/>
        <w:spacing w:before="0" w:after="0" w:line="240" w:lineRule="auto"/>
        <w:jc w:val="center"/>
        <w:rPr>
          <w:rFonts w:ascii="Times New Roman" w:hAnsi="Times New Roman"/>
          <w:i w:val="0"/>
          <w:sz w:val="22"/>
          <w:szCs w:val="22"/>
          <w:lang w:val="lt-LT"/>
        </w:rPr>
      </w:pPr>
    </w:p>
    <w:p w14:paraId="3715C6D9" w14:textId="77777777" w:rsidR="00DE1326" w:rsidRPr="00FF397D" w:rsidRDefault="00DE1326" w:rsidP="00DE1326">
      <w:pPr>
        <w:pStyle w:val="Antrat2"/>
        <w:spacing w:before="0" w:after="0" w:line="240" w:lineRule="auto"/>
        <w:jc w:val="center"/>
        <w:rPr>
          <w:rFonts w:ascii="Times New Roman" w:hAnsi="Times New Roman"/>
          <w:bCs w:val="0"/>
          <w:i w:val="0"/>
          <w:iCs w:val="0"/>
          <w:sz w:val="22"/>
          <w:szCs w:val="22"/>
          <w:lang w:val="lt-LT"/>
        </w:rPr>
      </w:pPr>
      <w:r w:rsidRPr="00FF397D">
        <w:rPr>
          <w:rFonts w:ascii="Times New Roman" w:hAnsi="Times New Roman"/>
          <w:i w:val="0"/>
          <w:sz w:val="22"/>
          <w:szCs w:val="22"/>
          <w:lang w:val="lt-LT"/>
        </w:rPr>
        <w:t>A. ŽENKLINIMAS</w:t>
      </w:r>
    </w:p>
    <w:p w14:paraId="597A46C0" w14:textId="77777777" w:rsidR="00DE1326" w:rsidRPr="00FF397D" w:rsidRDefault="00DE1326" w:rsidP="00DE1326">
      <w:pPr>
        <w:rPr>
          <w:szCs w:val="22"/>
          <w:lang w:val="lt-LT"/>
        </w:rPr>
      </w:pPr>
      <w:r w:rsidRPr="00FF397D">
        <w:rPr>
          <w:szCs w:val="22"/>
          <w:lang w:val="lt-LT"/>
        </w:rPr>
        <w:br w:type="page"/>
      </w:r>
    </w:p>
    <w:p w14:paraId="42F91E60" w14:textId="77777777" w:rsidR="00DE1326" w:rsidRPr="00FF397D" w:rsidRDefault="00E34C4A" w:rsidP="00DE1326">
      <w:pPr>
        <w:pBdr>
          <w:top w:val="single" w:sz="4" w:space="1" w:color="auto"/>
          <w:left w:val="single" w:sz="4" w:space="4" w:color="auto"/>
          <w:bottom w:val="single" w:sz="4" w:space="1" w:color="auto"/>
          <w:right w:val="single" w:sz="4" w:space="4" w:color="auto"/>
        </w:pBdr>
        <w:spacing w:line="240" w:lineRule="auto"/>
        <w:rPr>
          <w:b/>
          <w:szCs w:val="22"/>
          <w:lang w:val="lt-LT"/>
        </w:rPr>
      </w:pPr>
      <w:r w:rsidRPr="00FF397D">
        <w:rPr>
          <w:b/>
          <w:noProof/>
          <w:szCs w:val="22"/>
          <w:lang w:val="lt-LT"/>
        </w:rPr>
        <w:lastRenderedPageBreak/>
        <w:t>INFORMACIJA ANT IŠORINĖS</w:t>
      </w:r>
      <w:r w:rsidR="00DE1326" w:rsidRPr="00FF397D">
        <w:rPr>
          <w:b/>
          <w:noProof/>
          <w:szCs w:val="22"/>
          <w:lang w:val="lt-LT"/>
        </w:rPr>
        <w:t xml:space="preserve"> PAKUOTĖS</w:t>
      </w:r>
    </w:p>
    <w:p w14:paraId="6A0F0E8E"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 w:val="16"/>
          <w:szCs w:val="16"/>
          <w:lang w:val="lt-LT"/>
        </w:rPr>
      </w:pPr>
    </w:p>
    <w:p w14:paraId="5EAE5AF0" w14:textId="77777777" w:rsidR="005565F5" w:rsidRPr="00FF397D" w:rsidRDefault="00E34C4A" w:rsidP="009C385C">
      <w:pPr>
        <w:pBdr>
          <w:top w:val="single" w:sz="4" w:space="1" w:color="auto"/>
          <w:left w:val="single" w:sz="4" w:space="4" w:color="auto"/>
          <w:bottom w:val="single" w:sz="4" w:space="1" w:color="auto"/>
          <w:right w:val="single" w:sz="4" w:space="4" w:color="auto"/>
        </w:pBdr>
        <w:spacing w:line="240" w:lineRule="auto"/>
        <w:rPr>
          <w:b/>
          <w:szCs w:val="22"/>
          <w:lang w:val="lt-LT"/>
        </w:rPr>
      </w:pPr>
      <w:r w:rsidRPr="00FF397D">
        <w:rPr>
          <w:b/>
          <w:noProof/>
          <w:szCs w:val="22"/>
          <w:lang w:val="lt-LT"/>
        </w:rPr>
        <w:t>Kartono dėžutė</w:t>
      </w:r>
    </w:p>
    <w:p w14:paraId="61E3A4F8" w14:textId="77777777" w:rsidR="00DE1326" w:rsidRPr="00234720" w:rsidRDefault="00DE1326" w:rsidP="00DE1326">
      <w:pPr>
        <w:rPr>
          <w:szCs w:val="22"/>
          <w:lang w:val="lt-LT"/>
        </w:rPr>
      </w:pPr>
    </w:p>
    <w:p w14:paraId="753C9AA1" w14:textId="77777777" w:rsidR="00DE1326" w:rsidRPr="00234720" w:rsidRDefault="00DE1326" w:rsidP="00DE1326">
      <w:pPr>
        <w:rPr>
          <w:szCs w:val="22"/>
          <w:lang w:val="lt-LT"/>
        </w:rPr>
      </w:pPr>
    </w:p>
    <w:p w14:paraId="3104F8D7"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1.</w:t>
      </w:r>
      <w:r w:rsidRPr="00234720">
        <w:rPr>
          <w:b/>
          <w:szCs w:val="22"/>
          <w:lang w:val="lt-LT"/>
        </w:rPr>
        <w:tab/>
      </w:r>
      <w:r w:rsidRPr="00234720">
        <w:rPr>
          <w:b/>
          <w:caps/>
          <w:noProof/>
          <w:szCs w:val="22"/>
          <w:lang w:val="lt-LT"/>
        </w:rPr>
        <w:t>VAISTINIO</w:t>
      </w:r>
      <w:r w:rsidRPr="00234720">
        <w:rPr>
          <w:b/>
          <w:noProof/>
          <w:szCs w:val="22"/>
          <w:lang w:val="lt-LT"/>
        </w:rPr>
        <w:t xml:space="preserve"> PREPARATO PAVADINIMAS</w:t>
      </w:r>
    </w:p>
    <w:p w14:paraId="26CB2EBE" w14:textId="77777777" w:rsidR="00DE1326" w:rsidRPr="00234720" w:rsidRDefault="00DE1326" w:rsidP="00DE1326">
      <w:pPr>
        <w:rPr>
          <w:szCs w:val="22"/>
          <w:lang w:val="lt-LT"/>
        </w:rPr>
      </w:pPr>
    </w:p>
    <w:p w14:paraId="5BCCF24F" w14:textId="77777777" w:rsidR="009C385C" w:rsidRPr="00234720" w:rsidRDefault="0080416E" w:rsidP="00DE1326">
      <w:pPr>
        <w:rPr>
          <w:szCs w:val="22"/>
          <w:lang w:val="lt-LT"/>
        </w:rPr>
      </w:pPr>
      <w:r w:rsidRPr="00234720">
        <w:rPr>
          <w:szCs w:val="22"/>
          <w:lang w:val="it-CH"/>
        </w:rPr>
        <w:t>Teriflunomide Teva 14 mg plėvele dengtos tabletės</w:t>
      </w:r>
    </w:p>
    <w:p w14:paraId="60789EE2" w14:textId="580C87F3" w:rsidR="00E34C4A" w:rsidRPr="00234720" w:rsidRDefault="0080416E" w:rsidP="0080416E">
      <w:pPr>
        <w:tabs>
          <w:tab w:val="clear" w:pos="567"/>
        </w:tabs>
        <w:spacing w:line="240" w:lineRule="auto"/>
        <w:rPr>
          <w:noProof/>
          <w:szCs w:val="22"/>
          <w:lang w:val="lt-LT"/>
        </w:rPr>
      </w:pPr>
      <w:r w:rsidRPr="00234720">
        <w:rPr>
          <w:color w:val="000000"/>
          <w:szCs w:val="22"/>
          <w:lang w:val="lt-LT" w:eastAsia="en-GB"/>
        </w:rPr>
        <w:t>teriflunomid</w:t>
      </w:r>
      <w:r w:rsidR="002362F9" w:rsidRPr="00234720">
        <w:rPr>
          <w:color w:val="000000"/>
          <w:szCs w:val="22"/>
          <w:lang w:val="lt-LT" w:eastAsia="en-GB"/>
        </w:rPr>
        <w:t>um</w:t>
      </w:r>
    </w:p>
    <w:p w14:paraId="0E742A4F" w14:textId="77777777" w:rsidR="00DE1326" w:rsidRPr="00234720" w:rsidRDefault="00DE1326" w:rsidP="00DE1326">
      <w:pPr>
        <w:rPr>
          <w:szCs w:val="22"/>
          <w:lang w:val="lt-LT"/>
        </w:rPr>
      </w:pPr>
    </w:p>
    <w:p w14:paraId="1987C2E3" w14:textId="77777777" w:rsidR="00766461" w:rsidRPr="00234720" w:rsidRDefault="00766461" w:rsidP="00DE1326">
      <w:pPr>
        <w:rPr>
          <w:szCs w:val="22"/>
          <w:lang w:val="lt-LT"/>
        </w:rPr>
      </w:pPr>
    </w:p>
    <w:p w14:paraId="084C3C0F"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34720">
        <w:rPr>
          <w:b/>
          <w:szCs w:val="22"/>
          <w:lang w:val="lt-LT"/>
        </w:rPr>
        <w:t>2.</w:t>
      </w:r>
      <w:r w:rsidRPr="00234720">
        <w:rPr>
          <w:b/>
          <w:szCs w:val="22"/>
          <w:lang w:val="lt-LT"/>
        </w:rPr>
        <w:tab/>
      </w:r>
      <w:r w:rsidRPr="00234720">
        <w:rPr>
          <w:b/>
          <w:noProof/>
          <w:szCs w:val="22"/>
          <w:lang w:val="lt-LT"/>
        </w:rPr>
        <w:t>VEIKLIOJI (-IOS) MEDŽIAGA (-OS) IR JOS (-Ų) KIEKIS (-IAI)</w:t>
      </w:r>
    </w:p>
    <w:p w14:paraId="6FA8CAC3" w14:textId="77777777" w:rsidR="00DE1326" w:rsidRPr="00234720" w:rsidRDefault="00DE1326" w:rsidP="00DE1326">
      <w:pPr>
        <w:rPr>
          <w:szCs w:val="22"/>
          <w:lang w:val="lt-LT"/>
        </w:rPr>
      </w:pPr>
    </w:p>
    <w:p w14:paraId="39778756" w14:textId="77777777" w:rsidR="00DE1326" w:rsidRPr="00234720" w:rsidRDefault="00E34C4A" w:rsidP="00DE1326">
      <w:pPr>
        <w:rPr>
          <w:szCs w:val="22"/>
          <w:lang w:val="lt-LT"/>
        </w:rPr>
      </w:pPr>
      <w:r w:rsidRPr="00234720">
        <w:rPr>
          <w:szCs w:val="22"/>
          <w:lang w:val="lt-LT"/>
        </w:rPr>
        <w:t xml:space="preserve">Kiekvienoje plėvele dengtoje tabletėje yra </w:t>
      </w:r>
      <w:r w:rsidR="0080416E" w:rsidRPr="00234720">
        <w:rPr>
          <w:szCs w:val="22"/>
          <w:lang w:val="lt-LT"/>
        </w:rPr>
        <w:t>14</w:t>
      </w:r>
      <w:r w:rsidRPr="00234720">
        <w:rPr>
          <w:szCs w:val="22"/>
          <w:lang w:val="lt-LT"/>
        </w:rPr>
        <w:t xml:space="preserve"> mg </w:t>
      </w:r>
      <w:r w:rsidR="0080416E" w:rsidRPr="00234720">
        <w:rPr>
          <w:szCs w:val="22"/>
          <w:lang w:val="lt-LT"/>
        </w:rPr>
        <w:t>teriflunomido</w:t>
      </w:r>
      <w:r w:rsidRPr="00234720">
        <w:rPr>
          <w:szCs w:val="22"/>
          <w:lang w:val="lt-LT"/>
        </w:rPr>
        <w:t>.</w:t>
      </w:r>
    </w:p>
    <w:p w14:paraId="398FC8AE" w14:textId="77777777" w:rsidR="00DE1326" w:rsidRPr="00234720" w:rsidRDefault="00DE1326" w:rsidP="00DE1326">
      <w:pPr>
        <w:rPr>
          <w:szCs w:val="22"/>
          <w:lang w:val="lt-LT"/>
        </w:rPr>
      </w:pPr>
    </w:p>
    <w:p w14:paraId="5C129E44" w14:textId="77777777" w:rsidR="00DE1326" w:rsidRPr="00234720" w:rsidRDefault="00DE1326" w:rsidP="00DE1326">
      <w:pPr>
        <w:rPr>
          <w:szCs w:val="22"/>
          <w:lang w:val="lt-LT"/>
        </w:rPr>
      </w:pPr>
    </w:p>
    <w:p w14:paraId="514E757D"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3.</w:t>
      </w:r>
      <w:r w:rsidRPr="00234720">
        <w:rPr>
          <w:b/>
          <w:szCs w:val="22"/>
          <w:lang w:val="lt-LT"/>
        </w:rPr>
        <w:tab/>
      </w:r>
      <w:r w:rsidRPr="00234720">
        <w:rPr>
          <w:b/>
          <w:noProof/>
          <w:szCs w:val="22"/>
          <w:lang w:val="lt-LT"/>
        </w:rPr>
        <w:t>PAGALBINIŲ MEDŽIAGŲ SĄRAŠAS</w:t>
      </w:r>
    </w:p>
    <w:p w14:paraId="49FE0DA2" w14:textId="77777777" w:rsidR="00DE1326" w:rsidRPr="00234720" w:rsidRDefault="00DE1326" w:rsidP="00DE1326">
      <w:pPr>
        <w:rPr>
          <w:szCs w:val="22"/>
          <w:lang w:val="lt-LT"/>
        </w:rPr>
      </w:pPr>
    </w:p>
    <w:p w14:paraId="325DD5CC" w14:textId="77777777" w:rsidR="00E34C4A" w:rsidRPr="00234720" w:rsidRDefault="00E34C4A" w:rsidP="00DE1326">
      <w:pPr>
        <w:rPr>
          <w:szCs w:val="22"/>
          <w:lang w:val="lt-LT"/>
        </w:rPr>
      </w:pPr>
      <w:r w:rsidRPr="00234720">
        <w:rPr>
          <w:szCs w:val="22"/>
          <w:lang w:val="lt-LT"/>
        </w:rPr>
        <w:t>Sudėtyje yra laktozės. Daugiau informacijos žr. pakuotės lapelyje.</w:t>
      </w:r>
    </w:p>
    <w:p w14:paraId="54DFB3B2" w14:textId="77777777" w:rsidR="00DE1326" w:rsidRPr="00234720" w:rsidRDefault="00DE1326" w:rsidP="00DE1326">
      <w:pPr>
        <w:rPr>
          <w:szCs w:val="22"/>
          <w:lang w:val="lt-LT"/>
        </w:rPr>
      </w:pPr>
    </w:p>
    <w:p w14:paraId="24FDA389" w14:textId="77777777" w:rsidR="00372FC7" w:rsidRPr="00234720" w:rsidRDefault="00372FC7" w:rsidP="00DE1326">
      <w:pPr>
        <w:rPr>
          <w:szCs w:val="22"/>
          <w:lang w:val="lt-LT"/>
        </w:rPr>
      </w:pPr>
    </w:p>
    <w:p w14:paraId="31777984"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4.</w:t>
      </w:r>
      <w:r w:rsidRPr="00234720">
        <w:rPr>
          <w:b/>
          <w:szCs w:val="22"/>
          <w:lang w:val="lt-LT"/>
        </w:rPr>
        <w:tab/>
      </w:r>
      <w:r w:rsidRPr="00234720">
        <w:rPr>
          <w:b/>
          <w:noProof/>
          <w:szCs w:val="22"/>
          <w:lang w:val="lt-LT"/>
        </w:rPr>
        <w:t>FARMACINĖ FORMA IR KIEKIS PAKUOTĖJE</w:t>
      </w:r>
    </w:p>
    <w:p w14:paraId="4F7D8003" w14:textId="77777777" w:rsidR="00DE1326" w:rsidRPr="00234720" w:rsidRDefault="00DE1326" w:rsidP="00DE1326">
      <w:pPr>
        <w:rPr>
          <w:szCs w:val="22"/>
          <w:lang w:val="lt-LT"/>
        </w:rPr>
      </w:pPr>
    </w:p>
    <w:p w14:paraId="1CA4E2BC" w14:textId="77777777" w:rsidR="0080416E" w:rsidRPr="00234720" w:rsidRDefault="0080416E" w:rsidP="0080416E">
      <w:pPr>
        <w:shd w:val="clear" w:color="auto" w:fill="FFFFFF"/>
        <w:autoSpaceDE w:val="0"/>
        <w:autoSpaceDN w:val="0"/>
        <w:adjustRightInd w:val="0"/>
        <w:rPr>
          <w:color w:val="000000"/>
          <w:szCs w:val="22"/>
          <w:lang w:val="lt-LT" w:eastAsia="en-GB"/>
        </w:rPr>
      </w:pPr>
      <w:r w:rsidRPr="00234720">
        <w:rPr>
          <w:color w:val="000000"/>
          <w:szCs w:val="22"/>
          <w:highlight w:val="lightGray"/>
          <w:lang w:val="lt-LT" w:eastAsia="en-GB"/>
        </w:rPr>
        <w:t>Plėvele dengta tabletė</w:t>
      </w:r>
    </w:p>
    <w:p w14:paraId="7C9B127F" w14:textId="77777777" w:rsidR="0080416E" w:rsidRPr="00234720" w:rsidRDefault="0080416E" w:rsidP="0080416E">
      <w:pPr>
        <w:shd w:val="clear" w:color="auto" w:fill="FFFFFF"/>
        <w:autoSpaceDE w:val="0"/>
        <w:autoSpaceDN w:val="0"/>
        <w:adjustRightInd w:val="0"/>
        <w:rPr>
          <w:i/>
          <w:color w:val="000000"/>
          <w:szCs w:val="22"/>
          <w:u w:val="single"/>
          <w:lang w:val="lt-LT" w:eastAsia="en-GB"/>
        </w:rPr>
      </w:pPr>
    </w:p>
    <w:p w14:paraId="642187EC" w14:textId="77777777" w:rsidR="0080416E" w:rsidRPr="00234720" w:rsidRDefault="0080416E" w:rsidP="0080416E">
      <w:pPr>
        <w:tabs>
          <w:tab w:val="clear" w:pos="567"/>
        </w:tabs>
        <w:spacing w:line="240" w:lineRule="auto"/>
        <w:rPr>
          <w:noProof/>
          <w:szCs w:val="22"/>
          <w:lang w:val="lt-LT"/>
        </w:rPr>
      </w:pPr>
      <w:r w:rsidRPr="00234720">
        <w:rPr>
          <w:noProof/>
          <w:szCs w:val="22"/>
          <w:lang w:val="lt-LT"/>
        </w:rPr>
        <w:t>10 plėvele dengtų tablečių</w:t>
      </w:r>
    </w:p>
    <w:p w14:paraId="75685740" w14:textId="77777777" w:rsidR="0080416E" w:rsidRPr="00234720" w:rsidRDefault="0080416E" w:rsidP="0080416E">
      <w:pPr>
        <w:tabs>
          <w:tab w:val="clear" w:pos="567"/>
        </w:tabs>
        <w:spacing w:line="240" w:lineRule="auto"/>
        <w:rPr>
          <w:noProof/>
          <w:szCs w:val="22"/>
          <w:highlight w:val="lightGray"/>
          <w:lang w:val="lt-LT"/>
        </w:rPr>
      </w:pPr>
      <w:r w:rsidRPr="00234720">
        <w:rPr>
          <w:noProof/>
          <w:szCs w:val="22"/>
          <w:highlight w:val="lightGray"/>
          <w:lang w:val="lt-LT"/>
        </w:rPr>
        <w:t xml:space="preserve">14 </w:t>
      </w:r>
      <w:r w:rsidR="006C6F86" w:rsidRPr="00234720">
        <w:rPr>
          <w:noProof/>
          <w:szCs w:val="22"/>
          <w:highlight w:val="lightGray"/>
          <w:lang w:val="lt-LT"/>
        </w:rPr>
        <w:t>plėvele dengtų tablečių</w:t>
      </w:r>
    </w:p>
    <w:p w14:paraId="3EE82F61" w14:textId="77777777" w:rsidR="0080416E" w:rsidRPr="00234720" w:rsidRDefault="0080416E" w:rsidP="0080416E">
      <w:pPr>
        <w:tabs>
          <w:tab w:val="clear" w:pos="567"/>
        </w:tabs>
        <w:spacing w:line="240" w:lineRule="auto"/>
        <w:rPr>
          <w:noProof/>
          <w:szCs w:val="22"/>
          <w:highlight w:val="lightGray"/>
        </w:rPr>
      </w:pPr>
      <w:r w:rsidRPr="00234720">
        <w:rPr>
          <w:noProof/>
          <w:szCs w:val="22"/>
          <w:highlight w:val="lightGray"/>
        </w:rPr>
        <w:t xml:space="preserve">28 </w:t>
      </w:r>
      <w:r w:rsidR="006C6F86" w:rsidRPr="00234720">
        <w:rPr>
          <w:noProof/>
          <w:szCs w:val="22"/>
          <w:highlight w:val="lightGray"/>
        </w:rPr>
        <w:t>plėvele dengtos tabletės</w:t>
      </w:r>
    </w:p>
    <w:p w14:paraId="6C6E8343" w14:textId="77777777" w:rsidR="0080416E" w:rsidRPr="00234720" w:rsidRDefault="0080416E" w:rsidP="0080416E">
      <w:pPr>
        <w:tabs>
          <w:tab w:val="clear" w:pos="567"/>
        </w:tabs>
        <w:spacing w:line="240" w:lineRule="auto"/>
        <w:rPr>
          <w:noProof/>
          <w:szCs w:val="22"/>
          <w:highlight w:val="lightGray"/>
        </w:rPr>
      </w:pPr>
      <w:r w:rsidRPr="00234720">
        <w:rPr>
          <w:noProof/>
          <w:szCs w:val="22"/>
          <w:highlight w:val="lightGray"/>
        </w:rPr>
        <w:t xml:space="preserve">30 </w:t>
      </w:r>
      <w:r w:rsidR="006C6F86" w:rsidRPr="00234720">
        <w:rPr>
          <w:noProof/>
          <w:szCs w:val="22"/>
          <w:highlight w:val="lightGray"/>
        </w:rPr>
        <w:t>plėvele dengtų tablečių</w:t>
      </w:r>
    </w:p>
    <w:p w14:paraId="66AE982D" w14:textId="77777777" w:rsidR="0080416E" w:rsidRPr="00234720" w:rsidRDefault="0080416E" w:rsidP="0080416E">
      <w:pPr>
        <w:tabs>
          <w:tab w:val="clear" w:pos="567"/>
        </w:tabs>
        <w:spacing w:line="240" w:lineRule="auto"/>
        <w:rPr>
          <w:noProof/>
          <w:szCs w:val="22"/>
          <w:highlight w:val="lightGray"/>
        </w:rPr>
      </w:pPr>
      <w:r w:rsidRPr="00234720">
        <w:rPr>
          <w:noProof/>
          <w:szCs w:val="22"/>
          <w:highlight w:val="lightGray"/>
        </w:rPr>
        <w:t xml:space="preserve">84 </w:t>
      </w:r>
      <w:r w:rsidR="006C6F86" w:rsidRPr="00234720">
        <w:rPr>
          <w:noProof/>
          <w:szCs w:val="22"/>
          <w:highlight w:val="lightGray"/>
        </w:rPr>
        <w:t>plėvele dengtų tablečių</w:t>
      </w:r>
    </w:p>
    <w:p w14:paraId="5310D37C" w14:textId="77777777" w:rsidR="0080416E" w:rsidRPr="00234720" w:rsidRDefault="0080416E" w:rsidP="0080416E">
      <w:pPr>
        <w:tabs>
          <w:tab w:val="clear" w:pos="567"/>
        </w:tabs>
        <w:spacing w:line="240" w:lineRule="auto"/>
        <w:rPr>
          <w:noProof/>
          <w:szCs w:val="22"/>
          <w:highlight w:val="lightGray"/>
        </w:rPr>
      </w:pPr>
    </w:p>
    <w:p w14:paraId="478E0D6B" w14:textId="77777777" w:rsidR="0080416E" w:rsidRPr="00234720" w:rsidRDefault="0080416E" w:rsidP="0080416E">
      <w:pPr>
        <w:tabs>
          <w:tab w:val="clear" w:pos="567"/>
        </w:tabs>
        <w:spacing w:line="240" w:lineRule="auto"/>
        <w:rPr>
          <w:noProof/>
          <w:szCs w:val="22"/>
          <w:highlight w:val="lightGray"/>
          <w:lang w:val="en-US"/>
        </w:rPr>
      </w:pPr>
      <w:r w:rsidRPr="00234720">
        <w:rPr>
          <w:noProof/>
          <w:szCs w:val="22"/>
          <w:highlight w:val="lightGray"/>
          <w:lang w:val="en-US"/>
        </w:rPr>
        <w:t xml:space="preserve">10x1 </w:t>
      </w:r>
      <w:r w:rsidR="006C6F86" w:rsidRPr="00234720">
        <w:rPr>
          <w:noProof/>
          <w:szCs w:val="22"/>
          <w:highlight w:val="lightGray"/>
        </w:rPr>
        <w:t>plėvele dengtų tablečių</w:t>
      </w:r>
    </w:p>
    <w:p w14:paraId="2FA5A5C0" w14:textId="77777777" w:rsidR="0080416E" w:rsidRPr="00234720" w:rsidRDefault="0080416E" w:rsidP="0080416E">
      <w:pPr>
        <w:tabs>
          <w:tab w:val="clear" w:pos="567"/>
        </w:tabs>
        <w:spacing w:line="240" w:lineRule="auto"/>
        <w:rPr>
          <w:noProof/>
          <w:szCs w:val="22"/>
          <w:highlight w:val="lightGray"/>
          <w:lang w:val="en-US"/>
        </w:rPr>
      </w:pPr>
      <w:r w:rsidRPr="00234720">
        <w:rPr>
          <w:noProof/>
          <w:szCs w:val="22"/>
          <w:highlight w:val="lightGray"/>
          <w:lang w:val="en-US"/>
        </w:rPr>
        <w:t xml:space="preserve">28x1 </w:t>
      </w:r>
      <w:r w:rsidR="006C6F86" w:rsidRPr="00234720">
        <w:rPr>
          <w:noProof/>
          <w:szCs w:val="22"/>
          <w:highlight w:val="lightGray"/>
        </w:rPr>
        <w:t>plėvele dengtos tabletės</w:t>
      </w:r>
    </w:p>
    <w:p w14:paraId="00D49577" w14:textId="77777777" w:rsidR="0080416E" w:rsidRPr="00234720" w:rsidRDefault="0080416E" w:rsidP="0080416E">
      <w:pPr>
        <w:tabs>
          <w:tab w:val="clear" w:pos="567"/>
        </w:tabs>
        <w:spacing w:line="240" w:lineRule="auto"/>
        <w:rPr>
          <w:noProof/>
          <w:szCs w:val="22"/>
          <w:highlight w:val="lightGray"/>
          <w:lang w:val="en-US"/>
        </w:rPr>
      </w:pPr>
      <w:r w:rsidRPr="00234720">
        <w:rPr>
          <w:noProof/>
          <w:szCs w:val="22"/>
          <w:highlight w:val="lightGray"/>
          <w:lang w:val="en-US"/>
        </w:rPr>
        <w:t xml:space="preserve">30x1 </w:t>
      </w:r>
      <w:r w:rsidR="006C6F86" w:rsidRPr="00234720">
        <w:rPr>
          <w:noProof/>
          <w:szCs w:val="22"/>
          <w:highlight w:val="lightGray"/>
        </w:rPr>
        <w:t>plėvele dengtų tablečių</w:t>
      </w:r>
    </w:p>
    <w:p w14:paraId="76769A1E" w14:textId="77777777" w:rsidR="00E34C4A" w:rsidRPr="00234720" w:rsidRDefault="0080416E" w:rsidP="0080416E">
      <w:pPr>
        <w:rPr>
          <w:szCs w:val="22"/>
          <w:lang w:val="lt-LT"/>
        </w:rPr>
      </w:pPr>
      <w:r w:rsidRPr="00EB0C7A">
        <w:rPr>
          <w:noProof/>
          <w:szCs w:val="22"/>
          <w:highlight w:val="lightGray"/>
          <w:lang w:val="pt-PT"/>
        </w:rPr>
        <w:t xml:space="preserve">84x1 </w:t>
      </w:r>
      <w:r w:rsidR="006C6F86" w:rsidRPr="00EB0C7A">
        <w:rPr>
          <w:noProof/>
          <w:szCs w:val="22"/>
          <w:highlight w:val="lightGray"/>
          <w:lang w:val="pt-PT"/>
        </w:rPr>
        <w:t>plėvele dengtos tabletės</w:t>
      </w:r>
    </w:p>
    <w:p w14:paraId="3F037154" w14:textId="77777777" w:rsidR="00DE1326" w:rsidRPr="00234720" w:rsidRDefault="00DE1326" w:rsidP="00DE1326">
      <w:pPr>
        <w:rPr>
          <w:szCs w:val="22"/>
          <w:lang w:val="lt-LT"/>
        </w:rPr>
      </w:pPr>
    </w:p>
    <w:p w14:paraId="021F6F46" w14:textId="77777777" w:rsidR="00E04152" w:rsidRPr="00234720" w:rsidRDefault="00E04152" w:rsidP="00DE1326">
      <w:pPr>
        <w:rPr>
          <w:szCs w:val="22"/>
          <w:lang w:val="lt-LT"/>
        </w:rPr>
      </w:pPr>
    </w:p>
    <w:p w14:paraId="0AFC760C"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5.</w:t>
      </w:r>
      <w:r w:rsidRPr="00234720">
        <w:rPr>
          <w:b/>
          <w:szCs w:val="22"/>
          <w:lang w:val="lt-LT"/>
        </w:rPr>
        <w:tab/>
      </w:r>
      <w:r w:rsidRPr="00234720">
        <w:rPr>
          <w:b/>
          <w:noProof/>
          <w:szCs w:val="22"/>
          <w:lang w:val="lt-LT"/>
        </w:rPr>
        <w:t>VARTOJIMO METODAS IR BŪDAS (-AI)</w:t>
      </w:r>
    </w:p>
    <w:p w14:paraId="124964E2" w14:textId="77777777" w:rsidR="00DE1326" w:rsidRPr="00234720" w:rsidRDefault="00DE1326" w:rsidP="00DE1326">
      <w:pPr>
        <w:rPr>
          <w:szCs w:val="22"/>
          <w:lang w:val="lt-LT"/>
        </w:rPr>
      </w:pPr>
    </w:p>
    <w:p w14:paraId="24AFF741" w14:textId="77777777" w:rsidR="00DE1326" w:rsidRPr="00234720" w:rsidRDefault="00DE1326" w:rsidP="00DE1326">
      <w:pPr>
        <w:rPr>
          <w:noProof/>
          <w:szCs w:val="22"/>
          <w:lang w:val="lt-LT"/>
        </w:rPr>
      </w:pPr>
      <w:r w:rsidRPr="00234720">
        <w:rPr>
          <w:noProof/>
          <w:szCs w:val="22"/>
          <w:lang w:val="lt-LT"/>
        </w:rPr>
        <w:t>Prieš vartojimą perskaitykite pakuotės lapelį.</w:t>
      </w:r>
    </w:p>
    <w:p w14:paraId="0DAD35F2" w14:textId="77777777" w:rsidR="00F62204" w:rsidRPr="00234720" w:rsidRDefault="00F62204" w:rsidP="00DE1326">
      <w:pPr>
        <w:rPr>
          <w:szCs w:val="22"/>
          <w:lang w:val="lt-LT"/>
        </w:rPr>
      </w:pPr>
      <w:r w:rsidRPr="00234720">
        <w:rPr>
          <w:noProof/>
          <w:szCs w:val="22"/>
          <w:lang w:val="lt-LT"/>
        </w:rPr>
        <w:t>Vartoti per burną</w:t>
      </w:r>
      <w:r w:rsidR="009C385C" w:rsidRPr="00234720">
        <w:rPr>
          <w:noProof/>
          <w:szCs w:val="22"/>
          <w:lang w:val="lt-LT"/>
        </w:rPr>
        <w:t>.</w:t>
      </w:r>
    </w:p>
    <w:p w14:paraId="48FB3F05" w14:textId="77777777" w:rsidR="00DE1326" w:rsidRPr="00234720" w:rsidRDefault="00DE1326" w:rsidP="00DE1326">
      <w:pPr>
        <w:rPr>
          <w:szCs w:val="22"/>
          <w:lang w:val="lt-LT"/>
        </w:rPr>
      </w:pPr>
    </w:p>
    <w:p w14:paraId="69AD8A8D" w14:textId="77777777" w:rsidR="00DE1326" w:rsidRPr="00234720" w:rsidRDefault="00DE1326" w:rsidP="00DE1326">
      <w:pPr>
        <w:rPr>
          <w:szCs w:val="22"/>
          <w:lang w:val="lt-LT"/>
        </w:rPr>
      </w:pPr>
    </w:p>
    <w:p w14:paraId="41A942C0"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6.</w:t>
      </w:r>
      <w:r w:rsidRPr="00234720">
        <w:rPr>
          <w:b/>
          <w:szCs w:val="22"/>
          <w:lang w:val="lt-LT"/>
        </w:rPr>
        <w:tab/>
      </w:r>
      <w:r w:rsidRPr="00234720">
        <w:rPr>
          <w:b/>
          <w:noProof/>
          <w:szCs w:val="22"/>
          <w:lang w:val="lt-LT"/>
        </w:rPr>
        <w:t>SPECIALUS ĮSPĖJIMAS, KAD VAISTINĮ PREPARATĄ BŪTINA LAIKYTI VAIKAMS NEPASTEBIMOJE IR  NEPASIEKIAMOJE VIETOJE</w:t>
      </w:r>
    </w:p>
    <w:p w14:paraId="15729F70" w14:textId="77777777" w:rsidR="00DE1326" w:rsidRPr="00234720" w:rsidRDefault="00DE1326" w:rsidP="00DE1326">
      <w:pPr>
        <w:rPr>
          <w:szCs w:val="22"/>
          <w:lang w:val="lt-LT"/>
        </w:rPr>
      </w:pPr>
    </w:p>
    <w:p w14:paraId="695B3D70" w14:textId="77777777" w:rsidR="00DE1326" w:rsidRPr="00234720" w:rsidRDefault="00DE1326" w:rsidP="00DE1326">
      <w:pPr>
        <w:rPr>
          <w:szCs w:val="22"/>
          <w:lang w:val="lt-LT"/>
        </w:rPr>
      </w:pPr>
      <w:r w:rsidRPr="00234720">
        <w:rPr>
          <w:noProof/>
          <w:szCs w:val="22"/>
          <w:lang w:val="lt-LT"/>
        </w:rPr>
        <w:t>Laikyti vaikams nepastebimoje ir nepasiekiamoje vietoje.</w:t>
      </w:r>
    </w:p>
    <w:p w14:paraId="6C50E2E7" w14:textId="77777777" w:rsidR="00DE1326" w:rsidRPr="00234720" w:rsidRDefault="00DE1326" w:rsidP="00DE1326">
      <w:pPr>
        <w:rPr>
          <w:szCs w:val="22"/>
          <w:lang w:val="lt-LT"/>
        </w:rPr>
      </w:pPr>
    </w:p>
    <w:p w14:paraId="761DA35D" w14:textId="77777777" w:rsidR="00DE1326" w:rsidRPr="00234720" w:rsidRDefault="00DE1326" w:rsidP="00DE1326">
      <w:pPr>
        <w:rPr>
          <w:szCs w:val="22"/>
          <w:lang w:val="lt-LT"/>
        </w:rPr>
      </w:pPr>
    </w:p>
    <w:p w14:paraId="6A1112E8"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7.</w:t>
      </w:r>
      <w:r w:rsidRPr="00234720">
        <w:rPr>
          <w:b/>
          <w:szCs w:val="22"/>
          <w:lang w:val="lt-LT"/>
        </w:rPr>
        <w:tab/>
      </w:r>
      <w:r w:rsidRPr="00234720">
        <w:rPr>
          <w:b/>
          <w:noProof/>
          <w:szCs w:val="22"/>
          <w:lang w:val="lt-LT"/>
        </w:rPr>
        <w:t>KITAS (-I) SPECIALUS (-ŪS) ĮSPĖJIMAS (-AI) (JEI REIKIA)</w:t>
      </w:r>
    </w:p>
    <w:p w14:paraId="2C0F2C51" w14:textId="77777777" w:rsidR="00DE1326" w:rsidRPr="00234720" w:rsidRDefault="00DE1326" w:rsidP="00DE1326">
      <w:pPr>
        <w:rPr>
          <w:szCs w:val="22"/>
          <w:lang w:val="lt-LT"/>
        </w:rPr>
      </w:pPr>
    </w:p>
    <w:p w14:paraId="5D23F7B1" w14:textId="77777777" w:rsidR="00DE1326" w:rsidRPr="00234720" w:rsidRDefault="00DE1326" w:rsidP="00DE1326">
      <w:pPr>
        <w:rPr>
          <w:szCs w:val="22"/>
          <w:lang w:val="lt-LT"/>
        </w:rPr>
      </w:pPr>
    </w:p>
    <w:p w14:paraId="47E21A17" w14:textId="77777777" w:rsidR="00DE1326" w:rsidRPr="00234720"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34720">
        <w:rPr>
          <w:b/>
          <w:szCs w:val="22"/>
          <w:lang w:val="lt-LT"/>
        </w:rPr>
        <w:t>8.</w:t>
      </w:r>
      <w:r w:rsidRPr="00234720">
        <w:rPr>
          <w:b/>
          <w:szCs w:val="22"/>
          <w:lang w:val="lt-LT"/>
        </w:rPr>
        <w:tab/>
      </w:r>
      <w:r w:rsidRPr="00234720">
        <w:rPr>
          <w:b/>
          <w:noProof/>
          <w:szCs w:val="22"/>
          <w:lang w:val="lt-LT"/>
        </w:rPr>
        <w:t>TINKAMUMO LAIKAS</w:t>
      </w:r>
    </w:p>
    <w:p w14:paraId="1631412B" w14:textId="77777777" w:rsidR="00E52129" w:rsidRPr="00234720" w:rsidRDefault="00E52129" w:rsidP="00DE1326">
      <w:pPr>
        <w:rPr>
          <w:szCs w:val="22"/>
          <w:lang w:val="lt-LT"/>
        </w:rPr>
      </w:pPr>
    </w:p>
    <w:p w14:paraId="2067A5AC" w14:textId="7BA57974" w:rsidR="00DE1326" w:rsidRPr="00FF397D" w:rsidRDefault="007F6785" w:rsidP="00DE1326">
      <w:pPr>
        <w:rPr>
          <w:szCs w:val="22"/>
          <w:lang w:val="lt-LT"/>
        </w:rPr>
      </w:pPr>
      <w:r w:rsidRPr="00FF397D">
        <w:rPr>
          <w:szCs w:val="22"/>
          <w:lang w:val="lt-LT"/>
        </w:rPr>
        <w:lastRenderedPageBreak/>
        <w:t>EXP</w:t>
      </w:r>
      <w:r w:rsidR="00DE1326" w:rsidRPr="00FF397D">
        <w:rPr>
          <w:szCs w:val="22"/>
          <w:lang w:val="lt-LT"/>
        </w:rPr>
        <w:t xml:space="preserve"> </w:t>
      </w:r>
      <w:r w:rsidRPr="00FF397D">
        <w:rPr>
          <w:szCs w:val="22"/>
          <w:lang w:val="lt-LT"/>
        </w:rPr>
        <w:t>{mm MMMM}</w:t>
      </w:r>
    </w:p>
    <w:p w14:paraId="434B8077" w14:textId="77777777" w:rsidR="00DE1326" w:rsidRPr="00234720" w:rsidRDefault="00DE1326" w:rsidP="00DE1326">
      <w:pPr>
        <w:rPr>
          <w:szCs w:val="22"/>
          <w:lang w:val="lt-LT"/>
        </w:rPr>
      </w:pPr>
    </w:p>
    <w:p w14:paraId="428C2BEC" w14:textId="77777777" w:rsidR="00DE1326" w:rsidRPr="00234720" w:rsidRDefault="00DE1326" w:rsidP="00DE1326">
      <w:pPr>
        <w:rPr>
          <w:szCs w:val="22"/>
          <w:lang w:val="lt-LT"/>
        </w:rPr>
      </w:pPr>
    </w:p>
    <w:p w14:paraId="167DDCA5" w14:textId="77777777" w:rsidR="00DE1326" w:rsidRPr="00FF397D"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397D">
        <w:rPr>
          <w:b/>
          <w:szCs w:val="22"/>
          <w:lang w:val="lt-LT"/>
        </w:rPr>
        <w:t>9.</w:t>
      </w:r>
      <w:r w:rsidRPr="00FF397D">
        <w:rPr>
          <w:b/>
          <w:szCs w:val="22"/>
          <w:lang w:val="lt-LT"/>
        </w:rPr>
        <w:tab/>
      </w:r>
      <w:r w:rsidRPr="00FF397D">
        <w:rPr>
          <w:b/>
          <w:noProof/>
          <w:szCs w:val="22"/>
          <w:lang w:val="lt-LT"/>
        </w:rPr>
        <w:t>SPECIALIOS LAIKYMO SĄLYGOS</w:t>
      </w:r>
    </w:p>
    <w:p w14:paraId="75866C99" w14:textId="77777777" w:rsidR="00DE1326" w:rsidRPr="00FF397D" w:rsidRDefault="00DE1326" w:rsidP="00DE1326">
      <w:pPr>
        <w:rPr>
          <w:szCs w:val="22"/>
          <w:lang w:val="lt-LT"/>
        </w:rPr>
      </w:pPr>
    </w:p>
    <w:p w14:paraId="41010E70" w14:textId="77777777" w:rsidR="00DE1326" w:rsidRPr="00FF397D" w:rsidRDefault="00DE1326" w:rsidP="00DE1326">
      <w:pPr>
        <w:rPr>
          <w:szCs w:val="22"/>
          <w:lang w:val="lt-LT"/>
        </w:rPr>
      </w:pPr>
    </w:p>
    <w:p w14:paraId="6093A50B"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10.</w:t>
      </w:r>
      <w:r w:rsidRPr="00FF397D">
        <w:rPr>
          <w:b/>
          <w:szCs w:val="22"/>
          <w:lang w:val="lt-LT"/>
        </w:rPr>
        <w:tab/>
      </w:r>
      <w:r w:rsidRPr="00FF397D">
        <w:rPr>
          <w:b/>
          <w:noProof/>
          <w:szCs w:val="22"/>
          <w:lang w:val="lt-LT"/>
        </w:rPr>
        <w:t>SPECIALIOS ATSARGUMO PRIEMONĖS DĖL NESUVARTOTO VAISTINIO PREPARATO AR JO ATLIEKŲ TVARKYMO (JEI REIKIA)</w:t>
      </w:r>
    </w:p>
    <w:p w14:paraId="1B2F8658" w14:textId="77777777" w:rsidR="00DE1326" w:rsidRPr="00FF397D" w:rsidRDefault="00DE1326" w:rsidP="00DE1326">
      <w:pPr>
        <w:rPr>
          <w:szCs w:val="22"/>
          <w:lang w:val="lt-LT"/>
        </w:rPr>
      </w:pPr>
    </w:p>
    <w:p w14:paraId="09418E4D" w14:textId="77777777" w:rsidR="00DE1326" w:rsidRPr="00FF397D" w:rsidRDefault="00DE1326" w:rsidP="00DE1326">
      <w:pPr>
        <w:rPr>
          <w:szCs w:val="22"/>
          <w:lang w:val="lt-LT"/>
        </w:rPr>
      </w:pPr>
    </w:p>
    <w:p w14:paraId="32FCD985"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11.</w:t>
      </w:r>
      <w:r w:rsidRPr="00FF397D">
        <w:rPr>
          <w:b/>
          <w:szCs w:val="22"/>
          <w:lang w:val="lt-LT"/>
        </w:rPr>
        <w:tab/>
      </w:r>
      <w:r w:rsidRPr="00FF397D">
        <w:rPr>
          <w:b/>
          <w:caps/>
          <w:noProof/>
          <w:szCs w:val="22"/>
          <w:lang w:val="lt-LT"/>
        </w:rPr>
        <w:t xml:space="preserve"> REGISTRUOTOJO PAVADINIMAS IR ADRESAS</w:t>
      </w:r>
    </w:p>
    <w:p w14:paraId="293189FA" w14:textId="77777777" w:rsidR="00DE1326" w:rsidRPr="00FF397D" w:rsidRDefault="00DE1326" w:rsidP="00DE1326">
      <w:pPr>
        <w:rPr>
          <w:szCs w:val="22"/>
          <w:lang w:val="lt-LT"/>
        </w:rPr>
      </w:pPr>
    </w:p>
    <w:p w14:paraId="6C86FA4F" w14:textId="73C85E19" w:rsidR="006C6F86" w:rsidRPr="00FF397D" w:rsidRDefault="006C6F86" w:rsidP="00B45D31">
      <w:pPr>
        <w:pStyle w:val="BTEMEASMCA"/>
        <w:rPr>
          <w:shd w:val="clear" w:color="auto" w:fill="FFFFFF"/>
        </w:rPr>
      </w:pPr>
      <w:r w:rsidRPr="00FF397D">
        <w:rPr>
          <w:shd w:val="clear" w:color="auto" w:fill="FFFFFF"/>
        </w:rPr>
        <w:t>Teva B.V</w:t>
      </w:r>
    </w:p>
    <w:p w14:paraId="113D9546" w14:textId="68CEE9B4" w:rsidR="006C6F86" w:rsidRPr="00FF397D" w:rsidRDefault="006C6F86" w:rsidP="00B45D31">
      <w:pPr>
        <w:pStyle w:val="BTEMEASMCA"/>
      </w:pPr>
      <w:r w:rsidRPr="00FF397D">
        <w:t>Swensweg 5</w:t>
      </w:r>
    </w:p>
    <w:p w14:paraId="0294598D" w14:textId="64E88BB6" w:rsidR="006C6F86" w:rsidRPr="00FF397D" w:rsidRDefault="006C6F86" w:rsidP="00B45D31">
      <w:pPr>
        <w:pStyle w:val="BTEMEASMCA"/>
      </w:pPr>
      <w:r w:rsidRPr="00FF397D">
        <w:t>2031 GA Haarlem</w:t>
      </w:r>
    </w:p>
    <w:p w14:paraId="103C35C4" w14:textId="77777777" w:rsidR="004B3D41" w:rsidRPr="00FF397D" w:rsidRDefault="006C6F86" w:rsidP="006C6F86">
      <w:pPr>
        <w:tabs>
          <w:tab w:val="clear" w:pos="567"/>
          <w:tab w:val="left" w:pos="9214"/>
        </w:tabs>
        <w:spacing w:line="240" w:lineRule="auto"/>
        <w:ind w:right="282"/>
        <w:rPr>
          <w:szCs w:val="22"/>
          <w:lang w:val="lt-LT"/>
        </w:rPr>
      </w:pPr>
      <w:r w:rsidRPr="00FF397D">
        <w:rPr>
          <w:color w:val="000000"/>
          <w:szCs w:val="22"/>
          <w:shd w:val="clear" w:color="auto" w:fill="FFFFFF"/>
          <w:lang w:val="nl-NL"/>
        </w:rPr>
        <w:t>Nyderlandai</w:t>
      </w:r>
    </w:p>
    <w:p w14:paraId="70E754E1" w14:textId="77777777" w:rsidR="00DE1326" w:rsidRPr="00FF397D" w:rsidRDefault="00DE1326" w:rsidP="00DE1326">
      <w:pPr>
        <w:rPr>
          <w:szCs w:val="22"/>
          <w:lang w:val="lt-LT"/>
        </w:rPr>
      </w:pPr>
    </w:p>
    <w:p w14:paraId="75B020D0" w14:textId="77777777" w:rsidR="00DE1326" w:rsidRPr="00FF397D" w:rsidRDefault="00DE1326" w:rsidP="00DE1326">
      <w:pPr>
        <w:rPr>
          <w:szCs w:val="22"/>
          <w:lang w:val="lt-LT"/>
        </w:rPr>
      </w:pPr>
    </w:p>
    <w:p w14:paraId="00E7CD1E"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397D">
        <w:rPr>
          <w:b/>
          <w:szCs w:val="22"/>
          <w:lang w:val="lt-LT"/>
        </w:rPr>
        <w:t>12.</w:t>
      </w:r>
      <w:r w:rsidRPr="00FF397D">
        <w:rPr>
          <w:b/>
          <w:szCs w:val="22"/>
          <w:lang w:val="lt-LT"/>
        </w:rPr>
        <w:tab/>
      </w:r>
      <w:r w:rsidRPr="00FF397D">
        <w:rPr>
          <w:b/>
          <w:noProof/>
          <w:szCs w:val="22"/>
          <w:lang w:val="lt-LT"/>
        </w:rPr>
        <w:t>REGISTRACIJOS PAŽYMĖJIMO NUMERIS (-IAI)</w:t>
      </w:r>
      <w:r w:rsidRPr="00FF397D">
        <w:rPr>
          <w:b/>
          <w:szCs w:val="22"/>
          <w:lang w:val="lt-LT"/>
        </w:rPr>
        <w:t xml:space="preserve"> </w:t>
      </w:r>
    </w:p>
    <w:p w14:paraId="57B4AD9F" w14:textId="77777777" w:rsidR="00DE1326" w:rsidRPr="00FF397D" w:rsidRDefault="00DE1326" w:rsidP="00DE1326">
      <w:pPr>
        <w:rPr>
          <w:szCs w:val="22"/>
          <w:lang w:val="lt-LT"/>
        </w:rPr>
      </w:pPr>
    </w:p>
    <w:p w14:paraId="5E1161CC" w14:textId="77777777" w:rsidR="00E52129" w:rsidRPr="00234720" w:rsidRDefault="00E52129" w:rsidP="00E52129">
      <w:pPr>
        <w:rPr>
          <w:szCs w:val="22"/>
          <w:shd w:val="clear" w:color="auto" w:fill="F2F2F2" w:themeFill="background1" w:themeFillShade="F2"/>
          <w:lang w:val="lt-LT"/>
        </w:rPr>
      </w:pPr>
      <w:r w:rsidRPr="00234720">
        <w:rPr>
          <w:szCs w:val="22"/>
          <w:u w:val="single"/>
          <w:shd w:val="clear" w:color="auto" w:fill="F2F2F2" w:themeFill="background1" w:themeFillShade="F2"/>
          <w:lang w:val="lt-LT"/>
        </w:rPr>
        <w:t>Lizdinė plokštelė</w:t>
      </w:r>
      <w:r w:rsidRPr="00234720">
        <w:rPr>
          <w:szCs w:val="22"/>
          <w:shd w:val="clear" w:color="auto" w:fill="F2F2F2" w:themeFill="background1" w:themeFillShade="F2"/>
          <w:lang w:val="lt-LT"/>
        </w:rPr>
        <w:t>:</w:t>
      </w:r>
    </w:p>
    <w:p w14:paraId="5BE1C56B" w14:textId="77777777" w:rsidR="00E52129" w:rsidRPr="00234720" w:rsidRDefault="00E52129" w:rsidP="00E52129">
      <w:pPr>
        <w:rPr>
          <w:szCs w:val="22"/>
          <w:shd w:val="clear" w:color="auto" w:fill="F2F2F2" w:themeFill="background1" w:themeFillShade="F2"/>
          <w:lang w:val="lt-LT"/>
        </w:rPr>
      </w:pPr>
      <w:r w:rsidRPr="00E52129">
        <w:rPr>
          <w:szCs w:val="22"/>
          <w:lang w:val="lt-LT"/>
        </w:rPr>
        <w:t xml:space="preserve">LT/1/23/5234/001 </w:t>
      </w:r>
      <w:r w:rsidRPr="00234720">
        <w:rPr>
          <w:szCs w:val="22"/>
          <w:shd w:val="clear" w:color="auto" w:fill="F2F2F2" w:themeFill="background1" w:themeFillShade="F2"/>
          <w:lang w:val="lt-LT"/>
        </w:rPr>
        <w:t>– N10</w:t>
      </w:r>
    </w:p>
    <w:p w14:paraId="7F5F92CD"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LT/1/23/5234/002 – N14</w:t>
      </w:r>
    </w:p>
    <w:p w14:paraId="108FC91F"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LT/1/23/5234/003 – N28</w:t>
      </w:r>
    </w:p>
    <w:p w14:paraId="77236D78"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LT/1/23/5234/004 – N30</w:t>
      </w:r>
    </w:p>
    <w:p w14:paraId="40200AC3" w14:textId="0261F9B5"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LT/1/23/5234/005 – N84</w:t>
      </w:r>
    </w:p>
    <w:p w14:paraId="31B28F8B" w14:textId="77777777" w:rsidR="00234720" w:rsidRPr="00234720" w:rsidRDefault="00234720" w:rsidP="00E52129">
      <w:pPr>
        <w:rPr>
          <w:szCs w:val="22"/>
          <w:shd w:val="clear" w:color="auto" w:fill="F2F2F2" w:themeFill="background1" w:themeFillShade="F2"/>
          <w:lang w:val="lt-LT"/>
        </w:rPr>
      </w:pPr>
    </w:p>
    <w:p w14:paraId="252B922D" w14:textId="6F9E9477" w:rsidR="00E52129" w:rsidRPr="00234720" w:rsidRDefault="00E52129" w:rsidP="00E52129">
      <w:pPr>
        <w:rPr>
          <w:szCs w:val="22"/>
          <w:shd w:val="clear" w:color="auto" w:fill="F2F2F2" w:themeFill="background1" w:themeFillShade="F2"/>
          <w:lang w:val="lt-LT"/>
        </w:rPr>
      </w:pPr>
      <w:r w:rsidRPr="00234720">
        <w:rPr>
          <w:szCs w:val="22"/>
          <w:u w:val="single"/>
          <w:shd w:val="clear" w:color="auto" w:fill="F2F2F2" w:themeFill="background1" w:themeFillShade="F2"/>
          <w:lang w:val="lt-LT"/>
        </w:rPr>
        <w:t>Dalomoji lizdinė plokštelė</w:t>
      </w:r>
      <w:r w:rsidRPr="00234720">
        <w:rPr>
          <w:szCs w:val="22"/>
          <w:shd w:val="clear" w:color="auto" w:fill="F2F2F2" w:themeFill="background1" w:themeFillShade="F2"/>
          <w:lang w:val="lt-LT"/>
        </w:rPr>
        <w:t>:</w:t>
      </w:r>
    </w:p>
    <w:p w14:paraId="13938C50"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LT/1/23/5234/006 – N10×1</w:t>
      </w:r>
    </w:p>
    <w:p w14:paraId="1E7A82E0"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LT/1/23/5234/007 – N28×1</w:t>
      </w:r>
    </w:p>
    <w:p w14:paraId="5CFB8C7C"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LT/1/23/5234/008 – N30×1</w:t>
      </w:r>
    </w:p>
    <w:p w14:paraId="39496B55" w14:textId="77777777" w:rsidR="00E52129" w:rsidRPr="00234720" w:rsidRDefault="00E52129" w:rsidP="00E52129">
      <w:pPr>
        <w:rPr>
          <w:szCs w:val="22"/>
          <w:shd w:val="clear" w:color="auto" w:fill="F2F2F2" w:themeFill="background1" w:themeFillShade="F2"/>
          <w:lang w:val="lt-LT"/>
        </w:rPr>
      </w:pPr>
      <w:r w:rsidRPr="00234720">
        <w:rPr>
          <w:szCs w:val="22"/>
          <w:shd w:val="clear" w:color="auto" w:fill="F2F2F2" w:themeFill="background1" w:themeFillShade="F2"/>
          <w:lang w:val="lt-LT"/>
        </w:rPr>
        <w:t>LT/1/23/5234/009 – N84×1</w:t>
      </w:r>
    </w:p>
    <w:p w14:paraId="3E156F6F" w14:textId="77777777" w:rsidR="00053B51" w:rsidRPr="00FF397D" w:rsidRDefault="00053B51" w:rsidP="00053B51">
      <w:pPr>
        <w:rPr>
          <w:szCs w:val="22"/>
          <w:lang w:val="lt-LT"/>
        </w:rPr>
      </w:pPr>
    </w:p>
    <w:p w14:paraId="5760C6C5" w14:textId="77777777" w:rsidR="00DE1326" w:rsidRPr="00FF397D" w:rsidRDefault="00DE1326" w:rsidP="00DE1326">
      <w:pPr>
        <w:rPr>
          <w:szCs w:val="22"/>
          <w:lang w:val="lt-LT"/>
        </w:rPr>
      </w:pPr>
    </w:p>
    <w:p w14:paraId="36B65E6A"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397D">
        <w:rPr>
          <w:b/>
          <w:szCs w:val="22"/>
          <w:lang w:val="lt-LT"/>
        </w:rPr>
        <w:t>13.</w:t>
      </w:r>
      <w:r w:rsidRPr="00FF397D">
        <w:rPr>
          <w:b/>
          <w:szCs w:val="22"/>
          <w:lang w:val="lt-LT"/>
        </w:rPr>
        <w:tab/>
      </w:r>
      <w:r w:rsidRPr="00FF397D">
        <w:rPr>
          <w:b/>
          <w:noProof/>
          <w:szCs w:val="22"/>
          <w:lang w:val="lt-LT"/>
        </w:rPr>
        <w:t xml:space="preserve">SERIJOS NUMERIS </w:t>
      </w:r>
    </w:p>
    <w:p w14:paraId="0D50E319" w14:textId="77777777" w:rsidR="00DE1326" w:rsidRPr="00FF397D" w:rsidRDefault="00DE1326" w:rsidP="00DE1326">
      <w:pPr>
        <w:rPr>
          <w:szCs w:val="22"/>
          <w:lang w:val="lt-LT"/>
        </w:rPr>
      </w:pPr>
    </w:p>
    <w:p w14:paraId="732500B5" w14:textId="77777777" w:rsidR="00DE1326" w:rsidRPr="00FF397D" w:rsidRDefault="007F6785" w:rsidP="00DE1326">
      <w:pPr>
        <w:rPr>
          <w:szCs w:val="22"/>
          <w:lang w:val="lt-LT"/>
        </w:rPr>
      </w:pPr>
      <w:r w:rsidRPr="00FF397D">
        <w:rPr>
          <w:szCs w:val="22"/>
          <w:lang w:val="lt-LT"/>
        </w:rPr>
        <w:t>Lot</w:t>
      </w:r>
    </w:p>
    <w:p w14:paraId="6D991CA8" w14:textId="77777777" w:rsidR="00DE1326" w:rsidRPr="00FF397D" w:rsidRDefault="00DE1326" w:rsidP="00DE1326">
      <w:pPr>
        <w:rPr>
          <w:szCs w:val="22"/>
          <w:lang w:val="lt-LT"/>
        </w:rPr>
      </w:pPr>
    </w:p>
    <w:p w14:paraId="25ED5171" w14:textId="77777777" w:rsidR="00DE1326" w:rsidRPr="00FF397D" w:rsidRDefault="00DE1326" w:rsidP="00DE1326">
      <w:pPr>
        <w:rPr>
          <w:szCs w:val="22"/>
          <w:lang w:val="lt-LT"/>
        </w:rPr>
      </w:pPr>
    </w:p>
    <w:p w14:paraId="1C5A31FF"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F397D">
        <w:rPr>
          <w:b/>
          <w:szCs w:val="22"/>
          <w:lang w:val="lt-LT"/>
        </w:rPr>
        <w:t>14.</w:t>
      </w:r>
      <w:r w:rsidRPr="00FF397D">
        <w:rPr>
          <w:b/>
          <w:szCs w:val="22"/>
          <w:lang w:val="lt-LT"/>
        </w:rPr>
        <w:tab/>
      </w:r>
      <w:r w:rsidRPr="00FF397D">
        <w:rPr>
          <w:b/>
          <w:noProof/>
          <w:szCs w:val="22"/>
          <w:lang w:val="lt-LT"/>
        </w:rPr>
        <w:t>PARDAVIMO (IŠDAVIMO) TVARKA</w:t>
      </w:r>
    </w:p>
    <w:p w14:paraId="4B3CC439" w14:textId="77777777" w:rsidR="00DE1326" w:rsidRPr="00FF397D" w:rsidRDefault="00DE1326" w:rsidP="00DE1326">
      <w:pPr>
        <w:rPr>
          <w:szCs w:val="22"/>
          <w:lang w:val="lt-LT"/>
        </w:rPr>
      </w:pPr>
    </w:p>
    <w:p w14:paraId="7540AE92" w14:textId="77777777" w:rsidR="00DE1326" w:rsidRPr="00FF397D" w:rsidRDefault="00DE1326" w:rsidP="00DE1326">
      <w:pPr>
        <w:rPr>
          <w:szCs w:val="22"/>
          <w:lang w:val="lt-LT"/>
        </w:rPr>
      </w:pPr>
      <w:r w:rsidRPr="00FF397D">
        <w:rPr>
          <w:szCs w:val="22"/>
          <w:lang w:val="lt-LT"/>
        </w:rPr>
        <w:t>Receptinis vaistas</w:t>
      </w:r>
    </w:p>
    <w:p w14:paraId="4D761E82" w14:textId="77777777" w:rsidR="00DE1326" w:rsidRPr="00FF397D" w:rsidRDefault="00DE1326" w:rsidP="00DE1326">
      <w:pPr>
        <w:rPr>
          <w:szCs w:val="22"/>
          <w:lang w:val="lt-LT"/>
        </w:rPr>
      </w:pPr>
    </w:p>
    <w:p w14:paraId="477D4AA7" w14:textId="77777777" w:rsidR="00DE1326" w:rsidRPr="00FF397D" w:rsidRDefault="00DE1326" w:rsidP="00DE1326">
      <w:pPr>
        <w:rPr>
          <w:szCs w:val="22"/>
          <w:lang w:val="lt-LT"/>
        </w:rPr>
      </w:pPr>
    </w:p>
    <w:p w14:paraId="2CA5B1F3" w14:textId="77777777" w:rsidR="00DE1326" w:rsidRPr="00FF397D"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FF397D">
        <w:rPr>
          <w:b/>
          <w:szCs w:val="22"/>
          <w:lang w:val="lt-LT"/>
        </w:rPr>
        <w:t>15.</w:t>
      </w:r>
      <w:r w:rsidRPr="00FF397D">
        <w:rPr>
          <w:b/>
          <w:szCs w:val="22"/>
          <w:lang w:val="lt-LT"/>
        </w:rPr>
        <w:tab/>
      </w:r>
      <w:r w:rsidRPr="00FF397D">
        <w:rPr>
          <w:b/>
          <w:noProof/>
          <w:szCs w:val="22"/>
          <w:lang w:val="lt-LT"/>
        </w:rPr>
        <w:t>VARTOJIMO INSTRUKCIJA</w:t>
      </w:r>
    </w:p>
    <w:p w14:paraId="6BA8837A" w14:textId="77777777" w:rsidR="00DE1326" w:rsidRPr="00FF397D" w:rsidRDefault="00DE1326" w:rsidP="00DE1326">
      <w:pPr>
        <w:rPr>
          <w:szCs w:val="22"/>
          <w:lang w:val="lt-LT"/>
        </w:rPr>
      </w:pPr>
    </w:p>
    <w:p w14:paraId="3AC8D51C" w14:textId="77777777" w:rsidR="00DE1326" w:rsidRPr="00FF397D" w:rsidRDefault="00DE1326" w:rsidP="00DE1326">
      <w:pPr>
        <w:rPr>
          <w:szCs w:val="22"/>
          <w:lang w:val="lt-LT"/>
        </w:rPr>
      </w:pPr>
    </w:p>
    <w:p w14:paraId="45A45B54" w14:textId="77777777" w:rsidR="00DE1326" w:rsidRPr="00FF397D"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FF397D">
        <w:rPr>
          <w:b/>
          <w:szCs w:val="22"/>
          <w:lang w:val="lt-LT"/>
        </w:rPr>
        <w:t>16.</w:t>
      </w:r>
      <w:r w:rsidRPr="00FF397D">
        <w:rPr>
          <w:b/>
          <w:szCs w:val="22"/>
          <w:lang w:val="lt-LT"/>
        </w:rPr>
        <w:tab/>
      </w:r>
      <w:r w:rsidRPr="00FF397D">
        <w:rPr>
          <w:b/>
          <w:noProof/>
          <w:szCs w:val="22"/>
          <w:lang w:val="lt-LT"/>
        </w:rPr>
        <w:t>INFORMACIJA BRAILIO RAŠTU</w:t>
      </w:r>
    </w:p>
    <w:p w14:paraId="4D507C48" w14:textId="77777777" w:rsidR="00DE1326" w:rsidRPr="00FF397D" w:rsidRDefault="00DE1326" w:rsidP="00DE1326">
      <w:pPr>
        <w:rPr>
          <w:szCs w:val="22"/>
          <w:lang w:val="lt-LT"/>
        </w:rPr>
      </w:pPr>
    </w:p>
    <w:p w14:paraId="23BCBD09" w14:textId="77777777" w:rsidR="00DE1326" w:rsidRPr="00FF397D" w:rsidRDefault="006C6F86" w:rsidP="00DE1326">
      <w:pPr>
        <w:rPr>
          <w:szCs w:val="22"/>
          <w:lang w:val="lt-LT"/>
        </w:rPr>
      </w:pPr>
      <w:r w:rsidRPr="00FF397D">
        <w:rPr>
          <w:szCs w:val="22"/>
          <w:lang w:val="lt-LT"/>
        </w:rPr>
        <w:t>Teriflunomide Teva 14 mg</w:t>
      </w:r>
    </w:p>
    <w:p w14:paraId="1AACC4CF" w14:textId="77777777" w:rsidR="007F6785" w:rsidRPr="00FF397D" w:rsidRDefault="007F6785" w:rsidP="00DE1326">
      <w:pPr>
        <w:rPr>
          <w:szCs w:val="22"/>
          <w:lang w:val="lt-LT"/>
        </w:rPr>
      </w:pPr>
    </w:p>
    <w:p w14:paraId="7106F810" w14:textId="77777777" w:rsidR="00DE1326" w:rsidRPr="00FF397D" w:rsidRDefault="00DE1326" w:rsidP="00DE1326">
      <w:pPr>
        <w:rPr>
          <w:noProof/>
          <w:snapToGrid/>
          <w:szCs w:val="22"/>
          <w:shd w:val="clear" w:color="auto" w:fill="CCCCCC"/>
          <w:lang w:val="lt-LT"/>
        </w:rPr>
      </w:pPr>
    </w:p>
    <w:p w14:paraId="336766DD" w14:textId="77777777" w:rsidR="00DE1326" w:rsidRPr="00FF397D"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FF397D">
        <w:rPr>
          <w:b/>
          <w:noProof/>
          <w:szCs w:val="22"/>
          <w:lang w:val="lt-LT"/>
        </w:rPr>
        <w:lastRenderedPageBreak/>
        <w:t>17.</w:t>
      </w:r>
      <w:r w:rsidRPr="00FF397D">
        <w:rPr>
          <w:b/>
          <w:noProof/>
          <w:szCs w:val="22"/>
          <w:lang w:val="lt-LT"/>
        </w:rPr>
        <w:tab/>
        <w:t>UNIKALUS IDENTIFIKATORIUS – 2D BRŪKŠNINIS KODAS</w:t>
      </w:r>
    </w:p>
    <w:p w14:paraId="20E1F93D" w14:textId="77777777" w:rsidR="00DE1326" w:rsidRPr="00FF397D" w:rsidRDefault="00DE1326" w:rsidP="00DE1326">
      <w:pPr>
        <w:rPr>
          <w:noProof/>
          <w:szCs w:val="22"/>
          <w:lang w:val="lt-LT"/>
        </w:rPr>
      </w:pPr>
    </w:p>
    <w:p w14:paraId="1823618B" w14:textId="77777777" w:rsidR="00DE1326" w:rsidRPr="00FF397D" w:rsidRDefault="00DE1326" w:rsidP="00DE1326">
      <w:pPr>
        <w:rPr>
          <w:noProof/>
          <w:szCs w:val="22"/>
          <w:shd w:val="clear" w:color="auto" w:fill="CCCCCC"/>
          <w:lang w:val="lt-LT"/>
        </w:rPr>
      </w:pPr>
      <w:r w:rsidRPr="00FF397D">
        <w:rPr>
          <w:szCs w:val="22"/>
          <w:highlight w:val="lightGray"/>
          <w:lang w:val="lt-LT"/>
        </w:rPr>
        <w:t>2D brūkšninis kodas su nurod</w:t>
      </w:r>
      <w:r w:rsidR="007F6785" w:rsidRPr="00FF397D">
        <w:rPr>
          <w:szCs w:val="22"/>
          <w:highlight w:val="lightGray"/>
          <w:lang w:val="lt-LT"/>
        </w:rPr>
        <w:t>ytu unikaliu identifikatoriumi.</w:t>
      </w:r>
    </w:p>
    <w:p w14:paraId="2061D6CF" w14:textId="77777777" w:rsidR="00DE1326" w:rsidRPr="00FF397D" w:rsidRDefault="00DE1326" w:rsidP="00DE1326">
      <w:pPr>
        <w:rPr>
          <w:noProof/>
          <w:szCs w:val="22"/>
          <w:shd w:val="clear" w:color="auto" w:fill="CCCCCC"/>
          <w:lang w:val="lt-LT"/>
        </w:rPr>
      </w:pPr>
    </w:p>
    <w:p w14:paraId="647A7759" w14:textId="77777777" w:rsidR="00DE1326" w:rsidRPr="00FF397D" w:rsidRDefault="00DE1326" w:rsidP="00DE1326">
      <w:pPr>
        <w:rPr>
          <w:noProof/>
          <w:szCs w:val="22"/>
          <w:lang w:val="lt-LT"/>
        </w:rPr>
      </w:pPr>
    </w:p>
    <w:p w14:paraId="49417B5B" w14:textId="77777777" w:rsidR="00DE1326" w:rsidRPr="00FF397D"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FF397D">
        <w:rPr>
          <w:b/>
          <w:noProof/>
          <w:szCs w:val="22"/>
          <w:lang w:val="lt-LT"/>
        </w:rPr>
        <w:t>18.</w:t>
      </w:r>
      <w:r w:rsidRPr="00FF397D">
        <w:rPr>
          <w:b/>
          <w:noProof/>
          <w:szCs w:val="22"/>
          <w:lang w:val="lt-LT"/>
        </w:rPr>
        <w:tab/>
        <w:t>UNIKALUS IDENTIFIKATORIUS – ŽMONĖMS SUPRANTAMI DUOMENYS</w:t>
      </w:r>
    </w:p>
    <w:p w14:paraId="70262CB8" w14:textId="77777777" w:rsidR="00DE1326" w:rsidRPr="00FF397D" w:rsidRDefault="00DE1326" w:rsidP="00DE1326">
      <w:pPr>
        <w:rPr>
          <w:noProof/>
          <w:szCs w:val="22"/>
          <w:lang w:val="lt-LT"/>
        </w:rPr>
      </w:pPr>
    </w:p>
    <w:p w14:paraId="038E86CF" w14:textId="77777777" w:rsidR="00DE1326" w:rsidRPr="00FF397D" w:rsidRDefault="00DE1326" w:rsidP="00DE1326">
      <w:pPr>
        <w:rPr>
          <w:szCs w:val="22"/>
          <w:lang w:val="lt-LT"/>
        </w:rPr>
      </w:pPr>
      <w:r w:rsidRPr="00FF397D">
        <w:rPr>
          <w:szCs w:val="22"/>
          <w:lang w:val="lt-LT"/>
        </w:rPr>
        <w:t xml:space="preserve">PC:  </w:t>
      </w:r>
    </w:p>
    <w:p w14:paraId="0DD65F56" w14:textId="77777777" w:rsidR="00DE1326" w:rsidRPr="00FF397D" w:rsidRDefault="007F6785" w:rsidP="00DE1326">
      <w:pPr>
        <w:rPr>
          <w:szCs w:val="22"/>
          <w:lang w:val="lt-LT"/>
        </w:rPr>
      </w:pPr>
      <w:r w:rsidRPr="00FF397D">
        <w:rPr>
          <w:szCs w:val="22"/>
          <w:lang w:val="lt-LT"/>
        </w:rPr>
        <w:t xml:space="preserve">SN: </w:t>
      </w:r>
    </w:p>
    <w:p w14:paraId="74141931" w14:textId="77777777" w:rsidR="00DE1326" w:rsidRPr="00FF397D" w:rsidRDefault="00DE1326" w:rsidP="007F6785">
      <w:pPr>
        <w:rPr>
          <w:szCs w:val="22"/>
          <w:lang w:val="lt-LT"/>
        </w:rPr>
      </w:pPr>
      <w:r w:rsidRPr="00FF397D">
        <w:rPr>
          <w:szCs w:val="22"/>
          <w:lang w:val="lt-LT"/>
        </w:rPr>
        <w:t xml:space="preserve">NN: </w:t>
      </w:r>
    </w:p>
    <w:p w14:paraId="42175A6C" w14:textId="77777777" w:rsidR="00DE1326" w:rsidRPr="00FF397D" w:rsidRDefault="00DE1326" w:rsidP="00DE1326">
      <w:pPr>
        <w:rPr>
          <w:szCs w:val="22"/>
          <w:lang w:val="lt-LT"/>
        </w:rPr>
      </w:pPr>
      <w:r w:rsidRPr="00FF397D">
        <w:rPr>
          <w:szCs w:val="22"/>
          <w:lang w:val="lt-LT"/>
        </w:rPr>
        <w:br w:type="page"/>
      </w:r>
    </w:p>
    <w:p w14:paraId="14F4B130" w14:textId="77777777" w:rsidR="00DE1326" w:rsidRPr="00FF397D" w:rsidRDefault="00DE1326" w:rsidP="005565F5">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FF397D">
        <w:rPr>
          <w:b/>
          <w:noProof/>
          <w:szCs w:val="22"/>
          <w:lang w:val="lt-LT"/>
        </w:rPr>
        <w:lastRenderedPageBreak/>
        <w:t>MINIMALI INFORMACIJA ANT LIZDINIŲ PLOKŠTELIŲ ARBA DVISLUOKSNIŲ JUOSTELIŲ</w:t>
      </w:r>
    </w:p>
    <w:p w14:paraId="0A3E2AA6" w14:textId="77777777" w:rsidR="00DE1326" w:rsidRPr="00FF397D" w:rsidRDefault="00DE1326" w:rsidP="00DE1326">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0DF6DC3A" w14:textId="48449F7B" w:rsidR="00DE1326" w:rsidRPr="00FF397D" w:rsidRDefault="00C30A32" w:rsidP="00DE1326">
      <w:pPr>
        <w:pBdr>
          <w:top w:val="single" w:sz="4" w:space="1" w:color="auto"/>
          <w:left w:val="single" w:sz="4" w:space="4" w:color="auto"/>
          <w:bottom w:val="single" w:sz="4" w:space="1" w:color="auto"/>
          <w:right w:val="single" w:sz="4" w:space="4" w:color="auto"/>
        </w:pBdr>
        <w:ind w:left="567" w:hanging="567"/>
        <w:rPr>
          <w:b/>
          <w:szCs w:val="22"/>
          <w:lang w:val="lt-LT"/>
        </w:rPr>
      </w:pPr>
      <w:r w:rsidRPr="00FF397D">
        <w:rPr>
          <w:b/>
          <w:szCs w:val="22"/>
          <w:lang w:val="lt-LT"/>
        </w:rPr>
        <w:t>Lizdinė plokštelė</w:t>
      </w:r>
      <w:r w:rsidR="006C6F86" w:rsidRPr="00FF397D">
        <w:rPr>
          <w:b/>
          <w:szCs w:val="22"/>
          <w:lang w:val="lt-LT"/>
        </w:rPr>
        <w:t xml:space="preserve"> / </w:t>
      </w:r>
      <w:r w:rsidR="009B3249" w:rsidRPr="00FF397D">
        <w:rPr>
          <w:b/>
          <w:szCs w:val="22"/>
          <w:lang w:val="lt-LT"/>
        </w:rPr>
        <w:t>Dalomoji</w:t>
      </w:r>
      <w:r w:rsidR="006C6F86" w:rsidRPr="00FF397D">
        <w:rPr>
          <w:b/>
          <w:szCs w:val="22"/>
          <w:lang w:val="lt-LT"/>
        </w:rPr>
        <w:t xml:space="preserve"> lizdinė plokštelė</w:t>
      </w:r>
    </w:p>
    <w:p w14:paraId="526B6035" w14:textId="77777777" w:rsidR="00DE1326" w:rsidRPr="00FF397D" w:rsidRDefault="00DE1326" w:rsidP="00DE1326">
      <w:pPr>
        <w:rPr>
          <w:szCs w:val="22"/>
          <w:lang w:val="lt-LT"/>
        </w:rPr>
      </w:pPr>
    </w:p>
    <w:p w14:paraId="7C56A180" w14:textId="77777777" w:rsidR="00DE1326" w:rsidRPr="00FF397D" w:rsidRDefault="00DE1326" w:rsidP="00DE1326">
      <w:pPr>
        <w:rPr>
          <w:szCs w:val="22"/>
          <w:lang w:val="lt-LT"/>
        </w:rPr>
      </w:pPr>
    </w:p>
    <w:p w14:paraId="227E99F2"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1.</w:t>
      </w:r>
      <w:r w:rsidRPr="00FF397D">
        <w:rPr>
          <w:b/>
          <w:szCs w:val="22"/>
          <w:lang w:val="lt-LT"/>
        </w:rPr>
        <w:tab/>
      </w:r>
      <w:r w:rsidRPr="00FF397D">
        <w:rPr>
          <w:b/>
          <w:caps/>
          <w:noProof/>
          <w:szCs w:val="22"/>
          <w:lang w:val="lt-LT"/>
        </w:rPr>
        <w:t>VAISTINIO</w:t>
      </w:r>
      <w:r w:rsidRPr="00FF397D">
        <w:rPr>
          <w:b/>
          <w:noProof/>
          <w:szCs w:val="22"/>
          <w:lang w:val="lt-LT"/>
        </w:rPr>
        <w:t xml:space="preserve"> PREPARATO PAVADINIMAS</w:t>
      </w:r>
    </w:p>
    <w:p w14:paraId="6DE4A8DC" w14:textId="77777777" w:rsidR="00DE1326" w:rsidRPr="00FF397D" w:rsidRDefault="00DE1326" w:rsidP="00DE1326">
      <w:pPr>
        <w:rPr>
          <w:szCs w:val="22"/>
          <w:lang w:val="lt-LT"/>
        </w:rPr>
      </w:pPr>
    </w:p>
    <w:p w14:paraId="782EF8DA" w14:textId="77777777" w:rsidR="006C6F86" w:rsidRPr="00FF397D" w:rsidRDefault="006C6F86" w:rsidP="006C6F86">
      <w:pPr>
        <w:rPr>
          <w:szCs w:val="22"/>
          <w:lang w:val="lt-LT"/>
        </w:rPr>
      </w:pPr>
      <w:r w:rsidRPr="006D2BAE">
        <w:rPr>
          <w:szCs w:val="22"/>
          <w:lang w:val="it-CH"/>
        </w:rPr>
        <w:t>Teriflunomide Teva 14 mg plėvele dengtos tabletės</w:t>
      </w:r>
    </w:p>
    <w:p w14:paraId="3D0DC9FE" w14:textId="22C82179" w:rsidR="00DE1326" w:rsidRPr="00FF397D" w:rsidRDefault="006C6F86" w:rsidP="006C6F86">
      <w:pPr>
        <w:rPr>
          <w:szCs w:val="22"/>
          <w:lang w:val="lt-LT"/>
        </w:rPr>
      </w:pPr>
      <w:r w:rsidRPr="00FF397D">
        <w:rPr>
          <w:color w:val="000000"/>
          <w:szCs w:val="22"/>
          <w:lang w:val="lt-LT" w:eastAsia="en-GB"/>
        </w:rPr>
        <w:t>teriflunomid</w:t>
      </w:r>
      <w:r w:rsidR="002362F9" w:rsidRPr="00FF397D">
        <w:rPr>
          <w:color w:val="000000"/>
          <w:szCs w:val="22"/>
          <w:lang w:val="lt-LT" w:eastAsia="en-GB"/>
        </w:rPr>
        <w:t>um</w:t>
      </w:r>
    </w:p>
    <w:p w14:paraId="550AE66B" w14:textId="77777777" w:rsidR="00DE1326" w:rsidRPr="00FF397D" w:rsidRDefault="00DE1326" w:rsidP="00DE1326">
      <w:pPr>
        <w:rPr>
          <w:szCs w:val="22"/>
          <w:lang w:val="lt-LT"/>
        </w:rPr>
      </w:pPr>
    </w:p>
    <w:p w14:paraId="1E368C36" w14:textId="77777777" w:rsidR="00DE1326" w:rsidRPr="00FF397D" w:rsidRDefault="00DE1326" w:rsidP="00DE1326">
      <w:pPr>
        <w:rPr>
          <w:szCs w:val="22"/>
          <w:lang w:val="lt-LT"/>
        </w:rPr>
      </w:pPr>
    </w:p>
    <w:p w14:paraId="2DADB854"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2.</w:t>
      </w:r>
      <w:r w:rsidRPr="00FF397D">
        <w:rPr>
          <w:b/>
          <w:szCs w:val="22"/>
          <w:lang w:val="lt-LT"/>
        </w:rPr>
        <w:tab/>
      </w:r>
      <w:r w:rsidRPr="00FF397D">
        <w:rPr>
          <w:b/>
          <w:caps/>
          <w:noProof/>
          <w:szCs w:val="22"/>
          <w:lang w:val="lt-LT"/>
        </w:rPr>
        <w:t>REGISTRUOTOJO pavadinimas</w:t>
      </w:r>
    </w:p>
    <w:p w14:paraId="7C8537A4" w14:textId="77777777" w:rsidR="00DE1326" w:rsidRPr="00FF397D" w:rsidRDefault="00DE1326" w:rsidP="00DE1326">
      <w:pPr>
        <w:rPr>
          <w:szCs w:val="22"/>
          <w:lang w:val="lt-LT"/>
        </w:rPr>
      </w:pPr>
    </w:p>
    <w:p w14:paraId="1DB49993" w14:textId="77777777" w:rsidR="004B3D41" w:rsidRPr="00FF397D" w:rsidRDefault="004B3D41" w:rsidP="004B3D41">
      <w:pPr>
        <w:tabs>
          <w:tab w:val="clear" w:pos="567"/>
          <w:tab w:val="left" w:pos="9214"/>
        </w:tabs>
        <w:spacing w:line="240" w:lineRule="auto"/>
        <w:ind w:right="282"/>
        <w:rPr>
          <w:szCs w:val="22"/>
          <w:lang w:val="lt-LT"/>
        </w:rPr>
      </w:pPr>
      <w:r w:rsidRPr="00FF397D">
        <w:rPr>
          <w:szCs w:val="22"/>
          <w:lang w:val="lt-LT"/>
        </w:rPr>
        <w:t xml:space="preserve">Teva </w:t>
      </w:r>
      <w:r w:rsidR="006C6F86" w:rsidRPr="00FF397D">
        <w:rPr>
          <w:szCs w:val="22"/>
          <w:lang w:val="lt-LT"/>
        </w:rPr>
        <w:t>B.V.</w:t>
      </w:r>
      <w:r w:rsidRPr="00FF397D">
        <w:rPr>
          <w:szCs w:val="22"/>
          <w:lang w:val="lt-LT"/>
        </w:rPr>
        <w:t xml:space="preserve"> </w:t>
      </w:r>
    </w:p>
    <w:p w14:paraId="34744DC8" w14:textId="77777777" w:rsidR="00DE1326" w:rsidRPr="00FF397D" w:rsidRDefault="00DE1326" w:rsidP="00DE1326">
      <w:pPr>
        <w:rPr>
          <w:szCs w:val="22"/>
          <w:lang w:val="lt-LT"/>
        </w:rPr>
      </w:pPr>
    </w:p>
    <w:p w14:paraId="6CD8C007" w14:textId="77777777" w:rsidR="00DE1326" w:rsidRPr="00FF397D" w:rsidRDefault="00DE1326" w:rsidP="00DE1326">
      <w:pPr>
        <w:rPr>
          <w:szCs w:val="22"/>
          <w:lang w:val="lt-LT"/>
        </w:rPr>
      </w:pPr>
    </w:p>
    <w:p w14:paraId="524BCC98" w14:textId="77777777" w:rsidR="00DE1326" w:rsidRPr="00FF397D" w:rsidRDefault="00DE1326" w:rsidP="00DE1326">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FF397D">
        <w:rPr>
          <w:b/>
          <w:szCs w:val="22"/>
          <w:lang w:val="lt-LT"/>
        </w:rPr>
        <w:t>3.</w:t>
      </w:r>
      <w:r w:rsidRPr="00FF397D">
        <w:rPr>
          <w:b/>
          <w:szCs w:val="22"/>
          <w:lang w:val="lt-LT"/>
        </w:rPr>
        <w:tab/>
      </w:r>
      <w:r w:rsidRPr="00FF397D">
        <w:rPr>
          <w:b/>
          <w:noProof/>
          <w:szCs w:val="22"/>
          <w:lang w:val="lt-LT"/>
        </w:rPr>
        <w:t>TINKAMUMO LAIKAS</w:t>
      </w:r>
    </w:p>
    <w:p w14:paraId="40F4CD64" w14:textId="77777777" w:rsidR="00DE1326" w:rsidRPr="00FF397D" w:rsidRDefault="00DE1326" w:rsidP="00DE1326">
      <w:pPr>
        <w:rPr>
          <w:szCs w:val="22"/>
          <w:lang w:val="lt-LT"/>
        </w:rPr>
      </w:pPr>
    </w:p>
    <w:p w14:paraId="0A785DEE" w14:textId="77777777" w:rsidR="00DE1326" w:rsidRPr="00FF397D" w:rsidRDefault="00C30A32" w:rsidP="00DE1326">
      <w:pPr>
        <w:rPr>
          <w:szCs w:val="22"/>
          <w:lang w:val="lt-LT"/>
        </w:rPr>
      </w:pPr>
      <w:r w:rsidRPr="00FF397D">
        <w:rPr>
          <w:szCs w:val="22"/>
          <w:lang w:val="lt-LT"/>
        </w:rPr>
        <w:t>EXP</w:t>
      </w:r>
      <w:r w:rsidR="005565F5" w:rsidRPr="00FF397D">
        <w:rPr>
          <w:szCs w:val="22"/>
          <w:lang w:val="lt-LT"/>
        </w:rPr>
        <w:t xml:space="preserve"> {mm MMMM}</w:t>
      </w:r>
    </w:p>
    <w:p w14:paraId="46B83CD1" w14:textId="77777777" w:rsidR="00DE1326" w:rsidRPr="00FF397D" w:rsidRDefault="00DE1326" w:rsidP="00DE1326">
      <w:pPr>
        <w:rPr>
          <w:szCs w:val="22"/>
          <w:lang w:val="lt-LT"/>
        </w:rPr>
      </w:pPr>
    </w:p>
    <w:p w14:paraId="2501F119" w14:textId="77777777" w:rsidR="00DE1326" w:rsidRPr="00FF397D" w:rsidRDefault="00DE1326" w:rsidP="00DE1326">
      <w:pPr>
        <w:rPr>
          <w:szCs w:val="22"/>
          <w:lang w:val="lt-LT"/>
        </w:rPr>
      </w:pPr>
    </w:p>
    <w:p w14:paraId="568B1762" w14:textId="77777777" w:rsidR="00DE1326" w:rsidRPr="00FF397D" w:rsidRDefault="00DE1326" w:rsidP="00DE132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4.</w:t>
      </w:r>
      <w:r w:rsidRPr="00FF397D">
        <w:rPr>
          <w:b/>
          <w:szCs w:val="22"/>
          <w:lang w:val="lt-LT"/>
        </w:rPr>
        <w:tab/>
      </w:r>
      <w:r w:rsidRPr="00FF397D">
        <w:rPr>
          <w:b/>
          <w:noProof/>
          <w:szCs w:val="22"/>
          <w:lang w:val="lt-LT"/>
        </w:rPr>
        <w:t>SERIJOS NUMERIS</w:t>
      </w:r>
    </w:p>
    <w:p w14:paraId="310CF97F" w14:textId="77777777" w:rsidR="00DE1326" w:rsidRPr="00FF397D" w:rsidRDefault="00DE1326" w:rsidP="00DE1326">
      <w:pPr>
        <w:rPr>
          <w:szCs w:val="22"/>
          <w:lang w:val="lt-LT"/>
        </w:rPr>
      </w:pPr>
    </w:p>
    <w:p w14:paraId="59CC5061" w14:textId="77777777" w:rsidR="00DE1326" w:rsidRPr="00FF397D" w:rsidRDefault="00DE1326" w:rsidP="00DE1326">
      <w:pPr>
        <w:spacing w:line="240" w:lineRule="auto"/>
        <w:outlineLvl w:val="0"/>
        <w:rPr>
          <w:b/>
          <w:szCs w:val="22"/>
          <w:lang w:val="lt-LT"/>
        </w:rPr>
      </w:pPr>
      <w:r w:rsidRPr="00FF397D">
        <w:rPr>
          <w:szCs w:val="22"/>
          <w:lang w:val="lt-LT"/>
        </w:rPr>
        <w:t>Lot</w:t>
      </w:r>
    </w:p>
    <w:p w14:paraId="0E3491E0" w14:textId="77777777" w:rsidR="00DE1326" w:rsidRPr="00FF397D" w:rsidRDefault="00DE1326" w:rsidP="00DE1326">
      <w:pPr>
        <w:rPr>
          <w:szCs w:val="22"/>
          <w:lang w:val="lt-LT"/>
        </w:rPr>
      </w:pPr>
    </w:p>
    <w:p w14:paraId="11CD02CA" w14:textId="77777777" w:rsidR="00DE1326" w:rsidRPr="00FF397D" w:rsidRDefault="00DE1326" w:rsidP="00DE1326">
      <w:pPr>
        <w:rPr>
          <w:szCs w:val="22"/>
          <w:lang w:val="lt-LT"/>
        </w:rPr>
      </w:pPr>
    </w:p>
    <w:p w14:paraId="00F0ACA5" w14:textId="77777777" w:rsidR="00DE1326" w:rsidRPr="00FF397D"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F397D">
        <w:rPr>
          <w:b/>
          <w:szCs w:val="22"/>
          <w:lang w:val="lt-LT"/>
        </w:rPr>
        <w:t>5.</w:t>
      </w:r>
      <w:r w:rsidRPr="00FF397D">
        <w:rPr>
          <w:b/>
          <w:szCs w:val="22"/>
          <w:lang w:val="lt-LT"/>
        </w:rPr>
        <w:tab/>
      </w:r>
      <w:r w:rsidRPr="00FF397D">
        <w:rPr>
          <w:b/>
          <w:noProof/>
          <w:szCs w:val="22"/>
          <w:lang w:val="lt-LT"/>
        </w:rPr>
        <w:t>KITA</w:t>
      </w:r>
    </w:p>
    <w:p w14:paraId="2C1BDE54" w14:textId="77777777" w:rsidR="00DE1326" w:rsidRPr="00FF397D" w:rsidRDefault="00DE1326" w:rsidP="00DE1326">
      <w:pPr>
        <w:rPr>
          <w:szCs w:val="22"/>
          <w:lang w:val="lt-LT"/>
        </w:rPr>
      </w:pPr>
    </w:p>
    <w:p w14:paraId="442D12AF" w14:textId="77777777" w:rsidR="006C6F86" w:rsidRPr="00EB0C7A" w:rsidRDefault="006C6F86" w:rsidP="006C6F86">
      <w:pPr>
        <w:pStyle w:val="Pagrindinistekstas"/>
        <w:rPr>
          <w:i w:val="0"/>
          <w:color w:val="auto"/>
          <w:szCs w:val="22"/>
          <w:highlight w:val="lightGray"/>
          <w:lang w:val="lt-LT" w:bidi="he-IL"/>
        </w:rPr>
      </w:pPr>
      <w:r w:rsidRPr="00EB0C7A">
        <w:rPr>
          <w:i w:val="0"/>
          <w:color w:val="auto"/>
          <w:szCs w:val="22"/>
          <w:highlight w:val="lightGray"/>
          <w:lang w:val="lt-LT" w:bidi="he-IL"/>
        </w:rPr>
        <w:t>Taikoma šiems pakuočių dydžiams:</w:t>
      </w:r>
    </w:p>
    <w:p w14:paraId="1032A492" w14:textId="77777777" w:rsidR="006C6F86" w:rsidRPr="00FF397D" w:rsidRDefault="006C6F86" w:rsidP="006C6F86">
      <w:pPr>
        <w:numPr>
          <w:ilvl w:val="0"/>
          <w:numId w:val="183"/>
        </w:numPr>
        <w:tabs>
          <w:tab w:val="clear" w:pos="567"/>
        </w:tabs>
        <w:spacing w:line="240" w:lineRule="auto"/>
        <w:rPr>
          <w:i/>
          <w:noProof/>
          <w:szCs w:val="22"/>
          <w:highlight w:val="lightGray"/>
        </w:rPr>
      </w:pPr>
      <w:r w:rsidRPr="00FF397D">
        <w:rPr>
          <w:i/>
          <w:noProof/>
          <w:szCs w:val="22"/>
          <w:highlight w:val="lightGray"/>
        </w:rPr>
        <w:t>14, 28 ir  84  plėvele dengtos tabletės</w:t>
      </w:r>
    </w:p>
    <w:p w14:paraId="01E040DF" w14:textId="77777777" w:rsidR="006C6F86" w:rsidRPr="00FF397D" w:rsidRDefault="006C6F86" w:rsidP="006C6F86">
      <w:pPr>
        <w:numPr>
          <w:ilvl w:val="0"/>
          <w:numId w:val="183"/>
        </w:numPr>
        <w:tabs>
          <w:tab w:val="clear" w:pos="567"/>
        </w:tabs>
        <w:spacing w:line="240" w:lineRule="auto"/>
        <w:rPr>
          <w:i/>
          <w:noProof/>
          <w:szCs w:val="22"/>
          <w:highlight w:val="lightGray"/>
        </w:rPr>
      </w:pPr>
      <w:r w:rsidRPr="00FF397D">
        <w:rPr>
          <w:i/>
          <w:noProof/>
          <w:szCs w:val="22"/>
          <w:highlight w:val="lightGray"/>
        </w:rPr>
        <w:t>28x1 ir 84x1 plėvele dengtos tabletės</w:t>
      </w:r>
    </w:p>
    <w:p w14:paraId="13255799" w14:textId="77777777" w:rsidR="006C6F86" w:rsidRPr="00FF397D" w:rsidRDefault="006C6F86" w:rsidP="006C6F86">
      <w:pPr>
        <w:pStyle w:val="Pagrindinistekstas"/>
        <w:rPr>
          <w:szCs w:val="22"/>
          <w:lang w:bidi="he-IL"/>
        </w:rPr>
      </w:pPr>
      <w:r w:rsidRPr="00FF397D">
        <w:rPr>
          <w:szCs w:val="22"/>
          <w:lang w:bidi="he-IL"/>
        </w:rPr>
        <w:t xml:space="preserve"> </w:t>
      </w:r>
    </w:p>
    <w:p w14:paraId="1A9E3EFC" w14:textId="77777777" w:rsidR="006C6F86" w:rsidRPr="00FF397D" w:rsidRDefault="006C6F86" w:rsidP="006C6F86">
      <w:pPr>
        <w:ind w:right="113"/>
        <w:rPr>
          <w:noProof/>
          <w:szCs w:val="22"/>
          <w:highlight w:val="lightGray"/>
          <w:lang w:val="nl-NL"/>
        </w:rPr>
      </w:pPr>
      <w:r w:rsidRPr="00FF397D">
        <w:rPr>
          <w:noProof/>
          <w:szCs w:val="22"/>
          <w:highlight w:val="lightGray"/>
          <w:lang w:val="nl-NL"/>
        </w:rPr>
        <w:t>P</w:t>
      </w:r>
    </w:p>
    <w:p w14:paraId="43E30F15" w14:textId="77777777" w:rsidR="006C6F86" w:rsidRPr="00FF397D" w:rsidRDefault="006C6F86" w:rsidP="006C6F86">
      <w:pPr>
        <w:ind w:right="113"/>
        <w:rPr>
          <w:noProof/>
          <w:szCs w:val="22"/>
          <w:highlight w:val="lightGray"/>
          <w:lang w:val="nl-NL"/>
        </w:rPr>
      </w:pPr>
      <w:r w:rsidRPr="00FF397D">
        <w:rPr>
          <w:noProof/>
          <w:szCs w:val="22"/>
          <w:highlight w:val="lightGray"/>
          <w:lang w:val="nl-NL"/>
        </w:rPr>
        <w:t>An</w:t>
      </w:r>
    </w:p>
    <w:p w14:paraId="78C661AE" w14:textId="77777777" w:rsidR="006C6F86" w:rsidRPr="00FF397D" w:rsidRDefault="006C6F86" w:rsidP="006C6F86">
      <w:pPr>
        <w:ind w:right="113"/>
        <w:rPr>
          <w:noProof/>
          <w:szCs w:val="22"/>
          <w:highlight w:val="lightGray"/>
          <w:lang w:val="nl-NL"/>
        </w:rPr>
      </w:pPr>
      <w:r w:rsidRPr="00FF397D">
        <w:rPr>
          <w:noProof/>
          <w:szCs w:val="22"/>
          <w:highlight w:val="lightGray"/>
          <w:lang w:val="nl-NL"/>
        </w:rPr>
        <w:t>T</w:t>
      </w:r>
    </w:p>
    <w:p w14:paraId="6D9E543B" w14:textId="77777777" w:rsidR="006C6F86" w:rsidRPr="00FF397D" w:rsidRDefault="006C6F86" w:rsidP="006C6F86">
      <w:pPr>
        <w:ind w:right="113"/>
        <w:rPr>
          <w:noProof/>
          <w:szCs w:val="22"/>
          <w:highlight w:val="lightGray"/>
          <w:lang w:val="nl-NL"/>
        </w:rPr>
      </w:pPr>
      <w:r w:rsidRPr="00FF397D">
        <w:rPr>
          <w:noProof/>
          <w:szCs w:val="22"/>
          <w:highlight w:val="lightGray"/>
          <w:lang w:val="nl-NL"/>
        </w:rPr>
        <w:t>K</w:t>
      </w:r>
    </w:p>
    <w:p w14:paraId="6E125DBB" w14:textId="77777777" w:rsidR="006C6F86" w:rsidRPr="00FF397D" w:rsidRDefault="006C6F86" w:rsidP="006C6F86">
      <w:pPr>
        <w:ind w:right="113"/>
        <w:rPr>
          <w:noProof/>
          <w:szCs w:val="22"/>
          <w:highlight w:val="lightGray"/>
          <w:lang w:val="nl-NL"/>
        </w:rPr>
      </w:pPr>
      <w:r w:rsidRPr="00FF397D">
        <w:rPr>
          <w:noProof/>
          <w:szCs w:val="22"/>
          <w:highlight w:val="lightGray"/>
          <w:lang w:val="nl-NL"/>
        </w:rPr>
        <w:t>P</w:t>
      </w:r>
    </w:p>
    <w:p w14:paraId="51A2CA57" w14:textId="77777777" w:rsidR="006C6F86" w:rsidRPr="00FF397D" w:rsidRDefault="006C6F86" w:rsidP="006C6F86">
      <w:pPr>
        <w:ind w:right="113"/>
        <w:rPr>
          <w:noProof/>
          <w:szCs w:val="22"/>
          <w:highlight w:val="lightGray"/>
          <w:lang w:val="nl-NL"/>
        </w:rPr>
      </w:pPr>
      <w:r w:rsidRPr="00FF397D">
        <w:rPr>
          <w:noProof/>
          <w:szCs w:val="22"/>
          <w:highlight w:val="lightGray"/>
          <w:lang w:val="nl-NL"/>
        </w:rPr>
        <w:t>Š</w:t>
      </w:r>
    </w:p>
    <w:p w14:paraId="6D394BBC" w14:textId="77777777" w:rsidR="006C6F86" w:rsidRPr="00FF397D" w:rsidRDefault="006C6F86" w:rsidP="006C6F86">
      <w:pPr>
        <w:rPr>
          <w:szCs w:val="22"/>
          <w:lang w:val="lt-LT"/>
        </w:rPr>
      </w:pPr>
      <w:r w:rsidRPr="00FF397D">
        <w:rPr>
          <w:noProof/>
          <w:szCs w:val="22"/>
          <w:highlight w:val="lightGray"/>
          <w:lang w:val="nl-NL"/>
        </w:rPr>
        <w:t>S</w:t>
      </w:r>
    </w:p>
    <w:p w14:paraId="4A1B6D39" w14:textId="77777777" w:rsidR="009B5484" w:rsidRPr="00FF397D" w:rsidRDefault="00B47C3E" w:rsidP="00A127DC">
      <w:pPr>
        <w:rPr>
          <w:color w:val="000000"/>
          <w:szCs w:val="22"/>
          <w:lang w:val="lt-LT"/>
        </w:rPr>
      </w:pPr>
      <w:r w:rsidRPr="00FF397D">
        <w:rPr>
          <w:szCs w:val="22"/>
          <w:lang w:val="lt-LT"/>
        </w:rPr>
        <w:br w:type="page"/>
      </w:r>
    </w:p>
    <w:p w14:paraId="1939FC5A" w14:textId="77777777" w:rsidR="009B5484" w:rsidRPr="00FF397D"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2"/>
          <w:szCs w:val="22"/>
          <w:lang w:val="lt-LT"/>
        </w:rPr>
      </w:pPr>
    </w:p>
    <w:p w14:paraId="6092B799" w14:textId="77777777" w:rsidR="009B5484" w:rsidRPr="00FF397D" w:rsidRDefault="009B5484" w:rsidP="00CE7EE6">
      <w:pPr>
        <w:tabs>
          <w:tab w:val="left" w:pos="9214"/>
        </w:tabs>
        <w:spacing w:line="240" w:lineRule="auto"/>
        <w:ind w:right="282"/>
        <w:rPr>
          <w:noProof/>
          <w:szCs w:val="22"/>
          <w:lang w:val="lt-LT"/>
        </w:rPr>
      </w:pPr>
    </w:p>
    <w:p w14:paraId="779A5D8B" w14:textId="77777777" w:rsidR="009B5484" w:rsidRPr="00FF397D" w:rsidRDefault="009B5484" w:rsidP="00CE7EE6">
      <w:pPr>
        <w:tabs>
          <w:tab w:val="left" w:pos="9214"/>
        </w:tabs>
        <w:spacing w:line="240" w:lineRule="auto"/>
        <w:ind w:right="282"/>
        <w:rPr>
          <w:noProof/>
          <w:szCs w:val="22"/>
          <w:lang w:val="lt-LT"/>
        </w:rPr>
      </w:pPr>
    </w:p>
    <w:p w14:paraId="78038C16" w14:textId="77777777" w:rsidR="009B5484" w:rsidRPr="00FF397D" w:rsidRDefault="009B5484" w:rsidP="00CE7EE6">
      <w:pPr>
        <w:tabs>
          <w:tab w:val="left" w:pos="9214"/>
        </w:tabs>
        <w:spacing w:line="240" w:lineRule="auto"/>
        <w:ind w:right="282"/>
        <w:rPr>
          <w:noProof/>
          <w:szCs w:val="22"/>
          <w:lang w:val="lt-LT"/>
        </w:rPr>
      </w:pPr>
    </w:p>
    <w:p w14:paraId="3B222C17" w14:textId="77777777" w:rsidR="009B5484" w:rsidRPr="00FF397D" w:rsidRDefault="009B5484" w:rsidP="00CE7EE6">
      <w:pPr>
        <w:tabs>
          <w:tab w:val="left" w:pos="9214"/>
        </w:tabs>
        <w:spacing w:line="240" w:lineRule="auto"/>
        <w:ind w:right="282"/>
        <w:rPr>
          <w:noProof/>
          <w:szCs w:val="22"/>
          <w:lang w:val="lt-LT"/>
        </w:rPr>
      </w:pPr>
    </w:p>
    <w:p w14:paraId="29025130" w14:textId="77777777" w:rsidR="009B5484" w:rsidRPr="00FF397D" w:rsidRDefault="009B5484" w:rsidP="00CE7EE6">
      <w:pPr>
        <w:tabs>
          <w:tab w:val="left" w:pos="9214"/>
        </w:tabs>
        <w:spacing w:line="240" w:lineRule="auto"/>
        <w:ind w:right="282"/>
        <w:rPr>
          <w:noProof/>
          <w:szCs w:val="22"/>
          <w:lang w:val="lt-LT"/>
        </w:rPr>
      </w:pPr>
    </w:p>
    <w:p w14:paraId="58F16851" w14:textId="77777777" w:rsidR="009B5484" w:rsidRPr="00FF397D" w:rsidRDefault="009B5484" w:rsidP="00CE7EE6">
      <w:pPr>
        <w:tabs>
          <w:tab w:val="left" w:pos="9214"/>
        </w:tabs>
        <w:spacing w:line="240" w:lineRule="auto"/>
        <w:ind w:right="282"/>
        <w:rPr>
          <w:noProof/>
          <w:szCs w:val="22"/>
          <w:lang w:val="lt-LT"/>
        </w:rPr>
      </w:pPr>
    </w:p>
    <w:p w14:paraId="403BC903" w14:textId="77777777" w:rsidR="009B5484" w:rsidRPr="00FF397D" w:rsidRDefault="009B5484" w:rsidP="00CE7EE6">
      <w:pPr>
        <w:tabs>
          <w:tab w:val="left" w:pos="9214"/>
        </w:tabs>
        <w:spacing w:line="240" w:lineRule="auto"/>
        <w:ind w:right="282"/>
        <w:rPr>
          <w:noProof/>
          <w:szCs w:val="22"/>
          <w:lang w:val="lt-LT"/>
        </w:rPr>
      </w:pPr>
    </w:p>
    <w:p w14:paraId="509B4CE8" w14:textId="77777777" w:rsidR="009B5484" w:rsidRPr="00FF397D" w:rsidRDefault="009B5484" w:rsidP="00CE7EE6">
      <w:pPr>
        <w:tabs>
          <w:tab w:val="left" w:pos="9214"/>
        </w:tabs>
        <w:spacing w:line="240" w:lineRule="auto"/>
        <w:ind w:right="282"/>
        <w:rPr>
          <w:noProof/>
          <w:szCs w:val="22"/>
          <w:lang w:val="lt-LT"/>
        </w:rPr>
      </w:pPr>
    </w:p>
    <w:p w14:paraId="70E251CC" w14:textId="77777777" w:rsidR="009B5484" w:rsidRPr="00FF397D" w:rsidRDefault="009B5484" w:rsidP="00CE7EE6">
      <w:pPr>
        <w:tabs>
          <w:tab w:val="left" w:pos="9214"/>
        </w:tabs>
        <w:spacing w:line="240" w:lineRule="auto"/>
        <w:ind w:right="282"/>
        <w:rPr>
          <w:noProof/>
          <w:szCs w:val="22"/>
          <w:lang w:val="lt-LT"/>
        </w:rPr>
      </w:pPr>
    </w:p>
    <w:p w14:paraId="3568E011" w14:textId="77777777" w:rsidR="009B5484" w:rsidRPr="00FF397D" w:rsidRDefault="009B5484" w:rsidP="00CE7EE6">
      <w:pPr>
        <w:tabs>
          <w:tab w:val="left" w:pos="9214"/>
        </w:tabs>
        <w:spacing w:line="240" w:lineRule="auto"/>
        <w:ind w:right="282"/>
        <w:rPr>
          <w:noProof/>
          <w:szCs w:val="22"/>
          <w:lang w:val="lt-LT"/>
        </w:rPr>
      </w:pPr>
    </w:p>
    <w:p w14:paraId="1368C7D1" w14:textId="77777777" w:rsidR="009B5484" w:rsidRPr="00FF397D" w:rsidRDefault="009B5484" w:rsidP="00CE7EE6">
      <w:pPr>
        <w:tabs>
          <w:tab w:val="left" w:pos="9214"/>
        </w:tabs>
        <w:spacing w:line="240" w:lineRule="auto"/>
        <w:ind w:right="282"/>
        <w:rPr>
          <w:noProof/>
          <w:szCs w:val="22"/>
          <w:lang w:val="lt-LT"/>
        </w:rPr>
      </w:pPr>
    </w:p>
    <w:p w14:paraId="35C65606" w14:textId="77777777" w:rsidR="009B5484" w:rsidRPr="00FF397D" w:rsidRDefault="009B5484" w:rsidP="00CE7EE6">
      <w:pPr>
        <w:tabs>
          <w:tab w:val="left" w:pos="9214"/>
        </w:tabs>
        <w:spacing w:line="240" w:lineRule="auto"/>
        <w:ind w:right="282"/>
        <w:rPr>
          <w:noProof/>
          <w:szCs w:val="22"/>
          <w:lang w:val="lt-LT"/>
        </w:rPr>
      </w:pPr>
    </w:p>
    <w:p w14:paraId="14DEE765" w14:textId="77777777" w:rsidR="009B5484" w:rsidRPr="00FF397D" w:rsidRDefault="009B5484" w:rsidP="00CE7EE6">
      <w:pPr>
        <w:tabs>
          <w:tab w:val="left" w:pos="9214"/>
        </w:tabs>
        <w:spacing w:line="240" w:lineRule="auto"/>
        <w:ind w:right="282"/>
        <w:rPr>
          <w:noProof/>
          <w:szCs w:val="22"/>
          <w:lang w:val="lt-LT"/>
        </w:rPr>
      </w:pPr>
    </w:p>
    <w:p w14:paraId="465FBE8B" w14:textId="77777777" w:rsidR="009B5484" w:rsidRPr="00FF397D" w:rsidRDefault="009B5484" w:rsidP="00CE7EE6">
      <w:pPr>
        <w:tabs>
          <w:tab w:val="left" w:pos="9214"/>
        </w:tabs>
        <w:spacing w:line="240" w:lineRule="auto"/>
        <w:ind w:right="282"/>
        <w:rPr>
          <w:noProof/>
          <w:szCs w:val="22"/>
          <w:lang w:val="lt-LT"/>
        </w:rPr>
      </w:pPr>
    </w:p>
    <w:p w14:paraId="621DC4D1" w14:textId="77777777" w:rsidR="009B5484" w:rsidRPr="00FF397D" w:rsidRDefault="009B5484" w:rsidP="00CE7EE6">
      <w:pPr>
        <w:tabs>
          <w:tab w:val="left" w:pos="9214"/>
        </w:tabs>
        <w:spacing w:line="240" w:lineRule="auto"/>
        <w:ind w:right="282"/>
        <w:rPr>
          <w:noProof/>
          <w:szCs w:val="22"/>
          <w:lang w:val="lt-LT"/>
        </w:rPr>
      </w:pPr>
    </w:p>
    <w:p w14:paraId="2B147C77" w14:textId="77777777" w:rsidR="009B5484" w:rsidRPr="00FF397D" w:rsidRDefault="009B5484" w:rsidP="00CE7EE6">
      <w:pPr>
        <w:tabs>
          <w:tab w:val="left" w:pos="9214"/>
        </w:tabs>
        <w:spacing w:line="240" w:lineRule="auto"/>
        <w:ind w:right="282"/>
        <w:rPr>
          <w:noProof/>
          <w:szCs w:val="22"/>
          <w:lang w:val="lt-LT"/>
        </w:rPr>
      </w:pPr>
    </w:p>
    <w:p w14:paraId="4BF7A258" w14:textId="77777777" w:rsidR="009B5484" w:rsidRPr="00FF397D" w:rsidRDefault="009B5484" w:rsidP="00CE7EE6">
      <w:pPr>
        <w:tabs>
          <w:tab w:val="left" w:pos="9214"/>
        </w:tabs>
        <w:spacing w:line="240" w:lineRule="auto"/>
        <w:ind w:right="282"/>
        <w:outlineLvl w:val="0"/>
        <w:rPr>
          <w:szCs w:val="22"/>
          <w:lang w:val="lt-LT"/>
        </w:rPr>
      </w:pPr>
    </w:p>
    <w:p w14:paraId="761BDDE3" w14:textId="77777777" w:rsidR="009B5484" w:rsidRPr="00FF397D" w:rsidRDefault="009B5484" w:rsidP="00CE7EE6">
      <w:pPr>
        <w:tabs>
          <w:tab w:val="left" w:pos="9214"/>
        </w:tabs>
        <w:spacing w:line="240" w:lineRule="auto"/>
        <w:ind w:right="282"/>
        <w:outlineLvl w:val="0"/>
        <w:rPr>
          <w:szCs w:val="22"/>
          <w:lang w:val="lt-LT"/>
        </w:rPr>
      </w:pPr>
    </w:p>
    <w:p w14:paraId="261C3817" w14:textId="77777777" w:rsidR="009B5484" w:rsidRPr="00FF397D" w:rsidRDefault="009B5484" w:rsidP="00CE7EE6">
      <w:pPr>
        <w:tabs>
          <w:tab w:val="left" w:pos="9214"/>
        </w:tabs>
        <w:spacing w:line="240" w:lineRule="auto"/>
        <w:ind w:right="282"/>
        <w:outlineLvl w:val="0"/>
        <w:rPr>
          <w:szCs w:val="22"/>
          <w:lang w:val="lt-LT"/>
        </w:rPr>
      </w:pPr>
    </w:p>
    <w:p w14:paraId="23A0901E" w14:textId="77777777" w:rsidR="009B5484" w:rsidRPr="00FF397D" w:rsidRDefault="009B5484" w:rsidP="00CE7EE6">
      <w:pPr>
        <w:tabs>
          <w:tab w:val="left" w:pos="9214"/>
        </w:tabs>
        <w:spacing w:line="240" w:lineRule="auto"/>
        <w:ind w:right="282"/>
        <w:outlineLvl w:val="0"/>
        <w:rPr>
          <w:szCs w:val="22"/>
          <w:lang w:val="lt-LT"/>
        </w:rPr>
      </w:pPr>
    </w:p>
    <w:p w14:paraId="61C5867E" w14:textId="77777777" w:rsidR="009B5484" w:rsidRPr="00FF397D" w:rsidRDefault="009B5484" w:rsidP="00CE7EE6">
      <w:pPr>
        <w:tabs>
          <w:tab w:val="left" w:pos="9214"/>
        </w:tabs>
        <w:spacing w:line="240" w:lineRule="auto"/>
        <w:ind w:right="282"/>
        <w:outlineLvl w:val="0"/>
        <w:rPr>
          <w:szCs w:val="22"/>
          <w:lang w:val="lt-LT"/>
        </w:rPr>
      </w:pPr>
    </w:p>
    <w:p w14:paraId="71C5876E" w14:textId="77777777" w:rsidR="009B5484" w:rsidRPr="00FF397D" w:rsidRDefault="009B5484" w:rsidP="00CE7EE6">
      <w:pPr>
        <w:tabs>
          <w:tab w:val="left" w:pos="9214"/>
        </w:tabs>
        <w:spacing w:line="240" w:lineRule="auto"/>
        <w:ind w:right="282"/>
        <w:outlineLvl w:val="0"/>
        <w:rPr>
          <w:szCs w:val="22"/>
          <w:lang w:val="lt-LT"/>
        </w:rPr>
      </w:pPr>
    </w:p>
    <w:p w14:paraId="41E98A3C" w14:textId="77777777" w:rsidR="009B5484" w:rsidRPr="00FF397D" w:rsidRDefault="009B5484" w:rsidP="00CE7EE6">
      <w:pPr>
        <w:tabs>
          <w:tab w:val="left" w:pos="9214"/>
        </w:tabs>
        <w:spacing w:line="240" w:lineRule="auto"/>
        <w:ind w:right="282"/>
        <w:jc w:val="center"/>
        <w:outlineLvl w:val="0"/>
        <w:rPr>
          <w:rFonts w:eastAsia="SimSun"/>
          <w:szCs w:val="22"/>
          <w:lang w:val="lt-LT"/>
        </w:rPr>
      </w:pPr>
      <w:r w:rsidRPr="00FF397D">
        <w:rPr>
          <w:rStyle w:val="DoNotTranslateExternal1"/>
          <w:rFonts w:eastAsia="SimSun"/>
          <w:lang w:val="lt-LT"/>
        </w:rPr>
        <w:t>B.</w:t>
      </w:r>
      <w:r w:rsidRPr="00FF397D">
        <w:rPr>
          <w:b/>
          <w:noProof/>
          <w:szCs w:val="22"/>
          <w:lang w:val="lt-LT"/>
        </w:rPr>
        <w:t xml:space="preserve"> PAKUOTĖS LAPELIS</w:t>
      </w:r>
    </w:p>
    <w:p w14:paraId="376902A1" w14:textId="77777777" w:rsidR="0080416E" w:rsidRPr="00FF397D" w:rsidRDefault="009B5484" w:rsidP="00B45D31">
      <w:pPr>
        <w:pStyle w:val="BTEMEASMCA"/>
      </w:pPr>
      <w:r w:rsidRPr="00FF397D">
        <w:br w:type="page"/>
      </w:r>
    </w:p>
    <w:p w14:paraId="5296A45E" w14:textId="77777777" w:rsidR="0080416E" w:rsidRPr="00FF397D" w:rsidRDefault="0080416E" w:rsidP="00B45D31">
      <w:pPr>
        <w:pStyle w:val="BTEMEASMCA"/>
      </w:pPr>
    </w:p>
    <w:p w14:paraId="782C87BB" w14:textId="77777777" w:rsidR="0080416E" w:rsidRPr="00FF397D" w:rsidRDefault="0080416E" w:rsidP="00B45D31">
      <w:pPr>
        <w:pStyle w:val="BTEMEASMCA"/>
      </w:pPr>
    </w:p>
    <w:p w14:paraId="5F600C1D" w14:textId="77777777" w:rsidR="0080416E" w:rsidRPr="00FF397D" w:rsidRDefault="0080416E" w:rsidP="00B45D31">
      <w:pPr>
        <w:pStyle w:val="BTEMEASMCA"/>
      </w:pPr>
    </w:p>
    <w:p w14:paraId="02BDA60E" w14:textId="77777777" w:rsidR="0080416E" w:rsidRPr="00FF397D" w:rsidRDefault="0080416E" w:rsidP="00B45D31">
      <w:pPr>
        <w:pStyle w:val="BTEMEASMCA"/>
      </w:pPr>
    </w:p>
    <w:p w14:paraId="409821AE" w14:textId="77777777" w:rsidR="0080416E" w:rsidRPr="00FF397D" w:rsidRDefault="0080416E" w:rsidP="00B45D31">
      <w:pPr>
        <w:pStyle w:val="BTEMEASMCA"/>
      </w:pPr>
    </w:p>
    <w:p w14:paraId="2750EBB4" w14:textId="77777777" w:rsidR="0080416E" w:rsidRPr="00FF397D" w:rsidRDefault="0080416E" w:rsidP="00B45D31">
      <w:pPr>
        <w:pStyle w:val="BTEMEASMCA"/>
      </w:pPr>
    </w:p>
    <w:p w14:paraId="666F1A8D" w14:textId="77777777" w:rsidR="0080416E" w:rsidRPr="00FF397D" w:rsidRDefault="0080416E" w:rsidP="00B45D31">
      <w:pPr>
        <w:pStyle w:val="BTEMEASMCA"/>
      </w:pPr>
    </w:p>
    <w:p w14:paraId="4F5A7BF9" w14:textId="77777777" w:rsidR="0080416E" w:rsidRPr="00FF397D" w:rsidRDefault="0080416E" w:rsidP="00B45D31">
      <w:pPr>
        <w:pStyle w:val="BTEMEASMCA"/>
      </w:pPr>
    </w:p>
    <w:p w14:paraId="5D52D6BF" w14:textId="77777777" w:rsidR="0080416E" w:rsidRPr="00FF397D" w:rsidRDefault="0080416E" w:rsidP="00B45D31">
      <w:pPr>
        <w:pStyle w:val="BTEMEASMCA"/>
      </w:pPr>
    </w:p>
    <w:p w14:paraId="4E054EAE" w14:textId="77777777" w:rsidR="0080416E" w:rsidRPr="00FF397D" w:rsidRDefault="0080416E" w:rsidP="00B45D31">
      <w:pPr>
        <w:pStyle w:val="BTEMEASMCA"/>
      </w:pPr>
    </w:p>
    <w:p w14:paraId="3CA83544" w14:textId="77777777" w:rsidR="0080416E" w:rsidRPr="00FF397D" w:rsidRDefault="0080416E" w:rsidP="00B45D31">
      <w:pPr>
        <w:pStyle w:val="BTEMEASMCA"/>
      </w:pPr>
    </w:p>
    <w:p w14:paraId="1C103331" w14:textId="77777777" w:rsidR="0080416E" w:rsidRPr="00FF397D" w:rsidRDefault="0080416E" w:rsidP="00B45D31">
      <w:pPr>
        <w:pStyle w:val="BTEMEASMCA"/>
      </w:pPr>
    </w:p>
    <w:p w14:paraId="3488AF33" w14:textId="77777777" w:rsidR="0080416E" w:rsidRPr="00FF397D" w:rsidRDefault="0080416E" w:rsidP="00B45D31">
      <w:pPr>
        <w:pStyle w:val="BTEMEASMCA"/>
      </w:pPr>
    </w:p>
    <w:p w14:paraId="7AB60D8B" w14:textId="77777777" w:rsidR="0080416E" w:rsidRPr="00FF397D" w:rsidRDefault="0080416E" w:rsidP="00B45D31">
      <w:pPr>
        <w:pStyle w:val="BTEMEASMCA"/>
      </w:pPr>
    </w:p>
    <w:p w14:paraId="35327B6B" w14:textId="77777777" w:rsidR="0080416E" w:rsidRPr="00FF397D" w:rsidRDefault="0080416E" w:rsidP="00B45D31">
      <w:pPr>
        <w:pStyle w:val="BTEMEASMCA"/>
      </w:pPr>
    </w:p>
    <w:p w14:paraId="6CB57D54" w14:textId="77777777" w:rsidR="0080416E" w:rsidRPr="00FF397D" w:rsidRDefault="0080416E" w:rsidP="00B45D31">
      <w:pPr>
        <w:pStyle w:val="BTEMEASMCA"/>
      </w:pPr>
    </w:p>
    <w:p w14:paraId="0995E7F8" w14:textId="77777777" w:rsidR="0080416E" w:rsidRPr="00FF397D" w:rsidRDefault="0080416E" w:rsidP="00B45D31">
      <w:pPr>
        <w:pStyle w:val="BTEMEASMCA"/>
      </w:pPr>
    </w:p>
    <w:p w14:paraId="56F0D0A9" w14:textId="77777777" w:rsidR="0080416E" w:rsidRPr="00FF397D" w:rsidRDefault="0080416E" w:rsidP="00B45D31">
      <w:pPr>
        <w:pStyle w:val="BTEMEASMCA"/>
      </w:pPr>
    </w:p>
    <w:p w14:paraId="6F81CCBE" w14:textId="77777777" w:rsidR="0080416E" w:rsidRPr="00FF397D" w:rsidRDefault="0080416E" w:rsidP="00B45D31">
      <w:pPr>
        <w:pStyle w:val="BTEMEASMCA"/>
      </w:pPr>
    </w:p>
    <w:p w14:paraId="61987DB2" w14:textId="77777777" w:rsidR="0080416E" w:rsidRPr="00FF397D" w:rsidRDefault="0080416E" w:rsidP="00B45D31">
      <w:pPr>
        <w:pStyle w:val="BTEMEASMCA"/>
      </w:pPr>
    </w:p>
    <w:p w14:paraId="321B0C6D" w14:textId="77777777" w:rsidR="0080416E" w:rsidRPr="00FF397D" w:rsidRDefault="0080416E" w:rsidP="00B45D31">
      <w:pPr>
        <w:pStyle w:val="BTEMEASMCA"/>
      </w:pPr>
    </w:p>
    <w:p w14:paraId="52B8879D" w14:textId="77777777" w:rsidR="0080416E" w:rsidRPr="00FF397D" w:rsidRDefault="0080416E" w:rsidP="00B45D31">
      <w:pPr>
        <w:pStyle w:val="BTEMEASMCA"/>
      </w:pPr>
    </w:p>
    <w:p w14:paraId="0C377FF5" w14:textId="2924EAB2" w:rsidR="0080416E" w:rsidRPr="00FF397D" w:rsidRDefault="0080416E" w:rsidP="0080416E">
      <w:pPr>
        <w:pStyle w:val="TTEMEASMCA"/>
        <w:rPr>
          <w:rFonts w:ascii="Times New Roman" w:hAnsi="Times New Roman"/>
          <w:sz w:val="22"/>
          <w:szCs w:val="22"/>
        </w:rPr>
      </w:pPr>
      <w:bookmarkStart w:id="57" w:name="_Toc129243262"/>
      <w:bookmarkStart w:id="58" w:name="_Toc129243137"/>
      <w:r w:rsidRPr="00FF397D">
        <w:rPr>
          <w:rFonts w:ascii="Times New Roman" w:hAnsi="Times New Roman"/>
          <w:sz w:val="22"/>
          <w:szCs w:val="22"/>
        </w:rPr>
        <w:t>B. PAKUOTĖS LAPELIS</w:t>
      </w:r>
      <w:bookmarkEnd w:id="57"/>
      <w:bookmarkEnd w:id="58"/>
    </w:p>
    <w:p w14:paraId="48349F63" w14:textId="77777777" w:rsidR="0080416E" w:rsidRPr="00FF397D" w:rsidRDefault="0080416E" w:rsidP="0080416E">
      <w:pPr>
        <w:rPr>
          <w:b/>
          <w:szCs w:val="22"/>
          <w:lang w:val="lt-LT"/>
        </w:rPr>
      </w:pPr>
      <w:r w:rsidRPr="00FF397D">
        <w:rPr>
          <w:szCs w:val="22"/>
          <w:lang w:val="lt-LT"/>
        </w:rPr>
        <w:br w:type="page"/>
      </w:r>
    </w:p>
    <w:p w14:paraId="25D37A73" w14:textId="77777777" w:rsidR="0080416E" w:rsidRPr="00FF397D" w:rsidRDefault="0080416E" w:rsidP="0080416E">
      <w:pPr>
        <w:pStyle w:val="TTEMEASMCA"/>
        <w:ind w:left="0" w:firstLine="0"/>
        <w:rPr>
          <w:rFonts w:ascii="Times New Roman" w:hAnsi="Times New Roman"/>
          <w:sz w:val="22"/>
          <w:szCs w:val="22"/>
        </w:rPr>
      </w:pPr>
      <w:r w:rsidRPr="00FF397D">
        <w:rPr>
          <w:rFonts w:ascii="Times New Roman" w:hAnsi="Times New Roman"/>
          <w:sz w:val="22"/>
          <w:szCs w:val="22"/>
        </w:rPr>
        <w:lastRenderedPageBreak/>
        <w:t>Pakuotės lapelis: informacija pacientui</w:t>
      </w:r>
    </w:p>
    <w:p w14:paraId="3D0D4D51" w14:textId="77777777" w:rsidR="0080416E" w:rsidRPr="00FF397D" w:rsidRDefault="0080416E" w:rsidP="0080416E">
      <w:pPr>
        <w:autoSpaceDE w:val="0"/>
        <w:autoSpaceDN w:val="0"/>
        <w:adjustRightInd w:val="0"/>
        <w:spacing w:line="240" w:lineRule="auto"/>
        <w:jc w:val="center"/>
        <w:rPr>
          <w:rFonts w:eastAsia="Calibri"/>
          <w:b/>
          <w:bCs/>
          <w:szCs w:val="22"/>
          <w:lang w:val="lt-LT"/>
        </w:rPr>
      </w:pPr>
    </w:p>
    <w:p w14:paraId="425BF777" w14:textId="77777777" w:rsidR="0080416E" w:rsidRPr="00FF397D" w:rsidRDefault="0080416E" w:rsidP="0080416E">
      <w:pPr>
        <w:autoSpaceDE w:val="0"/>
        <w:autoSpaceDN w:val="0"/>
        <w:adjustRightInd w:val="0"/>
        <w:spacing w:line="240" w:lineRule="auto"/>
        <w:jc w:val="center"/>
        <w:rPr>
          <w:rFonts w:eastAsia="Calibri"/>
          <w:b/>
          <w:bCs/>
          <w:szCs w:val="22"/>
          <w:lang w:val="lt-LT"/>
        </w:rPr>
      </w:pPr>
      <w:r w:rsidRPr="00FF397D">
        <w:rPr>
          <w:rFonts w:eastAsia="Calibri"/>
          <w:b/>
          <w:bCs/>
          <w:szCs w:val="22"/>
          <w:lang w:val="lt-LT"/>
        </w:rPr>
        <w:t>Teriflunomide Teva 14 mg plėvele dengtos tabletės</w:t>
      </w:r>
    </w:p>
    <w:p w14:paraId="5D315E4E" w14:textId="77777777" w:rsidR="0080416E" w:rsidRPr="00FF397D" w:rsidRDefault="0080416E" w:rsidP="0080416E">
      <w:pPr>
        <w:autoSpaceDE w:val="0"/>
        <w:autoSpaceDN w:val="0"/>
        <w:adjustRightInd w:val="0"/>
        <w:spacing w:line="240" w:lineRule="auto"/>
        <w:jc w:val="center"/>
        <w:rPr>
          <w:rFonts w:eastAsia="Calibri"/>
          <w:szCs w:val="22"/>
          <w:lang w:val="lt-LT"/>
        </w:rPr>
      </w:pPr>
      <w:r w:rsidRPr="00FF397D">
        <w:rPr>
          <w:rFonts w:eastAsia="Calibri"/>
          <w:szCs w:val="22"/>
          <w:lang w:val="lt-LT"/>
        </w:rPr>
        <w:t xml:space="preserve">teriflunomidas </w:t>
      </w:r>
    </w:p>
    <w:p w14:paraId="49FBBA84" w14:textId="77777777" w:rsidR="0080416E" w:rsidRPr="00FF397D" w:rsidRDefault="0080416E" w:rsidP="00B45D31">
      <w:pPr>
        <w:pStyle w:val="BTEMEASMCA"/>
      </w:pPr>
    </w:p>
    <w:p w14:paraId="592F2E2C" w14:textId="77777777" w:rsidR="0080416E" w:rsidRPr="00FF397D" w:rsidRDefault="0080416E" w:rsidP="0080416E">
      <w:pPr>
        <w:keepNext/>
        <w:suppressAutoHyphens/>
        <w:spacing w:line="240" w:lineRule="auto"/>
        <w:rPr>
          <w:b/>
          <w:szCs w:val="22"/>
          <w:lang w:val="lt-LT"/>
        </w:rPr>
      </w:pPr>
      <w:r w:rsidRPr="00FF397D">
        <w:rPr>
          <w:b/>
          <w:szCs w:val="22"/>
          <w:lang w:val="lt-LT"/>
        </w:rPr>
        <w:t>Atidžiai perskaitykite visą šį lapelį, prieš pradėdami vartoti vaistą, nes jame pateikiama Jums svarbi informacija.</w:t>
      </w:r>
      <w:r w:rsidRPr="00FF397D">
        <w:rPr>
          <w:b/>
          <w:bCs/>
          <w:szCs w:val="22"/>
          <w:lang w:val="lt-LT"/>
        </w:rPr>
        <w:t xml:space="preserve"> </w:t>
      </w:r>
    </w:p>
    <w:p w14:paraId="020B2E1F" w14:textId="77777777" w:rsidR="0080416E" w:rsidRPr="00FF397D" w:rsidRDefault="0080416E" w:rsidP="0080416E">
      <w:pPr>
        <w:numPr>
          <w:ilvl w:val="1"/>
          <w:numId w:val="171"/>
        </w:numPr>
        <w:tabs>
          <w:tab w:val="clear" w:pos="567"/>
          <w:tab w:val="left" w:pos="540"/>
        </w:tabs>
        <w:spacing w:line="240" w:lineRule="auto"/>
        <w:ind w:left="567" w:hanging="567"/>
        <w:contextualSpacing/>
        <w:rPr>
          <w:szCs w:val="22"/>
          <w:lang w:val="lt-LT"/>
        </w:rPr>
      </w:pPr>
      <w:r w:rsidRPr="00FF397D">
        <w:rPr>
          <w:szCs w:val="22"/>
          <w:lang w:val="lt-LT"/>
        </w:rPr>
        <w:t>Neišmeskite šio lapelio, nes vėl gali prireikti jį perskaityti.</w:t>
      </w:r>
    </w:p>
    <w:p w14:paraId="01F51077" w14:textId="77777777" w:rsidR="0080416E" w:rsidRPr="00FF397D" w:rsidRDefault="0080416E" w:rsidP="0080416E">
      <w:pPr>
        <w:numPr>
          <w:ilvl w:val="1"/>
          <w:numId w:val="171"/>
        </w:numPr>
        <w:tabs>
          <w:tab w:val="clear" w:pos="567"/>
          <w:tab w:val="left" w:pos="540"/>
        </w:tabs>
        <w:spacing w:line="240" w:lineRule="auto"/>
        <w:ind w:left="567" w:hanging="567"/>
        <w:contextualSpacing/>
        <w:rPr>
          <w:szCs w:val="22"/>
          <w:lang w:val="lt-LT"/>
        </w:rPr>
      </w:pPr>
      <w:r w:rsidRPr="00FF397D">
        <w:rPr>
          <w:szCs w:val="22"/>
          <w:lang w:val="lt-LT"/>
        </w:rPr>
        <w:t>Jeigu kiltų daugiau klausimų, kreipkitės į gydytoją arba vaistininką.</w:t>
      </w:r>
    </w:p>
    <w:p w14:paraId="3185575C" w14:textId="77777777" w:rsidR="0080416E" w:rsidRPr="00FF397D" w:rsidRDefault="0080416E" w:rsidP="0080416E">
      <w:pPr>
        <w:numPr>
          <w:ilvl w:val="1"/>
          <w:numId w:val="171"/>
        </w:numPr>
        <w:tabs>
          <w:tab w:val="clear" w:pos="567"/>
          <w:tab w:val="left" w:pos="540"/>
        </w:tabs>
        <w:spacing w:line="240" w:lineRule="auto"/>
        <w:ind w:left="567" w:hanging="567"/>
        <w:contextualSpacing/>
        <w:rPr>
          <w:szCs w:val="22"/>
          <w:lang w:val="lt-LT"/>
        </w:rPr>
      </w:pPr>
      <w:r w:rsidRPr="00FF397D">
        <w:rPr>
          <w:szCs w:val="22"/>
          <w:lang w:val="lt-LT"/>
        </w:rPr>
        <w:t>Šis vaistas skirtas tik Jums, todėl kitiems žmonėms jo duoti negalima. Vaistas gali jiems pakenkti (net tiems, kurių ligos požymiai yra tokie patys kaip Jūsų).</w:t>
      </w:r>
    </w:p>
    <w:p w14:paraId="637542C0" w14:textId="77777777" w:rsidR="0080416E" w:rsidRPr="00FF397D" w:rsidRDefault="0080416E" w:rsidP="0080416E">
      <w:pPr>
        <w:numPr>
          <w:ilvl w:val="1"/>
          <w:numId w:val="171"/>
        </w:numPr>
        <w:tabs>
          <w:tab w:val="clear" w:pos="567"/>
          <w:tab w:val="left" w:pos="540"/>
        </w:tabs>
        <w:spacing w:line="240" w:lineRule="auto"/>
        <w:ind w:left="567" w:hanging="567"/>
        <w:contextualSpacing/>
        <w:rPr>
          <w:szCs w:val="22"/>
          <w:lang w:val="lt-LT"/>
        </w:rPr>
      </w:pPr>
      <w:r w:rsidRPr="00FF397D">
        <w:rPr>
          <w:szCs w:val="22"/>
          <w:lang w:val="lt-LT"/>
        </w:rPr>
        <w:t>Jeigu pasireiškė šalutinis poveikis (net jeigu jis šiame lapelyje nenurodytas), kreipkitės į gydytoją arba vaistininką. Žr. 4 skyrių.</w:t>
      </w:r>
    </w:p>
    <w:p w14:paraId="248EAC40" w14:textId="77777777" w:rsidR="0080416E" w:rsidRPr="00FF397D" w:rsidRDefault="0080416E" w:rsidP="00B45D31">
      <w:pPr>
        <w:pStyle w:val="BTEMEASMCA"/>
      </w:pPr>
    </w:p>
    <w:p w14:paraId="1072C754" w14:textId="77777777" w:rsidR="0080416E" w:rsidRPr="00FF397D" w:rsidRDefault="0080416E" w:rsidP="0080416E">
      <w:pPr>
        <w:keepNext/>
        <w:spacing w:line="240" w:lineRule="auto"/>
        <w:rPr>
          <w:b/>
          <w:szCs w:val="22"/>
          <w:lang w:val="lt-LT"/>
        </w:rPr>
      </w:pPr>
      <w:r w:rsidRPr="00FF397D">
        <w:rPr>
          <w:b/>
          <w:szCs w:val="22"/>
          <w:lang w:val="lt-LT"/>
        </w:rPr>
        <w:t>Apie ką rašoma šiame lapelyje?</w:t>
      </w:r>
    </w:p>
    <w:p w14:paraId="1E559E36" w14:textId="77777777" w:rsidR="0080416E" w:rsidRPr="00FF397D" w:rsidRDefault="0080416E" w:rsidP="0080416E">
      <w:pPr>
        <w:keepNext/>
        <w:spacing w:line="240" w:lineRule="auto"/>
        <w:rPr>
          <w:b/>
          <w:szCs w:val="22"/>
          <w:lang w:val="lt-LT"/>
        </w:rPr>
      </w:pPr>
    </w:p>
    <w:p w14:paraId="55A3360A" w14:textId="77777777" w:rsidR="0080416E" w:rsidRPr="00FF397D" w:rsidRDefault="0080416E" w:rsidP="0080416E">
      <w:pPr>
        <w:keepNext/>
        <w:numPr>
          <w:ilvl w:val="0"/>
          <w:numId w:val="169"/>
        </w:numPr>
        <w:ind w:left="540" w:right="-29" w:hanging="540"/>
        <w:rPr>
          <w:szCs w:val="22"/>
          <w:lang w:val="lt-LT"/>
        </w:rPr>
      </w:pPr>
      <w:r w:rsidRPr="00FF397D">
        <w:rPr>
          <w:szCs w:val="22"/>
          <w:lang w:val="lt-LT"/>
        </w:rPr>
        <w:t>Kas yra Teriflunomide Teva ir kam jis vartojamas</w:t>
      </w:r>
    </w:p>
    <w:p w14:paraId="715CEEDA" w14:textId="77777777" w:rsidR="0080416E" w:rsidRPr="00FF397D" w:rsidRDefault="0080416E" w:rsidP="0080416E">
      <w:pPr>
        <w:numPr>
          <w:ilvl w:val="0"/>
          <w:numId w:val="169"/>
        </w:numPr>
        <w:ind w:left="540" w:right="-29" w:hanging="540"/>
        <w:rPr>
          <w:szCs w:val="22"/>
          <w:lang w:val="lt-LT"/>
        </w:rPr>
      </w:pPr>
      <w:r w:rsidRPr="00FF397D">
        <w:rPr>
          <w:szCs w:val="22"/>
          <w:lang w:val="lt-LT"/>
        </w:rPr>
        <w:t>Kas žinotina prieš vartojant Teriflunomide Teva</w:t>
      </w:r>
    </w:p>
    <w:p w14:paraId="15441D81" w14:textId="77777777" w:rsidR="0080416E" w:rsidRPr="00FF397D" w:rsidRDefault="0080416E" w:rsidP="0080416E">
      <w:pPr>
        <w:numPr>
          <w:ilvl w:val="0"/>
          <w:numId w:val="169"/>
        </w:numPr>
        <w:ind w:left="540" w:right="-29" w:hanging="540"/>
        <w:rPr>
          <w:szCs w:val="22"/>
          <w:lang w:val="lt-LT"/>
        </w:rPr>
      </w:pPr>
      <w:r w:rsidRPr="00FF397D">
        <w:rPr>
          <w:szCs w:val="22"/>
          <w:lang w:val="lt-LT"/>
        </w:rPr>
        <w:t>Kaip vartoti Teriflunomide Teva</w:t>
      </w:r>
    </w:p>
    <w:p w14:paraId="712C9E86" w14:textId="77777777" w:rsidR="0080416E" w:rsidRPr="00FF397D" w:rsidRDefault="0080416E" w:rsidP="0080416E">
      <w:pPr>
        <w:numPr>
          <w:ilvl w:val="0"/>
          <w:numId w:val="169"/>
        </w:numPr>
        <w:ind w:left="540" w:right="-29" w:hanging="540"/>
        <w:rPr>
          <w:szCs w:val="22"/>
          <w:lang w:val="lt-LT"/>
        </w:rPr>
      </w:pPr>
      <w:r w:rsidRPr="00FF397D">
        <w:rPr>
          <w:szCs w:val="22"/>
          <w:lang w:val="lt-LT"/>
        </w:rPr>
        <w:t>Galimas šalutinis poveikis</w:t>
      </w:r>
    </w:p>
    <w:p w14:paraId="57CA7184" w14:textId="77777777" w:rsidR="0080416E" w:rsidRPr="00FF397D" w:rsidRDefault="0080416E" w:rsidP="0080416E">
      <w:pPr>
        <w:numPr>
          <w:ilvl w:val="0"/>
          <w:numId w:val="169"/>
        </w:numPr>
        <w:ind w:left="540" w:right="-29" w:hanging="540"/>
        <w:rPr>
          <w:szCs w:val="22"/>
          <w:lang w:val="lt-LT"/>
        </w:rPr>
      </w:pPr>
      <w:r w:rsidRPr="00FF397D">
        <w:rPr>
          <w:szCs w:val="22"/>
          <w:lang w:val="lt-LT"/>
        </w:rPr>
        <w:t>Kaip laikyti Teriflunomide Teva</w:t>
      </w:r>
    </w:p>
    <w:p w14:paraId="0C71B218" w14:textId="77777777" w:rsidR="0080416E" w:rsidRPr="00FF397D" w:rsidRDefault="0080416E" w:rsidP="0080416E">
      <w:pPr>
        <w:numPr>
          <w:ilvl w:val="0"/>
          <w:numId w:val="169"/>
        </w:numPr>
        <w:ind w:left="540" w:right="-29" w:hanging="540"/>
        <w:rPr>
          <w:szCs w:val="22"/>
          <w:lang w:val="lt-LT"/>
        </w:rPr>
      </w:pPr>
      <w:r w:rsidRPr="00FF397D">
        <w:rPr>
          <w:szCs w:val="22"/>
          <w:lang w:val="lt-LT"/>
        </w:rPr>
        <w:t>Pakuotės turinys ir kita informacija</w:t>
      </w:r>
    </w:p>
    <w:p w14:paraId="00C9EDBB" w14:textId="77777777" w:rsidR="0080416E" w:rsidRPr="00FF397D" w:rsidRDefault="0080416E" w:rsidP="00B45D31">
      <w:pPr>
        <w:pStyle w:val="BTEMEASMCA"/>
      </w:pPr>
    </w:p>
    <w:p w14:paraId="5DB1DC73" w14:textId="77777777" w:rsidR="0080416E" w:rsidRPr="00FF397D" w:rsidRDefault="0080416E" w:rsidP="00B45D31">
      <w:pPr>
        <w:pStyle w:val="BTEMEASMCA"/>
      </w:pPr>
    </w:p>
    <w:p w14:paraId="0B63067E" w14:textId="77777777" w:rsidR="0080416E" w:rsidRPr="00DB639D" w:rsidRDefault="0080416E" w:rsidP="00B45D31">
      <w:pPr>
        <w:pStyle w:val="BTEMEASMCA"/>
      </w:pPr>
      <w:r w:rsidRPr="00FF397D">
        <w:t>1.</w:t>
      </w:r>
      <w:r w:rsidRPr="00FF397D">
        <w:tab/>
      </w:r>
      <w:r w:rsidRPr="00DB639D">
        <w:t>Kas yra Teriflunomide Teva ir kam jis vartojamas</w:t>
      </w:r>
    </w:p>
    <w:p w14:paraId="70FCBF20" w14:textId="77777777" w:rsidR="0080416E" w:rsidRPr="00DB639D" w:rsidRDefault="0080416E" w:rsidP="00B45D31">
      <w:pPr>
        <w:pStyle w:val="BTEMEASMCA"/>
      </w:pPr>
    </w:p>
    <w:p w14:paraId="2B3D2709" w14:textId="77777777" w:rsidR="0080416E" w:rsidRPr="00DB639D" w:rsidRDefault="0080416E" w:rsidP="00B45D31">
      <w:pPr>
        <w:pStyle w:val="BTEMEASMCA"/>
      </w:pPr>
      <w:r w:rsidRPr="00DB639D">
        <w:t>Kas yra Teriflunomide Teva</w:t>
      </w:r>
    </w:p>
    <w:p w14:paraId="640F5A36" w14:textId="77777777" w:rsidR="0080416E" w:rsidRPr="00DB639D" w:rsidRDefault="0080416E" w:rsidP="00B45D31">
      <w:pPr>
        <w:pStyle w:val="BTEMEASMCA"/>
      </w:pPr>
      <w:r w:rsidRPr="00DB639D">
        <w:t>Teriflunomide Teva sudėtyje yra veikliosios medžiagos teriflunomido, imunomoduliatoriaus, kuris imuninę sistemą pakoreguoja taip, kad ji nepultų nervų sistemos.</w:t>
      </w:r>
    </w:p>
    <w:p w14:paraId="3C04B092" w14:textId="77777777" w:rsidR="0080416E" w:rsidRPr="00DB639D" w:rsidRDefault="0080416E" w:rsidP="00B45D31">
      <w:pPr>
        <w:pStyle w:val="BTEMEASMCA"/>
      </w:pPr>
    </w:p>
    <w:p w14:paraId="1AF69A8C" w14:textId="77777777" w:rsidR="0080416E" w:rsidRPr="00DB639D" w:rsidRDefault="0080416E" w:rsidP="00B45D31">
      <w:pPr>
        <w:pStyle w:val="BTEMEASMCA"/>
      </w:pPr>
      <w:r w:rsidRPr="00DB639D">
        <w:t>Kam Teriflunomide Teva naudojamas</w:t>
      </w:r>
    </w:p>
    <w:p w14:paraId="0193A79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szCs w:val="22"/>
          <w:lang w:val="lt-LT"/>
        </w:rPr>
        <w:t xml:space="preserve">Teriflunomide Teva </w:t>
      </w:r>
      <w:r w:rsidRPr="00FF397D">
        <w:rPr>
          <w:rFonts w:eastAsia="Calibri"/>
          <w:szCs w:val="22"/>
          <w:lang w:val="lt-LT"/>
        </w:rPr>
        <w:t>vartojamas gydyti suaugusius pacientus ir vaikus bei paauglius (vyresnius kaip 10 metų), sergančius recidyvuojančia remituojančia išsėtine skleroze (IS).</w:t>
      </w:r>
    </w:p>
    <w:p w14:paraId="1891A85F" w14:textId="77777777" w:rsidR="0080416E" w:rsidRPr="00FF397D" w:rsidRDefault="0080416E" w:rsidP="00B45D31">
      <w:pPr>
        <w:pStyle w:val="BTEMEASMCA"/>
      </w:pPr>
    </w:p>
    <w:p w14:paraId="26F50DCB"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Kas yra išsėtinė sklerozė (IS)</w:t>
      </w:r>
    </w:p>
    <w:p w14:paraId="221EFC74" w14:textId="72B8EFCD"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IS yra ilgalaikė liga, paveikianti centrinę nervų sistemą (CNS). CNS sudaro galvos ir nugaros smegenys. Sergant išsėtine skleroze, uždegimas pažeidžia apsauginį CNS nervų dangalą (vadinamą mielinu). Toks mielino nykimas vadinamas demielinizacija. Tai stabdo tinkamą nervų </w:t>
      </w:r>
      <w:r w:rsidR="004A13FC" w:rsidRPr="00FF397D">
        <w:rPr>
          <w:rFonts w:eastAsia="Calibri"/>
          <w:szCs w:val="22"/>
          <w:lang w:val="lt-LT"/>
        </w:rPr>
        <w:t>funkciją</w:t>
      </w:r>
      <w:r w:rsidRPr="00FF397D">
        <w:rPr>
          <w:rFonts w:eastAsia="Calibri"/>
          <w:szCs w:val="22"/>
          <w:lang w:val="lt-LT"/>
        </w:rPr>
        <w:t>.</w:t>
      </w:r>
    </w:p>
    <w:p w14:paraId="19C7A5DA" w14:textId="77777777" w:rsidR="0080416E" w:rsidRPr="00FF397D" w:rsidRDefault="0080416E" w:rsidP="0080416E">
      <w:pPr>
        <w:autoSpaceDE w:val="0"/>
        <w:autoSpaceDN w:val="0"/>
        <w:adjustRightInd w:val="0"/>
        <w:spacing w:line="240" w:lineRule="auto"/>
        <w:rPr>
          <w:rFonts w:eastAsia="Calibri"/>
          <w:szCs w:val="22"/>
          <w:lang w:val="lt-LT"/>
        </w:rPr>
      </w:pPr>
    </w:p>
    <w:p w14:paraId="1B3264C4" w14:textId="3BD48B4D"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Žmonės, sergantys recidyvuojančia išsėtinės sklerozės forma, patiria pasikartojančius fizinių simptomų priepuolius (atkryčius), kuriuos sukelia netinkama jų nervų </w:t>
      </w:r>
      <w:r w:rsidR="004A13FC" w:rsidRPr="00FF397D">
        <w:rPr>
          <w:rFonts w:eastAsia="Calibri"/>
          <w:szCs w:val="22"/>
          <w:lang w:val="lt-LT"/>
        </w:rPr>
        <w:t>funkcija</w:t>
      </w:r>
      <w:r w:rsidRPr="00FF397D">
        <w:rPr>
          <w:rFonts w:eastAsia="Calibri"/>
          <w:szCs w:val="22"/>
          <w:lang w:val="lt-LT"/>
        </w:rPr>
        <w:t>. Kiekvieno paciento simptomai gali būti skirtingi, bet paprastai būna:</w:t>
      </w:r>
    </w:p>
    <w:p w14:paraId="775076BF" w14:textId="77777777" w:rsidR="0080416E" w:rsidRPr="00FF397D" w:rsidRDefault="0080416E" w:rsidP="0080416E">
      <w:pPr>
        <w:pStyle w:val="Sraopastraipa"/>
        <w:numPr>
          <w:ilvl w:val="2"/>
          <w:numId w:val="170"/>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 xml:space="preserve">sutrikusi eisena; </w:t>
      </w:r>
    </w:p>
    <w:p w14:paraId="64E88724" w14:textId="77777777" w:rsidR="0080416E" w:rsidRPr="00FF397D" w:rsidRDefault="0080416E" w:rsidP="0080416E">
      <w:pPr>
        <w:pStyle w:val="Sraopastraipa"/>
        <w:numPr>
          <w:ilvl w:val="2"/>
          <w:numId w:val="170"/>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regėjimo problemų;</w:t>
      </w:r>
    </w:p>
    <w:p w14:paraId="47955B27" w14:textId="77777777" w:rsidR="0080416E" w:rsidRPr="00FF397D" w:rsidRDefault="0080416E" w:rsidP="0080416E">
      <w:pPr>
        <w:pStyle w:val="Sraopastraipa"/>
        <w:numPr>
          <w:ilvl w:val="2"/>
          <w:numId w:val="170"/>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pusiausvyros problemų.</w:t>
      </w:r>
    </w:p>
    <w:p w14:paraId="47D6B04C" w14:textId="77777777" w:rsidR="0080416E" w:rsidRPr="00FF397D" w:rsidRDefault="0080416E" w:rsidP="0080416E">
      <w:pPr>
        <w:autoSpaceDE w:val="0"/>
        <w:autoSpaceDN w:val="0"/>
        <w:adjustRightInd w:val="0"/>
        <w:spacing w:line="240" w:lineRule="auto"/>
        <w:rPr>
          <w:rFonts w:eastAsia="Calibri"/>
          <w:szCs w:val="22"/>
          <w:lang w:val="lt-LT"/>
        </w:rPr>
      </w:pPr>
    </w:p>
    <w:p w14:paraId="1236383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Simptomai po atkryčio gali visiškai išnykti, tačiau laikui bėgant, kai kurios problemos tarp atkryčių gali išlikti. Tai gali sukelti fizinę negalią, galinčią trukdyti kasdieninei veiklai.</w:t>
      </w:r>
    </w:p>
    <w:p w14:paraId="451853D4" w14:textId="77777777" w:rsidR="0080416E" w:rsidRPr="00FF397D" w:rsidRDefault="0080416E" w:rsidP="0080416E">
      <w:pPr>
        <w:autoSpaceDE w:val="0"/>
        <w:autoSpaceDN w:val="0"/>
        <w:adjustRightInd w:val="0"/>
        <w:spacing w:line="240" w:lineRule="auto"/>
        <w:rPr>
          <w:rFonts w:eastAsia="Calibri"/>
          <w:szCs w:val="22"/>
          <w:lang w:val="lt-LT"/>
        </w:rPr>
      </w:pPr>
    </w:p>
    <w:p w14:paraId="5154B36C"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Kaip Teriflunomide Teva veikia</w:t>
      </w:r>
    </w:p>
    <w:p w14:paraId="3974140C" w14:textId="77777777" w:rsidR="0080416E" w:rsidRPr="00FF397D" w:rsidRDefault="0080416E" w:rsidP="0080416E">
      <w:pPr>
        <w:autoSpaceDE w:val="0"/>
        <w:autoSpaceDN w:val="0"/>
        <w:adjustRightInd w:val="0"/>
        <w:spacing w:line="240" w:lineRule="auto"/>
        <w:rPr>
          <w:rFonts w:eastAsia="Calibri"/>
          <w:szCs w:val="22"/>
          <w:lang w:val="lt-LT"/>
        </w:rPr>
      </w:pPr>
    </w:p>
    <w:p w14:paraId="3531D3B9"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padeda apsisaugoti nuo imuninės sistemos atakų prieš centrinę nervų sistemą, kadangi ribojamas tam tikrų baltųjų kraujo ląstelių (limfocitų) kiekio didėjimas. Tai apriboja uždegimą, kuris sukelia nervų pažeidimą sergant IS.</w:t>
      </w:r>
    </w:p>
    <w:p w14:paraId="53941EFF" w14:textId="77777777" w:rsidR="0080416E" w:rsidRPr="00FF397D" w:rsidRDefault="0080416E" w:rsidP="00B45D31">
      <w:pPr>
        <w:pStyle w:val="BTEMEASMCA"/>
      </w:pPr>
    </w:p>
    <w:p w14:paraId="7475FEB7" w14:textId="77777777" w:rsidR="0080416E" w:rsidRPr="00FF397D" w:rsidRDefault="0080416E" w:rsidP="00B45D31">
      <w:pPr>
        <w:pStyle w:val="BTEMEASMCA"/>
      </w:pPr>
    </w:p>
    <w:p w14:paraId="6DB9A9C4" w14:textId="683740A4" w:rsidR="0080416E" w:rsidRPr="00FF397D" w:rsidRDefault="0080416E" w:rsidP="0080416E">
      <w:pPr>
        <w:pStyle w:val="PI-1EMEASMCA"/>
        <w:rPr>
          <w:lang w:val="lt-LT"/>
        </w:rPr>
      </w:pPr>
      <w:bookmarkStart w:id="59" w:name="_Toc129243265"/>
      <w:bookmarkStart w:id="60" w:name="_Toc129243140"/>
      <w:r w:rsidRPr="00FF397D">
        <w:rPr>
          <w:lang w:val="lt-LT"/>
        </w:rPr>
        <w:lastRenderedPageBreak/>
        <w:t>2.</w:t>
      </w:r>
      <w:r w:rsidRPr="00FF397D">
        <w:rPr>
          <w:lang w:val="lt-LT"/>
        </w:rPr>
        <w:tab/>
      </w:r>
      <w:bookmarkEnd w:id="59"/>
      <w:bookmarkEnd w:id="60"/>
      <w:r w:rsidRPr="00FF397D">
        <w:rPr>
          <w:lang w:val="lt-LT"/>
        </w:rPr>
        <w:t>Kas žinotina prieš vartojant Teriflunomide Teva</w:t>
      </w:r>
    </w:p>
    <w:p w14:paraId="06B2A4A4" w14:textId="77777777" w:rsidR="0080416E" w:rsidRPr="00FF397D" w:rsidRDefault="0080416E" w:rsidP="0080416E">
      <w:pPr>
        <w:keepNext/>
        <w:tabs>
          <w:tab w:val="left" w:pos="1560"/>
        </w:tabs>
        <w:spacing w:line="240" w:lineRule="auto"/>
        <w:jc w:val="both"/>
        <w:rPr>
          <w:szCs w:val="22"/>
          <w:lang w:val="lt-LT"/>
        </w:rPr>
      </w:pPr>
    </w:p>
    <w:p w14:paraId="0E62D25E"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Teriflunomide Teva vartoti draudžiama:</w:t>
      </w:r>
    </w:p>
    <w:p w14:paraId="002D08C4"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jeigu yra alergija teriflunomidui arba bet kuriai pagalbinei šio vaisto medžiagai (jos išvardytos 6 skyriuje);</w:t>
      </w:r>
    </w:p>
    <w:p w14:paraId="5AB5E58C"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jeigu po teriflunomido ar leflunomido pavartojimo buvo pasireiškęs sunkus odos išbėrimas ar odos lupimasis, pūslių susidarymas ir (arba) buvo atsiradę burnos opų;</w:t>
      </w:r>
    </w:p>
    <w:p w14:paraId="0F341B5C" w14:textId="161960C0"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jei turite sunkių kepenų </w:t>
      </w:r>
      <w:r w:rsidR="004A13FC" w:rsidRPr="00FF397D">
        <w:rPr>
          <w:rFonts w:eastAsia="Calibri"/>
          <w:szCs w:val="22"/>
          <w:lang w:val="lt-LT"/>
        </w:rPr>
        <w:t xml:space="preserve">funkcijos </w:t>
      </w:r>
      <w:r w:rsidRPr="00FF397D">
        <w:rPr>
          <w:rFonts w:eastAsia="Calibri"/>
          <w:szCs w:val="22"/>
          <w:lang w:val="lt-LT"/>
        </w:rPr>
        <w:t>problemų;</w:t>
      </w:r>
    </w:p>
    <w:p w14:paraId="5D0A3EB5"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jeigu esate nėščia, manote, kad galbūt esate nėščia arba žindote kūdikį;</w:t>
      </w:r>
    </w:p>
    <w:p w14:paraId="6D149EFC"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rimtų problemų, veikiančių imuninę sistemą, pvz., įgytą (akvizitinį) imunodeficito sindromą (AIDS);</w:t>
      </w:r>
    </w:p>
    <w:p w14:paraId="4B2425B4" w14:textId="578CB05F"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jei turite rimtų problemų dėl kaulų čiulpų </w:t>
      </w:r>
      <w:r w:rsidR="004A13FC" w:rsidRPr="00FF397D">
        <w:rPr>
          <w:rFonts w:eastAsia="Calibri"/>
          <w:szCs w:val="22"/>
          <w:lang w:val="lt-LT"/>
        </w:rPr>
        <w:t xml:space="preserve">funkcijos </w:t>
      </w:r>
      <w:r w:rsidRPr="00FF397D">
        <w:rPr>
          <w:rFonts w:eastAsia="Calibri"/>
          <w:szCs w:val="22"/>
          <w:lang w:val="lt-LT"/>
        </w:rPr>
        <w:t>arba jei yra mažas eritrocitų arba leukocitų kiekis kraujyje, arba per mažas kraujo plokštelių kiekis;</w:t>
      </w:r>
    </w:p>
    <w:p w14:paraId="44C7437B"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sergate sunkia infekcine liga;</w:t>
      </w:r>
    </w:p>
    <w:p w14:paraId="2B749E66"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turite sunkių inkstų funkcijos sutrikimų ir būtinas gydymas dializėmis;</w:t>
      </w:r>
    </w:p>
    <w:p w14:paraId="33ED8B4B"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jei kraujyje yra labai mažas baltymų kiekis (hipoproteinemija).</w:t>
      </w:r>
    </w:p>
    <w:p w14:paraId="3B0586B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Jei abejojate, pasitarkite su gydytoju arba vaistininku prieš pradėdami vartoti šį vaistą.</w:t>
      </w:r>
    </w:p>
    <w:p w14:paraId="5E0E562D" w14:textId="77777777" w:rsidR="0080416E" w:rsidRPr="00FF397D" w:rsidRDefault="0080416E" w:rsidP="0080416E">
      <w:pPr>
        <w:autoSpaceDE w:val="0"/>
        <w:autoSpaceDN w:val="0"/>
        <w:adjustRightInd w:val="0"/>
        <w:spacing w:line="240" w:lineRule="auto"/>
        <w:rPr>
          <w:rFonts w:eastAsia="Calibri"/>
          <w:szCs w:val="22"/>
          <w:lang w:val="lt-LT"/>
        </w:rPr>
      </w:pPr>
    </w:p>
    <w:p w14:paraId="670CD68F"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Įspėjimai ir atsargumo priemonės</w:t>
      </w:r>
    </w:p>
    <w:p w14:paraId="72902076" w14:textId="77777777" w:rsidR="0080416E" w:rsidRPr="00FF397D" w:rsidRDefault="0080416E" w:rsidP="0080416E">
      <w:pPr>
        <w:keepNext/>
        <w:autoSpaceDE w:val="0"/>
        <w:autoSpaceDN w:val="0"/>
        <w:adjustRightInd w:val="0"/>
        <w:spacing w:line="240" w:lineRule="auto"/>
        <w:rPr>
          <w:rFonts w:eastAsia="Calibri"/>
          <w:szCs w:val="22"/>
          <w:lang w:val="lt-LT"/>
        </w:rPr>
      </w:pPr>
      <w:r w:rsidRPr="00FF397D">
        <w:rPr>
          <w:rFonts w:eastAsia="Calibri"/>
          <w:szCs w:val="22"/>
          <w:lang w:val="lt-LT"/>
        </w:rPr>
        <w:t>Pasitarkite su gydytoju arba vaistininku, prieš pradėdami vartoti Teriflunomide Teva, jeigu:</w:t>
      </w:r>
    </w:p>
    <w:p w14:paraId="1E3A3A04" w14:textId="63D5254A"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yra kepenų </w:t>
      </w:r>
      <w:r w:rsidR="004A13FC" w:rsidRPr="00FF397D">
        <w:rPr>
          <w:rFonts w:eastAsia="Calibri"/>
          <w:szCs w:val="22"/>
          <w:lang w:val="lt-LT"/>
        </w:rPr>
        <w:t xml:space="preserve">funkcijos </w:t>
      </w:r>
      <w:r w:rsidRPr="00FF397D">
        <w:rPr>
          <w:rFonts w:eastAsia="Calibri"/>
          <w:szCs w:val="22"/>
          <w:lang w:val="lt-LT"/>
        </w:rPr>
        <w:t>problemų ir (arba) vartojate daug alkoholio. Gydytojas atliks kraujo tyrimus prieš gydymą ir jo metu, kad patikrintų Jūsų kepenų funkciją. Jei tyrimo duomenys rodo kepenų problemas, gydytojas gali nutraukti gydymą Teriflunomide Teva. Žr. 4 skyrių;</w:t>
      </w:r>
    </w:p>
    <w:p w14:paraId="3AD07BB4" w14:textId="03047116"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yra padidėjęs kraujospūdis (hipertenzija), nesvarbu, ar jis </w:t>
      </w:r>
      <w:r w:rsidR="004A13FC" w:rsidRPr="00FF397D">
        <w:rPr>
          <w:rFonts w:eastAsia="Calibri"/>
          <w:szCs w:val="22"/>
          <w:lang w:val="lt-LT"/>
        </w:rPr>
        <w:t xml:space="preserve">reguliuojamas </w:t>
      </w:r>
      <w:r w:rsidRPr="00FF397D">
        <w:rPr>
          <w:rFonts w:eastAsia="Calibri"/>
          <w:szCs w:val="22"/>
          <w:lang w:val="lt-LT"/>
        </w:rPr>
        <w:t>vaistais, ar ne. Šis vaistas gali sukelti kraujospūdžio padidėjimą. Jūsų gydytojas prieš pradedant gydymą ir vėliau reguliariai matuos Jūsų kraujospūdį. Žr. 4 skyrių;</w:t>
      </w:r>
    </w:p>
    <w:p w14:paraId="6B267078" w14:textId="7F105476"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sergate infekcine liga. Prieš vartojant Teriflunomide Teva, gydytojas įsitikins, kad kraujyje turite pakankamai baltųjų kraujo ląstelių ir kraujo plokštelių. Kadangi Teriflunomide Teva mažina baltųjų ląstelių kiekį kraujyje ir tai gali bloginti Jūsų gebėjimą kovoti su infekcija. Jūsų gydytojas gali atlikti kraujo tyrimus, kad patikrintų baltųjų kraujo ląstelių kiekį, jei Jūs manote, kad sergate </w:t>
      </w:r>
      <w:r w:rsidR="009045D7">
        <w:rPr>
          <w:rFonts w:eastAsia="Calibri"/>
          <w:szCs w:val="22"/>
          <w:lang w:val="lt-LT"/>
        </w:rPr>
        <w:t xml:space="preserve">bet kokia </w:t>
      </w:r>
      <w:r w:rsidRPr="00FF397D">
        <w:rPr>
          <w:rFonts w:eastAsia="Calibri"/>
          <w:szCs w:val="22"/>
          <w:lang w:val="lt-LT"/>
        </w:rPr>
        <w:t xml:space="preserve">infekcine liga. </w:t>
      </w:r>
      <w:r w:rsidR="009045D7" w:rsidRPr="009045D7">
        <w:rPr>
          <w:rFonts w:eastAsia="Calibri"/>
          <w:szCs w:val="22"/>
          <w:lang w:val="lt-LT"/>
        </w:rPr>
        <w:t>Gydant teriflunomidu gali pasireikšti pūslelinės (</w:t>
      </w:r>
      <w:r w:rsidR="009045D7" w:rsidRPr="009045D7">
        <w:rPr>
          <w:rFonts w:eastAsia="Calibri"/>
          <w:i/>
          <w:iCs/>
          <w:szCs w:val="22"/>
          <w:lang w:val="lt-LT"/>
        </w:rPr>
        <w:t>herpes</w:t>
      </w:r>
      <w:r w:rsidR="009045D7" w:rsidRPr="009045D7">
        <w:rPr>
          <w:rFonts w:eastAsia="Calibri"/>
          <w:szCs w:val="22"/>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sidR="00415914" w:rsidRPr="00415914">
        <w:rPr>
          <w:rFonts w:eastAsia="Calibri"/>
          <w:szCs w:val="22"/>
          <w:lang w:val="lt-LT"/>
        </w:rPr>
        <w:t xml:space="preserve"> </w:t>
      </w:r>
      <w:r w:rsidRPr="00FF397D">
        <w:rPr>
          <w:rFonts w:eastAsia="Calibri"/>
          <w:szCs w:val="22"/>
          <w:lang w:val="lt-LT"/>
        </w:rPr>
        <w:t>Žr. 4 skyrių;</w:t>
      </w:r>
    </w:p>
    <w:p w14:paraId="3CB5A1C2"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pasireiškė sunkios odos reakcijos;</w:t>
      </w:r>
    </w:p>
    <w:p w14:paraId="1F0B5430"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pasireiškė kvėpavimo sutrikimo simptomų;</w:t>
      </w:r>
    </w:p>
    <w:p w14:paraId="10A97E92"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jaučiate plaštakų ir pėdų silpnumą, užtirpimą ir skausmą;</w:t>
      </w:r>
    </w:p>
    <w:p w14:paraId="5169654E"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ketinate skiepytis;</w:t>
      </w:r>
    </w:p>
    <w:p w14:paraId="53603900"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 xml:space="preserve">kartu su </w:t>
      </w:r>
      <w:r w:rsidRPr="00FF397D">
        <w:rPr>
          <w:szCs w:val="22"/>
          <w:lang w:val="lt-LT"/>
        </w:rPr>
        <w:t xml:space="preserve">Teriflunomide Teva </w:t>
      </w:r>
      <w:r w:rsidRPr="00FF397D">
        <w:rPr>
          <w:rFonts w:eastAsia="Calibri"/>
          <w:szCs w:val="22"/>
          <w:lang w:val="lt-LT"/>
        </w:rPr>
        <w:t>vartojate leflunomido;</w:t>
      </w:r>
    </w:p>
    <w:p w14:paraId="2D77A2C5"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keičiate gydymą į Teriflunomide Teva ar nutraukiate gydymą Teriflunomide Teva ir pradedate vartoti kito vaisto;</w:t>
      </w:r>
    </w:p>
    <w:p w14:paraId="61AC3D60"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Jums bus atliekamas specialus kraujo tyrimas (kalcio kiekiui nustatyti). Gali būti neteisingai nustatytas mažas kalcio kiekis.</w:t>
      </w:r>
    </w:p>
    <w:p w14:paraId="27BB759A" w14:textId="77777777" w:rsidR="0080416E" w:rsidRPr="00FF397D" w:rsidRDefault="0080416E" w:rsidP="0080416E">
      <w:pPr>
        <w:autoSpaceDE w:val="0"/>
        <w:autoSpaceDN w:val="0"/>
        <w:adjustRightInd w:val="0"/>
        <w:spacing w:line="240" w:lineRule="auto"/>
        <w:rPr>
          <w:rFonts w:eastAsia="Calibri"/>
          <w:szCs w:val="22"/>
          <w:lang w:val="lt-LT"/>
        </w:rPr>
      </w:pPr>
    </w:p>
    <w:p w14:paraId="5D9B53BC"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Kvėpavimo sistemos reakcijos</w:t>
      </w:r>
    </w:p>
    <w:p w14:paraId="2AE8356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Pasakykite gydytojui, jeigu Jums pasireikš neaiškių priežasčių sukeltas kosulys ir dusulys. Gydytojas gali atlikti papildomus tyrimus.</w:t>
      </w:r>
    </w:p>
    <w:p w14:paraId="29549B2A" w14:textId="77777777" w:rsidR="0080416E" w:rsidRPr="00FF397D" w:rsidRDefault="0080416E" w:rsidP="0080416E">
      <w:pPr>
        <w:autoSpaceDE w:val="0"/>
        <w:autoSpaceDN w:val="0"/>
        <w:adjustRightInd w:val="0"/>
        <w:spacing w:line="240" w:lineRule="auto"/>
        <w:rPr>
          <w:rFonts w:eastAsia="Calibri"/>
          <w:szCs w:val="22"/>
          <w:lang w:val="lt-LT"/>
        </w:rPr>
      </w:pPr>
    </w:p>
    <w:p w14:paraId="2DD15454"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Vaikams ir paaugliams</w:t>
      </w:r>
    </w:p>
    <w:p w14:paraId="529CEB96" w14:textId="77777777" w:rsidR="0080416E" w:rsidRPr="00FF397D" w:rsidRDefault="0080416E" w:rsidP="0080416E">
      <w:pPr>
        <w:autoSpaceDE w:val="0"/>
        <w:autoSpaceDN w:val="0"/>
        <w:adjustRightInd w:val="0"/>
        <w:spacing w:line="240" w:lineRule="auto"/>
        <w:rPr>
          <w:rFonts w:eastAsia="Calibri"/>
          <w:b/>
          <w:bCs/>
          <w:szCs w:val="22"/>
          <w:lang w:val="lt-LT"/>
        </w:rPr>
      </w:pPr>
      <w:r w:rsidRPr="00FF397D">
        <w:rPr>
          <w:szCs w:val="22"/>
          <w:lang w:val="lt-LT"/>
        </w:rPr>
        <w:t xml:space="preserve">Teriflunomide Teva </w:t>
      </w:r>
      <w:r w:rsidRPr="00FF397D">
        <w:rPr>
          <w:rFonts w:eastAsia="Calibri"/>
          <w:szCs w:val="22"/>
          <w:lang w:val="lt-LT"/>
        </w:rPr>
        <w:t>nėra skirtas vartoti jaunesniems kaip 10 metų vaikams, kadangi tyrimų su tokio amžiaus</w:t>
      </w:r>
      <w:r w:rsidRPr="00FF397D">
        <w:rPr>
          <w:rFonts w:eastAsia="Calibri"/>
          <w:b/>
          <w:bCs/>
          <w:szCs w:val="22"/>
          <w:lang w:val="lt-LT"/>
        </w:rPr>
        <w:t xml:space="preserve"> </w:t>
      </w:r>
      <w:r w:rsidRPr="00FF397D">
        <w:rPr>
          <w:rFonts w:eastAsia="Calibri"/>
          <w:szCs w:val="22"/>
          <w:lang w:val="lt-LT"/>
        </w:rPr>
        <w:t>IS sergančiais pacientais neatlikta.</w:t>
      </w:r>
    </w:p>
    <w:p w14:paraId="6906C7D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Anksčiau paminėti įspėjimai ir atsargumo priemonės galioja ir vaikams. Toliau pateikiama informacija yra svarbi vaikams ir jų globėjams:</w:t>
      </w:r>
    </w:p>
    <w:p w14:paraId="442E321E"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teriflunomidu gydomiems pacientams buvo kasos uždegimo atvejų. Jeigu įtariamas kasos uždegimas, Jūsų vaiko gydytojas gali atlikti kraujo tyrimus.</w:t>
      </w:r>
    </w:p>
    <w:p w14:paraId="3B4571A8" w14:textId="77777777" w:rsidR="0080416E" w:rsidRPr="00FF397D" w:rsidRDefault="0080416E" w:rsidP="0080416E">
      <w:pPr>
        <w:autoSpaceDE w:val="0"/>
        <w:autoSpaceDN w:val="0"/>
        <w:adjustRightInd w:val="0"/>
        <w:spacing w:line="240" w:lineRule="auto"/>
        <w:rPr>
          <w:rFonts w:eastAsia="Calibri"/>
          <w:szCs w:val="22"/>
          <w:lang w:val="lt-LT"/>
        </w:rPr>
      </w:pPr>
    </w:p>
    <w:p w14:paraId="7225FBD1"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Kiti vaistai ir Teriflunomide Teva</w:t>
      </w:r>
    </w:p>
    <w:p w14:paraId="363A6D3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Jeigu vartojate ar neseniai vartojote kitų vaistų, įskaitant įsigytus be recepto, arba dėl to nesate tikri, apie tai pasakykite gydytojui arba vaistininkui.</w:t>
      </w:r>
    </w:p>
    <w:p w14:paraId="7A7C032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Labai svarbu pasakyti gydytojui arba vaistininkui, jei vartojate kurį nors iš šių vaistų:</w:t>
      </w:r>
    </w:p>
    <w:p w14:paraId="029125BE"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leflunomido, metotreksato ir kitų vaistų, kurie veikia imuninę sistemą (jie dažnai vadinami imunosupresantais arba imunomoduliatoriais);</w:t>
      </w:r>
    </w:p>
    <w:p w14:paraId="15619D34"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rifampicino (vaisto tuberkuliozei ir kitokioms infekcinėms ligoms gydyti);</w:t>
      </w:r>
    </w:p>
    <w:p w14:paraId="5CD889B1"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karbamazepino, fenobarbitalio, fenitoino nuo epilepsijos;</w:t>
      </w:r>
    </w:p>
    <w:p w14:paraId="7A2725D0" w14:textId="5C730D5E"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jonažol</w:t>
      </w:r>
      <w:r w:rsidR="009B3249" w:rsidRPr="00FF397D">
        <w:rPr>
          <w:rFonts w:eastAsia="Calibri"/>
          <w:szCs w:val="22"/>
          <w:lang w:val="lt-LT"/>
        </w:rPr>
        <w:t>ių</w:t>
      </w:r>
      <w:r w:rsidRPr="00FF397D">
        <w:rPr>
          <w:rFonts w:eastAsia="Calibri"/>
          <w:szCs w:val="22"/>
          <w:lang w:val="lt-LT"/>
        </w:rPr>
        <w:t xml:space="preserve"> preparatų (vaistažolių preparatų nuo depresijos);</w:t>
      </w:r>
    </w:p>
    <w:p w14:paraId="4AE28696"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repaglinido, pioglitazono, nateglinido arba rosiglitazono nuo diabeto;</w:t>
      </w:r>
    </w:p>
    <w:p w14:paraId="6F52033A"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daunorubicino, doksorubicino, paklitakselio ar topotekano nuo vėžio;</w:t>
      </w:r>
    </w:p>
    <w:p w14:paraId="3852C700"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duloksetino nuo depresijos, šlapimo nelaikymo ar inkstų ligos sergant cukriniu diabetu;</w:t>
      </w:r>
    </w:p>
    <w:p w14:paraId="5AA91973"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alosetrono sunkiam viduriavimui valdyti;</w:t>
      </w:r>
    </w:p>
    <w:p w14:paraId="24423170"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teofilino nuo astmos;</w:t>
      </w:r>
    </w:p>
    <w:p w14:paraId="1A6F554E"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tizanidino (raumenis atpalaiduojančio preparato);</w:t>
      </w:r>
    </w:p>
    <w:p w14:paraId="3C284CFB"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varfarino, t. y. antikoagulianto, kuris vartojamas kraujui skystinti, kad būtų išvengta kraujo krešulių susiformavimo;</w:t>
      </w:r>
    </w:p>
    <w:p w14:paraId="711E0323"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geriamųjų kontraceptikų (kurių sudėtyje yra etinilestradiolio ir levonorgestrelio);</w:t>
      </w:r>
    </w:p>
    <w:p w14:paraId="276B3A45"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cefakloro, benzilpenicilino (penicilino G), ciprofloksacino infekcinėms ligoms gydyti;</w:t>
      </w:r>
    </w:p>
    <w:p w14:paraId="57A739EA"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indometacino, ketoprofeno nuo skausmo ar uždegimo;</w:t>
      </w:r>
    </w:p>
    <w:p w14:paraId="45659F79"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furozemido nuo širdies ligos;</w:t>
      </w:r>
    </w:p>
    <w:p w14:paraId="66A3BA26"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cimetidino skrandžio rūgštingumui sumažinti;</w:t>
      </w:r>
    </w:p>
    <w:p w14:paraId="322931CD"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zidovudino nuo AIDS;</w:t>
      </w:r>
    </w:p>
    <w:p w14:paraId="716851D2"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rozuvastatino, simvastatino, atorvastatino, pravastatino hipercholesterolemijai (dideliam cholesterolio kiekiui) gydyti;</w:t>
      </w:r>
    </w:p>
    <w:p w14:paraId="4A17E903"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sulfasalazino, kuriuo gydomos uždegimu pasireiškiančios žarnyno ligos ar reumatoidinis artritas;</w:t>
      </w:r>
    </w:p>
    <w:p w14:paraId="1252FE85"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kolestiramino, kurio vartojama esant dideliam cholesterolio kiekiui arba niežuliui mažinti sergant kepenų liga;</w:t>
      </w:r>
    </w:p>
    <w:p w14:paraId="14FAF369"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r w:rsidRPr="00FF397D">
        <w:rPr>
          <w:rFonts w:eastAsia="Calibri"/>
          <w:szCs w:val="22"/>
          <w:lang w:val="lt-LT"/>
        </w:rPr>
        <w:t xml:space="preserve">- </w:t>
      </w:r>
      <w:r w:rsidRPr="00FF397D">
        <w:rPr>
          <w:rFonts w:eastAsia="Calibri"/>
          <w:szCs w:val="22"/>
          <w:lang w:val="lt-LT"/>
        </w:rPr>
        <w:tab/>
        <w:t>aktyvintosios anglies, kuria mažinama vaistų ar kitų medžiagų absorbcija.</w:t>
      </w:r>
    </w:p>
    <w:p w14:paraId="7A58B45F" w14:textId="77777777" w:rsidR="0080416E" w:rsidRPr="00FF397D" w:rsidRDefault="0080416E" w:rsidP="0080416E">
      <w:pPr>
        <w:autoSpaceDE w:val="0"/>
        <w:autoSpaceDN w:val="0"/>
        <w:adjustRightInd w:val="0"/>
        <w:spacing w:line="240" w:lineRule="auto"/>
        <w:ind w:left="567" w:hanging="567"/>
        <w:rPr>
          <w:rFonts w:eastAsia="Calibri"/>
          <w:szCs w:val="22"/>
          <w:lang w:val="lt-LT"/>
        </w:rPr>
      </w:pPr>
    </w:p>
    <w:p w14:paraId="380C8750" w14:textId="77777777" w:rsidR="0080416E" w:rsidRPr="00FF397D" w:rsidRDefault="0080416E" w:rsidP="0080416E">
      <w:pPr>
        <w:autoSpaceDE w:val="0"/>
        <w:autoSpaceDN w:val="0"/>
        <w:adjustRightInd w:val="0"/>
        <w:spacing w:line="240" w:lineRule="auto"/>
        <w:rPr>
          <w:rFonts w:eastAsia="Calibri"/>
          <w:b/>
          <w:bCs/>
          <w:szCs w:val="22"/>
          <w:lang w:val="lt-LT"/>
        </w:rPr>
      </w:pPr>
      <w:r w:rsidRPr="00FF397D">
        <w:rPr>
          <w:rFonts w:eastAsia="Calibri"/>
          <w:b/>
          <w:bCs/>
          <w:szCs w:val="22"/>
          <w:lang w:val="lt-LT"/>
        </w:rPr>
        <w:t>Nėštumas ir žindymo laikotarpis</w:t>
      </w:r>
    </w:p>
    <w:p w14:paraId="53AFE9F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b/>
          <w:bCs/>
          <w:szCs w:val="22"/>
          <w:lang w:val="lt-LT"/>
        </w:rPr>
        <w:t xml:space="preserve">Nevartokit </w:t>
      </w:r>
      <w:r w:rsidRPr="00FF397D">
        <w:rPr>
          <w:szCs w:val="22"/>
          <w:lang w:val="lt-LT"/>
        </w:rPr>
        <w:t>Teriflunomide Teva</w:t>
      </w:r>
      <w:r w:rsidRPr="00FF397D">
        <w:rPr>
          <w:rFonts w:eastAsia="Calibri"/>
          <w:szCs w:val="22"/>
          <w:lang w:val="lt-LT"/>
        </w:rPr>
        <w:t xml:space="preserve">, jei esate arba manote, kad galite būti </w:t>
      </w:r>
      <w:r w:rsidRPr="00FF397D">
        <w:rPr>
          <w:rFonts w:eastAsia="Calibri"/>
          <w:b/>
          <w:bCs/>
          <w:szCs w:val="22"/>
          <w:lang w:val="lt-LT"/>
        </w:rPr>
        <w:t>nėščia.</w:t>
      </w:r>
      <w:r w:rsidRPr="00FF397D">
        <w:rPr>
          <w:rFonts w:eastAsia="Calibri"/>
          <w:szCs w:val="22"/>
          <w:lang w:val="lt-LT"/>
        </w:rPr>
        <w:t xml:space="preserve"> Jeigu esate nėščia arba pastojote vartodama Teriflunomide Teva, kūdikiui gali būti didesnė apsigimimų rizika. Vaisingoms moterims, nevartojančioms patikimų kontracepcijos priemonių, šio vaisto vartoti negalima. </w:t>
      </w:r>
    </w:p>
    <w:p w14:paraId="1EB09EA0"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Jeigu Jūsų dukrai vartojant </w:t>
      </w:r>
      <w:r w:rsidRPr="00FF397D">
        <w:rPr>
          <w:szCs w:val="22"/>
          <w:lang w:val="lt-LT"/>
        </w:rPr>
        <w:t xml:space="preserve">Teriflunomide Teva </w:t>
      </w:r>
      <w:r w:rsidRPr="00FF397D">
        <w:rPr>
          <w:rFonts w:eastAsia="Calibri"/>
          <w:szCs w:val="22"/>
          <w:lang w:val="lt-LT"/>
        </w:rPr>
        <w:t>prasideda menstruacijos, apie tai turite pasakyti gydytojui, kuris pasirūpins, kad ji būtų pakonsultuota dėl kontracepcijos ir galimos rizikos pastojus.</w:t>
      </w:r>
    </w:p>
    <w:p w14:paraId="78C2226F" w14:textId="77777777" w:rsidR="0080416E" w:rsidRPr="00FF397D" w:rsidRDefault="0080416E" w:rsidP="0080416E">
      <w:pPr>
        <w:autoSpaceDE w:val="0"/>
        <w:autoSpaceDN w:val="0"/>
        <w:adjustRightInd w:val="0"/>
        <w:spacing w:line="240" w:lineRule="auto"/>
        <w:rPr>
          <w:rFonts w:eastAsia="Calibri"/>
          <w:szCs w:val="22"/>
          <w:lang w:val="lt-LT"/>
        </w:rPr>
      </w:pPr>
    </w:p>
    <w:p w14:paraId="4AAFF303"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Pasakykite savo gydytojui, jei po gydymo Teriflunomide Teva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Teriflunomide Teva šalinimą iš organizmo. Bet kuriuo atveju kraujo tyrimas turi patvirtinti, kad pakankamai veikliosios medžiagos pasišalino iš organizmo, taip pat reikia gydančio gydytojo patvirtinimo, kad Teriflunomide Teva koncentracija kraujyje yra pakankamai maža, kad būtų galima pastoti.</w:t>
      </w:r>
    </w:p>
    <w:p w14:paraId="5B0A8923" w14:textId="77777777" w:rsidR="0080416E" w:rsidRPr="00FF397D" w:rsidRDefault="0080416E" w:rsidP="0080416E">
      <w:pPr>
        <w:autoSpaceDE w:val="0"/>
        <w:autoSpaceDN w:val="0"/>
        <w:adjustRightInd w:val="0"/>
        <w:spacing w:line="240" w:lineRule="auto"/>
        <w:rPr>
          <w:rFonts w:eastAsia="Calibri"/>
          <w:szCs w:val="22"/>
          <w:lang w:val="lt-LT"/>
        </w:rPr>
      </w:pPr>
    </w:p>
    <w:p w14:paraId="3E3BF5C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Daugiau informacijos apie laboratorinius tyrimus gali suteikti Jūsų gydytojas.</w:t>
      </w:r>
    </w:p>
    <w:p w14:paraId="1D4FD87D" w14:textId="77777777" w:rsidR="0080416E" w:rsidRPr="00FF397D" w:rsidRDefault="0080416E" w:rsidP="0080416E">
      <w:pPr>
        <w:autoSpaceDE w:val="0"/>
        <w:autoSpaceDN w:val="0"/>
        <w:adjustRightInd w:val="0"/>
        <w:spacing w:line="240" w:lineRule="auto"/>
        <w:rPr>
          <w:rFonts w:eastAsia="Calibri"/>
          <w:szCs w:val="22"/>
          <w:lang w:val="lt-LT"/>
        </w:rPr>
      </w:pPr>
    </w:p>
    <w:p w14:paraId="1B30F20E"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Jei vartodama Teriflunomide Teva arba per dvejus metus po gydymo nutraukimo įtariate, kad esate nėščia, nutraukite Teriflunomide Teva vartojimą ir </w:t>
      </w:r>
      <w:r w:rsidRPr="00FF397D">
        <w:rPr>
          <w:rFonts w:eastAsia="Calibri"/>
          <w:b/>
          <w:bCs/>
          <w:szCs w:val="22"/>
          <w:lang w:val="lt-LT"/>
        </w:rPr>
        <w:t>nedelsdama</w:t>
      </w:r>
      <w:r w:rsidRPr="00FF397D">
        <w:rPr>
          <w:rFonts w:eastAsia="Calibri"/>
          <w:szCs w:val="22"/>
          <w:lang w:val="lt-LT"/>
        </w:rPr>
        <w:t xml:space="preserve"> kreipkitės į savo gydytoją, kad patvirtintų nėštumą. Jei testas rodo, kad esate nėščia, gydytojas gali pasiūlyti gydymą tam tikrais vaistais, kad greitai ir pakankamai pašalintų </w:t>
      </w:r>
      <w:r w:rsidRPr="00FF397D">
        <w:rPr>
          <w:szCs w:val="22"/>
          <w:lang w:val="lt-LT"/>
        </w:rPr>
        <w:t xml:space="preserve">Teriflunomide Teva </w:t>
      </w:r>
      <w:r w:rsidRPr="00FF397D">
        <w:rPr>
          <w:rFonts w:eastAsia="Calibri"/>
          <w:szCs w:val="22"/>
          <w:lang w:val="lt-LT"/>
        </w:rPr>
        <w:t>iš organizmo, nes tai gali sumažinti riziką Jūsų kūdikiui.</w:t>
      </w:r>
    </w:p>
    <w:p w14:paraId="3FC2B0DE" w14:textId="77777777" w:rsidR="0080416E" w:rsidRPr="00FF397D" w:rsidRDefault="0080416E" w:rsidP="0080416E">
      <w:pPr>
        <w:autoSpaceDE w:val="0"/>
        <w:autoSpaceDN w:val="0"/>
        <w:adjustRightInd w:val="0"/>
        <w:spacing w:line="240" w:lineRule="auto"/>
        <w:rPr>
          <w:rFonts w:eastAsia="Calibri"/>
          <w:szCs w:val="22"/>
          <w:lang w:val="lt-LT"/>
        </w:rPr>
      </w:pPr>
    </w:p>
    <w:p w14:paraId="2B080DD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Norint gauti daugiau informacijos apie laboratorinius tyrimus prašome kreiptis į savo gydytoją.</w:t>
      </w:r>
    </w:p>
    <w:p w14:paraId="6F06C43E" w14:textId="77777777" w:rsidR="0080416E" w:rsidRPr="00FF397D" w:rsidRDefault="0080416E" w:rsidP="0080416E">
      <w:pPr>
        <w:keepNext/>
        <w:autoSpaceDE w:val="0"/>
        <w:autoSpaceDN w:val="0"/>
        <w:adjustRightInd w:val="0"/>
        <w:spacing w:line="240" w:lineRule="auto"/>
        <w:rPr>
          <w:rFonts w:eastAsia="Calibri"/>
          <w:szCs w:val="22"/>
          <w:u w:val="single"/>
          <w:lang w:val="lt-LT"/>
        </w:rPr>
      </w:pPr>
    </w:p>
    <w:p w14:paraId="71A37D00"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Kontracepcija</w:t>
      </w:r>
    </w:p>
    <w:p w14:paraId="27FF5A3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Gydymo </w:t>
      </w:r>
      <w:r w:rsidRPr="00FF397D">
        <w:rPr>
          <w:szCs w:val="22"/>
          <w:lang w:val="lt-LT"/>
        </w:rPr>
        <w:t xml:space="preserve">Teriflunomide Teva </w:t>
      </w:r>
      <w:r w:rsidRPr="00FF397D">
        <w:rPr>
          <w:rFonts w:eastAsia="Calibri"/>
          <w:szCs w:val="22"/>
          <w:lang w:val="lt-LT"/>
        </w:rPr>
        <w:t>metu ir baigus gydymą turite naudoti veiksmingą kontracepcijos metodą. Teriflunomidas kraujyje lieka ilgą laiką po to, kai nutraukiamas jo vartojimas. Baigus gydymą, ir toliau naudokite veiksmingą kontracepcijos metodą.</w:t>
      </w:r>
    </w:p>
    <w:p w14:paraId="0A34DB82" w14:textId="77777777" w:rsidR="0080416E" w:rsidRPr="00FF397D" w:rsidRDefault="0080416E" w:rsidP="0080416E">
      <w:pPr>
        <w:autoSpaceDE w:val="0"/>
        <w:autoSpaceDN w:val="0"/>
        <w:adjustRightInd w:val="0"/>
        <w:spacing w:line="240" w:lineRule="auto"/>
        <w:ind w:left="540" w:hanging="540"/>
        <w:rPr>
          <w:rFonts w:eastAsia="Calibri"/>
          <w:szCs w:val="22"/>
          <w:lang w:val="lt-LT"/>
        </w:rPr>
      </w:pPr>
      <w:r w:rsidRPr="00FF397D">
        <w:rPr>
          <w:rFonts w:eastAsia="Calibri"/>
          <w:szCs w:val="22"/>
          <w:lang w:val="lt-LT"/>
        </w:rPr>
        <w:t xml:space="preserve">- </w:t>
      </w:r>
      <w:r w:rsidRPr="00FF397D">
        <w:rPr>
          <w:rFonts w:eastAsia="Calibri"/>
          <w:szCs w:val="22"/>
          <w:lang w:val="lt-LT"/>
        </w:rPr>
        <w:tab/>
        <w:t>Jį taikykite tol, kol Teriflunomide Teva koncentracijos kraujyje bus pakankamai mažos – tai patikrins Jūsų gydytojas.</w:t>
      </w:r>
    </w:p>
    <w:p w14:paraId="28D5B071" w14:textId="77777777" w:rsidR="0080416E" w:rsidRPr="00FF397D" w:rsidRDefault="0080416E" w:rsidP="0080416E">
      <w:pPr>
        <w:autoSpaceDE w:val="0"/>
        <w:autoSpaceDN w:val="0"/>
        <w:adjustRightInd w:val="0"/>
        <w:spacing w:line="240" w:lineRule="auto"/>
        <w:ind w:left="540" w:hanging="540"/>
        <w:rPr>
          <w:rFonts w:eastAsia="Calibri"/>
          <w:szCs w:val="22"/>
          <w:lang w:val="lt-LT"/>
        </w:rPr>
      </w:pPr>
      <w:r w:rsidRPr="00FF397D">
        <w:rPr>
          <w:rFonts w:eastAsia="Calibri"/>
          <w:szCs w:val="22"/>
          <w:lang w:val="lt-LT"/>
        </w:rPr>
        <w:t xml:space="preserve">- </w:t>
      </w:r>
      <w:r w:rsidRPr="00FF397D">
        <w:rPr>
          <w:rFonts w:eastAsia="Calibri"/>
          <w:szCs w:val="22"/>
          <w:lang w:val="lt-LT"/>
        </w:rPr>
        <w:tab/>
        <w:t>Pasitarkite su savo gydytoju dėl geriausiai Jums tinkančio būdo ir bet kokios galimybės prireikus pakeisti kontracepcijos priemones.</w:t>
      </w:r>
    </w:p>
    <w:p w14:paraId="28DEAAF4" w14:textId="77777777" w:rsidR="0080416E" w:rsidRPr="00FF397D" w:rsidRDefault="0080416E" w:rsidP="0080416E">
      <w:pPr>
        <w:autoSpaceDE w:val="0"/>
        <w:autoSpaceDN w:val="0"/>
        <w:adjustRightInd w:val="0"/>
        <w:spacing w:line="240" w:lineRule="auto"/>
        <w:rPr>
          <w:rFonts w:eastAsia="Calibri"/>
          <w:szCs w:val="22"/>
          <w:lang w:val="lt-LT"/>
        </w:rPr>
      </w:pPr>
    </w:p>
    <w:p w14:paraId="01512C8F"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Nevartokite Teriflunomide Teva žindymo metu, nes teriflunomidas išsiskiria į žindyvės pieną.</w:t>
      </w:r>
    </w:p>
    <w:p w14:paraId="22271C3A" w14:textId="77777777" w:rsidR="0080416E" w:rsidRPr="00FF397D" w:rsidRDefault="0080416E" w:rsidP="0080416E">
      <w:pPr>
        <w:autoSpaceDE w:val="0"/>
        <w:autoSpaceDN w:val="0"/>
        <w:adjustRightInd w:val="0"/>
        <w:spacing w:line="240" w:lineRule="auto"/>
        <w:rPr>
          <w:rFonts w:eastAsia="Calibri"/>
          <w:szCs w:val="22"/>
          <w:lang w:val="lt-LT"/>
        </w:rPr>
      </w:pPr>
    </w:p>
    <w:p w14:paraId="5172B257"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Vairavimas ir mechanizmų valdymas</w:t>
      </w:r>
    </w:p>
    <w:p w14:paraId="38308DB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szCs w:val="22"/>
          <w:lang w:val="lt-LT"/>
        </w:rPr>
        <w:t xml:space="preserve">Teriflunomide Teva </w:t>
      </w:r>
      <w:r w:rsidRPr="00FF397D">
        <w:rPr>
          <w:rFonts w:eastAsia="Calibri"/>
          <w:szCs w:val="22"/>
          <w:lang w:val="lt-LT"/>
        </w:rPr>
        <w:t>gali sukelti svaigulį, kuris gali sutrikdyti gebėjimą sutelkti dėmesį ir reaguoti. Jeigu jaučiate tokį poveikį, nevairuokite ir nevaldykite mechanizmų.</w:t>
      </w:r>
    </w:p>
    <w:p w14:paraId="39B92FAC" w14:textId="77777777" w:rsidR="0080416E" w:rsidRPr="00FF397D" w:rsidRDefault="0080416E" w:rsidP="0080416E">
      <w:pPr>
        <w:autoSpaceDE w:val="0"/>
        <w:autoSpaceDN w:val="0"/>
        <w:adjustRightInd w:val="0"/>
        <w:spacing w:line="240" w:lineRule="auto"/>
        <w:rPr>
          <w:rFonts w:eastAsia="Calibri"/>
          <w:szCs w:val="22"/>
          <w:lang w:val="lt-LT"/>
        </w:rPr>
      </w:pPr>
    </w:p>
    <w:p w14:paraId="1066A7F0"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Teriflunomide Teva sudėtyje yra laktozės ir natrio</w:t>
      </w:r>
    </w:p>
    <w:p w14:paraId="4D455C7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szCs w:val="22"/>
          <w:lang w:val="lt-LT"/>
        </w:rPr>
        <w:t xml:space="preserve">Teriflunomide Teva </w:t>
      </w:r>
      <w:r w:rsidRPr="00FF397D">
        <w:rPr>
          <w:rFonts w:eastAsia="Calibri"/>
          <w:szCs w:val="22"/>
          <w:lang w:val="lt-LT"/>
        </w:rPr>
        <w:t>sudėtyje yra laktozės (tai cukraus tipas). Jeigu gydytojas Jums yra sakęs, kad netoleruojate kokių nors angliavandenių, kreipkitės į jį prieš pradėdami vartoti šį vaistą.</w:t>
      </w:r>
    </w:p>
    <w:p w14:paraId="78F9C0A8" w14:textId="77777777" w:rsidR="0080416E" w:rsidRPr="00FF397D" w:rsidRDefault="0080416E" w:rsidP="0080416E">
      <w:pPr>
        <w:tabs>
          <w:tab w:val="left" w:pos="1560"/>
        </w:tabs>
        <w:spacing w:line="240" w:lineRule="auto"/>
        <w:jc w:val="both"/>
        <w:rPr>
          <w:rFonts w:eastAsia="Calibri"/>
          <w:szCs w:val="22"/>
          <w:lang w:val="lt-LT"/>
        </w:rPr>
      </w:pPr>
    </w:p>
    <w:p w14:paraId="2060F567" w14:textId="77777777" w:rsidR="0080416E" w:rsidRPr="00FF397D" w:rsidRDefault="0080416E" w:rsidP="0080416E">
      <w:pPr>
        <w:tabs>
          <w:tab w:val="left" w:pos="1560"/>
        </w:tabs>
        <w:spacing w:line="240" w:lineRule="auto"/>
        <w:jc w:val="both"/>
        <w:rPr>
          <w:rFonts w:eastAsia="Calibri"/>
          <w:szCs w:val="22"/>
          <w:lang w:val="lt-LT"/>
        </w:rPr>
      </w:pPr>
      <w:r w:rsidRPr="00FF397D">
        <w:rPr>
          <w:rFonts w:eastAsia="Calibri"/>
          <w:szCs w:val="22"/>
          <w:lang w:val="lt-LT"/>
        </w:rPr>
        <w:t>Šio vaisto kiekvienoje tabletėje yra mažiau kaip 1 mmol (23 mg) natrio, t. y. jis beveik neturi reikšmės.</w:t>
      </w:r>
    </w:p>
    <w:p w14:paraId="42B33A5F" w14:textId="77777777" w:rsidR="0080416E" w:rsidRPr="00FF397D" w:rsidRDefault="0080416E" w:rsidP="00B45D31">
      <w:pPr>
        <w:pStyle w:val="BTEMEASMCA"/>
      </w:pPr>
    </w:p>
    <w:p w14:paraId="70D33310" w14:textId="77777777" w:rsidR="0080416E" w:rsidRPr="00FF397D" w:rsidRDefault="0080416E" w:rsidP="00B45D31">
      <w:pPr>
        <w:pStyle w:val="BTEMEASMCA"/>
      </w:pPr>
    </w:p>
    <w:p w14:paraId="715AE3DF" w14:textId="649CC96F" w:rsidR="0080416E" w:rsidRPr="00FF397D" w:rsidRDefault="0080416E" w:rsidP="0080416E">
      <w:pPr>
        <w:pStyle w:val="PI-1EMEASMCA"/>
        <w:rPr>
          <w:lang w:val="lt-LT"/>
        </w:rPr>
      </w:pPr>
      <w:bookmarkStart w:id="61" w:name="_Toc129243266"/>
      <w:bookmarkStart w:id="62" w:name="_Toc129243141"/>
      <w:r w:rsidRPr="00FF397D">
        <w:rPr>
          <w:lang w:val="lt-LT"/>
        </w:rPr>
        <w:t>3.</w:t>
      </w:r>
      <w:r w:rsidRPr="00FF397D">
        <w:rPr>
          <w:lang w:val="lt-LT"/>
        </w:rPr>
        <w:tab/>
      </w:r>
      <w:bookmarkEnd w:id="61"/>
      <w:bookmarkEnd w:id="62"/>
      <w:r w:rsidRPr="00FF397D">
        <w:rPr>
          <w:lang w:val="lt-LT"/>
        </w:rPr>
        <w:t>Kaip vartoti Teriflunomide Teva</w:t>
      </w:r>
    </w:p>
    <w:p w14:paraId="46E4D3FA" w14:textId="77777777" w:rsidR="0080416E" w:rsidRPr="00FF397D" w:rsidRDefault="0080416E" w:rsidP="00B45D31">
      <w:pPr>
        <w:pStyle w:val="BTEMEASMCA"/>
      </w:pPr>
    </w:p>
    <w:p w14:paraId="53A5024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Visada vartokite šį vaistą tiksliai kaip nurodė gydytojas. Jeigu abejojate, kreipkitės į gydytoją.</w:t>
      </w:r>
    </w:p>
    <w:p w14:paraId="7C560DB3" w14:textId="77777777" w:rsidR="0080416E" w:rsidRPr="00FF397D" w:rsidRDefault="0080416E" w:rsidP="0080416E">
      <w:pPr>
        <w:autoSpaceDE w:val="0"/>
        <w:autoSpaceDN w:val="0"/>
        <w:adjustRightInd w:val="0"/>
        <w:spacing w:line="240" w:lineRule="auto"/>
        <w:rPr>
          <w:rFonts w:eastAsia="Calibri"/>
          <w:szCs w:val="22"/>
          <w:lang w:val="lt-LT"/>
        </w:rPr>
      </w:pPr>
    </w:p>
    <w:p w14:paraId="0C58820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Gydymą Teriflunomide Teva prižiūrės gydytojas, turintis išsėtinės sklerozės gydymo patirties.</w:t>
      </w:r>
    </w:p>
    <w:p w14:paraId="3A8196C5" w14:textId="77777777" w:rsidR="0080416E" w:rsidRPr="00FF397D" w:rsidRDefault="0080416E" w:rsidP="0080416E">
      <w:pPr>
        <w:autoSpaceDE w:val="0"/>
        <w:autoSpaceDN w:val="0"/>
        <w:adjustRightInd w:val="0"/>
        <w:spacing w:line="240" w:lineRule="auto"/>
        <w:rPr>
          <w:rFonts w:eastAsia="Calibri"/>
          <w:szCs w:val="22"/>
          <w:lang w:val="lt-LT"/>
        </w:rPr>
      </w:pPr>
    </w:p>
    <w:p w14:paraId="1881D4F1"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Suaugusiesiems</w:t>
      </w:r>
    </w:p>
    <w:p w14:paraId="47D2DF11"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Rekomenduojama dozė yra viena 14 mg tabletė per parą.</w:t>
      </w:r>
    </w:p>
    <w:p w14:paraId="7FC46DE2" w14:textId="77777777" w:rsidR="0080416E" w:rsidRPr="00FF397D" w:rsidRDefault="0080416E" w:rsidP="0080416E">
      <w:pPr>
        <w:autoSpaceDE w:val="0"/>
        <w:autoSpaceDN w:val="0"/>
        <w:adjustRightInd w:val="0"/>
        <w:spacing w:line="240" w:lineRule="auto"/>
        <w:rPr>
          <w:rFonts w:eastAsia="Calibri"/>
          <w:szCs w:val="22"/>
          <w:lang w:val="lt-LT"/>
        </w:rPr>
      </w:pPr>
    </w:p>
    <w:p w14:paraId="2DB867B8"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Vaikams ir paaugliams (10 metų ir vyresniems)</w:t>
      </w:r>
    </w:p>
    <w:p w14:paraId="166FD7F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Dozė priklauso nuo kūno svorio:</w:t>
      </w:r>
    </w:p>
    <w:p w14:paraId="5BBDA5BA" w14:textId="77777777" w:rsidR="0080416E" w:rsidRPr="00FF397D" w:rsidRDefault="0080416E" w:rsidP="0080416E">
      <w:pPr>
        <w:pStyle w:val="Sraopastraipa"/>
        <w:numPr>
          <w:ilvl w:val="0"/>
          <w:numId w:val="16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vaikams, kurių kūno svoris yra didesnis nei 40 kg: viena 14 mg tabletė per parą;</w:t>
      </w:r>
    </w:p>
    <w:p w14:paraId="158BBFD7" w14:textId="77777777" w:rsidR="0080416E" w:rsidRPr="00FF397D" w:rsidRDefault="0080416E" w:rsidP="0080416E">
      <w:pPr>
        <w:pStyle w:val="Sraopastraipa"/>
        <w:numPr>
          <w:ilvl w:val="0"/>
          <w:numId w:val="165"/>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vaikams, kurių kūno svoris yra 40 kg arba mažesnis: 7 mg teriflunomido per parą. (Teriflunomide Teva tiekiamas tik 14 mg plėvele dengtų tablečių pavidalu, todėl šios grupės pacientams vaikams gydytojas nurodys vartoti kitokius terifluonamido sudėtyje turinčius vaistus).</w:t>
      </w:r>
    </w:p>
    <w:p w14:paraId="2D4B6AD5" w14:textId="77777777" w:rsidR="0080416E" w:rsidRPr="00FF397D" w:rsidRDefault="0080416E" w:rsidP="0080416E">
      <w:pPr>
        <w:autoSpaceDE w:val="0"/>
        <w:autoSpaceDN w:val="0"/>
        <w:adjustRightInd w:val="0"/>
        <w:spacing w:line="240" w:lineRule="auto"/>
        <w:rPr>
          <w:rFonts w:eastAsia="Calibri"/>
          <w:szCs w:val="22"/>
          <w:lang w:val="lt-LT"/>
        </w:rPr>
      </w:pPr>
    </w:p>
    <w:p w14:paraId="414E2B0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Vaikams ir paaugliams, kurių stabilus kūno svoris tampa didesnis nei 40 kg, gydytojas nurodys vartojamą dozę reikia pakeisti į 14 mg vieną kartą per parą.</w:t>
      </w:r>
    </w:p>
    <w:p w14:paraId="6ED631A4" w14:textId="77777777" w:rsidR="0080416E" w:rsidRPr="00FF397D" w:rsidRDefault="0080416E" w:rsidP="0080416E">
      <w:pPr>
        <w:autoSpaceDE w:val="0"/>
        <w:autoSpaceDN w:val="0"/>
        <w:adjustRightInd w:val="0"/>
        <w:spacing w:line="240" w:lineRule="auto"/>
        <w:rPr>
          <w:rFonts w:eastAsia="Calibri"/>
          <w:szCs w:val="22"/>
          <w:lang w:val="lt-LT"/>
        </w:rPr>
      </w:pPr>
    </w:p>
    <w:p w14:paraId="2A3B48F4" w14:textId="77777777" w:rsidR="0080416E" w:rsidRPr="00FF397D" w:rsidRDefault="0080416E" w:rsidP="0080416E">
      <w:pPr>
        <w:keepNext/>
        <w:autoSpaceDE w:val="0"/>
        <w:autoSpaceDN w:val="0"/>
        <w:adjustRightInd w:val="0"/>
        <w:spacing w:line="240" w:lineRule="auto"/>
        <w:rPr>
          <w:rFonts w:eastAsia="Calibri"/>
          <w:szCs w:val="22"/>
          <w:u w:val="single"/>
          <w:lang w:val="lt-LT"/>
        </w:rPr>
      </w:pPr>
      <w:r w:rsidRPr="00FF397D">
        <w:rPr>
          <w:rFonts w:eastAsia="Calibri"/>
          <w:szCs w:val="22"/>
          <w:u w:val="single"/>
          <w:lang w:val="lt-LT"/>
        </w:rPr>
        <w:t>Vartojimo būdas</w:t>
      </w:r>
      <w:r w:rsidR="00D65785" w:rsidRPr="00FF397D">
        <w:rPr>
          <w:rFonts w:eastAsia="Calibri"/>
          <w:szCs w:val="22"/>
          <w:u w:val="single"/>
          <w:lang w:val="lt-LT"/>
        </w:rPr>
        <w:t xml:space="preserve"> </w:t>
      </w:r>
      <w:r w:rsidRPr="00FF397D">
        <w:rPr>
          <w:rFonts w:eastAsia="Calibri"/>
          <w:szCs w:val="22"/>
          <w:u w:val="single"/>
          <w:lang w:val="lt-LT"/>
        </w:rPr>
        <w:t>/ metodas</w:t>
      </w:r>
    </w:p>
    <w:p w14:paraId="3F6A9387" w14:textId="0EA4733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skirtas vartoti per burną. Vartojama po vieną Teriflunomide Teva</w:t>
      </w:r>
      <w:r w:rsidR="002362F9" w:rsidRPr="00FF397D">
        <w:rPr>
          <w:rFonts w:eastAsia="Calibri"/>
          <w:szCs w:val="22"/>
          <w:lang w:val="lt-LT"/>
        </w:rPr>
        <w:t xml:space="preserve"> </w:t>
      </w:r>
      <w:r w:rsidRPr="00FF397D">
        <w:rPr>
          <w:rFonts w:eastAsia="Calibri"/>
          <w:szCs w:val="22"/>
          <w:lang w:val="lt-LT"/>
        </w:rPr>
        <w:t>dozę kiekvieną dieną bet kuriuo paros laiku.</w:t>
      </w:r>
    </w:p>
    <w:p w14:paraId="76AA888B"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Reikia nuryti visą tabletę užgeriant vandeniu.</w:t>
      </w:r>
    </w:p>
    <w:p w14:paraId="074528EC"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Teriflunomide Teva galite vartoti su maistu ar be jo.</w:t>
      </w:r>
    </w:p>
    <w:p w14:paraId="033F92EC" w14:textId="77777777" w:rsidR="0080416E" w:rsidRPr="00FF397D" w:rsidRDefault="0080416E" w:rsidP="0080416E">
      <w:pPr>
        <w:autoSpaceDE w:val="0"/>
        <w:autoSpaceDN w:val="0"/>
        <w:adjustRightInd w:val="0"/>
        <w:spacing w:line="240" w:lineRule="auto"/>
        <w:rPr>
          <w:rFonts w:eastAsia="Calibri"/>
          <w:szCs w:val="22"/>
          <w:lang w:val="lt-LT"/>
        </w:rPr>
      </w:pPr>
    </w:p>
    <w:p w14:paraId="38F40927"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Ką daryti pavartojus per didelę Teriflunomide Teva dozę</w:t>
      </w:r>
    </w:p>
    <w:p w14:paraId="050FF77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Jei išgėrėte per daug Teriflunomide Teva, tuojau pat kreipkitės į gydytoją. Gali pasireikšti šalutinis poveikis, panašus į išvardytą toliau esančiame 4 skyriuje.</w:t>
      </w:r>
    </w:p>
    <w:p w14:paraId="50952FA0" w14:textId="77777777" w:rsidR="0080416E" w:rsidRPr="00FF397D" w:rsidRDefault="0080416E" w:rsidP="0080416E">
      <w:pPr>
        <w:autoSpaceDE w:val="0"/>
        <w:autoSpaceDN w:val="0"/>
        <w:adjustRightInd w:val="0"/>
        <w:spacing w:line="240" w:lineRule="auto"/>
        <w:rPr>
          <w:rFonts w:eastAsia="Calibri"/>
          <w:szCs w:val="22"/>
          <w:lang w:val="lt-LT"/>
        </w:rPr>
      </w:pPr>
    </w:p>
    <w:p w14:paraId="0650EB17"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Pamiršus pavartoti Teriflunomide Teva</w:t>
      </w:r>
    </w:p>
    <w:p w14:paraId="69577C4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Negalima vartoti dvigubos dozės norint kompensuoti praleistą tabletę. Kitą dozę gerkite numatytu laiku.</w:t>
      </w:r>
    </w:p>
    <w:p w14:paraId="5C47FFCB" w14:textId="77777777" w:rsidR="0080416E" w:rsidRPr="00FF397D" w:rsidRDefault="0080416E" w:rsidP="0080416E">
      <w:pPr>
        <w:autoSpaceDE w:val="0"/>
        <w:autoSpaceDN w:val="0"/>
        <w:adjustRightInd w:val="0"/>
        <w:spacing w:line="240" w:lineRule="auto"/>
        <w:rPr>
          <w:rFonts w:eastAsia="Calibri"/>
          <w:szCs w:val="22"/>
          <w:lang w:val="lt-LT"/>
        </w:rPr>
      </w:pPr>
    </w:p>
    <w:p w14:paraId="512CF193"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Nustojus vartoti Teriflunomide Teva</w:t>
      </w:r>
    </w:p>
    <w:p w14:paraId="443C84A5"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Nenustokite vartoti Teriflunomide Teva ir nekeiskite dozės pirmiau nepasitarę su savo gydytoju.</w:t>
      </w:r>
    </w:p>
    <w:p w14:paraId="60B98B86" w14:textId="77777777" w:rsidR="0080416E" w:rsidRPr="00FF397D" w:rsidRDefault="0080416E" w:rsidP="00B45D31">
      <w:pPr>
        <w:pStyle w:val="BTEMEASMCA"/>
      </w:pPr>
    </w:p>
    <w:p w14:paraId="492A8EDD" w14:textId="77777777" w:rsidR="0080416E" w:rsidRPr="00DB639D" w:rsidRDefault="0080416E" w:rsidP="00B45D31">
      <w:pPr>
        <w:pStyle w:val="BTEMEASMCA"/>
      </w:pPr>
      <w:r w:rsidRPr="00DB639D">
        <w:t>Jeigu kiltų daugiau klausimų dėl šio vaisto vartojimo, kreipkitės į gydytoją arba vaistininką.</w:t>
      </w:r>
    </w:p>
    <w:p w14:paraId="00B77F71" w14:textId="77777777" w:rsidR="0080416E" w:rsidRPr="00FF397D" w:rsidRDefault="0080416E" w:rsidP="00B45D31">
      <w:pPr>
        <w:pStyle w:val="BTEMEASMCA"/>
      </w:pPr>
    </w:p>
    <w:p w14:paraId="1AA0CCA6" w14:textId="77777777" w:rsidR="0080416E" w:rsidRPr="00FF397D" w:rsidRDefault="0080416E" w:rsidP="00B45D31">
      <w:pPr>
        <w:pStyle w:val="BTEMEASMCA"/>
      </w:pPr>
    </w:p>
    <w:p w14:paraId="25D7B16F" w14:textId="2CDA419B" w:rsidR="0080416E" w:rsidRPr="00FF397D" w:rsidRDefault="0080416E" w:rsidP="0080416E">
      <w:pPr>
        <w:pStyle w:val="PI-1EMEASMCA"/>
        <w:rPr>
          <w:lang w:val="lt-LT"/>
        </w:rPr>
      </w:pPr>
      <w:bookmarkStart w:id="63" w:name="_Toc129243267"/>
      <w:bookmarkStart w:id="64" w:name="_Toc129243142"/>
      <w:r w:rsidRPr="00FF397D">
        <w:rPr>
          <w:lang w:val="lt-LT"/>
        </w:rPr>
        <w:t>4.</w:t>
      </w:r>
      <w:r w:rsidRPr="00FF397D">
        <w:rPr>
          <w:lang w:val="lt-LT"/>
        </w:rPr>
        <w:tab/>
      </w:r>
      <w:bookmarkEnd w:id="63"/>
      <w:bookmarkEnd w:id="64"/>
      <w:r w:rsidRPr="00FF397D">
        <w:rPr>
          <w:lang w:val="lt-LT"/>
        </w:rPr>
        <w:t>Galimas šalutinis poveikis</w:t>
      </w:r>
    </w:p>
    <w:p w14:paraId="5EBEA5FC" w14:textId="77777777" w:rsidR="0080416E" w:rsidRPr="00FF397D" w:rsidRDefault="0080416E" w:rsidP="0080416E">
      <w:pPr>
        <w:keepNext/>
        <w:tabs>
          <w:tab w:val="left" w:pos="1560"/>
        </w:tabs>
        <w:spacing w:line="240" w:lineRule="auto"/>
        <w:jc w:val="both"/>
        <w:rPr>
          <w:rFonts w:eastAsia="Calibri"/>
          <w:szCs w:val="22"/>
          <w:lang w:val="lt-LT"/>
        </w:rPr>
      </w:pPr>
    </w:p>
    <w:p w14:paraId="52F28EA6"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Šis vaistas, kaip ir visi kiti, gali sukelti šalutinį poveikį, nors jis pasireiškia ne visiems žmonėms.</w:t>
      </w:r>
    </w:p>
    <w:p w14:paraId="3E574D39" w14:textId="77777777" w:rsidR="0080416E" w:rsidRPr="00FF397D" w:rsidRDefault="0080416E" w:rsidP="0080416E">
      <w:pPr>
        <w:autoSpaceDE w:val="0"/>
        <w:autoSpaceDN w:val="0"/>
        <w:adjustRightInd w:val="0"/>
        <w:spacing w:line="240" w:lineRule="auto"/>
        <w:rPr>
          <w:rFonts w:eastAsia="Calibri"/>
          <w:szCs w:val="22"/>
          <w:lang w:val="lt-LT"/>
        </w:rPr>
      </w:pPr>
    </w:p>
    <w:p w14:paraId="363A522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Vartojant šį vaistą, gali pasireikšti žemiau išvardintas šalutinis poveikis.</w:t>
      </w:r>
    </w:p>
    <w:p w14:paraId="766EA930" w14:textId="77777777" w:rsidR="0080416E" w:rsidRPr="00FF397D" w:rsidRDefault="0080416E" w:rsidP="0080416E">
      <w:pPr>
        <w:autoSpaceDE w:val="0"/>
        <w:autoSpaceDN w:val="0"/>
        <w:adjustRightInd w:val="0"/>
        <w:spacing w:line="240" w:lineRule="auto"/>
        <w:rPr>
          <w:rFonts w:eastAsia="Calibri"/>
          <w:szCs w:val="22"/>
          <w:lang w:val="lt-LT"/>
        </w:rPr>
      </w:pPr>
    </w:p>
    <w:p w14:paraId="0E5D7C6B"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Sunkus šalutinis poveikis</w:t>
      </w:r>
    </w:p>
    <w:p w14:paraId="337AD097" w14:textId="77777777" w:rsidR="0080416E" w:rsidRPr="00FF397D" w:rsidRDefault="0080416E" w:rsidP="0080416E">
      <w:pPr>
        <w:keepNext/>
        <w:autoSpaceDE w:val="0"/>
        <w:autoSpaceDN w:val="0"/>
        <w:adjustRightInd w:val="0"/>
        <w:spacing w:line="240" w:lineRule="auto"/>
        <w:rPr>
          <w:rFonts w:eastAsia="Calibri"/>
          <w:b/>
          <w:bCs/>
          <w:szCs w:val="22"/>
          <w:u w:val="single"/>
          <w:lang w:val="lt-LT"/>
        </w:rPr>
      </w:pPr>
    </w:p>
    <w:p w14:paraId="09A101C8"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 xml:space="preserve">Tam tikras šalutinis poveikis gali būti arba tapti sunkus, ir jei Jums pasireiškia bet kuris paminėtas poveikis, apie tai </w:t>
      </w:r>
      <w:r w:rsidRPr="00FF397D">
        <w:rPr>
          <w:rFonts w:eastAsia="Calibri"/>
          <w:b/>
          <w:bCs/>
          <w:szCs w:val="22"/>
          <w:lang w:val="lt-LT"/>
        </w:rPr>
        <w:t>nedelsdami pasakykite gydytojui.</w:t>
      </w:r>
    </w:p>
    <w:p w14:paraId="00CE0FBB" w14:textId="77777777" w:rsidR="0080416E" w:rsidRPr="00FF397D" w:rsidRDefault="0080416E" w:rsidP="0080416E">
      <w:pPr>
        <w:autoSpaceDE w:val="0"/>
        <w:autoSpaceDN w:val="0"/>
        <w:adjustRightInd w:val="0"/>
        <w:spacing w:line="240" w:lineRule="auto"/>
        <w:rPr>
          <w:rFonts w:eastAsia="Calibri"/>
          <w:szCs w:val="22"/>
          <w:lang w:val="lt-LT"/>
        </w:rPr>
      </w:pPr>
    </w:p>
    <w:p w14:paraId="7C3E23A4"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14:paraId="76EA38F2" w14:textId="77777777" w:rsidR="0080416E" w:rsidRPr="00FF397D" w:rsidRDefault="0080416E" w:rsidP="0080416E">
      <w:pPr>
        <w:pStyle w:val="Sraopastraipa"/>
        <w:numPr>
          <w:ilvl w:val="0"/>
          <w:numId w:val="161"/>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kasos uždegimas, kurio simptomai gali būti pilvo skausmas, pykinimas arba vėmimas (dažnis yra „dažnas“ vaikams ir „nedažnas“ suaugusiems pacientams).</w:t>
      </w:r>
    </w:p>
    <w:p w14:paraId="129796BA" w14:textId="77777777" w:rsidR="0080416E" w:rsidRPr="00FF397D" w:rsidRDefault="0080416E" w:rsidP="0080416E">
      <w:pPr>
        <w:autoSpaceDE w:val="0"/>
        <w:autoSpaceDN w:val="0"/>
        <w:adjustRightInd w:val="0"/>
        <w:spacing w:line="240" w:lineRule="auto"/>
        <w:rPr>
          <w:rFonts w:eastAsia="Calibri"/>
          <w:szCs w:val="22"/>
          <w:lang w:val="lt-LT"/>
        </w:rPr>
      </w:pPr>
    </w:p>
    <w:p w14:paraId="5C7E05F5"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Nedažni šalutinio poveikio reiškiniai (gali pasireikšti rečiau kaip 1 iš 100 asmenų):</w:t>
      </w:r>
    </w:p>
    <w:p w14:paraId="69B75E2B" w14:textId="77777777" w:rsidR="0080416E" w:rsidRPr="00FF397D" w:rsidRDefault="0080416E" w:rsidP="0080416E">
      <w:pPr>
        <w:pStyle w:val="Sraopastraipa"/>
        <w:numPr>
          <w:ilvl w:val="0"/>
          <w:numId w:val="16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alerginės reakcijos, kurių simptomai gali būti išbėrimas, dilgėlinė, lūpų, liežuvio ar veido tinimas arba staigus sunkumas kvėpuoti;</w:t>
      </w:r>
    </w:p>
    <w:p w14:paraId="3AA4937A" w14:textId="77777777" w:rsidR="0080416E" w:rsidRPr="00FF397D" w:rsidRDefault="0080416E" w:rsidP="0080416E">
      <w:pPr>
        <w:pStyle w:val="Sraopastraipa"/>
        <w:numPr>
          <w:ilvl w:val="0"/>
          <w:numId w:val="16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sunkios odos reakcijos, kurių simptomai gali būti odos išbėrimas, pūslės, karščiavimas ar opos burnoje;</w:t>
      </w:r>
    </w:p>
    <w:p w14:paraId="56BA92D3" w14:textId="77777777" w:rsidR="0080416E" w:rsidRPr="00FF397D" w:rsidRDefault="0080416E" w:rsidP="0080416E">
      <w:pPr>
        <w:pStyle w:val="Sraopastraipa"/>
        <w:numPr>
          <w:ilvl w:val="0"/>
          <w:numId w:val="16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sunkios infekcijos ar sepsis (potencialiai pavojingos gyvybei infekcijos tipas), kurių simptomai gali būti aukšta temperatūra, drebėjimas, šaltkrėtis, sumažėjusi šlapimo srovė ar sumišimas;</w:t>
      </w:r>
    </w:p>
    <w:p w14:paraId="4E9F8AE2" w14:textId="77777777" w:rsidR="0080416E" w:rsidRPr="00FF397D" w:rsidRDefault="0080416E" w:rsidP="0080416E">
      <w:pPr>
        <w:pStyle w:val="Sraopastraipa"/>
        <w:numPr>
          <w:ilvl w:val="0"/>
          <w:numId w:val="166"/>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plaučių uždegimas, kurio simptomai gali būti dusulys ar nuolatinis kosulys.</w:t>
      </w:r>
    </w:p>
    <w:p w14:paraId="599FDEF6" w14:textId="77777777" w:rsidR="0080416E" w:rsidRPr="00FF397D" w:rsidRDefault="0080416E" w:rsidP="0080416E">
      <w:pPr>
        <w:autoSpaceDE w:val="0"/>
        <w:autoSpaceDN w:val="0"/>
        <w:adjustRightInd w:val="0"/>
        <w:spacing w:line="240" w:lineRule="auto"/>
        <w:rPr>
          <w:rFonts w:eastAsia="Calibri"/>
          <w:szCs w:val="22"/>
          <w:lang w:val="lt-LT"/>
        </w:rPr>
      </w:pPr>
    </w:p>
    <w:p w14:paraId="65395B8E" w14:textId="77777777" w:rsidR="0080416E" w:rsidRPr="00FF397D" w:rsidRDefault="0080416E" w:rsidP="0080416E">
      <w:pPr>
        <w:keepNext/>
        <w:autoSpaceDE w:val="0"/>
        <w:autoSpaceDN w:val="0"/>
        <w:adjustRightInd w:val="0"/>
        <w:spacing w:line="240" w:lineRule="auto"/>
        <w:rPr>
          <w:b/>
          <w:bCs/>
          <w:szCs w:val="22"/>
          <w:lang w:val="lt-LT"/>
        </w:rPr>
      </w:pPr>
      <w:r w:rsidRPr="00FF397D">
        <w:rPr>
          <w:b/>
          <w:bCs/>
          <w:szCs w:val="22"/>
          <w:lang w:val="lt-LT"/>
        </w:rPr>
        <w:t>Šalutinio poveikio reiškiniai, kurių dažnis nežinomas (negali būti apskaičiuotas pagal turimus duomenis):</w:t>
      </w:r>
    </w:p>
    <w:p w14:paraId="647A4EC5" w14:textId="77777777" w:rsidR="0080416E" w:rsidRPr="00FF397D" w:rsidRDefault="0080416E" w:rsidP="0080416E">
      <w:pPr>
        <w:pStyle w:val="Sraopastraipa"/>
        <w:numPr>
          <w:ilvl w:val="0"/>
          <w:numId w:val="167"/>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sunki kepenų liga, kurios simptomai gali būti pageltusi oda ar akių baltymai, tamsesnis nei įprasta šlapimas, nepaaiškinamas pykinimas ir vėmimas arba pilvo skausmas.</w:t>
      </w:r>
    </w:p>
    <w:p w14:paraId="432CC2E5" w14:textId="77777777" w:rsidR="0080416E" w:rsidRPr="00FF397D" w:rsidRDefault="0080416E" w:rsidP="0080416E">
      <w:pPr>
        <w:autoSpaceDE w:val="0"/>
        <w:autoSpaceDN w:val="0"/>
        <w:adjustRightInd w:val="0"/>
        <w:spacing w:line="240" w:lineRule="auto"/>
        <w:rPr>
          <w:rFonts w:eastAsia="Calibri"/>
          <w:szCs w:val="22"/>
          <w:lang w:val="lt-LT"/>
        </w:rPr>
      </w:pPr>
    </w:p>
    <w:p w14:paraId="273D912D"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b/>
          <w:bCs/>
          <w:szCs w:val="22"/>
          <w:lang w:val="lt-LT"/>
        </w:rPr>
        <w:t xml:space="preserve">Kitas šalutinis poveikis </w:t>
      </w:r>
      <w:r w:rsidRPr="00FF397D">
        <w:rPr>
          <w:rFonts w:eastAsia="Calibri"/>
          <w:szCs w:val="22"/>
          <w:lang w:val="lt-LT"/>
        </w:rPr>
        <w:t>gali pasireikšti toliau išvardytu dažniu.</w:t>
      </w:r>
    </w:p>
    <w:p w14:paraId="7FF737D9" w14:textId="77777777" w:rsidR="0080416E" w:rsidRPr="00FF397D" w:rsidRDefault="0080416E" w:rsidP="0080416E">
      <w:pPr>
        <w:autoSpaceDE w:val="0"/>
        <w:autoSpaceDN w:val="0"/>
        <w:adjustRightInd w:val="0"/>
        <w:spacing w:line="240" w:lineRule="auto"/>
        <w:rPr>
          <w:rFonts w:eastAsia="Calibri"/>
          <w:szCs w:val="22"/>
          <w:lang w:val="lt-LT"/>
        </w:rPr>
      </w:pPr>
    </w:p>
    <w:p w14:paraId="4A266B21" w14:textId="77777777" w:rsidR="0080416E" w:rsidRPr="00FF397D" w:rsidRDefault="0080416E" w:rsidP="0080416E">
      <w:pPr>
        <w:keepNext/>
        <w:autoSpaceDE w:val="0"/>
        <w:autoSpaceDN w:val="0"/>
        <w:adjustRightInd w:val="0"/>
        <w:spacing w:line="240" w:lineRule="auto"/>
        <w:rPr>
          <w:rFonts w:eastAsia="Calibri"/>
          <w:szCs w:val="22"/>
          <w:lang w:val="lt-LT"/>
        </w:rPr>
      </w:pPr>
      <w:r w:rsidRPr="00FF397D">
        <w:rPr>
          <w:rFonts w:eastAsia="Calibri"/>
          <w:b/>
          <w:bCs/>
          <w:szCs w:val="22"/>
          <w:lang w:val="lt-LT"/>
        </w:rPr>
        <w:t>Labai dažni šalutinio poveikio reiškiniai (gali pasireikšti ne rečiau kaip 1 iš 10 asmenų):</w:t>
      </w:r>
    </w:p>
    <w:p w14:paraId="3EE8AF06" w14:textId="77777777" w:rsidR="0080416E" w:rsidRPr="00FF397D" w:rsidRDefault="0080416E" w:rsidP="0080416E">
      <w:pPr>
        <w:pStyle w:val="Sraopastraipa"/>
        <w:numPr>
          <w:ilvl w:val="0"/>
          <w:numId w:val="16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galvos skausmas;</w:t>
      </w:r>
    </w:p>
    <w:p w14:paraId="7F8F5171" w14:textId="77777777" w:rsidR="0080416E" w:rsidRPr="00FF397D" w:rsidRDefault="0080416E" w:rsidP="0080416E">
      <w:pPr>
        <w:pStyle w:val="Sraopastraipa"/>
        <w:numPr>
          <w:ilvl w:val="0"/>
          <w:numId w:val="16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viduriavimas, šleikštulys;</w:t>
      </w:r>
    </w:p>
    <w:p w14:paraId="38345B34" w14:textId="77777777" w:rsidR="0080416E" w:rsidRPr="00FF397D" w:rsidRDefault="00D65785" w:rsidP="0080416E">
      <w:pPr>
        <w:pStyle w:val="Sraopastraipa"/>
        <w:numPr>
          <w:ilvl w:val="0"/>
          <w:numId w:val="16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alaninaminotransferazės (</w:t>
      </w:r>
      <w:r w:rsidR="0080416E" w:rsidRPr="00FF397D">
        <w:rPr>
          <w:rFonts w:eastAsia="Calibri"/>
          <w:szCs w:val="22"/>
        </w:rPr>
        <w:t>ALT</w:t>
      </w:r>
      <w:r w:rsidRPr="00FF397D">
        <w:rPr>
          <w:rFonts w:eastAsia="Calibri"/>
          <w:szCs w:val="22"/>
        </w:rPr>
        <w:t>)</w:t>
      </w:r>
      <w:r w:rsidR="0080416E" w:rsidRPr="00FF397D">
        <w:rPr>
          <w:rFonts w:eastAsia="Calibri"/>
          <w:szCs w:val="22"/>
        </w:rPr>
        <w:t xml:space="preserve"> aktyvumo padidėjimas (tam tikrų kepenų fermentų aktyvumo kraujyje padidėjimas), patvirtintas tyrimais;</w:t>
      </w:r>
    </w:p>
    <w:p w14:paraId="4B9BBD2C" w14:textId="77777777" w:rsidR="0080416E" w:rsidRPr="00FF397D" w:rsidRDefault="0080416E" w:rsidP="0080416E">
      <w:pPr>
        <w:pStyle w:val="Sraopastraipa"/>
        <w:numPr>
          <w:ilvl w:val="0"/>
          <w:numId w:val="168"/>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plaukų išretėjimas.</w:t>
      </w:r>
    </w:p>
    <w:p w14:paraId="30B50E50" w14:textId="77777777" w:rsidR="0080416E" w:rsidRPr="00FF397D" w:rsidRDefault="0080416E" w:rsidP="0080416E">
      <w:pPr>
        <w:autoSpaceDE w:val="0"/>
        <w:autoSpaceDN w:val="0"/>
        <w:adjustRightInd w:val="0"/>
        <w:spacing w:line="240" w:lineRule="auto"/>
        <w:rPr>
          <w:rFonts w:eastAsia="Calibri"/>
          <w:szCs w:val="22"/>
          <w:lang w:val="lt-LT"/>
        </w:rPr>
      </w:pPr>
    </w:p>
    <w:p w14:paraId="2CF2D7EC"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14:paraId="7B524FCC" w14:textId="577DB999" w:rsidR="0080416E"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gripas, viršutinių kvėpavimo takų infekcinė liga, šlapimo takų infekcinė liga, bronchitas, sinusitas, gerklės skausmas ir sunkumas ryjant, cistitas (šlapimo pūslės uždegimas), virusinis gastroenteritas, dantų infekcija, laringitas, grybelinė pėdų infekcinė liga;</w:t>
      </w:r>
    </w:p>
    <w:p w14:paraId="523480F1" w14:textId="5B4948D5" w:rsidR="00415914" w:rsidRPr="00415914" w:rsidRDefault="009045D7" w:rsidP="009045D7">
      <w:pPr>
        <w:pStyle w:val="Sraopastraipa"/>
        <w:numPr>
          <w:ilvl w:val="0"/>
          <w:numId w:val="162"/>
        </w:numPr>
        <w:ind w:left="567" w:hanging="567"/>
        <w:rPr>
          <w:rFonts w:eastAsia="Calibri"/>
          <w:szCs w:val="22"/>
        </w:rPr>
      </w:pPr>
      <w:r>
        <w:rPr>
          <w:rFonts w:eastAsia="Calibri"/>
          <w:szCs w:val="22"/>
        </w:rPr>
        <w:t>p</w:t>
      </w:r>
      <w:r w:rsidRPr="009045D7">
        <w:rPr>
          <w:rFonts w:eastAsia="Calibri"/>
          <w:szCs w:val="22"/>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rFonts w:eastAsia="Calibri"/>
          <w:szCs w:val="22"/>
        </w:rPr>
        <w:t>;</w:t>
      </w:r>
    </w:p>
    <w:p w14:paraId="1FCC47DD"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7AED9B69"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lastRenderedPageBreak/>
        <w:t>lengvos alerginės reakcijos;</w:t>
      </w:r>
    </w:p>
    <w:p w14:paraId="086FF8D8"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nerimo jutimas;</w:t>
      </w:r>
    </w:p>
    <w:p w14:paraId="4AAA26F2"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dilgčiojimas ir dygsėjimas, silpnumo pojūtis, tirpimas, dilgčiojimas arba skausmas apatinėje nugaros dalyje ar kojoje (išialgija), rankų ir pirštų tirpimas, deginimo pojūtis, dilgčiojimas arba skausmas (riešo kanalo sindromas);</w:t>
      </w:r>
    </w:p>
    <w:p w14:paraId="7CA4FFC1"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širdies plakimo pojūtis;</w:t>
      </w:r>
    </w:p>
    <w:p w14:paraId="60F49A41"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padidėjęs kraujospūdis;</w:t>
      </w:r>
    </w:p>
    <w:p w14:paraId="22CE954B"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šleikštulys (vėmimas), dantų skausmas, viršutinės pilvo dalies skausmas;</w:t>
      </w:r>
    </w:p>
    <w:p w14:paraId="6A422460"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išbėrimas, spuogai;</w:t>
      </w:r>
    </w:p>
    <w:p w14:paraId="067A77AE"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sausgyslių, sąnarių, kaulų skausmas, raumenų skausmas (griaučių raumenų skausmas);</w:t>
      </w:r>
    </w:p>
    <w:p w14:paraId="234E0AE8"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dažnesnis nei įprastai noras šlapintis;</w:t>
      </w:r>
    </w:p>
    <w:p w14:paraId="04051EB5"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gausios mėnesinės;</w:t>
      </w:r>
    </w:p>
    <w:p w14:paraId="5377B09D"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skausmas;</w:t>
      </w:r>
    </w:p>
    <w:p w14:paraId="31BF4CFB"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energijos stygius ar silpnumas (astenija);</w:t>
      </w:r>
    </w:p>
    <w:p w14:paraId="12F8F9C6" w14:textId="77777777" w:rsidR="0080416E" w:rsidRPr="00FF397D" w:rsidRDefault="0080416E" w:rsidP="0080416E">
      <w:pPr>
        <w:pStyle w:val="Sraopastraipa"/>
        <w:numPr>
          <w:ilvl w:val="0"/>
          <w:numId w:val="162"/>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kūno masės mažėjimas.</w:t>
      </w:r>
    </w:p>
    <w:p w14:paraId="7492EA6E" w14:textId="77777777" w:rsidR="0080416E" w:rsidRPr="00FF397D" w:rsidRDefault="0080416E" w:rsidP="0080416E">
      <w:pPr>
        <w:autoSpaceDE w:val="0"/>
        <w:autoSpaceDN w:val="0"/>
        <w:adjustRightInd w:val="0"/>
        <w:spacing w:line="240" w:lineRule="auto"/>
        <w:rPr>
          <w:rFonts w:eastAsia="Calibri"/>
          <w:szCs w:val="22"/>
          <w:lang w:val="lt-LT"/>
        </w:rPr>
      </w:pPr>
    </w:p>
    <w:p w14:paraId="4338856E"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Nedažni šalutinio poveikio reiškiniai (gali pasireikšti rečiau kaip 1 iš 100 asmenų):</w:t>
      </w:r>
    </w:p>
    <w:p w14:paraId="6A63B662"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kraujo plokštelių kiekio sumažėjimas (nesunki trombocitopenija);</w:t>
      </w:r>
    </w:p>
    <w:p w14:paraId="0E58BD40"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sustiprėję pojūčiai ar jautrumas, ypač odos, duriantis ar tvinkčiojantis vieno ar daugiau nervų skausmas, rankų ar kojų nervų problemos (periferinė neuropatija);</w:t>
      </w:r>
    </w:p>
    <w:p w14:paraId="7D60E616"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nagų sutrikimai, sunkios odos reakcijos;</w:t>
      </w:r>
    </w:p>
    <w:p w14:paraId="0967CFC8"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potrauminis skausmas;</w:t>
      </w:r>
    </w:p>
    <w:p w14:paraId="6E9AF3CF"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psoriazė (odos liga);</w:t>
      </w:r>
    </w:p>
    <w:p w14:paraId="49884954"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burnos ar lūpų uždegimas;</w:t>
      </w:r>
    </w:p>
    <w:p w14:paraId="0C72028C"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nenormalus riebalų (lipidų) kiekis kraujyje.</w:t>
      </w:r>
    </w:p>
    <w:p w14:paraId="0CD85EF9" w14:textId="77777777" w:rsidR="0080416E" w:rsidRPr="00FF397D" w:rsidRDefault="0080416E" w:rsidP="0080416E">
      <w:pPr>
        <w:pStyle w:val="Sraopastraipa"/>
        <w:numPr>
          <w:ilvl w:val="0"/>
          <w:numId w:val="163"/>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gaubtinės žarnos uždegimas (kolitas).</w:t>
      </w:r>
    </w:p>
    <w:p w14:paraId="63C02D14" w14:textId="77777777" w:rsidR="0080416E" w:rsidRPr="00FF397D" w:rsidRDefault="0080416E" w:rsidP="0080416E">
      <w:pPr>
        <w:autoSpaceDE w:val="0"/>
        <w:autoSpaceDN w:val="0"/>
        <w:adjustRightInd w:val="0"/>
        <w:spacing w:line="240" w:lineRule="auto"/>
        <w:rPr>
          <w:rFonts w:eastAsia="Calibri"/>
          <w:szCs w:val="22"/>
          <w:lang w:val="lt-LT"/>
        </w:rPr>
      </w:pPr>
    </w:p>
    <w:p w14:paraId="5E8E4210"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Reti šalutinio poveikio reiškiniai (gali pasireikšti rečiau kaip 1 iš 1 000 asmenų):</w:t>
      </w:r>
    </w:p>
    <w:p w14:paraId="12894BF0" w14:textId="77777777" w:rsidR="0080416E" w:rsidRPr="00FF397D" w:rsidRDefault="0080416E" w:rsidP="0080416E">
      <w:pPr>
        <w:pStyle w:val="Sraopastraipa"/>
        <w:numPr>
          <w:ilvl w:val="0"/>
          <w:numId w:val="16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kepenų uždegimas ar pažeidimas.</w:t>
      </w:r>
    </w:p>
    <w:p w14:paraId="3832EDC9" w14:textId="77777777" w:rsidR="0080416E" w:rsidRPr="00FF397D" w:rsidRDefault="0080416E" w:rsidP="0080416E">
      <w:pPr>
        <w:autoSpaceDE w:val="0"/>
        <w:autoSpaceDN w:val="0"/>
        <w:adjustRightInd w:val="0"/>
        <w:spacing w:line="240" w:lineRule="auto"/>
        <w:rPr>
          <w:rFonts w:eastAsia="Calibri"/>
          <w:szCs w:val="22"/>
          <w:lang w:val="lt-LT"/>
        </w:rPr>
      </w:pPr>
    </w:p>
    <w:p w14:paraId="14D90952"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 xml:space="preserve">Šalutinio poveikio reiškiniai, kurių dažnis nežinomas (negali būti apskaičiuotas pagal turimus duomenis): </w:t>
      </w:r>
    </w:p>
    <w:p w14:paraId="65474556" w14:textId="77777777" w:rsidR="0080416E" w:rsidRPr="00FF397D" w:rsidRDefault="0080416E" w:rsidP="0080416E">
      <w:pPr>
        <w:pStyle w:val="Sraopastraipa"/>
        <w:numPr>
          <w:ilvl w:val="0"/>
          <w:numId w:val="160"/>
        </w:numPr>
        <w:tabs>
          <w:tab w:val="clear" w:pos="567"/>
        </w:tabs>
        <w:autoSpaceDE w:val="0"/>
        <w:autoSpaceDN w:val="0"/>
        <w:adjustRightInd w:val="0"/>
        <w:spacing w:line="240" w:lineRule="auto"/>
        <w:ind w:left="567" w:hanging="567"/>
        <w:rPr>
          <w:rFonts w:eastAsia="Calibri"/>
          <w:szCs w:val="22"/>
        </w:rPr>
      </w:pPr>
      <w:r w:rsidRPr="00FF397D">
        <w:rPr>
          <w:rFonts w:eastAsia="Calibri"/>
          <w:szCs w:val="22"/>
        </w:rPr>
        <w:t>plautinė hipertenzija.</w:t>
      </w:r>
    </w:p>
    <w:p w14:paraId="7A3BD712" w14:textId="77777777" w:rsidR="0080416E" w:rsidRPr="00FF397D" w:rsidRDefault="0080416E" w:rsidP="0080416E">
      <w:pPr>
        <w:autoSpaceDE w:val="0"/>
        <w:autoSpaceDN w:val="0"/>
        <w:adjustRightInd w:val="0"/>
        <w:spacing w:line="240" w:lineRule="auto"/>
        <w:rPr>
          <w:rFonts w:eastAsia="Calibri"/>
          <w:szCs w:val="22"/>
          <w:lang w:val="lt-LT"/>
        </w:rPr>
      </w:pPr>
    </w:p>
    <w:p w14:paraId="64B6BDC8"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Šalutinis poveikis vaikams (10 metų ir vyresniems) ir paaugliams</w:t>
      </w:r>
    </w:p>
    <w:p w14:paraId="519B7F6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Pirmiau paminėtas šalutinis poveikis pasireiškia ir vaikams bei paaugliams. Toliau pateikiama informacija yra svarbi vaikams, paaugliams ir jų globėjams.</w:t>
      </w:r>
    </w:p>
    <w:p w14:paraId="55730215" w14:textId="77777777" w:rsidR="0080416E" w:rsidRPr="00FF397D" w:rsidRDefault="0080416E" w:rsidP="0080416E">
      <w:pPr>
        <w:autoSpaceDE w:val="0"/>
        <w:autoSpaceDN w:val="0"/>
        <w:adjustRightInd w:val="0"/>
        <w:spacing w:line="240" w:lineRule="auto"/>
        <w:rPr>
          <w:rFonts w:eastAsia="Calibri"/>
          <w:szCs w:val="22"/>
          <w:lang w:val="lt-LT"/>
        </w:rPr>
      </w:pPr>
    </w:p>
    <w:p w14:paraId="3823C8E7" w14:textId="77777777" w:rsidR="0080416E" w:rsidRPr="00FF397D" w:rsidRDefault="0080416E" w:rsidP="0080416E">
      <w:pPr>
        <w:keepNext/>
        <w:autoSpaceDE w:val="0"/>
        <w:autoSpaceDN w:val="0"/>
        <w:adjustRightInd w:val="0"/>
        <w:spacing w:line="240" w:lineRule="auto"/>
        <w:rPr>
          <w:rFonts w:eastAsia="Calibri"/>
          <w:b/>
          <w:bCs/>
          <w:szCs w:val="22"/>
          <w:lang w:val="lt-LT"/>
        </w:rPr>
      </w:pPr>
      <w:r w:rsidRPr="00FF397D">
        <w:rPr>
          <w:rFonts w:eastAsia="Calibri"/>
          <w:b/>
          <w:bCs/>
          <w:szCs w:val="22"/>
          <w:lang w:val="lt-LT"/>
        </w:rPr>
        <w:t>Dažni šalutinio poveikio reiškiniai (gali pasireikšti rečiau kaip 1 iš 10 asmenų):</w:t>
      </w:r>
    </w:p>
    <w:p w14:paraId="4FDF27A0" w14:textId="77777777" w:rsidR="0080416E" w:rsidRPr="00FF397D" w:rsidRDefault="0080416E" w:rsidP="0080416E">
      <w:pPr>
        <w:pStyle w:val="Sraopastraipa"/>
        <w:numPr>
          <w:ilvl w:val="0"/>
          <w:numId w:val="164"/>
        </w:numPr>
        <w:tabs>
          <w:tab w:val="clear" w:pos="567"/>
        </w:tabs>
        <w:autoSpaceDE w:val="0"/>
        <w:autoSpaceDN w:val="0"/>
        <w:adjustRightInd w:val="0"/>
        <w:spacing w:line="240" w:lineRule="auto"/>
        <w:ind w:left="540" w:hanging="540"/>
        <w:rPr>
          <w:rFonts w:eastAsia="Calibri"/>
          <w:szCs w:val="22"/>
        </w:rPr>
      </w:pPr>
      <w:r w:rsidRPr="00FF397D">
        <w:rPr>
          <w:rFonts w:eastAsia="Calibri"/>
          <w:szCs w:val="22"/>
        </w:rPr>
        <w:t>kasos uždegimas.</w:t>
      </w:r>
    </w:p>
    <w:p w14:paraId="3EFFF992" w14:textId="77777777" w:rsidR="0080416E" w:rsidRPr="00FF397D" w:rsidRDefault="0080416E" w:rsidP="0080416E">
      <w:pPr>
        <w:tabs>
          <w:tab w:val="left" w:pos="1560"/>
        </w:tabs>
        <w:spacing w:line="240" w:lineRule="auto"/>
        <w:jc w:val="both"/>
        <w:rPr>
          <w:rFonts w:eastAsia="Calibri"/>
          <w:szCs w:val="22"/>
          <w:highlight w:val="yellow"/>
          <w:lang w:val="lt-LT"/>
        </w:rPr>
      </w:pPr>
    </w:p>
    <w:p w14:paraId="7D1624B6" w14:textId="77777777" w:rsidR="0080416E" w:rsidRPr="00FF397D" w:rsidRDefault="0080416E" w:rsidP="0080416E">
      <w:pPr>
        <w:keepNext/>
        <w:spacing w:line="240" w:lineRule="auto"/>
        <w:jc w:val="both"/>
        <w:rPr>
          <w:b/>
          <w:szCs w:val="22"/>
          <w:lang w:val="lt-LT"/>
        </w:rPr>
      </w:pPr>
      <w:r w:rsidRPr="00FF397D">
        <w:rPr>
          <w:b/>
          <w:szCs w:val="22"/>
          <w:lang w:val="lt-LT"/>
        </w:rPr>
        <w:t>Pranešimas apie šalutinį poveikį</w:t>
      </w:r>
    </w:p>
    <w:p w14:paraId="558B4FAE" w14:textId="77777777" w:rsidR="0080416E" w:rsidRPr="00FF397D" w:rsidRDefault="0080416E" w:rsidP="0080416E">
      <w:pPr>
        <w:spacing w:line="240" w:lineRule="auto"/>
        <w:rPr>
          <w:szCs w:val="22"/>
          <w:lang w:val="lt-LT"/>
        </w:rPr>
      </w:pPr>
      <w:r w:rsidRPr="00FF397D">
        <w:rPr>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FF397D">
          <w:rPr>
            <w:color w:val="0000FF"/>
            <w:szCs w:val="22"/>
            <w:u w:val="single"/>
            <w:lang w:val="lt-LT"/>
          </w:rPr>
          <w:t>https://vapris.vvkt.lt/vvkt-web/public/nrv</w:t>
        </w:r>
      </w:hyperlink>
      <w:r w:rsidRPr="00FF397D">
        <w:rPr>
          <w:szCs w:val="22"/>
          <w:lang w:val="lt-LT"/>
        </w:rPr>
        <w:t xml:space="preserve"> arba užpildant Paciento pranešimo apie įtariamą nepageidaujamą reakciją (ĮNR) formą, kuri skelbiama </w:t>
      </w:r>
      <w:hyperlink r:id="rId11" w:history="1">
        <w:r w:rsidRPr="00FF397D">
          <w:rPr>
            <w:color w:val="0000FF"/>
            <w:szCs w:val="22"/>
            <w:u w:val="single"/>
            <w:lang w:val="lt-LT"/>
          </w:rPr>
          <w:t>https://www.vvkt.lt/index.php?4004286486</w:t>
        </w:r>
      </w:hyperlink>
      <w:r w:rsidRPr="00FF397D">
        <w:rPr>
          <w:szCs w:val="22"/>
          <w:lang w:val="lt-LT"/>
        </w:rPr>
        <w:t xml:space="preserve">, ir atsiunčiant elektroniniu paštu (adresu </w:t>
      </w:r>
      <w:hyperlink r:id="rId12" w:history="1">
        <w:r w:rsidRPr="00FF397D">
          <w:rPr>
            <w:color w:val="0000FF"/>
            <w:szCs w:val="22"/>
            <w:u w:val="single"/>
            <w:lang w:val="lt-LT"/>
          </w:rPr>
          <w:t>NepageidaujamaR@vvkt.lt</w:t>
        </w:r>
      </w:hyperlink>
      <w:r w:rsidRPr="00FF397D">
        <w:rPr>
          <w:szCs w:val="22"/>
          <w:lang w:val="lt-LT"/>
        </w:rPr>
        <w:t>) arba nemokamu telefonu 8 800 73 568. Pranešdami apie šalutinį poveikį galite mums padėti gauti daugiau informacijos apie šio vaisto saugumą.</w:t>
      </w:r>
    </w:p>
    <w:p w14:paraId="5C7C9FE6" w14:textId="77777777" w:rsidR="0080416E" w:rsidRPr="00FF397D" w:rsidRDefault="0080416E" w:rsidP="00B45D31">
      <w:pPr>
        <w:pStyle w:val="BTEMEASMCA"/>
      </w:pPr>
    </w:p>
    <w:p w14:paraId="340F24A7" w14:textId="77777777" w:rsidR="0080416E" w:rsidRPr="00FF397D" w:rsidRDefault="0080416E" w:rsidP="00B45D31">
      <w:pPr>
        <w:pStyle w:val="BTEMEASMCA"/>
      </w:pPr>
    </w:p>
    <w:p w14:paraId="43FDFC4D" w14:textId="7B5AD93A" w:rsidR="0080416E" w:rsidRPr="00FF397D" w:rsidRDefault="0080416E" w:rsidP="0080416E">
      <w:pPr>
        <w:pStyle w:val="PI-1EMEASMCA"/>
        <w:rPr>
          <w:lang w:val="lt-LT"/>
        </w:rPr>
      </w:pPr>
      <w:bookmarkStart w:id="65" w:name="_Toc129243268"/>
      <w:bookmarkStart w:id="66" w:name="_Toc129243143"/>
      <w:r w:rsidRPr="00FF397D">
        <w:rPr>
          <w:lang w:val="lt-LT"/>
        </w:rPr>
        <w:t>5.</w:t>
      </w:r>
      <w:r w:rsidRPr="00FF397D">
        <w:rPr>
          <w:lang w:val="lt-LT"/>
        </w:rPr>
        <w:tab/>
      </w:r>
      <w:bookmarkEnd w:id="65"/>
      <w:bookmarkEnd w:id="66"/>
      <w:r w:rsidRPr="00FF397D">
        <w:rPr>
          <w:lang w:val="lt-LT"/>
        </w:rPr>
        <w:t xml:space="preserve"> Kaip laikyti Teriflunomide Teva</w:t>
      </w:r>
    </w:p>
    <w:p w14:paraId="01C4E374" w14:textId="77777777" w:rsidR="0080416E" w:rsidRPr="00FF397D" w:rsidRDefault="0080416E" w:rsidP="00B45D31">
      <w:pPr>
        <w:pStyle w:val="BTEMEASMCA"/>
      </w:pPr>
    </w:p>
    <w:p w14:paraId="79568592"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Šį vaistą laikykite vaikams nepastebimoje ir nepasiekiamoje vietoje.</w:t>
      </w:r>
    </w:p>
    <w:p w14:paraId="074F273C" w14:textId="77777777" w:rsidR="0080416E" w:rsidRPr="00FF397D" w:rsidRDefault="0080416E" w:rsidP="0080416E">
      <w:pPr>
        <w:autoSpaceDE w:val="0"/>
        <w:autoSpaceDN w:val="0"/>
        <w:adjustRightInd w:val="0"/>
        <w:spacing w:line="240" w:lineRule="auto"/>
        <w:rPr>
          <w:rFonts w:eastAsia="Calibri"/>
          <w:szCs w:val="22"/>
          <w:lang w:val="lt-LT"/>
        </w:rPr>
      </w:pPr>
    </w:p>
    <w:p w14:paraId="02A0D04A"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lastRenderedPageBreak/>
        <w:t>Ant dėžutės ir lizdinės plokštelės po „EXP“ nurodytam tinkamumo laikui pasibaigus, šio vaisto vartoti negalima. Vaistas tinkamas vartoti iki paskutinės nurodyto mėnesio dienos.</w:t>
      </w:r>
    </w:p>
    <w:p w14:paraId="6E634FCB" w14:textId="77777777" w:rsidR="0080416E" w:rsidRPr="00FF397D" w:rsidRDefault="0080416E" w:rsidP="0080416E">
      <w:pPr>
        <w:autoSpaceDE w:val="0"/>
        <w:autoSpaceDN w:val="0"/>
        <w:adjustRightInd w:val="0"/>
        <w:spacing w:line="240" w:lineRule="auto"/>
        <w:rPr>
          <w:rFonts w:eastAsia="Calibri"/>
          <w:szCs w:val="22"/>
          <w:lang w:val="lt-LT"/>
        </w:rPr>
      </w:pPr>
    </w:p>
    <w:p w14:paraId="72F8FF54" w14:textId="77777777" w:rsidR="0080416E" w:rsidRPr="00FF397D" w:rsidRDefault="0080416E" w:rsidP="0080416E">
      <w:pPr>
        <w:autoSpaceDE w:val="0"/>
        <w:autoSpaceDN w:val="0"/>
        <w:adjustRightInd w:val="0"/>
        <w:spacing w:line="240" w:lineRule="auto"/>
        <w:rPr>
          <w:rFonts w:eastAsia="Calibri"/>
          <w:szCs w:val="22"/>
          <w:lang w:val="lt-LT"/>
        </w:rPr>
      </w:pPr>
      <w:r w:rsidRPr="00FF397D">
        <w:rPr>
          <w:rFonts w:eastAsia="Calibri"/>
          <w:szCs w:val="22"/>
          <w:lang w:val="lt-LT"/>
        </w:rPr>
        <w:t>Šiam vaistui specialių laikymo sąlygų nereikia.</w:t>
      </w:r>
    </w:p>
    <w:p w14:paraId="55682F87" w14:textId="77777777" w:rsidR="0080416E" w:rsidRPr="00FF397D" w:rsidRDefault="0080416E" w:rsidP="0080416E">
      <w:pPr>
        <w:autoSpaceDE w:val="0"/>
        <w:autoSpaceDN w:val="0"/>
        <w:adjustRightInd w:val="0"/>
        <w:spacing w:line="240" w:lineRule="auto"/>
        <w:rPr>
          <w:rFonts w:eastAsia="Calibri"/>
          <w:szCs w:val="22"/>
          <w:lang w:val="lt-LT"/>
        </w:rPr>
      </w:pPr>
    </w:p>
    <w:p w14:paraId="18F42B2E" w14:textId="77777777" w:rsidR="0080416E" w:rsidRPr="00FF397D" w:rsidRDefault="0080416E" w:rsidP="0080416E">
      <w:pPr>
        <w:autoSpaceDE w:val="0"/>
        <w:autoSpaceDN w:val="0"/>
        <w:adjustRightInd w:val="0"/>
        <w:spacing w:line="240" w:lineRule="auto"/>
        <w:rPr>
          <w:szCs w:val="22"/>
          <w:lang w:val="lt-LT"/>
        </w:rPr>
      </w:pPr>
      <w:r w:rsidRPr="00FF397D">
        <w:rPr>
          <w:rFonts w:eastAsia="Calibri"/>
          <w:szCs w:val="22"/>
          <w:lang w:val="lt-LT"/>
        </w:rPr>
        <w:t>Vaistų negalima išmesti į kanalizaciją arba su buitinėmis atliekomis. Kaip išmesti nereikalingus</w:t>
      </w:r>
      <w:r w:rsidRPr="00FF397D">
        <w:rPr>
          <w:szCs w:val="22"/>
          <w:lang w:val="lt-LT"/>
        </w:rPr>
        <w:t xml:space="preserve"> vaistus, klauskite vaistininko. Šios priemonės padės apsaugoti aplinką.</w:t>
      </w:r>
    </w:p>
    <w:p w14:paraId="6A295515" w14:textId="77777777" w:rsidR="0080416E" w:rsidRPr="00FF397D" w:rsidRDefault="0080416E" w:rsidP="00B45D31">
      <w:pPr>
        <w:pStyle w:val="BTEMEASMCA"/>
      </w:pPr>
    </w:p>
    <w:p w14:paraId="4EB1EA82" w14:textId="77777777" w:rsidR="0080416E" w:rsidRPr="00FF397D" w:rsidRDefault="0080416E" w:rsidP="00B45D31">
      <w:pPr>
        <w:pStyle w:val="BTEMEASMCA"/>
      </w:pPr>
    </w:p>
    <w:p w14:paraId="1A7E5BF0" w14:textId="080BD4A5" w:rsidR="0080416E" w:rsidRPr="00FF397D" w:rsidRDefault="0080416E" w:rsidP="0080416E">
      <w:pPr>
        <w:pStyle w:val="PI-1EMEASMCA"/>
        <w:rPr>
          <w:lang w:val="lt-LT"/>
        </w:rPr>
      </w:pPr>
      <w:bookmarkStart w:id="67" w:name="_Toc129243269"/>
      <w:bookmarkStart w:id="68" w:name="_Toc129243144"/>
      <w:r w:rsidRPr="00FF397D">
        <w:rPr>
          <w:lang w:val="lt-LT"/>
        </w:rPr>
        <w:t>6.</w:t>
      </w:r>
      <w:r w:rsidRPr="00FF397D">
        <w:rPr>
          <w:lang w:val="lt-LT"/>
        </w:rPr>
        <w:tab/>
      </w:r>
      <w:bookmarkEnd w:id="67"/>
      <w:bookmarkEnd w:id="68"/>
      <w:r w:rsidRPr="00FF397D">
        <w:rPr>
          <w:lang w:val="lt-LT"/>
        </w:rPr>
        <w:t>Pakuotės turinys ir kita informacija</w:t>
      </w:r>
    </w:p>
    <w:p w14:paraId="7C99D070" w14:textId="77777777" w:rsidR="0080416E" w:rsidRPr="00FF397D" w:rsidRDefault="0080416E" w:rsidP="00B45D31">
      <w:pPr>
        <w:pStyle w:val="BTEMEASMCA"/>
      </w:pPr>
    </w:p>
    <w:p w14:paraId="33DE591E" w14:textId="77777777" w:rsidR="0080416E" w:rsidRPr="00FF397D" w:rsidRDefault="0080416E" w:rsidP="00C5330B">
      <w:pPr>
        <w:pStyle w:val="PI-3EMEASMCA"/>
      </w:pPr>
      <w:r w:rsidRPr="00FF397D">
        <w:t>Teriflunomide Teva sudėtis</w:t>
      </w:r>
    </w:p>
    <w:p w14:paraId="740D9442" w14:textId="77777777" w:rsidR="0080416E" w:rsidRPr="00FF397D" w:rsidRDefault="0080416E" w:rsidP="00B45D31">
      <w:pPr>
        <w:pStyle w:val="BT-EMEASMCA"/>
      </w:pPr>
      <w:r w:rsidRPr="00FF397D">
        <w:t xml:space="preserve">Veiklioji medžiaga yra teriflunomidas. Kiekvienoje tabletėje yra 14 mg teriflunomido. </w:t>
      </w:r>
    </w:p>
    <w:p w14:paraId="47FDA94D" w14:textId="2D32FCC9" w:rsidR="0080416E" w:rsidRPr="00FF397D" w:rsidRDefault="0080416E" w:rsidP="00B45D31">
      <w:pPr>
        <w:pStyle w:val="BT-EMEASMCA"/>
      </w:pPr>
      <w:r w:rsidRPr="00FF397D">
        <w:t xml:space="preserve">Pagalbinės medžiagos yra laktozė monohidratas, mikrokristalinė celiuliozė (E460), kukurūzų krakmolas, karboksimetilkrakmolo natrio druska (A tipas), hidroksipropilceliuliozė (E463), </w:t>
      </w:r>
      <w:r w:rsidR="009B3249" w:rsidRPr="00FF397D">
        <w:t xml:space="preserve">bevandenis </w:t>
      </w:r>
      <w:r w:rsidRPr="00FF397D">
        <w:t>koloidinis silicio dioksidas (E 551), natrio stearilfumaratas, hipromeliozė (E 464), titano dioksidas (E 171), talkas (E 553b) makrogolis (E 1521), indigokarminas (E132).</w:t>
      </w:r>
    </w:p>
    <w:p w14:paraId="6954DC97" w14:textId="77777777" w:rsidR="0080416E" w:rsidRPr="00FF397D" w:rsidRDefault="0080416E" w:rsidP="00B45D31">
      <w:pPr>
        <w:pStyle w:val="BT-EMEASMCA"/>
      </w:pPr>
    </w:p>
    <w:p w14:paraId="779F8317" w14:textId="77777777" w:rsidR="0080416E" w:rsidRPr="00FF397D" w:rsidRDefault="0080416E" w:rsidP="00C5330B">
      <w:pPr>
        <w:pStyle w:val="PI-3EMEASMCA"/>
      </w:pPr>
      <w:r w:rsidRPr="00FF397D">
        <w:t>Teriflunomide Teva išvaizda ir kiekis pakuotėje</w:t>
      </w:r>
    </w:p>
    <w:p w14:paraId="3D74FB52" w14:textId="77777777" w:rsidR="0080416E" w:rsidRPr="00FF397D" w:rsidRDefault="0080416E" w:rsidP="00B45D31">
      <w:pPr>
        <w:pStyle w:val="BTEMEASMCA"/>
      </w:pPr>
      <w:r w:rsidRPr="00FF397D">
        <w:t>Teriflunomide Teva plėvele dengtos tabletės (tabletės) yra apvalios formos, mėlynos, maždaug 6,6 mm skersmens ir 4,1 mm storio, kurių ir vienoje pusėje yra žyma „TV“, o kitoje žyma „Y12“.</w:t>
      </w:r>
    </w:p>
    <w:p w14:paraId="4BDA5D44" w14:textId="77777777" w:rsidR="0080416E" w:rsidRPr="00FF397D" w:rsidRDefault="0080416E" w:rsidP="00B45D31">
      <w:pPr>
        <w:pStyle w:val="BTEMEASMCA"/>
      </w:pPr>
    </w:p>
    <w:p w14:paraId="1338E9CD" w14:textId="77777777" w:rsidR="0080416E" w:rsidRPr="00FF397D" w:rsidRDefault="0080416E" w:rsidP="00B45D31">
      <w:pPr>
        <w:pStyle w:val="BTEMEASMCA"/>
      </w:pPr>
      <w:r w:rsidRPr="00FF397D">
        <w:t xml:space="preserve">Pakuotės dydis: </w:t>
      </w:r>
    </w:p>
    <w:p w14:paraId="096E06C3" w14:textId="181874AD" w:rsidR="0080416E" w:rsidRPr="00FF397D" w:rsidRDefault="0080416E" w:rsidP="00B45D31">
      <w:pPr>
        <w:pStyle w:val="BTEMEASMCA"/>
      </w:pPr>
      <w:r w:rsidRPr="00FF397D">
        <w:t xml:space="preserve">OPA/Alu/PVC/Al lizdinės plokštelės, kuriose supakuota po 10, 14, 28, 30 </w:t>
      </w:r>
      <w:r w:rsidR="009B3249" w:rsidRPr="00FF397D">
        <w:rPr>
          <w:lang w:val="lt-LT"/>
        </w:rPr>
        <w:t>arba</w:t>
      </w:r>
      <w:r w:rsidRPr="00FF397D">
        <w:t xml:space="preserve"> 84 plėvele dengtas tabletes.</w:t>
      </w:r>
    </w:p>
    <w:p w14:paraId="5D061D89" w14:textId="3BE5F13A" w:rsidR="0080416E" w:rsidRPr="00FF397D" w:rsidRDefault="0080416E" w:rsidP="00B45D31">
      <w:pPr>
        <w:pStyle w:val="BTEMEASMCA"/>
      </w:pPr>
      <w:r w:rsidRPr="00FF397D">
        <w:t xml:space="preserve">OPA/Alu/PVC/Al perforuotos </w:t>
      </w:r>
      <w:r w:rsidR="009B3249" w:rsidRPr="00FF397D">
        <w:rPr>
          <w:lang w:val="lt-LT"/>
        </w:rPr>
        <w:t>dalomosios</w:t>
      </w:r>
      <w:r w:rsidRPr="00FF397D">
        <w:t xml:space="preserve"> lizdinės plokštelės, kuriose supakuota po 10x1, 28x1, 30x1 </w:t>
      </w:r>
      <w:r w:rsidR="009B3249" w:rsidRPr="00FF397D">
        <w:rPr>
          <w:lang w:val="lt-LT"/>
        </w:rPr>
        <w:t>arba</w:t>
      </w:r>
      <w:r w:rsidRPr="00FF397D">
        <w:t xml:space="preserve"> 84x1 plėvele dengtas tabletes.</w:t>
      </w:r>
    </w:p>
    <w:p w14:paraId="4EA80189" w14:textId="77777777" w:rsidR="0080416E" w:rsidRPr="00FF397D" w:rsidRDefault="0080416E" w:rsidP="00B45D31">
      <w:pPr>
        <w:pStyle w:val="BTEMEASMCA"/>
      </w:pPr>
    </w:p>
    <w:p w14:paraId="1E4FCCC6" w14:textId="77777777" w:rsidR="0080416E" w:rsidRPr="00FF397D" w:rsidRDefault="0080416E" w:rsidP="00B45D31">
      <w:pPr>
        <w:pStyle w:val="BTEMEASMCA"/>
      </w:pPr>
      <w:r w:rsidRPr="00FF397D">
        <w:t>Gali būti tiekiamos ne visų dydžių pakuotės.</w:t>
      </w:r>
    </w:p>
    <w:p w14:paraId="766F7FE6" w14:textId="77777777" w:rsidR="0080416E" w:rsidRPr="00FF397D" w:rsidRDefault="0080416E" w:rsidP="00B45D31">
      <w:pPr>
        <w:pStyle w:val="BTEMEASMCA"/>
      </w:pPr>
    </w:p>
    <w:p w14:paraId="2E8A8EB2" w14:textId="77777777" w:rsidR="0080416E" w:rsidRPr="00FF397D" w:rsidRDefault="0080416E" w:rsidP="00C5330B">
      <w:pPr>
        <w:pStyle w:val="PI-3EMEASMCA"/>
      </w:pPr>
      <w:r w:rsidRPr="00FF397D">
        <w:t>Registruotojas ir gamintojas</w:t>
      </w:r>
    </w:p>
    <w:p w14:paraId="14910B1F" w14:textId="77777777" w:rsidR="0080416E" w:rsidRPr="00FF397D" w:rsidRDefault="0080416E" w:rsidP="0080416E">
      <w:pPr>
        <w:keepNext/>
        <w:spacing w:line="240" w:lineRule="auto"/>
        <w:rPr>
          <w:i/>
          <w:szCs w:val="22"/>
          <w:lang w:val="lt-LT"/>
        </w:rPr>
      </w:pPr>
    </w:p>
    <w:p w14:paraId="1B64708B" w14:textId="77777777" w:rsidR="0080416E" w:rsidRPr="00FF397D" w:rsidRDefault="0080416E" w:rsidP="0080416E">
      <w:pPr>
        <w:keepNext/>
        <w:spacing w:line="240" w:lineRule="auto"/>
        <w:rPr>
          <w:i/>
          <w:szCs w:val="22"/>
          <w:lang w:val="lt-LT"/>
        </w:rPr>
      </w:pPr>
      <w:r w:rsidRPr="00FF397D">
        <w:rPr>
          <w:i/>
          <w:szCs w:val="22"/>
          <w:lang w:val="lt-LT"/>
        </w:rPr>
        <w:t xml:space="preserve">Registruotojas </w:t>
      </w:r>
    </w:p>
    <w:p w14:paraId="773E3486" w14:textId="3B9A727A" w:rsidR="0080416E" w:rsidRPr="00FF397D" w:rsidRDefault="0080416E" w:rsidP="0080416E">
      <w:pPr>
        <w:shd w:val="clear" w:color="auto" w:fill="FFFFFF"/>
        <w:spacing w:line="240" w:lineRule="auto"/>
        <w:rPr>
          <w:color w:val="000000"/>
          <w:szCs w:val="22"/>
          <w:shd w:val="clear" w:color="auto" w:fill="FFFFFF"/>
          <w:lang w:val="lt-LT"/>
        </w:rPr>
      </w:pPr>
      <w:r w:rsidRPr="00FF397D">
        <w:rPr>
          <w:color w:val="000000"/>
          <w:szCs w:val="22"/>
          <w:shd w:val="clear" w:color="auto" w:fill="FFFFFF"/>
          <w:lang w:val="lt-LT"/>
        </w:rPr>
        <w:t>Teva B.V</w:t>
      </w:r>
    </w:p>
    <w:p w14:paraId="2871E314" w14:textId="2F267AC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Swensweg 5</w:t>
      </w:r>
    </w:p>
    <w:p w14:paraId="34214D69" w14:textId="7240F091"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2031 GA Haarlem</w:t>
      </w:r>
    </w:p>
    <w:p w14:paraId="7CA37222" w14:textId="77777777" w:rsidR="0080416E" w:rsidRPr="00FF397D" w:rsidRDefault="0080416E" w:rsidP="0080416E">
      <w:pPr>
        <w:shd w:val="clear" w:color="auto" w:fill="FFFFFF"/>
        <w:spacing w:line="240" w:lineRule="auto"/>
        <w:rPr>
          <w:color w:val="222222"/>
          <w:szCs w:val="22"/>
          <w:lang w:val="lt-LT"/>
        </w:rPr>
      </w:pPr>
      <w:r w:rsidRPr="00FF397D">
        <w:rPr>
          <w:color w:val="000000"/>
          <w:szCs w:val="22"/>
          <w:shd w:val="clear" w:color="auto" w:fill="FFFFFF"/>
          <w:lang w:val="lt-LT"/>
        </w:rPr>
        <w:t>Nyderlandai</w:t>
      </w:r>
    </w:p>
    <w:p w14:paraId="255E7D03" w14:textId="77777777" w:rsidR="0080416E" w:rsidRPr="00FF397D" w:rsidRDefault="0080416E" w:rsidP="0080416E">
      <w:pPr>
        <w:shd w:val="clear" w:color="auto" w:fill="FFFFFF"/>
        <w:spacing w:line="240" w:lineRule="auto"/>
        <w:rPr>
          <w:color w:val="222222"/>
          <w:szCs w:val="22"/>
          <w:lang w:val="lt-LT"/>
        </w:rPr>
      </w:pPr>
      <w:r w:rsidRPr="00FF397D">
        <w:rPr>
          <w:bCs/>
          <w:color w:val="222222"/>
          <w:szCs w:val="22"/>
          <w:shd w:val="clear" w:color="auto" w:fill="FFFFFF"/>
          <w:lang w:val="lt-LT"/>
        </w:rPr>
        <w:t> </w:t>
      </w:r>
    </w:p>
    <w:p w14:paraId="34EE9CE7" w14:textId="3C065059" w:rsidR="0080416E" w:rsidRPr="00FF397D" w:rsidRDefault="00C5330B" w:rsidP="0080416E">
      <w:pPr>
        <w:shd w:val="clear" w:color="auto" w:fill="FFFFFF"/>
        <w:spacing w:line="240" w:lineRule="auto"/>
        <w:rPr>
          <w:i/>
          <w:color w:val="222222"/>
          <w:szCs w:val="22"/>
          <w:lang w:val="lt-LT"/>
        </w:rPr>
      </w:pPr>
      <w:r w:rsidRPr="00FF397D">
        <w:rPr>
          <w:bCs/>
          <w:i/>
          <w:color w:val="000000"/>
          <w:szCs w:val="22"/>
          <w:shd w:val="clear" w:color="auto" w:fill="FFFFFF"/>
          <w:lang w:val="lt-LT"/>
        </w:rPr>
        <w:t>Gamintojas</w:t>
      </w:r>
      <w:r w:rsidR="0080416E" w:rsidRPr="00FF397D">
        <w:rPr>
          <w:bCs/>
          <w:i/>
          <w:color w:val="000000"/>
          <w:szCs w:val="22"/>
          <w:shd w:val="clear" w:color="auto" w:fill="FFFFFF"/>
          <w:lang w:val="lt-LT"/>
        </w:rPr>
        <w:t>:</w:t>
      </w:r>
    </w:p>
    <w:p w14:paraId="41062854"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Teva Operations Poland Sp. z o.o.</w:t>
      </w:r>
    </w:p>
    <w:p w14:paraId="2445F343"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Mogilska 80 Str.</w:t>
      </w:r>
    </w:p>
    <w:p w14:paraId="2A921587"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31-546 Krakow</w:t>
      </w:r>
    </w:p>
    <w:p w14:paraId="41509AC2"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Lenkija</w:t>
      </w:r>
    </w:p>
    <w:p w14:paraId="4C4DDF97" w14:textId="77777777" w:rsidR="0080416E" w:rsidRPr="00FF397D" w:rsidRDefault="0080416E" w:rsidP="0080416E">
      <w:pPr>
        <w:shd w:val="clear" w:color="auto" w:fill="FFFFFF"/>
        <w:spacing w:line="240" w:lineRule="auto"/>
        <w:ind w:left="74"/>
        <w:rPr>
          <w:color w:val="222222"/>
          <w:szCs w:val="22"/>
          <w:lang w:val="lt-LT"/>
        </w:rPr>
      </w:pPr>
      <w:r w:rsidRPr="00FF397D">
        <w:rPr>
          <w:color w:val="222222"/>
          <w:szCs w:val="22"/>
          <w:lang w:val="lt-LT"/>
        </w:rPr>
        <w:t> </w:t>
      </w:r>
    </w:p>
    <w:p w14:paraId="628778E6"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 xml:space="preserve">arba </w:t>
      </w:r>
    </w:p>
    <w:p w14:paraId="0235EF9E" w14:textId="77777777" w:rsidR="0080416E" w:rsidRPr="00FF397D" w:rsidRDefault="0080416E" w:rsidP="0080416E">
      <w:pPr>
        <w:shd w:val="clear" w:color="auto" w:fill="FFFFFF"/>
        <w:spacing w:line="240" w:lineRule="auto"/>
        <w:rPr>
          <w:color w:val="222222"/>
          <w:szCs w:val="22"/>
          <w:lang w:val="lt-LT"/>
        </w:rPr>
      </w:pPr>
    </w:p>
    <w:p w14:paraId="6A362EA0"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Balkanpharma Dupnitsa AD</w:t>
      </w:r>
    </w:p>
    <w:p w14:paraId="3BA7B31A"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3 Samokovsko Shosse Str.</w:t>
      </w:r>
    </w:p>
    <w:p w14:paraId="2B8ECA68"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2600 Dupnitsa</w:t>
      </w:r>
    </w:p>
    <w:p w14:paraId="1FF7C915" w14:textId="77777777" w:rsidR="0080416E" w:rsidRPr="00FF397D" w:rsidRDefault="0080416E" w:rsidP="0080416E">
      <w:pPr>
        <w:shd w:val="clear" w:color="auto" w:fill="FFFFFF"/>
        <w:spacing w:line="240" w:lineRule="auto"/>
        <w:rPr>
          <w:color w:val="222222"/>
          <w:szCs w:val="22"/>
          <w:lang w:val="lt-LT"/>
        </w:rPr>
      </w:pPr>
      <w:r w:rsidRPr="00FF397D">
        <w:rPr>
          <w:color w:val="222222"/>
          <w:szCs w:val="22"/>
          <w:lang w:val="lt-LT"/>
        </w:rPr>
        <w:t>Bulgarija</w:t>
      </w:r>
    </w:p>
    <w:p w14:paraId="7FE9E12C" w14:textId="77777777" w:rsidR="0080416E" w:rsidRPr="00FF397D" w:rsidRDefault="0080416E" w:rsidP="0080416E">
      <w:pPr>
        <w:suppressAutoHyphens/>
        <w:spacing w:line="240" w:lineRule="auto"/>
        <w:rPr>
          <w:kern w:val="1"/>
          <w:szCs w:val="22"/>
          <w:lang w:val="lt-LT"/>
        </w:rPr>
      </w:pPr>
    </w:p>
    <w:p w14:paraId="4A705E2E" w14:textId="77777777" w:rsidR="0080416E" w:rsidRPr="00FF397D" w:rsidRDefault="0080416E" w:rsidP="0080416E">
      <w:pPr>
        <w:suppressAutoHyphens/>
        <w:spacing w:line="240" w:lineRule="auto"/>
        <w:rPr>
          <w:kern w:val="1"/>
          <w:szCs w:val="22"/>
          <w:lang w:val="lt-LT"/>
        </w:rPr>
      </w:pPr>
      <w:r w:rsidRPr="00FF397D">
        <w:rPr>
          <w:kern w:val="1"/>
          <w:szCs w:val="22"/>
          <w:lang w:val="lt-LT"/>
        </w:rPr>
        <w:t>Jeigu apie šį vaistą norite sužinoti daugiau, kreipkitės į vietinį rinkodaros teisės turėtojo atstovą.</w:t>
      </w:r>
    </w:p>
    <w:p w14:paraId="53D9D4AA" w14:textId="77777777" w:rsidR="0080416E" w:rsidRPr="00FF397D" w:rsidRDefault="0080416E" w:rsidP="0080416E">
      <w:pPr>
        <w:suppressAutoHyphens/>
        <w:spacing w:line="240" w:lineRule="auto"/>
        <w:rPr>
          <w:kern w:val="1"/>
          <w:szCs w:val="22"/>
          <w:lang w:val="lt-LT"/>
        </w:rPr>
      </w:pPr>
    </w:p>
    <w:p w14:paraId="66C0624F" w14:textId="77777777" w:rsidR="0080416E" w:rsidRPr="00FF397D" w:rsidRDefault="0080416E" w:rsidP="0080416E">
      <w:pPr>
        <w:suppressAutoHyphens/>
        <w:spacing w:line="240" w:lineRule="auto"/>
        <w:rPr>
          <w:kern w:val="1"/>
          <w:szCs w:val="22"/>
          <w:lang w:val="lt-LT"/>
        </w:rPr>
      </w:pPr>
      <w:r w:rsidRPr="00FF397D">
        <w:rPr>
          <w:kern w:val="1"/>
          <w:szCs w:val="22"/>
          <w:lang w:val="lt-LT"/>
        </w:rPr>
        <w:t>UAB Teva Baltics</w:t>
      </w:r>
    </w:p>
    <w:p w14:paraId="7D8867C2" w14:textId="77777777" w:rsidR="0080416E" w:rsidRPr="00FF397D" w:rsidRDefault="0080416E" w:rsidP="0080416E">
      <w:pPr>
        <w:suppressAutoHyphens/>
        <w:spacing w:line="240" w:lineRule="auto"/>
        <w:rPr>
          <w:kern w:val="1"/>
          <w:szCs w:val="22"/>
          <w:lang w:val="lt-LT"/>
        </w:rPr>
      </w:pPr>
      <w:r w:rsidRPr="00FF397D">
        <w:rPr>
          <w:kern w:val="1"/>
          <w:szCs w:val="22"/>
          <w:lang w:val="lt-LT"/>
        </w:rPr>
        <w:t xml:space="preserve">Molėtų pl. 5 </w:t>
      </w:r>
    </w:p>
    <w:p w14:paraId="75016F5D" w14:textId="77777777" w:rsidR="0080416E" w:rsidRPr="00FF397D" w:rsidRDefault="0080416E" w:rsidP="0080416E">
      <w:pPr>
        <w:suppressAutoHyphens/>
        <w:spacing w:line="240" w:lineRule="auto"/>
        <w:rPr>
          <w:kern w:val="1"/>
          <w:szCs w:val="22"/>
          <w:lang w:val="lt-LT"/>
        </w:rPr>
      </w:pPr>
      <w:r w:rsidRPr="00FF397D">
        <w:rPr>
          <w:kern w:val="1"/>
          <w:szCs w:val="22"/>
          <w:lang w:val="lt-LT"/>
        </w:rPr>
        <w:t xml:space="preserve">LT-08409 Vilnius </w:t>
      </w:r>
    </w:p>
    <w:p w14:paraId="531A4695" w14:textId="77777777" w:rsidR="0080416E" w:rsidRPr="00FF397D" w:rsidRDefault="0080416E" w:rsidP="0080416E">
      <w:pPr>
        <w:suppressAutoHyphens/>
        <w:spacing w:line="240" w:lineRule="auto"/>
        <w:rPr>
          <w:kern w:val="1"/>
          <w:szCs w:val="22"/>
          <w:lang w:val="lt-LT"/>
        </w:rPr>
      </w:pPr>
      <w:r w:rsidRPr="00FF397D">
        <w:rPr>
          <w:kern w:val="1"/>
          <w:szCs w:val="22"/>
          <w:lang w:val="lt-LT"/>
        </w:rPr>
        <w:t>Tel.: +370 5 266 02 03</w:t>
      </w:r>
    </w:p>
    <w:p w14:paraId="3212AF73" w14:textId="77777777" w:rsidR="0080416E" w:rsidRPr="00FF397D" w:rsidRDefault="0080416E" w:rsidP="00B45D31">
      <w:pPr>
        <w:pStyle w:val="BTEMEASMCA"/>
      </w:pPr>
    </w:p>
    <w:p w14:paraId="11E1A925" w14:textId="77777777" w:rsidR="0080416E" w:rsidRPr="00DB639D" w:rsidRDefault="0080416E" w:rsidP="00B45D31">
      <w:pPr>
        <w:pStyle w:val="BTEMEASMCA"/>
      </w:pPr>
      <w:r w:rsidRPr="00DB639D">
        <w:t>Šis vaistas Europos ekonominės erdvės valstybėse narėse yra registruotas tokiais pavadinimais:</w:t>
      </w:r>
    </w:p>
    <w:p w14:paraId="1922A62B" w14:textId="77777777" w:rsidR="0080416E" w:rsidRPr="00FF397D" w:rsidRDefault="0080416E" w:rsidP="00B45D31">
      <w:pPr>
        <w:pStyle w:val="BTEMEASMCA"/>
      </w:pPr>
    </w:p>
    <w:p w14:paraId="614D7C29" w14:textId="77777777" w:rsidR="00A6561C" w:rsidRPr="00FF397D" w:rsidRDefault="00A6561C" w:rsidP="00A6561C">
      <w:pPr>
        <w:tabs>
          <w:tab w:val="clear" w:pos="567"/>
        </w:tabs>
        <w:autoSpaceDE w:val="0"/>
        <w:autoSpaceDN w:val="0"/>
        <w:adjustRightInd w:val="0"/>
        <w:spacing w:line="240" w:lineRule="auto"/>
        <w:rPr>
          <w:rFonts w:eastAsia="TimesNewRoman"/>
          <w:snapToGrid/>
          <w:szCs w:val="22"/>
          <w:lang w:val="lt-LT" w:eastAsia="lt-LT"/>
        </w:rPr>
      </w:pPr>
      <w:r w:rsidRPr="00FF397D">
        <w:rPr>
          <w:b/>
          <w:bCs/>
          <w:szCs w:val="22"/>
          <w:lang w:val="lt-LT"/>
        </w:rPr>
        <w:t>Austrija:</w:t>
      </w:r>
      <w:r w:rsidRPr="00FF397D">
        <w:rPr>
          <w:szCs w:val="22"/>
          <w:lang w:val="lt-LT"/>
        </w:rPr>
        <w:t xml:space="preserve"> </w:t>
      </w:r>
      <w:r w:rsidRPr="00FF397D">
        <w:rPr>
          <w:rFonts w:eastAsia="TimesNewRoman"/>
          <w:snapToGrid/>
          <w:szCs w:val="22"/>
          <w:lang w:val="lt-LT" w:eastAsia="lt-LT"/>
        </w:rPr>
        <w:t xml:space="preserve">Teriflunomid ratiopharm 14 mg Filmtabletten; </w:t>
      </w:r>
      <w:r w:rsidRPr="00FF397D">
        <w:rPr>
          <w:rFonts w:eastAsia="TimesNewRoman"/>
          <w:b/>
          <w:bCs/>
          <w:snapToGrid/>
          <w:szCs w:val="22"/>
          <w:lang w:val="lt-LT" w:eastAsia="lt-LT"/>
        </w:rPr>
        <w:t>Belgija:</w:t>
      </w:r>
      <w:r w:rsidRPr="00FF397D">
        <w:rPr>
          <w:rFonts w:eastAsia="TimesNewRoman"/>
          <w:snapToGrid/>
          <w:szCs w:val="22"/>
          <w:lang w:val="lt-LT" w:eastAsia="lt-LT"/>
        </w:rPr>
        <w:t xml:space="preserve"> Teriflunomide Teva 14 mg Filmomhulde tabletten/comprimés pelliculés/Filmtabletten; </w:t>
      </w:r>
      <w:r w:rsidRPr="00FF397D">
        <w:rPr>
          <w:rFonts w:eastAsia="TimesNewRoman"/>
          <w:b/>
          <w:bCs/>
          <w:snapToGrid/>
          <w:szCs w:val="22"/>
          <w:lang w:val="lt-LT" w:eastAsia="lt-LT"/>
        </w:rPr>
        <w:t>Čekija, Danija, Estija, Ispanija, Italija, Norvegija, Lenkija</w:t>
      </w:r>
      <w:r w:rsidR="005A0376" w:rsidRPr="00FF397D">
        <w:rPr>
          <w:rFonts w:eastAsia="TimesNewRoman"/>
          <w:b/>
          <w:bCs/>
          <w:snapToGrid/>
          <w:szCs w:val="22"/>
          <w:lang w:val="lt-LT" w:eastAsia="lt-LT"/>
        </w:rPr>
        <w:t>, Švedija</w:t>
      </w:r>
      <w:r w:rsidRPr="00FF397D">
        <w:rPr>
          <w:rFonts w:eastAsia="TimesNewRoman"/>
          <w:b/>
          <w:bCs/>
          <w:snapToGrid/>
          <w:szCs w:val="22"/>
          <w:lang w:val="lt-LT" w:eastAsia="lt-LT"/>
        </w:rPr>
        <w:t>:</w:t>
      </w:r>
      <w:r w:rsidRPr="00FF397D">
        <w:rPr>
          <w:rFonts w:eastAsia="TimesNewRoman"/>
          <w:snapToGrid/>
          <w:szCs w:val="22"/>
          <w:lang w:val="lt-LT" w:eastAsia="lt-LT"/>
        </w:rPr>
        <w:t xml:space="preserve"> Teriflunomide Teva; </w:t>
      </w:r>
      <w:r w:rsidRPr="00FF397D">
        <w:rPr>
          <w:rFonts w:eastAsia="TimesNewRoman"/>
          <w:b/>
          <w:bCs/>
          <w:snapToGrid/>
          <w:szCs w:val="22"/>
          <w:lang w:val="lt-LT" w:eastAsia="lt-LT"/>
        </w:rPr>
        <w:t>Vokietija:</w:t>
      </w:r>
      <w:r w:rsidRPr="00FF397D">
        <w:rPr>
          <w:rFonts w:eastAsia="TimesNewRoman"/>
          <w:snapToGrid/>
          <w:szCs w:val="22"/>
          <w:lang w:val="lt-LT" w:eastAsia="lt-LT"/>
        </w:rPr>
        <w:t xml:space="preserve"> Teriflunomid-ratiopharm 14 mg Filmtabletten; </w:t>
      </w:r>
      <w:r w:rsidRPr="00FF397D">
        <w:rPr>
          <w:rFonts w:eastAsia="TimesNewRoman"/>
          <w:b/>
          <w:bCs/>
          <w:snapToGrid/>
          <w:szCs w:val="22"/>
          <w:lang w:val="lt-LT" w:eastAsia="lt-LT"/>
        </w:rPr>
        <w:t>Ispanija:</w:t>
      </w:r>
      <w:r w:rsidRPr="00FF397D">
        <w:rPr>
          <w:rFonts w:eastAsia="TimesNewRoman"/>
          <w:snapToGrid/>
          <w:szCs w:val="22"/>
          <w:lang w:val="lt-LT" w:eastAsia="lt-LT"/>
        </w:rPr>
        <w:t xml:space="preserve"> Teriflunomida Teva 14 mg comprimidos recubiertos con película EFG; </w:t>
      </w:r>
      <w:r w:rsidRPr="00FF397D">
        <w:rPr>
          <w:rFonts w:eastAsia="TimesNewRoman"/>
          <w:b/>
          <w:bCs/>
          <w:snapToGrid/>
          <w:szCs w:val="22"/>
          <w:lang w:val="lt-LT" w:eastAsia="lt-LT"/>
        </w:rPr>
        <w:t>Suomija:</w:t>
      </w:r>
      <w:r w:rsidRPr="00FF397D">
        <w:rPr>
          <w:rFonts w:eastAsia="TimesNewRoman"/>
          <w:snapToGrid/>
          <w:szCs w:val="22"/>
          <w:lang w:val="lt-LT" w:eastAsia="lt-LT"/>
        </w:rPr>
        <w:t xml:space="preserve"> Teriflunomide ratiopharm 14 mg tabletti, kalvopäällysteinen; </w:t>
      </w:r>
      <w:r w:rsidRPr="00FF397D">
        <w:rPr>
          <w:rFonts w:eastAsia="TimesNewRoman"/>
          <w:b/>
          <w:bCs/>
          <w:snapToGrid/>
          <w:szCs w:val="22"/>
          <w:lang w:val="lt-LT" w:eastAsia="lt-LT"/>
        </w:rPr>
        <w:t>Prancūzija:</w:t>
      </w:r>
      <w:r w:rsidRPr="00FF397D">
        <w:rPr>
          <w:rFonts w:eastAsia="TimesNewRoman"/>
          <w:snapToGrid/>
          <w:szCs w:val="22"/>
          <w:lang w:val="lt-LT" w:eastAsia="lt-LT"/>
        </w:rPr>
        <w:t xml:space="preserve"> Tériflunomide Teva 14 mg, comprimé pelliculé; </w:t>
      </w:r>
      <w:r w:rsidRPr="00FF397D">
        <w:rPr>
          <w:rFonts w:eastAsia="TimesNewRoman"/>
          <w:b/>
          <w:bCs/>
          <w:snapToGrid/>
          <w:szCs w:val="22"/>
          <w:lang w:val="lt-LT" w:eastAsia="lt-LT"/>
        </w:rPr>
        <w:t>Kroatija:</w:t>
      </w:r>
      <w:r w:rsidRPr="00FF397D">
        <w:rPr>
          <w:rFonts w:eastAsia="TimesNewRoman"/>
          <w:snapToGrid/>
          <w:szCs w:val="22"/>
          <w:lang w:val="lt-LT" w:eastAsia="lt-LT"/>
        </w:rPr>
        <w:t xml:space="preserve"> Teriflunomid Teva 14 mg filmom obložene tablete; </w:t>
      </w:r>
      <w:r w:rsidRPr="00FF397D">
        <w:rPr>
          <w:rFonts w:eastAsia="TimesNewRoman"/>
          <w:b/>
          <w:bCs/>
          <w:snapToGrid/>
          <w:szCs w:val="22"/>
          <w:lang w:val="lt-LT" w:eastAsia="lt-LT"/>
        </w:rPr>
        <w:t>Vengrija:</w:t>
      </w:r>
      <w:r w:rsidRPr="00FF397D">
        <w:rPr>
          <w:rFonts w:eastAsia="TimesNewRoman"/>
          <w:snapToGrid/>
          <w:szCs w:val="22"/>
          <w:lang w:val="lt-LT" w:eastAsia="lt-LT"/>
        </w:rPr>
        <w:t xml:space="preserve"> Teriflunomide Teva 14 mg filmtabletta; </w:t>
      </w:r>
      <w:r w:rsidRPr="00FF397D">
        <w:rPr>
          <w:rFonts w:eastAsia="TimesNewRoman"/>
          <w:b/>
          <w:bCs/>
          <w:snapToGrid/>
          <w:szCs w:val="22"/>
          <w:lang w:val="lt-LT" w:eastAsia="lt-LT"/>
        </w:rPr>
        <w:t>Latvija:</w:t>
      </w:r>
      <w:r w:rsidRPr="00FF397D">
        <w:rPr>
          <w:rFonts w:eastAsia="TimesNewRoman"/>
          <w:snapToGrid/>
          <w:szCs w:val="22"/>
          <w:lang w:val="lt-LT" w:eastAsia="lt-LT"/>
        </w:rPr>
        <w:t xml:space="preserve"> Teriflunomide Teva 14 mg</w:t>
      </w:r>
    </w:p>
    <w:p w14:paraId="74A1281A" w14:textId="77777777" w:rsidR="00111F86" w:rsidRPr="00FF397D" w:rsidRDefault="00A6561C" w:rsidP="005A0376">
      <w:pPr>
        <w:tabs>
          <w:tab w:val="clear" w:pos="567"/>
        </w:tabs>
        <w:autoSpaceDE w:val="0"/>
        <w:autoSpaceDN w:val="0"/>
        <w:adjustRightInd w:val="0"/>
        <w:spacing w:line="240" w:lineRule="auto"/>
        <w:rPr>
          <w:rFonts w:eastAsia="TimesNewRoman"/>
          <w:snapToGrid/>
          <w:szCs w:val="22"/>
          <w:lang w:val="lt-LT" w:eastAsia="lt-LT"/>
        </w:rPr>
      </w:pPr>
      <w:r w:rsidRPr="00FF397D">
        <w:rPr>
          <w:rFonts w:eastAsia="TimesNewRoman"/>
          <w:snapToGrid/>
          <w:szCs w:val="22"/>
          <w:lang w:val="lt-LT" w:eastAsia="lt-LT"/>
        </w:rPr>
        <w:t xml:space="preserve">apvalkotās tabletes; </w:t>
      </w:r>
      <w:r w:rsidRPr="00FF397D">
        <w:rPr>
          <w:rFonts w:eastAsia="TimesNewRoman"/>
          <w:b/>
          <w:bCs/>
          <w:snapToGrid/>
          <w:szCs w:val="22"/>
          <w:lang w:val="lt-LT" w:eastAsia="lt-LT"/>
        </w:rPr>
        <w:t>Nyderlandai:</w:t>
      </w:r>
      <w:r w:rsidRPr="00FF397D">
        <w:rPr>
          <w:rFonts w:eastAsia="TimesNewRoman"/>
          <w:snapToGrid/>
          <w:szCs w:val="22"/>
          <w:lang w:val="lt-LT" w:eastAsia="lt-LT"/>
        </w:rPr>
        <w:t xml:space="preserve"> Teriflunomide Teva 14 mg, filmomhulde tabletten; </w:t>
      </w:r>
      <w:r w:rsidRPr="00FF397D">
        <w:rPr>
          <w:rFonts w:eastAsia="TimesNewRoman"/>
          <w:b/>
          <w:bCs/>
          <w:snapToGrid/>
          <w:szCs w:val="22"/>
          <w:lang w:val="lt-LT" w:eastAsia="lt-LT"/>
        </w:rPr>
        <w:t>Portugalija:</w:t>
      </w:r>
      <w:r w:rsidRPr="00FF397D">
        <w:rPr>
          <w:rFonts w:eastAsia="TimesNewRoman"/>
          <w:snapToGrid/>
          <w:szCs w:val="22"/>
          <w:lang w:val="lt-LT" w:eastAsia="lt-LT"/>
        </w:rPr>
        <w:t xml:space="preserve"> Teriflunomida Teva; </w:t>
      </w:r>
      <w:r w:rsidRPr="00FF397D">
        <w:rPr>
          <w:rFonts w:eastAsia="TimesNewRoman"/>
          <w:b/>
          <w:bCs/>
          <w:snapToGrid/>
          <w:szCs w:val="22"/>
          <w:lang w:val="lt-LT" w:eastAsia="lt-LT"/>
        </w:rPr>
        <w:t>Rumunija:</w:t>
      </w:r>
      <w:r w:rsidRPr="00FF397D">
        <w:rPr>
          <w:rFonts w:eastAsia="TimesNewRoman"/>
          <w:snapToGrid/>
          <w:szCs w:val="22"/>
          <w:lang w:val="lt-LT" w:eastAsia="lt-LT"/>
        </w:rPr>
        <w:t xml:space="preserve"> Teriflunomidă Teva 14 mg</w:t>
      </w:r>
      <w:r w:rsidR="00461E4A" w:rsidRPr="00FF397D">
        <w:rPr>
          <w:rFonts w:eastAsia="TimesNewRoman"/>
          <w:snapToGrid/>
          <w:szCs w:val="22"/>
          <w:lang w:val="lt-LT" w:eastAsia="lt-LT"/>
        </w:rPr>
        <w:t xml:space="preserve"> </w:t>
      </w:r>
      <w:r w:rsidRPr="00FF397D">
        <w:rPr>
          <w:rFonts w:eastAsia="TimesNewRoman"/>
          <w:snapToGrid/>
          <w:szCs w:val="22"/>
          <w:lang w:val="lt-LT" w:eastAsia="lt-LT"/>
        </w:rPr>
        <w:t xml:space="preserve">comprimate filmate; </w:t>
      </w:r>
      <w:r w:rsidR="005A0376" w:rsidRPr="00FF397D">
        <w:rPr>
          <w:rFonts w:eastAsia="TimesNewRoman"/>
          <w:b/>
          <w:bCs/>
          <w:snapToGrid/>
          <w:szCs w:val="22"/>
          <w:lang w:val="lt-LT" w:eastAsia="lt-LT"/>
        </w:rPr>
        <w:t>Slovėnija:</w:t>
      </w:r>
      <w:r w:rsidR="005A0376" w:rsidRPr="00FF397D">
        <w:rPr>
          <w:rFonts w:eastAsia="TimesNewRoman"/>
          <w:snapToGrid/>
          <w:szCs w:val="22"/>
          <w:lang w:val="lt-LT" w:eastAsia="lt-LT"/>
        </w:rPr>
        <w:t xml:space="preserve"> Teriflunomid Teva 14 mg filmsko obložene tablete; </w:t>
      </w:r>
      <w:r w:rsidR="005A0376" w:rsidRPr="00FF397D">
        <w:rPr>
          <w:rFonts w:eastAsia="TimesNewRoman"/>
          <w:b/>
          <w:bCs/>
          <w:snapToGrid/>
          <w:szCs w:val="22"/>
          <w:lang w:val="lt-LT" w:eastAsia="lt-LT"/>
        </w:rPr>
        <w:t>Slovakija:</w:t>
      </w:r>
      <w:r w:rsidR="005A0376" w:rsidRPr="00FF397D">
        <w:rPr>
          <w:rFonts w:eastAsia="TimesNewRoman"/>
          <w:snapToGrid/>
          <w:szCs w:val="22"/>
          <w:lang w:val="lt-LT" w:eastAsia="lt-LT"/>
        </w:rPr>
        <w:t xml:space="preserve"> Teriflunomid Teva 14 mg filmom obalené tablety</w:t>
      </w:r>
      <w:r w:rsidR="00461E4A" w:rsidRPr="00FF397D">
        <w:rPr>
          <w:rFonts w:eastAsia="TimesNewRoman"/>
          <w:snapToGrid/>
          <w:szCs w:val="22"/>
          <w:lang w:val="lt-LT" w:eastAsia="lt-LT"/>
        </w:rPr>
        <w:t>.</w:t>
      </w:r>
    </w:p>
    <w:p w14:paraId="5748EBC6" w14:textId="77777777" w:rsidR="00A6561C" w:rsidRPr="00FF397D" w:rsidRDefault="00A6561C" w:rsidP="00A6561C">
      <w:pPr>
        <w:tabs>
          <w:tab w:val="clear" w:pos="567"/>
        </w:tabs>
        <w:autoSpaceDE w:val="0"/>
        <w:autoSpaceDN w:val="0"/>
        <w:adjustRightInd w:val="0"/>
        <w:spacing w:line="240" w:lineRule="auto"/>
        <w:rPr>
          <w:szCs w:val="22"/>
          <w:lang w:val="lt-LT"/>
        </w:rPr>
      </w:pPr>
    </w:p>
    <w:p w14:paraId="2389E080" w14:textId="77777777" w:rsidR="00111F86" w:rsidRPr="00FF397D" w:rsidRDefault="00111F86" w:rsidP="00B45D31">
      <w:pPr>
        <w:pStyle w:val="BTEMEASMCA"/>
      </w:pPr>
    </w:p>
    <w:p w14:paraId="7B76529B" w14:textId="2282B4B7" w:rsidR="0080416E" w:rsidRPr="0089081B" w:rsidRDefault="0080416E" w:rsidP="00B45D31">
      <w:pPr>
        <w:pStyle w:val="BTEMEASMCA"/>
        <w:rPr>
          <w:b/>
          <w:bCs/>
          <w:lang w:val="lt-LT"/>
        </w:rPr>
      </w:pPr>
      <w:r w:rsidRPr="0089081B">
        <w:rPr>
          <w:b/>
          <w:bCs/>
        </w:rPr>
        <w:t xml:space="preserve">Šis pakuotės lapelis paskutinį kartą peržiūrėtas </w:t>
      </w:r>
      <w:r w:rsidR="00234720" w:rsidRPr="0089081B">
        <w:rPr>
          <w:b/>
          <w:bCs/>
          <w:lang w:val="lt-LT"/>
        </w:rPr>
        <w:t>202</w:t>
      </w:r>
      <w:r w:rsidR="00415914" w:rsidRPr="0089081B">
        <w:rPr>
          <w:b/>
          <w:bCs/>
          <w:lang w:val="lt-LT"/>
        </w:rPr>
        <w:t>4</w:t>
      </w:r>
      <w:r w:rsidR="00234720" w:rsidRPr="0089081B">
        <w:rPr>
          <w:b/>
          <w:bCs/>
          <w:lang w:val="lt-LT"/>
        </w:rPr>
        <w:t>-0</w:t>
      </w:r>
      <w:r w:rsidR="00415914" w:rsidRPr="0089081B">
        <w:rPr>
          <w:b/>
          <w:bCs/>
          <w:lang w:val="lt-LT"/>
        </w:rPr>
        <w:t>8</w:t>
      </w:r>
      <w:r w:rsidR="00234720" w:rsidRPr="0089081B">
        <w:rPr>
          <w:b/>
          <w:bCs/>
          <w:lang w:val="lt-LT"/>
        </w:rPr>
        <w:t>-</w:t>
      </w:r>
      <w:r w:rsidR="00415914" w:rsidRPr="0089081B">
        <w:rPr>
          <w:b/>
          <w:bCs/>
          <w:lang w:val="lt-LT"/>
        </w:rPr>
        <w:t>2</w:t>
      </w:r>
      <w:r w:rsidR="00BE68A0" w:rsidRPr="0089081B">
        <w:rPr>
          <w:b/>
          <w:bCs/>
          <w:lang w:val="lt-LT"/>
        </w:rPr>
        <w:t>7</w:t>
      </w:r>
      <w:r w:rsidR="00234720" w:rsidRPr="0089081B">
        <w:rPr>
          <w:b/>
          <w:bCs/>
          <w:lang w:val="lt-LT"/>
        </w:rPr>
        <w:t>.</w:t>
      </w:r>
    </w:p>
    <w:p w14:paraId="054C08C9" w14:textId="77777777" w:rsidR="0080416E" w:rsidRPr="00FF397D" w:rsidRDefault="0080416E" w:rsidP="00B45D31">
      <w:pPr>
        <w:pStyle w:val="BTEMEASMCA"/>
      </w:pPr>
    </w:p>
    <w:p w14:paraId="50F9BFE4" w14:textId="77777777" w:rsidR="0080416E" w:rsidRPr="00FF397D" w:rsidRDefault="0080416E" w:rsidP="00B45D31">
      <w:pPr>
        <w:pStyle w:val="BTEMEASMCA"/>
      </w:pPr>
      <w:r w:rsidRPr="00FF397D">
        <w:t xml:space="preserve">Išsami informacija apie šį vaistą pateikiama Valstybinės vaistų kontrolės tarnybos prie Lietuvos Respublikos sveikatos apsaugos ministerijos tinklalapyje </w:t>
      </w:r>
      <w:hyperlink r:id="rId13" w:history="1">
        <w:r w:rsidRPr="00FF397D">
          <w:rPr>
            <w:rStyle w:val="Hipersaitas"/>
            <w:noProof w:val="0"/>
          </w:rPr>
          <w:t>http://www.vvkt.lt/</w:t>
        </w:r>
      </w:hyperlink>
    </w:p>
    <w:p w14:paraId="18436280" w14:textId="77777777" w:rsidR="0080416E" w:rsidRPr="00FF397D" w:rsidRDefault="0080416E" w:rsidP="00B45D31">
      <w:pPr>
        <w:pStyle w:val="BTEMEASMCA"/>
      </w:pPr>
    </w:p>
    <w:p w14:paraId="6C2685B7" w14:textId="77777777" w:rsidR="0080416E" w:rsidRPr="00FF397D" w:rsidRDefault="0080416E" w:rsidP="0080416E">
      <w:pPr>
        <w:rPr>
          <w:szCs w:val="22"/>
          <w:lang w:val="lt-LT"/>
        </w:rPr>
      </w:pPr>
    </w:p>
    <w:p w14:paraId="1CE4A6AF" w14:textId="77777777" w:rsidR="00C37D23" w:rsidRPr="00FF397D" w:rsidRDefault="00C37D23" w:rsidP="0080416E">
      <w:pPr>
        <w:tabs>
          <w:tab w:val="clear" w:pos="567"/>
          <w:tab w:val="left" w:pos="720"/>
          <w:tab w:val="left" w:pos="9214"/>
        </w:tabs>
        <w:spacing w:line="240" w:lineRule="auto"/>
        <w:ind w:right="282"/>
        <w:jc w:val="center"/>
        <w:outlineLvl w:val="0"/>
        <w:rPr>
          <w:szCs w:val="22"/>
          <w:lang w:val="lt-LT"/>
        </w:rPr>
      </w:pPr>
    </w:p>
    <w:sectPr w:rsidR="00C37D23" w:rsidRPr="00FF397D" w:rsidSect="00E52129">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D35A" w14:textId="77777777" w:rsidR="0033790B" w:rsidRDefault="0033790B" w:rsidP="006E7F44">
      <w:pPr>
        <w:spacing w:line="240" w:lineRule="auto"/>
      </w:pPr>
      <w:r>
        <w:separator/>
      </w:r>
    </w:p>
  </w:endnote>
  <w:endnote w:type="continuationSeparator" w:id="0">
    <w:p w14:paraId="1081D9B9" w14:textId="77777777" w:rsidR="0033790B" w:rsidRDefault="0033790B" w:rsidP="006E7F44">
      <w:pPr>
        <w:spacing w:line="240" w:lineRule="auto"/>
      </w:pPr>
      <w:r>
        <w:continuationSeparator/>
      </w:r>
    </w:p>
  </w:endnote>
  <w:endnote w:type="continuationNotice" w:id="1">
    <w:p w14:paraId="34E3D2C7" w14:textId="77777777" w:rsidR="0033790B" w:rsidRDefault="00337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SymbolMT">
    <w:altName w:val="Microsoft JhengHei"/>
    <w:panose1 w:val="00000000000000000000"/>
    <w:charset w:val="80"/>
    <w:family w:val="auto"/>
    <w:notTrueType/>
    <w:pitch w:val="default"/>
    <w:sig w:usb0="00000001" w:usb1="080F0000" w:usb2="00000010" w:usb3="00000000" w:csb0="001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B1D8" w14:textId="0B39E35C" w:rsidR="00053B51" w:rsidRDefault="00053B51">
    <w:pPr>
      <w:pStyle w:val="Porat"/>
      <w:jc w:val="right"/>
    </w:pPr>
    <w:r>
      <w:fldChar w:fldCharType="begin"/>
    </w:r>
    <w:r>
      <w:instrText xml:space="preserve"> PAGE   \* MERGEFORMAT </w:instrText>
    </w:r>
    <w:r>
      <w:fldChar w:fldCharType="separate"/>
    </w:r>
    <w:r w:rsidR="00510655">
      <w:rPr>
        <w:noProof/>
      </w:rPr>
      <w:t>2</w:t>
    </w:r>
    <w:r>
      <w:rPr>
        <w:noProof/>
      </w:rPr>
      <w:fldChar w:fldCharType="end"/>
    </w:r>
  </w:p>
  <w:p w14:paraId="318E79C5" w14:textId="77777777" w:rsidR="00053B51" w:rsidRDefault="00053B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C046" w14:textId="77777777" w:rsidR="0033790B" w:rsidRDefault="0033790B" w:rsidP="006E7F44">
      <w:pPr>
        <w:spacing w:line="240" w:lineRule="auto"/>
      </w:pPr>
      <w:r>
        <w:separator/>
      </w:r>
    </w:p>
  </w:footnote>
  <w:footnote w:type="continuationSeparator" w:id="0">
    <w:p w14:paraId="2339419A" w14:textId="77777777" w:rsidR="0033790B" w:rsidRDefault="0033790B" w:rsidP="006E7F44">
      <w:pPr>
        <w:spacing w:line="240" w:lineRule="auto"/>
      </w:pPr>
      <w:r>
        <w:continuationSeparator/>
      </w:r>
    </w:p>
  </w:footnote>
  <w:footnote w:type="continuationNotice" w:id="1">
    <w:p w14:paraId="339169A8" w14:textId="77777777" w:rsidR="0033790B" w:rsidRDefault="003379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E7F35"/>
    <w:multiLevelType w:val="hybridMultilevel"/>
    <w:tmpl w:val="B20CEA4C"/>
    <w:lvl w:ilvl="0" w:tplc="47DAD9BE">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C5788"/>
    <w:multiLevelType w:val="hybridMultilevel"/>
    <w:tmpl w:val="2C6223A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5D45C1"/>
    <w:multiLevelType w:val="hybridMultilevel"/>
    <w:tmpl w:val="21482390"/>
    <w:lvl w:ilvl="0" w:tplc="04270001">
      <w:start w:val="1"/>
      <w:numFmt w:val="bullet"/>
      <w:lvlText w:val=""/>
      <w:lvlJc w:val="left"/>
      <w:pPr>
        <w:ind w:left="144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3D35B9F"/>
    <w:multiLevelType w:val="hybridMultilevel"/>
    <w:tmpl w:val="09F2EE0A"/>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8F0D03"/>
    <w:multiLevelType w:val="hybridMultilevel"/>
    <w:tmpl w:val="B03A104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8485DF1"/>
    <w:multiLevelType w:val="hybridMultilevel"/>
    <w:tmpl w:val="721CF518"/>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8C50E53"/>
    <w:multiLevelType w:val="hybridMultilevel"/>
    <w:tmpl w:val="54164948"/>
    <w:lvl w:ilvl="0" w:tplc="04270003">
      <w:start w:val="1"/>
      <w:numFmt w:val="bullet"/>
      <w:lvlText w:val="o"/>
      <w:lvlJc w:val="left"/>
      <w:pPr>
        <w:ind w:left="2138" w:hanging="360"/>
      </w:pPr>
      <w:rPr>
        <w:rFonts w:ascii="Courier New" w:hAnsi="Courier New" w:cs="Courier New"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F643B0"/>
    <w:multiLevelType w:val="hybridMultilevel"/>
    <w:tmpl w:val="C9148D48"/>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714F29"/>
    <w:multiLevelType w:val="hybridMultilevel"/>
    <w:tmpl w:val="D17C0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2B14D66"/>
    <w:multiLevelType w:val="hybridMultilevel"/>
    <w:tmpl w:val="332811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8ED6F3A"/>
    <w:multiLevelType w:val="hybridMultilevel"/>
    <w:tmpl w:val="222EB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99F2925"/>
    <w:multiLevelType w:val="hybridMultilevel"/>
    <w:tmpl w:val="55FE85FA"/>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25716F8"/>
    <w:multiLevelType w:val="hybridMultilevel"/>
    <w:tmpl w:val="BDE8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4677E4"/>
    <w:multiLevelType w:val="hybridMultilevel"/>
    <w:tmpl w:val="74042332"/>
    <w:lvl w:ilvl="0" w:tplc="47DAD9B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C80422"/>
    <w:multiLevelType w:val="hybridMultilevel"/>
    <w:tmpl w:val="64B03A80"/>
    <w:lvl w:ilvl="0" w:tplc="04070005">
      <w:start w:val="1"/>
      <w:numFmt w:val="bullet"/>
      <w:lvlText w:val=""/>
      <w:lvlJc w:val="left"/>
      <w:pPr>
        <w:ind w:left="1344" w:hanging="360"/>
      </w:pPr>
      <w:rPr>
        <w:rFonts w:ascii="Wingdings" w:hAnsi="Wingdings"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5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291E2A17"/>
    <w:multiLevelType w:val="hybridMultilevel"/>
    <w:tmpl w:val="FC1C7590"/>
    <w:lvl w:ilvl="0" w:tplc="8C868AAE">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0"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2" w15:restartNumberingAfterBreak="0">
    <w:nsid w:val="2AF66C03"/>
    <w:multiLevelType w:val="hybridMultilevel"/>
    <w:tmpl w:val="F47E18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3"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6"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7" w15:restartNumberingAfterBreak="0">
    <w:nsid w:val="302B22B3"/>
    <w:multiLevelType w:val="hybridMultilevel"/>
    <w:tmpl w:val="CCBE2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9"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701E3E"/>
    <w:multiLevelType w:val="hybridMultilevel"/>
    <w:tmpl w:val="F3F4A0F4"/>
    <w:lvl w:ilvl="0" w:tplc="8C868AAE">
      <w:numFmt w:val="bullet"/>
      <w:lvlText w:val="•"/>
      <w:lvlJc w:val="left"/>
      <w:rPr>
        <w:rFonts w:ascii="Times New Roman" w:eastAsia="Calibr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2" w15:restartNumberingAfterBreak="0">
    <w:nsid w:val="32DF630F"/>
    <w:multiLevelType w:val="hybridMultilevel"/>
    <w:tmpl w:val="EA460372"/>
    <w:lvl w:ilvl="0" w:tplc="A51A82D6">
      <w:start w:val="9"/>
      <w:numFmt w:val="bullet"/>
      <w:lvlText w:val="-"/>
      <w:lvlJc w:val="left"/>
      <w:pPr>
        <w:ind w:left="1344" w:hanging="360"/>
      </w:pPr>
      <w:rPr>
        <w:rFonts w:ascii="Times New Roman" w:eastAsia="Times New Roman" w:hAnsi="Times New Roman" w:cs="Times New Roman"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73" w15:restartNumberingAfterBreak="0">
    <w:nsid w:val="33447C19"/>
    <w:multiLevelType w:val="hybridMultilevel"/>
    <w:tmpl w:val="37BA67D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35F0E82"/>
    <w:multiLevelType w:val="hybridMultilevel"/>
    <w:tmpl w:val="6834F0D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41E2537"/>
    <w:multiLevelType w:val="hybridMultilevel"/>
    <w:tmpl w:val="75662D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807C30"/>
    <w:multiLevelType w:val="hybridMultilevel"/>
    <w:tmpl w:val="804C7B32"/>
    <w:lvl w:ilvl="0" w:tplc="042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B31D3D"/>
    <w:multiLevelType w:val="hybridMultilevel"/>
    <w:tmpl w:val="A97A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393726D1"/>
    <w:multiLevelType w:val="hybridMultilevel"/>
    <w:tmpl w:val="94A282BA"/>
    <w:lvl w:ilvl="0" w:tplc="47DAD9BE">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6159E3"/>
    <w:multiLevelType w:val="hybridMultilevel"/>
    <w:tmpl w:val="3ED85F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4D6330"/>
    <w:multiLevelType w:val="hybridMultilevel"/>
    <w:tmpl w:val="26B09BC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4954211"/>
    <w:multiLevelType w:val="hybridMultilevel"/>
    <w:tmpl w:val="C6AAF87E"/>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452010C9"/>
    <w:multiLevelType w:val="hybridMultilevel"/>
    <w:tmpl w:val="547CAC8A"/>
    <w:lvl w:ilvl="0" w:tplc="04070005">
      <w:start w:val="1"/>
      <w:numFmt w:val="bullet"/>
      <w:lvlText w:val=""/>
      <w:lvlJc w:val="left"/>
      <w:pPr>
        <w:ind w:left="1247" w:hanging="360"/>
      </w:pPr>
      <w:rPr>
        <w:rFonts w:ascii="Wingdings" w:hAnsi="Wingdings"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96" w15:restartNumberingAfterBreak="0">
    <w:nsid w:val="46197CD2"/>
    <w:multiLevelType w:val="hybridMultilevel"/>
    <w:tmpl w:val="9A88F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7E023C8"/>
    <w:multiLevelType w:val="hybridMultilevel"/>
    <w:tmpl w:val="C75EDF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AC3999"/>
    <w:multiLevelType w:val="hybridMultilevel"/>
    <w:tmpl w:val="BD227B18"/>
    <w:lvl w:ilvl="0" w:tplc="B712D14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8B62DB7"/>
    <w:multiLevelType w:val="hybridMultilevel"/>
    <w:tmpl w:val="C0CCDA1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AEA2E54"/>
    <w:multiLevelType w:val="hybridMultilevel"/>
    <w:tmpl w:val="09CAF7CA"/>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3" w15:restartNumberingAfterBreak="0">
    <w:nsid w:val="4B8154F5"/>
    <w:multiLevelType w:val="hybridMultilevel"/>
    <w:tmpl w:val="EB628F3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108" w15:restartNumberingAfterBreak="0">
    <w:nsid w:val="4EE144CF"/>
    <w:multiLevelType w:val="hybridMultilevel"/>
    <w:tmpl w:val="AE466846"/>
    <w:lvl w:ilvl="0" w:tplc="7B2492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053158"/>
    <w:multiLevelType w:val="hybridMultilevel"/>
    <w:tmpl w:val="B2D2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22F0DE8"/>
    <w:multiLevelType w:val="hybridMultilevel"/>
    <w:tmpl w:val="4AF2A1B2"/>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4" w15:restartNumberingAfterBreak="0">
    <w:nsid w:val="5282006A"/>
    <w:multiLevelType w:val="hybridMultilevel"/>
    <w:tmpl w:val="A8D0DA7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55BF5209"/>
    <w:multiLevelType w:val="hybridMultilevel"/>
    <w:tmpl w:val="88DAA660"/>
    <w:lvl w:ilvl="0" w:tplc="04270003">
      <w:start w:val="1"/>
      <w:numFmt w:val="bullet"/>
      <w:lvlText w:val="o"/>
      <w:lvlJc w:val="left"/>
      <w:pPr>
        <w:ind w:left="1080" w:hanging="360"/>
      </w:pPr>
      <w:rPr>
        <w:rFonts w:ascii="Courier New" w:hAnsi="Courier New" w:cs="Courier New" w:hint="default"/>
      </w:rPr>
    </w:lvl>
    <w:lvl w:ilvl="1" w:tplc="04270003">
      <w:start w:val="1"/>
      <w:numFmt w:val="bullet"/>
      <w:lvlText w:val="o"/>
      <w:lvlJc w:val="left"/>
      <w:pPr>
        <w:ind w:left="1069" w:hanging="360"/>
      </w:pPr>
      <w:rPr>
        <w:rFonts w:ascii="Courier New" w:hAnsi="Courier New" w:cs="Courier New" w:hint="default"/>
      </w:rPr>
    </w:lvl>
    <w:lvl w:ilvl="2" w:tplc="1B46D352">
      <w:start w:val="2"/>
      <w:numFmt w:val="bullet"/>
      <w:lvlText w:val="•"/>
      <w:lvlJc w:val="left"/>
      <w:pPr>
        <w:ind w:left="2520" w:hanging="360"/>
      </w:pPr>
      <w:rPr>
        <w:rFonts w:ascii="MS Mincho" w:eastAsia="MS Mincho" w:hAnsi="MS Mincho" w:cs="Times New Roman" w:hint="eastAsia"/>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7" w15:restartNumberingAfterBreak="0">
    <w:nsid w:val="56D43B01"/>
    <w:multiLevelType w:val="hybridMultilevel"/>
    <w:tmpl w:val="8672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5946DD"/>
    <w:multiLevelType w:val="hybridMultilevel"/>
    <w:tmpl w:val="7988DAF8"/>
    <w:lvl w:ilvl="0" w:tplc="04270001">
      <w:start w:val="1"/>
      <w:numFmt w:val="bullet"/>
      <w:lvlText w:val=""/>
      <w:lvlJc w:val="left"/>
      <w:pPr>
        <w:ind w:left="830" w:hanging="360"/>
      </w:pPr>
      <w:rPr>
        <w:rFonts w:ascii="Symbol" w:hAnsi="Symbol" w:hint="default"/>
      </w:rPr>
    </w:lvl>
    <w:lvl w:ilvl="1" w:tplc="04270003" w:tentative="1">
      <w:start w:val="1"/>
      <w:numFmt w:val="bullet"/>
      <w:lvlText w:val="o"/>
      <w:lvlJc w:val="left"/>
      <w:pPr>
        <w:ind w:left="1550" w:hanging="360"/>
      </w:pPr>
      <w:rPr>
        <w:rFonts w:ascii="Courier New" w:hAnsi="Courier New" w:cs="Courier New" w:hint="default"/>
      </w:rPr>
    </w:lvl>
    <w:lvl w:ilvl="2" w:tplc="04270005" w:tentative="1">
      <w:start w:val="1"/>
      <w:numFmt w:val="bullet"/>
      <w:lvlText w:val=""/>
      <w:lvlJc w:val="left"/>
      <w:pPr>
        <w:ind w:left="2270" w:hanging="360"/>
      </w:pPr>
      <w:rPr>
        <w:rFonts w:ascii="Wingdings" w:hAnsi="Wingdings" w:hint="default"/>
      </w:rPr>
    </w:lvl>
    <w:lvl w:ilvl="3" w:tplc="04270001" w:tentative="1">
      <w:start w:val="1"/>
      <w:numFmt w:val="bullet"/>
      <w:lvlText w:val=""/>
      <w:lvlJc w:val="left"/>
      <w:pPr>
        <w:ind w:left="2990" w:hanging="360"/>
      </w:pPr>
      <w:rPr>
        <w:rFonts w:ascii="Symbol" w:hAnsi="Symbol" w:hint="default"/>
      </w:rPr>
    </w:lvl>
    <w:lvl w:ilvl="4" w:tplc="04270003" w:tentative="1">
      <w:start w:val="1"/>
      <w:numFmt w:val="bullet"/>
      <w:lvlText w:val="o"/>
      <w:lvlJc w:val="left"/>
      <w:pPr>
        <w:ind w:left="3710" w:hanging="360"/>
      </w:pPr>
      <w:rPr>
        <w:rFonts w:ascii="Courier New" w:hAnsi="Courier New" w:cs="Courier New" w:hint="default"/>
      </w:rPr>
    </w:lvl>
    <w:lvl w:ilvl="5" w:tplc="04270005" w:tentative="1">
      <w:start w:val="1"/>
      <w:numFmt w:val="bullet"/>
      <w:lvlText w:val=""/>
      <w:lvlJc w:val="left"/>
      <w:pPr>
        <w:ind w:left="4430" w:hanging="360"/>
      </w:pPr>
      <w:rPr>
        <w:rFonts w:ascii="Wingdings" w:hAnsi="Wingdings" w:hint="default"/>
      </w:rPr>
    </w:lvl>
    <w:lvl w:ilvl="6" w:tplc="04270001" w:tentative="1">
      <w:start w:val="1"/>
      <w:numFmt w:val="bullet"/>
      <w:lvlText w:val=""/>
      <w:lvlJc w:val="left"/>
      <w:pPr>
        <w:ind w:left="5150" w:hanging="360"/>
      </w:pPr>
      <w:rPr>
        <w:rFonts w:ascii="Symbol" w:hAnsi="Symbol" w:hint="default"/>
      </w:rPr>
    </w:lvl>
    <w:lvl w:ilvl="7" w:tplc="04270003" w:tentative="1">
      <w:start w:val="1"/>
      <w:numFmt w:val="bullet"/>
      <w:lvlText w:val="o"/>
      <w:lvlJc w:val="left"/>
      <w:pPr>
        <w:ind w:left="5870" w:hanging="360"/>
      </w:pPr>
      <w:rPr>
        <w:rFonts w:ascii="Courier New" w:hAnsi="Courier New" w:cs="Courier New" w:hint="default"/>
      </w:rPr>
    </w:lvl>
    <w:lvl w:ilvl="8" w:tplc="04270005" w:tentative="1">
      <w:start w:val="1"/>
      <w:numFmt w:val="bullet"/>
      <w:lvlText w:val=""/>
      <w:lvlJc w:val="left"/>
      <w:pPr>
        <w:ind w:left="6590" w:hanging="360"/>
      </w:pPr>
      <w:rPr>
        <w:rFonts w:ascii="Wingdings" w:hAnsi="Wingdings" w:hint="default"/>
      </w:rPr>
    </w:lvl>
  </w:abstractNum>
  <w:abstractNum w:abstractNumId="120"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8736ABF"/>
    <w:multiLevelType w:val="hybridMultilevel"/>
    <w:tmpl w:val="E6584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3" w15:restartNumberingAfterBreak="0">
    <w:nsid w:val="5DE55461"/>
    <w:multiLevelType w:val="hybridMultilevel"/>
    <w:tmpl w:val="8856DD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5FA61CC7"/>
    <w:multiLevelType w:val="hybridMultilevel"/>
    <w:tmpl w:val="85F4694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2771D6"/>
    <w:multiLevelType w:val="hybridMultilevel"/>
    <w:tmpl w:val="DB6651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4C11C5F"/>
    <w:multiLevelType w:val="hybridMultilevel"/>
    <w:tmpl w:val="5C92B51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78B7E2B"/>
    <w:multiLevelType w:val="hybridMultilevel"/>
    <w:tmpl w:val="13D41DA8"/>
    <w:lvl w:ilvl="0" w:tplc="08090001">
      <w:start w:val="1"/>
      <w:numFmt w:val="bullet"/>
      <w:lvlText w:val=""/>
      <w:lvlJc w:val="left"/>
      <w:pPr>
        <w:ind w:left="4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A28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65DE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E216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84F2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DAB97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B215D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DEFE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D2CD6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9053957"/>
    <w:multiLevelType w:val="hybridMultilevel"/>
    <w:tmpl w:val="02664D76"/>
    <w:lvl w:ilvl="0" w:tplc="FFFFFFFF">
      <w:start w:val="4"/>
      <w:numFmt w:val="bullet"/>
      <w:lvlText w:val="‒"/>
      <w:lvlJc w:val="left"/>
      <w:pPr>
        <w:ind w:left="720" w:hanging="360"/>
      </w:pPr>
      <w:rPr>
        <w:rFonts w:ascii="Times New Roman" w:hAnsi="Times New Roman" w:cs="Times New Roman" w:hint="default"/>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C5B28F9"/>
    <w:multiLevelType w:val="hybridMultilevel"/>
    <w:tmpl w:val="10642870"/>
    <w:lvl w:ilvl="0" w:tplc="8C868AA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2" w15:restartNumberingAfterBreak="0">
    <w:nsid w:val="71602D54"/>
    <w:multiLevelType w:val="hybridMultilevel"/>
    <w:tmpl w:val="2C9CCB2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3" w15:restartNumberingAfterBreak="0">
    <w:nsid w:val="71A21FC5"/>
    <w:multiLevelType w:val="hybridMultilevel"/>
    <w:tmpl w:val="DD603B3E"/>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4" w15:restartNumberingAfterBreak="0">
    <w:nsid w:val="71ED69B8"/>
    <w:multiLevelType w:val="hybridMultilevel"/>
    <w:tmpl w:val="2036FE64"/>
    <w:lvl w:ilvl="0" w:tplc="47DAD9BE">
      <w:numFmt w:val="bullet"/>
      <w:lvlText w:val="•"/>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5" w15:restartNumberingAfterBreak="0">
    <w:nsid w:val="72F14CFF"/>
    <w:multiLevelType w:val="hybridMultilevel"/>
    <w:tmpl w:val="16366D40"/>
    <w:lvl w:ilvl="0" w:tplc="A51A82D6">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74302C4D"/>
    <w:multiLevelType w:val="hybridMultilevel"/>
    <w:tmpl w:val="A84AA18E"/>
    <w:lvl w:ilvl="0" w:tplc="60D65E6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8"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8715F38"/>
    <w:multiLevelType w:val="hybridMultilevel"/>
    <w:tmpl w:val="73C821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9DD53E1"/>
    <w:multiLevelType w:val="hybridMultilevel"/>
    <w:tmpl w:val="61DA5EDA"/>
    <w:lvl w:ilvl="0" w:tplc="60D65E6C">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1"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2"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E845E4"/>
    <w:multiLevelType w:val="hybridMultilevel"/>
    <w:tmpl w:val="6908C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52"/>
  </w:num>
  <w:num w:numId="6">
    <w:abstractNumId w:val="9"/>
  </w:num>
  <w:num w:numId="7">
    <w:abstractNumId w:val="111"/>
  </w:num>
  <w:num w:numId="8">
    <w:abstractNumId w:val="4"/>
  </w:num>
  <w:num w:numId="9">
    <w:abstractNumId w:val="139"/>
  </w:num>
  <w:num w:numId="10">
    <w:abstractNumId w:val="9"/>
  </w:num>
  <w:num w:numId="11">
    <w:abstractNumId w:val="106"/>
  </w:num>
  <w:num w:numId="12">
    <w:abstractNumId w:val="55"/>
  </w:num>
  <w:num w:numId="13">
    <w:abstractNumId w:val="64"/>
  </w:num>
  <w:num w:numId="14">
    <w:abstractNumId w:val="27"/>
  </w:num>
  <w:num w:numId="15">
    <w:abstractNumId w:val="156"/>
  </w:num>
  <w:num w:numId="16">
    <w:abstractNumId w:val="29"/>
  </w:num>
  <w:num w:numId="17">
    <w:abstractNumId w:val="118"/>
  </w:num>
  <w:num w:numId="18">
    <w:abstractNumId w:val="38"/>
  </w:num>
  <w:num w:numId="19">
    <w:abstractNumId w:val="92"/>
  </w:num>
  <w:num w:numId="20">
    <w:abstractNumId w:val="21"/>
  </w:num>
  <w:num w:numId="21">
    <w:abstractNumId w:val="73"/>
  </w:num>
  <w:num w:numId="22">
    <w:abstractNumId w:val="77"/>
  </w:num>
  <w:num w:numId="23">
    <w:abstractNumId w:val="63"/>
  </w:num>
  <w:num w:numId="24">
    <w:abstractNumId w:val="136"/>
  </w:num>
  <w:num w:numId="25">
    <w:abstractNumId w:val="142"/>
  </w:num>
  <w:num w:numId="26">
    <w:abstractNumId w:val="15"/>
  </w:num>
  <w:num w:numId="27">
    <w:abstractNumId w:val="47"/>
  </w:num>
  <w:num w:numId="28">
    <w:abstractNumId w:val="31"/>
  </w:num>
  <w:num w:numId="29">
    <w:abstractNumId w:val="89"/>
  </w:num>
  <w:num w:numId="30">
    <w:abstractNumId w:val="24"/>
  </w:num>
  <w:num w:numId="31">
    <w:abstractNumId w:val="60"/>
  </w:num>
  <w:num w:numId="32">
    <w:abstractNumId w:val="3"/>
  </w:num>
  <w:num w:numId="33">
    <w:abstractNumId w:val="153"/>
  </w:num>
  <w:num w:numId="34">
    <w:abstractNumId w:val="1"/>
  </w:num>
  <w:num w:numId="35">
    <w:abstractNumId w:val="148"/>
  </w:num>
  <w:num w:numId="36">
    <w:abstractNumId w:val="79"/>
  </w:num>
  <w:num w:numId="37">
    <w:abstractNumId w:val="53"/>
  </w:num>
  <w:num w:numId="38">
    <w:abstractNumId w:val="25"/>
  </w:num>
  <w:num w:numId="39">
    <w:abstractNumId w:val="45"/>
  </w:num>
  <w:num w:numId="40">
    <w:abstractNumId w:val="90"/>
  </w:num>
  <w:num w:numId="41">
    <w:abstractNumId w:val="30"/>
  </w:num>
  <w:num w:numId="42">
    <w:abstractNumId w:val="46"/>
  </w:num>
  <w:num w:numId="43">
    <w:abstractNumId w:val="138"/>
  </w:num>
  <w:num w:numId="44">
    <w:abstractNumId w:val="87"/>
  </w:num>
  <w:num w:numId="45">
    <w:abstractNumId w:val="32"/>
  </w:num>
  <w:num w:numId="46">
    <w:abstractNumId w:val="35"/>
  </w:num>
  <w:num w:numId="47">
    <w:abstractNumId w:val="97"/>
  </w:num>
  <w:num w:numId="48">
    <w:abstractNumId w:val="134"/>
  </w:num>
  <w:num w:numId="49">
    <w:abstractNumId w:val="14"/>
  </w:num>
  <w:num w:numId="50">
    <w:abstractNumId w:val="26"/>
  </w:num>
  <w:num w:numId="51">
    <w:abstractNumId w:val="120"/>
  </w:num>
  <w:num w:numId="52">
    <w:abstractNumId w:val="8"/>
  </w:num>
  <w:num w:numId="53">
    <w:abstractNumId w:val="152"/>
  </w:num>
  <w:num w:numId="54">
    <w:abstractNumId w:val="154"/>
  </w:num>
  <w:num w:numId="55">
    <w:abstractNumId w:val="48"/>
  </w:num>
  <w:num w:numId="56">
    <w:abstractNumId w:val="13"/>
  </w:num>
  <w:num w:numId="57">
    <w:abstractNumId w:val="99"/>
  </w:num>
  <w:num w:numId="58">
    <w:abstractNumId w:val="105"/>
  </w:num>
  <w:num w:numId="59">
    <w:abstractNumId w:val="56"/>
  </w:num>
  <w:num w:numId="60">
    <w:abstractNumId w:val="126"/>
  </w:num>
  <w:num w:numId="61">
    <w:abstractNumId w:val="44"/>
  </w:num>
  <w:num w:numId="62">
    <w:abstractNumId w:val="93"/>
  </w:num>
  <w:num w:numId="63">
    <w:abstractNumId w:val="88"/>
  </w:num>
  <w:num w:numId="64">
    <w:abstractNumId w:val="84"/>
  </w:num>
  <w:num w:numId="65">
    <w:abstractNumId w:val="55"/>
  </w:num>
  <w:num w:numId="66">
    <w:abstractNumId w:val="64"/>
  </w:num>
  <w:num w:numId="67">
    <w:abstractNumId w:val="27"/>
  </w:num>
  <w:num w:numId="68">
    <w:abstractNumId w:val="156"/>
  </w:num>
  <w:num w:numId="69">
    <w:abstractNumId w:val="29"/>
  </w:num>
  <w:num w:numId="70">
    <w:abstractNumId w:val="118"/>
  </w:num>
  <w:num w:numId="71">
    <w:abstractNumId w:val="38"/>
  </w:num>
  <w:num w:numId="72">
    <w:abstractNumId w:val="92"/>
  </w:num>
  <w:num w:numId="73">
    <w:abstractNumId w:val="21"/>
  </w:num>
  <w:num w:numId="74">
    <w:abstractNumId w:val="73"/>
  </w:num>
  <w:num w:numId="75">
    <w:abstractNumId w:val="77"/>
  </w:num>
  <w:num w:numId="76">
    <w:abstractNumId w:val="63"/>
  </w:num>
  <w:num w:numId="77">
    <w:abstractNumId w:val="136"/>
  </w:num>
  <w:num w:numId="78">
    <w:abstractNumId w:val="45"/>
  </w:num>
  <w:num w:numId="79">
    <w:abstractNumId w:val="90"/>
  </w:num>
  <w:num w:numId="80">
    <w:abstractNumId w:val="30"/>
  </w:num>
  <w:num w:numId="81">
    <w:abstractNumId w:val="46"/>
  </w:num>
  <w:num w:numId="82">
    <w:abstractNumId w:val="138"/>
  </w:num>
  <w:num w:numId="83">
    <w:abstractNumId w:val="87"/>
  </w:num>
  <w:num w:numId="84">
    <w:abstractNumId w:val="32"/>
  </w:num>
  <w:num w:numId="85">
    <w:abstractNumId w:val="35"/>
  </w:num>
  <w:num w:numId="86">
    <w:abstractNumId w:val="97"/>
  </w:num>
  <w:num w:numId="87">
    <w:abstractNumId w:val="134"/>
  </w:num>
  <w:num w:numId="88">
    <w:abstractNumId w:val="14"/>
  </w:num>
  <w:num w:numId="89">
    <w:abstractNumId w:val="26"/>
  </w:num>
  <w:num w:numId="90">
    <w:abstractNumId w:val="120"/>
  </w:num>
  <w:num w:numId="91">
    <w:abstractNumId w:val="152"/>
  </w:num>
  <w:num w:numId="92">
    <w:abstractNumId w:val="8"/>
  </w:num>
  <w:num w:numId="93">
    <w:abstractNumId w:val="154"/>
  </w:num>
  <w:num w:numId="94">
    <w:abstractNumId w:val="48"/>
  </w:num>
  <w:num w:numId="95">
    <w:abstractNumId w:val="13"/>
  </w:num>
  <w:num w:numId="96">
    <w:abstractNumId w:val="99"/>
  </w:num>
  <w:num w:numId="97">
    <w:abstractNumId w:val="105"/>
  </w:num>
  <w:num w:numId="98">
    <w:abstractNumId w:val="126"/>
  </w:num>
  <w:num w:numId="99">
    <w:abstractNumId w:val="56"/>
  </w:num>
  <w:num w:numId="100">
    <w:abstractNumId w:val="44"/>
  </w:num>
  <w:num w:numId="101">
    <w:abstractNumId w:val="93"/>
  </w:num>
  <w:num w:numId="102">
    <w:abstractNumId w:val="88"/>
  </w:num>
  <w:num w:numId="103">
    <w:abstractNumId w:val="84"/>
  </w:num>
  <w:num w:numId="104">
    <w:abstractNumId w:val="50"/>
  </w:num>
  <w:num w:numId="105">
    <w:abstractNumId w:val="20"/>
  </w:num>
  <w:num w:numId="106">
    <w:abstractNumId w:val="140"/>
  </w:num>
  <w:num w:numId="107">
    <w:abstractNumId w:val="0"/>
    <w:lvlOverride w:ilvl="0">
      <w:lvl w:ilvl="0">
        <w:start w:val="1"/>
        <w:numFmt w:val="bullet"/>
        <w:lvlText w:val=""/>
        <w:lvlJc w:val="left"/>
        <w:pPr>
          <w:ind w:left="360" w:hanging="360"/>
        </w:pPr>
        <w:rPr>
          <w:rFonts w:ascii="Symbol" w:hAnsi="Symbol" w:hint="default"/>
        </w:rPr>
      </w:lvl>
    </w:lvlOverride>
  </w:num>
  <w:num w:numId="108">
    <w:abstractNumId w:val="157"/>
  </w:num>
  <w:num w:numId="109">
    <w:abstractNumId w:val="67"/>
  </w:num>
  <w:num w:numId="110">
    <w:abstractNumId w:val="121"/>
  </w:num>
  <w:num w:numId="111">
    <w:abstractNumId w:val="72"/>
  </w:num>
  <w:num w:numId="112">
    <w:abstractNumId w:val="95"/>
  </w:num>
  <w:num w:numId="113">
    <w:abstractNumId w:val="57"/>
  </w:num>
  <w:num w:numId="114">
    <w:abstractNumId w:val="80"/>
  </w:num>
  <w:num w:numId="115">
    <w:abstractNumId w:val="132"/>
  </w:num>
  <w:num w:numId="116">
    <w:abstractNumId w:val="76"/>
  </w:num>
  <w:num w:numId="117">
    <w:abstractNumId w:val="18"/>
  </w:num>
  <w:num w:numId="118">
    <w:abstractNumId w:val="151"/>
  </w:num>
  <w:num w:numId="119">
    <w:abstractNumId w:val="130"/>
  </w:num>
  <w:num w:numId="120">
    <w:abstractNumId w:val="22"/>
  </w:num>
  <w:num w:numId="121">
    <w:abstractNumId w:val="10"/>
  </w:num>
  <w:num w:numId="122">
    <w:abstractNumId w:val="115"/>
  </w:num>
  <w:num w:numId="123">
    <w:abstractNumId w:val="49"/>
  </w:num>
  <w:num w:numId="124">
    <w:abstractNumId w:val="54"/>
  </w:num>
  <w:num w:numId="125">
    <w:abstractNumId w:val="86"/>
  </w:num>
  <w:num w:numId="126">
    <w:abstractNumId w:val="42"/>
  </w:num>
  <w:num w:numId="127">
    <w:abstractNumId w:val="135"/>
  </w:num>
  <w:num w:numId="128">
    <w:abstractNumId w:val="43"/>
  </w:num>
  <w:num w:numId="129">
    <w:abstractNumId w:val="69"/>
  </w:num>
  <w:num w:numId="130">
    <w:abstractNumId w:val="124"/>
  </w:num>
  <w:num w:numId="131">
    <w:abstractNumId w:val="58"/>
  </w:num>
  <w:num w:numId="132">
    <w:abstractNumId w:val="131"/>
  </w:num>
  <w:num w:numId="133">
    <w:abstractNumId w:val="16"/>
  </w:num>
  <w:num w:numId="134">
    <w:abstractNumId w:val="81"/>
  </w:num>
  <w:num w:numId="135">
    <w:abstractNumId w:val="146"/>
  </w:num>
  <w:num w:numId="136">
    <w:abstractNumId w:val="112"/>
  </w:num>
  <w:num w:numId="137">
    <w:abstractNumId w:val="39"/>
  </w:num>
  <w:num w:numId="138">
    <w:abstractNumId w:val="33"/>
  </w:num>
  <w:num w:numId="139">
    <w:abstractNumId w:val="70"/>
  </w:num>
  <w:num w:numId="140">
    <w:abstractNumId w:val="116"/>
  </w:num>
  <w:num w:numId="141">
    <w:abstractNumId w:val="61"/>
  </w:num>
  <w:num w:numId="142">
    <w:abstractNumId w:val="78"/>
  </w:num>
  <w:num w:numId="143">
    <w:abstractNumId w:val="2"/>
  </w:num>
  <w:num w:numId="144">
    <w:abstractNumId w:val="82"/>
  </w:num>
  <w:num w:numId="145">
    <w:abstractNumId w:val="51"/>
  </w:num>
  <w:num w:numId="146">
    <w:abstractNumId w:val="144"/>
  </w:num>
  <w:num w:numId="147">
    <w:abstractNumId w:val="37"/>
  </w:num>
  <w:num w:numId="148">
    <w:abstractNumId w:val="128"/>
  </w:num>
  <w:num w:numId="149">
    <w:abstractNumId w:val="100"/>
  </w:num>
  <w:num w:numId="150">
    <w:abstractNumId w:val="107"/>
  </w:num>
  <w:num w:numId="151">
    <w:abstractNumId w:val="85"/>
  </w:num>
  <w:num w:numId="152">
    <w:abstractNumId w:val="11"/>
  </w:num>
  <w:num w:numId="153">
    <w:abstractNumId w:val="71"/>
  </w:num>
  <w:num w:numId="154">
    <w:abstractNumId w:val="59"/>
  </w:num>
  <w:num w:numId="155">
    <w:abstractNumId w:val="137"/>
  </w:num>
  <w:num w:numId="156">
    <w:abstractNumId w:val="96"/>
  </w:num>
  <w:num w:numId="157">
    <w:abstractNumId w:val="109"/>
  </w:num>
  <w:num w:numId="158">
    <w:abstractNumId w:val="94"/>
  </w:num>
  <w:num w:numId="159">
    <w:abstractNumId w:val="28"/>
  </w:num>
  <w:num w:numId="160">
    <w:abstractNumId w:val="122"/>
  </w:num>
  <w:num w:numId="161">
    <w:abstractNumId w:val="36"/>
  </w:num>
  <w:num w:numId="162">
    <w:abstractNumId w:val="110"/>
  </w:num>
  <w:num w:numId="163">
    <w:abstractNumId w:val="66"/>
  </w:num>
  <w:num w:numId="164">
    <w:abstractNumId w:val="141"/>
  </w:num>
  <w:num w:numId="165">
    <w:abstractNumId w:val="104"/>
  </w:num>
  <w:num w:numId="166">
    <w:abstractNumId w:val="83"/>
  </w:num>
  <w:num w:numId="167">
    <w:abstractNumId w:val="155"/>
  </w:num>
  <w:num w:numId="168">
    <w:abstractNumId w:val="7"/>
  </w:num>
  <w:num w:numId="169">
    <w:abstractNumId w:val="23"/>
  </w:num>
  <w:num w:numId="170">
    <w:abstractNumId w:val="125"/>
  </w:num>
  <w:num w:numId="171">
    <w:abstractNumId w:val="133"/>
  </w:num>
  <w:num w:numId="172">
    <w:abstractNumId w:val="117"/>
  </w:num>
  <w:num w:numId="173">
    <w:abstractNumId w:val="41"/>
  </w:num>
  <w:num w:numId="174">
    <w:abstractNumId w:val="147"/>
  </w:num>
  <w:num w:numId="175">
    <w:abstractNumId w:val="143"/>
  </w:num>
  <w:num w:numId="176">
    <w:abstractNumId w:val="150"/>
  </w:num>
  <w:num w:numId="177">
    <w:abstractNumId w:val="17"/>
  </w:num>
  <w:num w:numId="178">
    <w:abstractNumId w:val="103"/>
  </w:num>
  <w:num w:numId="179">
    <w:abstractNumId w:val="62"/>
  </w:num>
  <w:num w:numId="180">
    <w:abstractNumId w:val="113"/>
  </w:num>
  <w:num w:numId="181">
    <w:abstractNumId w:val="119"/>
  </w:num>
  <w:num w:numId="182">
    <w:abstractNumId w:val="149"/>
  </w:num>
  <w:num w:numId="183">
    <w:abstractNumId w:val="108"/>
  </w:num>
  <w:num w:numId="184">
    <w:abstractNumId w:val="102"/>
  </w:num>
  <w:num w:numId="185">
    <w:abstractNumId w:val="101"/>
  </w:num>
  <w:num w:numId="186">
    <w:abstractNumId w:val="19"/>
  </w:num>
  <w:num w:numId="187">
    <w:abstractNumId w:val="98"/>
  </w:num>
  <w:num w:numId="188">
    <w:abstractNumId w:val="123"/>
  </w:num>
  <w:num w:numId="189">
    <w:abstractNumId w:val="34"/>
  </w:num>
  <w:num w:numId="190">
    <w:abstractNumId w:val="91"/>
  </w:num>
  <w:num w:numId="191">
    <w:abstractNumId w:val="75"/>
  </w:num>
  <w:num w:numId="192">
    <w:abstractNumId w:val="5"/>
  </w:num>
  <w:num w:numId="193">
    <w:abstractNumId w:val="6"/>
  </w:num>
  <w:num w:numId="194">
    <w:abstractNumId w:val="12"/>
  </w:num>
  <w:num w:numId="195">
    <w:abstractNumId w:val="114"/>
  </w:num>
  <w:num w:numId="196">
    <w:abstractNumId w:val="129"/>
  </w:num>
  <w:num w:numId="197">
    <w:abstractNumId w:val="74"/>
  </w:num>
  <w:num w:numId="198">
    <w:abstractNumId w:val="145"/>
  </w:num>
  <w:num w:numId="199">
    <w:abstractNumId w:val="40"/>
  </w:num>
  <w:num w:numId="200">
    <w:abstractNumId w:val="12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84"/>
    <w:rsid w:val="000047B1"/>
    <w:rsid w:val="000058E6"/>
    <w:rsid w:val="00007EE9"/>
    <w:rsid w:val="000104A1"/>
    <w:rsid w:val="00011A6B"/>
    <w:rsid w:val="00011C9B"/>
    <w:rsid w:val="0001234D"/>
    <w:rsid w:val="000126A9"/>
    <w:rsid w:val="0001366E"/>
    <w:rsid w:val="00017123"/>
    <w:rsid w:val="00021E41"/>
    <w:rsid w:val="00023AC7"/>
    <w:rsid w:val="000315C2"/>
    <w:rsid w:val="000316F7"/>
    <w:rsid w:val="00033F3F"/>
    <w:rsid w:val="00043783"/>
    <w:rsid w:val="00045165"/>
    <w:rsid w:val="00046809"/>
    <w:rsid w:val="00050BF9"/>
    <w:rsid w:val="00053B51"/>
    <w:rsid w:val="000545E8"/>
    <w:rsid w:val="0007430B"/>
    <w:rsid w:val="000807FC"/>
    <w:rsid w:val="000863C9"/>
    <w:rsid w:val="00090479"/>
    <w:rsid w:val="0009118C"/>
    <w:rsid w:val="00092C56"/>
    <w:rsid w:val="00093FF8"/>
    <w:rsid w:val="000A232A"/>
    <w:rsid w:val="000A41BF"/>
    <w:rsid w:val="000A583E"/>
    <w:rsid w:val="000A71BC"/>
    <w:rsid w:val="000B44F9"/>
    <w:rsid w:val="000B4B27"/>
    <w:rsid w:val="000B4D63"/>
    <w:rsid w:val="000B6EBC"/>
    <w:rsid w:val="000B7C64"/>
    <w:rsid w:val="000B7E49"/>
    <w:rsid w:val="000C2347"/>
    <w:rsid w:val="000C2AFF"/>
    <w:rsid w:val="000C3C57"/>
    <w:rsid w:val="000C5506"/>
    <w:rsid w:val="000D58D2"/>
    <w:rsid w:val="000D6EA6"/>
    <w:rsid w:val="000D7E8F"/>
    <w:rsid w:val="000D7E98"/>
    <w:rsid w:val="000E1E8B"/>
    <w:rsid w:val="000E7AFA"/>
    <w:rsid w:val="000E7DB1"/>
    <w:rsid w:val="001020A2"/>
    <w:rsid w:val="0010303B"/>
    <w:rsid w:val="001072F5"/>
    <w:rsid w:val="0011141E"/>
    <w:rsid w:val="00111F86"/>
    <w:rsid w:val="0011314D"/>
    <w:rsid w:val="00117096"/>
    <w:rsid w:val="00117D23"/>
    <w:rsid w:val="00117E90"/>
    <w:rsid w:val="0012044F"/>
    <w:rsid w:val="001258A4"/>
    <w:rsid w:val="00126081"/>
    <w:rsid w:val="00126359"/>
    <w:rsid w:val="001323D2"/>
    <w:rsid w:val="00143342"/>
    <w:rsid w:val="00146E1D"/>
    <w:rsid w:val="00147DE3"/>
    <w:rsid w:val="00157416"/>
    <w:rsid w:val="00164F76"/>
    <w:rsid w:val="001654BE"/>
    <w:rsid w:val="00167FE0"/>
    <w:rsid w:val="001700C1"/>
    <w:rsid w:val="00170978"/>
    <w:rsid w:val="00177213"/>
    <w:rsid w:val="00182998"/>
    <w:rsid w:val="00182C8C"/>
    <w:rsid w:val="00185AD5"/>
    <w:rsid w:val="0018784C"/>
    <w:rsid w:val="00194BDE"/>
    <w:rsid w:val="001A2F69"/>
    <w:rsid w:val="001A3AA9"/>
    <w:rsid w:val="001B1C83"/>
    <w:rsid w:val="001B2F79"/>
    <w:rsid w:val="001B33CE"/>
    <w:rsid w:val="001B64F0"/>
    <w:rsid w:val="001C3EAD"/>
    <w:rsid w:val="001C4EDB"/>
    <w:rsid w:val="001C642D"/>
    <w:rsid w:val="001D3A11"/>
    <w:rsid w:val="001D7494"/>
    <w:rsid w:val="001E02A2"/>
    <w:rsid w:val="001E1BE3"/>
    <w:rsid w:val="001E502B"/>
    <w:rsid w:val="001E6FD0"/>
    <w:rsid w:val="001E7613"/>
    <w:rsid w:val="001E7914"/>
    <w:rsid w:val="001F14E4"/>
    <w:rsid w:val="001F6ADF"/>
    <w:rsid w:val="001F783F"/>
    <w:rsid w:val="00201ACE"/>
    <w:rsid w:val="002021E3"/>
    <w:rsid w:val="00211BBE"/>
    <w:rsid w:val="00214518"/>
    <w:rsid w:val="002156D6"/>
    <w:rsid w:val="00216F96"/>
    <w:rsid w:val="0022605A"/>
    <w:rsid w:val="00233C18"/>
    <w:rsid w:val="00234720"/>
    <w:rsid w:val="00234BBF"/>
    <w:rsid w:val="002362F9"/>
    <w:rsid w:val="0024078D"/>
    <w:rsid w:val="00240B9F"/>
    <w:rsid w:val="00243DF2"/>
    <w:rsid w:val="002447EF"/>
    <w:rsid w:val="00247CBF"/>
    <w:rsid w:val="00257A6F"/>
    <w:rsid w:val="00260755"/>
    <w:rsid w:val="00267435"/>
    <w:rsid w:val="002678CF"/>
    <w:rsid w:val="0027000B"/>
    <w:rsid w:val="002702D6"/>
    <w:rsid w:val="0028318A"/>
    <w:rsid w:val="002833A4"/>
    <w:rsid w:val="002863CB"/>
    <w:rsid w:val="00290277"/>
    <w:rsid w:val="002902DD"/>
    <w:rsid w:val="002A1228"/>
    <w:rsid w:val="002B020E"/>
    <w:rsid w:val="002B0622"/>
    <w:rsid w:val="002B5C11"/>
    <w:rsid w:val="002B706E"/>
    <w:rsid w:val="002C4E70"/>
    <w:rsid w:val="002C7053"/>
    <w:rsid w:val="002D3E7D"/>
    <w:rsid w:val="002D4240"/>
    <w:rsid w:val="002D535E"/>
    <w:rsid w:val="002D6124"/>
    <w:rsid w:val="002E0CE3"/>
    <w:rsid w:val="002E45A7"/>
    <w:rsid w:val="002E4C39"/>
    <w:rsid w:val="002E4F0C"/>
    <w:rsid w:val="002E61D9"/>
    <w:rsid w:val="003002E7"/>
    <w:rsid w:val="0030324E"/>
    <w:rsid w:val="00312C00"/>
    <w:rsid w:val="003135C5"/>
    <w:rsid w:val="00325337"/>
    <w:rsid w:val="00325433"/>
    <w:rsid w:val="003264BC"/>
    <w:rsid w:val="00335FE5"/>
    <w:rsid w:val="0033790B"/>
    <w:rsid w:val="0034231F"/>
    <w:rsid w:val="00345C29"/>
    <w:rsid w:val="00351F9A"/>
    <w:rsid w:val="00354A99"/>
    <w:rsid w:val="0036102E"/>
    <w:rsid w:val="00361BB0"/>
    <w:rsid w:val="00363140"/>
    <w:rsid w:val="003662CF"/>
    <w:rsid w:val="00367762"/>
    <w:rsid w:val="00372FC7"/>
    <w:rsid w:val="003735AB"/>
    <w:rsid w:val="0038032B"/>
    <w:rsid w:val="00382917"/>
    <w:rsid w:val="00385A39"/>
    <w:rsid w:val="00385CE7"/>
    <w:rsid w:val="00390EF4"/>
    <w:rsid w:val="003946BD"/>
    <w:rsid w:val="003A2AAF"/>
    <w:rsid w:val="003A3EA8"/>
    <w:rsid w:val="003A423D"/>
    <w:rsid w:val="003B16C0"/>
    <w:rsid w:val="003B321F"/>
    <w:rsid w:val="003B5188"/>
    <w:rsid w:val="003B5E6D"/>
    <w:rsid w:val="003C2E16"/>
    <w:rsid w:val="003C54AE"/>
    <w:rsid w:val="003C6AFB"/>
    <w:rsid w:val="003C7319"/>
    <w:rsid w:val="003D07F7"/>
    <w:rsid w:val="003D0F1B"/>
    <w:rsid w:val="003D0FC8"/>
    <w:rsid w:val="003D179E"/>
    <w:rsid w:val="003D1F52"/>
    <w:rsid w:val="003D3031"/>
    <w:rsid w:val="003D45EA"/>
    <w:rsid w:val="003D7CBF"/>
    <w:rsid w:val="003E13EF"/>
    <w:rsid w:val="003E4F09"/>
    <w:rsid w:val="003E7CBF"/>
    <w:rsid w:val="003F322B"/>
    <w:rsid w:val="003F60D9"/>
    <w:rsid w:val="004014CB"/>
    <w:rsid w:val="00401927"/>
    <w:rsid w:val="00401F17"/>
    <w:rsid w:val="00404511"/>
    <w:rsid w:val="00407C12"/>
    <w:rsid w:val="004101D8"/>
    <w:rsid w:val="00413058"/>
    <w:rsid w:val="00413100"/>
    <w:rsid w:val="00413EEE"/>
    <w:rsid w:val="004158F8"/>
    <w:rsid w:val="00415914"/>
    <w:rsid w:val="00421570"/>
    <w:rsid w:val="004218D7"/>
    <w:rsid w:val="00422BD4"/>
    <w:rsid w:val="00432107"/>
    <w:rsid w:val="00432624"/>
    <w:rsid w:val="00441B1E"/>
    <w:rsid w:val="00443E40"/>
    <w:rsid w:val="00445A92"/>
    <w:rsid w:val="004461E1"/>
    <w:rsid w:val="00447003"/>
    <w:rsid w:val="00447A78"/>
    <w:rsid w:val="004517AB"/>
    <w:rsid w:val="00451989"/>
    <w:rsid w:val="004572BC"/>
    <w:rsid w:val="00460FA7"/>
    <w:rsid w:val="00461E4A"/>
    <w:rsid w:val="00463706"/>
    <w:rsid w:val="0046507D"/>
    <w:rsid w:val="004668AC"/>
    <w:rsid w:val="00470E45"/>
    <w:rsid w:val="00477CC4"/>
    <w:rsid w:val="00484078"/>
    <w:rsid w:val="004851D1"/>
    <w:rsid w:val="00485EC4"/>
    <w:rsid w:val="00490F16"/>
    <w:rsid w:val="0049497F"/>
    <w:rsid w:val="00494ADE"/>
    <w:rsid w:val="00496D09"/>
    <w:rsid w:val="004A13FC"/>
    <w:rsid w:val="004A1C09"/>
    <w:rsid w:val="004A68D1"/>
    <w:rsid w:val="004A7BBE"/>
    <w:rsid w:val="004B2100"/>
    <w:rsid w:val="004B3D41"/>
    <w:rsid w:val="004B57C0"/>
    <w:rsid w:val="004B70D3"/>
    <w:rsid w:val="004C3E47"/>
    <w:rsid w:val="004D1B03"/>
    <w:rsid w:val="004D1DE7"/>
    <w:rsid w:val="004D4439"/>
    <w:rsid w:val="004D6E64"/>
    <w:rsid w:val="004D7E77"/>
    <w:rsid w:val="004E033C"/>
    <w:rsid w:val="004E0C98"/>
    <w:rsid w:val="004F798D"/>
    <w:rsid w:val="00501208"/>
    <w:rsid w:val="00501D99"/>
    <w:rsid w:val="00510227"/>
    <w:rsid w:val="00510655"/>
    <w:rsid w:val="00514FB4"/>
    <w:rsid w:val="00515C32"/>
    <w:rsid w:val="0051688C"/>
    <w:rsid w:val="00520091"/>
    <w:rsid w:val="00520190"/>
    <w:rsid w:val="0052181D"/>
    <w:rsid w:val="00522377"/>
    <w:rsid w:val="00524452"/>
    <w:rsid w:val="005245CB"/>
    <w:rsid w:val="0052649D"/>
    <w:rsid w:val="0053379F"/>
    <w:rsid w:val="00534832"/>
    <w:rsid w:val="005349E8"/>
    <w:rsid w:val="0053687F"/>
    <w:rsid w:val="00544749"/>
    <w:rsid w:val="00546C31"/>
    <w:rsid w:val="00546EA7"/>
    <w:rsid w:val="0055191E"/>
    <w:rsid w:val="00552B1E"/>
    <w:rsid w:val="00552CAA"/>
    <w:rsid w:val="005537C2"/>
    <w:rsid w:val="005559FB"/>
    <w:rsid w:val="00555E26"/>
    <w:rsid w:val="005565F5"/>
    <w:rsid w:val="00562352"/>
    <w:rsid w:val="00564DAF"/>
    <w:rsid w:val="00570823"/>
    <w:rsid w:val="005712A6"/>
    <w:rsid w:val="00574F47"/>
    <w:rsid w:val="00583A93"/>
    <w:rsid w:val="005864F9"/>
    <w:rsid w:val="00593F58"/>
    <w:rsid w:val="005946E0"/>
    <w:rsid w:val="005A0376"/>
    <w:rsid w:val="005A391C"/>
    <w:rsid w:val="005A71FF"/>
    <w:rsid w:val="005B0776"/>
    <w:rsid w:val="005B182D"/>
    <w:rsid w:val="005C16F6"/>
    <w:rsid w:val="005C3FFE"/>
    <w:rsid w:val="005C4032"/>
    <w:rsid w:val="005D1371"/>
    <w:rsid w:val="005E0B86"/>
    <w:rsid w:val="005E1443"/>
    <w:rsid w:val="005E5C8E"/>
    <w:rsid w:val="005E6753"/>
    <w:rsid w:val="005F06DF"/>
    <w:rsid w:val="005F4B37"/>
    <w:rsid w:val="00603CFE"/>
    <w:rsid w:val="00611443"/>
    <w:rsid w:val="00614872"/>
    <w:rsid w:val="00615C1D"/>
    <w:rsid w:val="006170F5"/>
    <w:rsid w:val="006218BA"/>
    <w:rsid w:val="00624D57"/>
    <w:rsid w:val="006250FF"/>
    <w:rsid w:val="00625A0C"/>
    <w:rsid w:val="00625F37"/>
    <w:rsid w:val="006300F3"/>
    <w:rsid w:val="00630A3B"/>
    <w:rsid w:val="00632655"/>
    <w:rsid w:val="00632B30"/>
    <w:rsid w:val="00635FEC"/>
    <w:rsid w:val="00637836"/>
    <w:rsid w:val="006400D2"/>
    <w:rsid w:val="006523AA"/>
    <w:rsid w:val="00655C0D"/>
    <w:rsid w:val="00656594"/>
    <w:rsid w:val="00657737"/>
    <w:rsid w:val="00660EC1"/>
    <w:rsid w:val="00665B99"/>
    <w:rsid w:val="00667FA4"/>
    <w:rsid w:val="0067604E"/>
    <w:rsid w:val="0068268F"/>
    <w:rsid w:val="006948B9"/>
    <w:rsid w:val="006A2851"/>
    <w:rsid w:val="006A749F"/>
    <w:rsid w:val="006A74CF"/>
    <w:rsid w:val="006B222D"/>
    <w:rsid w:val="006B6A93"/>
    <w:rsid w:val="006C1C5B"/>
    <w:rsid w:val="006C6F86"/>
    <w:rsid w:val="006C7BAD"/>
    <w:rsid w:val="006D1BB8"/>
    <w:rsid w:val="006D2BAE"/>
    <w:rsid w:val="006D50A6"/>
    <w:rsid w:val="006E0668"/>
    <w:rsid w:val="006E241A"/>
    <w:rsid w:val="006E4753"/>
    <w:rsid w:val="006E6EB6"/>
    <w:rsid w:val="006E7F44"/>
    <w:rsid w:val="006F0507"/>
    <w:rsid w:val="006F2F82"/>
    <w:rsid w:val="006F3F2B"/>
    <w:rsid w:val="006F5BB0"/>
    <w:rsid w:val="006F638B"/>
    <w:rsid w:val="006F7B5F"/>
    <w:rsid w:val="00705390"/>
    <w:rsid w:val="00707FCF"/>
    <w:rsid w:val="007105A8"/>
    <w:rsid w:val="00710F91"/>
    <w:rsid w:val="00711F8A"/>
    <w:rsid w:val="00712803"/>
    <w:rsid w:val="00713C1D"/>
    <w:rsid w:val="00714F54"/>
    <w:rsid w:val="0071584F"/>
    <w:rsid w:val="00720F0A"/>
    <w:rsid w:val="007255B3"/>
    <w:rsid w:val="00725E00"/>
    <w:rsid w:val="007269BF"/>
    <w:rsid w:val="007472CB"/>
    <w:rsid w:val="00747BBF"/>
    <w:rsid w:val="00752432"/>
    <w:rsid w:val="007525DF"/>
    <w:rsid w:val="007529F4"/>
    <w:rsid w:val="00752E1B"/>
    <w:rsid w:val="00753A2F"/>
    <w:rsid w:val="00753B98"/>
    <w:rsid w:val="00753C45"/>
    <w:rsid w:val="00756BFE"/>
    <w:rsid w:val="00757B39"/>
    <w:rsid w:val="00761B32"/>
    <w:rsid w:val="00762804"/>
    <w:rsid w:val="00763D2C"/>
    <w:rsid w:val="00765414"/>
    <w:rsid w:val="00766461"/>
    <w:rsid w:val="00771BEC"/>
    <w:rsid w:val="007807E8"/>
    <w:rsid w:val="0078265D"/>
    <w:rsid w:val="00791873"/>
    <w:rsid w:val="007A3709"/>
    <w:rsid w:val="007A388F"/>
    <w:rsid w:val="007A3BD9"/>
    <w:rsid w:val="007A58ED"/>
    <w:rsid w:val="007B50EC"/>
    <w:rsid w:val="007B7B9D"/>
    <w:rsid w:val="007C1FBB"/>
    <w:rsid w:val="007C2C59"/>
    <w:rsid w:val="007D3B5E"/>
    <w:rsid w:val="007E1E43"/>
    <w:rsid w:val="007E6032"/>
    <w:rsid w:val="007F56BE"/>
    <w:rsid w:val="007F63CC"/>
    <w:rsid w:val="007F6785"/>
    <w:rsid w:val="008015CD"/>
    <w:rsid w:val="00801BFF"/>
    <w:rsid w:val="00803E98"/>
    <w:rsid w:val="0080416E"/>
    <w:rsid w:val="00815460"/>
    <w:rsid w:val="008174C6"/>
    <w:rsid w:val="00821616"/>
    <w:rsid w:val="0082760F"/>
    <w:rsid w:val="00833C7D"/>
    <w:rsid w:val="0083702A"/>
    <w:rsid w:val="00840EB8"/>
    <w:rsid w:val="00842422"/>
    <w:rsid w:val="00844E65"/>
    <w:rsid w:val="00854E9C"/>
    <w:rsid w:val="00856160"/>
    <w:rsid w:val="00856985"/>
    <w:rsid w:val="008571A3"/>
    <w:rsid w:val="008611B5"/>
    <w:rsid w:val="00863A85"/>
    <w:rsid w:val="00863D13"/>
    <w:rsid w:val="008654CC"/>
    <w:rsid w:val="0087019F"/>
    <w:rsid w:val="0087182F"/>
    <w:rsid w:val="0087692F"/>
    <w:rsid w:val="008822B4"/>
    <w:rsid w:val="00883CD9"/>
    <w:rsid w:val="0089081B"/>
    <w:rsid w:val="008956D7"/>
    <w:rsid w:val="00896F7F"/>
    <w:rsid w:val="00897143"/>
    <w:rsid w:val="008A0493"/>
    <w:rsid w:val="008A0722"/>
    <w:rsid w:val="008A1477"/>
    <w:rsid w:val="008A21BC"/>
    <w:rsid w:val="008B2CB9"/>
    <w:rsid w:val="008B3309"/>
    <w:rsid w:val="008C4775"/>
    <w:rsid w:val="008C59CE"/>
    <w:rsid w:val="008C6546"/>
    <w:rsid w:val="008D0359"/>
    <w:rsid w:val="008E385A"/>
    <w:rsid w:val="008E6256"/>
    <w:rsid w:val="008F792E"/>
    <w:rsid w:val="009045D7"/>
    <w:rsid w:val="009053BB"/>
    <w:rsid w:val="009076C1"/>
    <w:rsid w:val="009106FE"/>
    <w:rsid w:val="00910A02"/>
    <w:rsid w:val="009238A3"/>
    <w:rsid w:val="00924756"/>
    <w:rsid w:val="00936964"/>
    <w:rsid w:val="00940E0E"/>
    <w:rsid w:val="00944950"/>
    <w:rsid w:val="0094609A"/>
    <w:rsid w:val="00956B1A"/>
    <w:rsid w:val="009615F5"/>
    <w:rsid w:val="0096336A"/>
    <w:rsid w:val="00963EEF"/>
    <w:rsid w:val="00967A9C"/>
    <w:rsid w:val="00967DA5"/>
    <w:rsid w:val="00970494"/>
    <w:rsid w:val="00971226"/>
    <w:rsid w:val="00974263"/>
    <w:rsid w:val="00980170"/>
    <w:rsid w:val="00980503"/>
    <w:rsid w:val="00982453"/>
    <w:rsid w:val="00984232"/>
    <w:rsid w:val="00992422"/>
    <w:rsid w:val="00992DA2"/>
    <w:rsid w:val="00993A47"/>
    <w:rsid w:val="009A5793"/>
    <w:rsid w:val="009A601A"/>
    <w:rsid w:val="009A72A0"/>
    <w:rsid w:val="009B3249"/>
    <w:rsid w:val="009B5484"/>
    <w:rsid w:val="009C0CD6"/>
    <w:rsid w:val="009C385C"/>
    <w:rsid w:val="009C4455"/>
    <w:rsid w:val="009C6BC2"/>
    <w:rsid w:val="009C7365"/>
    <w:rsid w:val="009D0768"/>
    <w:rsid w:val="009D0A0A"/>
    <w:rsid w:val="009D2958"/>
    <w:rsid w:val="009D4312"/>
    <w:rsid w:val="009E10CB"/>
    <w:rsid w:val="009E2831"/>
    <w:rsid w:val="009E4A9B"/>
    <w:rsid w:val="009E5721"/>
    <w:rsid w:val="009E7094"/>
    <w:rsid w:val="009E7EF7"/>
    <w:rsid w:val="009F1BF8"/>
    <w:rsid w:val="009F4652"/>
    <w:rsid w:val="00A072D3"/>
    <w:rsid w:val="00A127DC"/>
    <w:rsid w:val="00A139D3"/>
    <w:rsid w:val="00A13F2D"/>
    <w:rsid w:val="00A15317"/>
    <w:rsid w:val="00A15E98"/>
    <w:rsid w:val="00A22700"/>
    <w:rsid w:val="00A33917"/>
    <w:rsid w:val="00A369A7"/>
    <w:rsid w:val="00A37D8A"/>
    <w:rsid w:val="00A40686"/>
    <w:rsid w:val="00A46B8E"/>
    <w:rsid w:val="00A51527"/>
    <w:rsid w:val="00A523E6"/>
    <w:rsid w:val="00A52FBF"/>
    <w:rsid w:val="00A547E1"/>
    <w:rsid w:val="00A55535"/>
    <w:rsid w:val="00A55583"/>
    <w:rsid w:val="00A60B37"/>
    <w:rsid w:val="00A60D71"/>
    <w:rsid w:val="00A6561C"/>
    <w:rsid w:val="00A74845"/>
    <w:rsid w:val="00A775F3"/>
    <w:rsid w:val="00A82079"/>
    <w:rsid w:val="00A91DEB"/>
    <w:rsid w:val="00A9455E"/>
    <w:rsid w:val="00A952A2"/>
    <w:rsid w:val="00A970CA"/>
    <w:rsid w:val="00AA1ED0"/>
    <w:rsid w:val="00AA2438"/>
    <w:rsid w:val="00AA375F"/>
    <w:rsid w:val="00AA3C5E"/>
    <w:rsid w:val="00AA622A"/>
    <w:rsid w:val="00AA73E0"/>
    <w:rsid w:val="00AB2732"/>
    <w:rsid w:val="00AB6C60"/>
    <w:rsid w:val="00AC0A55"/>
    <w:rsid w:val="00AD34FC"/>
    <w:rsid w:val="00AD4E6B"/>
    <w:rsid w:val="00AD6EBC"/>
    <w:rsid w:val="00AD7DFC"/>
    <w:rsid w:val="00AE1D82"/>
    <w:rsid w:val="00AE2D6A"/>
    <w:rsid w:val="00AE36A8"/>
    <w:rsid w:val="00AE77F0"/>
    <w:rsid w:val="00B0430A"/>
    <w:rsid w:val="00B15F4E"/>
    <w:rsid w:val="00B24A7E"/>
    <w:rsid w:val="00B24FE1"/>
    <w:rsid w:val="00B251DC"/>
    <w:rsid w:val="00B3451F"/>
    <w:rsid w:val="00B402DE"/>
    <w:rsid w:val="00B40E7F"/>
    <w:rsid w:val="00B40EC8"/>
    <w:rsid w:val="00B4151F"/>
    <w:rsid w:val="00B42667"/>
    <w:rsid w:val="00B45D31"/>
    <w:rsid w:val="00B45FD6"/>
    <w:rsid w:val="00B46263"/>
    <w:rsid w:val="00B47038"/>
    <w:rsid w:val="00B47C3E"/>
    <w:rsid w:val="00B5312B"/>
    <w:rsid w:val="00B54B8E"/>
    <w:rsid w:val="00B604DB"/>
    <w:rsid w:val="00B6063A"/>
    <w:rsid w:val="00B61421"/>
    <w:rsid w:val="00B61594"/>
    <w:rsid w:val="00B65D4C"/>
    <w:rsid w:val="00B707EC"/>
    <w:rsid w:val="00B72DFB"/>
    <w:rsid w:val="00B73A7E"/>
    <w:rsid w:val="00B76379"/>
    <w:rsid w:val="00B77F3F"/>
    <w:rsid w:val="00B81CF2"/>
    <w:rsid w:val="00B8443A"/>
    <w:rsid w:val="00B85AAE"/>
    <w:rsid w:val="00B86428"/>
    <w:rsid w:val="00B8740B"/>
    <w:rsid w:val="00B91D53"/>
    <w:rsid w:val="00B973B9"/>
    <w:rsid w:val="00B9757B"/>
    <w:rsid w:val="00BA4A31"/>
    <w:rsid w:val="00BA521E"/>
    <w:rsid w:val="00BA59E0"/>
    <w:rsid w:val="00BB21C0"/>
    <w:rsid w:val="00BB3F13"/>
    <w:rsid w:val="00BB4832"/>
    <w:rsid w:val="00BC175F"/>
    <w:rsid w:val="00BC70A8"/>
    <w:rsid w:val="00BE22CB"/>
    <w:rsid w:val="00BE4436"/>
    <w:rsid w:val="00BE4907"/>
    <w:rsid w:val="00BE526E"/>
    <w:rsid w:val="00BE67EC"/>
    <w:rsid w:val="00BE68A0"/>
    <w:rsid w:val="00BE721D"/>
    <w:rsid w:val="00C04038"/>
    <w:rsid w:val="00C04B3D"/>
    <w:rsid w:val="00C056D3"/>
    <w:rsid w:val="00C07EA9"/>
    <w:rsid w:val="00C11198"/>
    <w:rsid w:val="00C13855"/>
    <w:rsid w:val="00C14681"/>
    <w:rsid w:val="00C14D5C"/>
    <w:rsid w:val="00C20D09"/>
    <w:rsid w:val="00C23E85"/>
    <w:rsid w:val="00C27D01"/>
    <w:rsid w:val="00C30A32"/>
    <w:rsid w:val="00C3239A"/>
    <w:rsid w:val="00C37D23"/>
    <w:rsid w:val="00C5051B"/>
    <w:rsid w:val="00C527CF"/>
    <w:rsid w:val="00C5330B"/>
    <w:rsid w:val="00C57323"/>
    <w:rsid w:val="00C57870"/>
    <w:rsid w:val="00C64D25"/>
    <w:rsid w:val="00C64E19"/>
    <w:rsid w:val="00C6642F"/>
    <w:rsid w:val="00C704FC"/>
    <w:rsid w:val="00C76473"/>
    <w:rsid w:val="00C92368"/>
    <w:rsid w:val="00C932E7"/>
    <w:rsid w:val="00C9440B"/>
    <w:rsid w:val="00CA1EE6"/>
    <w:rsid w:val="00CA5AB5"/>
    <w:rsid w:val="00CB1A86"/>
    <w:rsid w:val="00CB4BF5"/>
    <w:rsid w:val="00CC26CC"/>
    <w:rsid w:val="00CC357F"/>
    <w:rsid w:val="00CD3729"/>
    <w:rsid w:val="00CD383A"/>
    <w:rsid w:val="00CD6F67"/>
    <w:rsid w:val="00CE2A33"/>
    <w:rsid w:val="00CE7EE6"/>
    <w:rsid w:val="00CF0A0A"/>
    <w:rsid w:val="00CF20A9"/>
    <w:rsid w:val="00CF32CC"/>
    <w:rsid w:val="00CF3367"/>
    <w:rsid w:val="00CF6387"/>
    <w:rsid w:val="00D03208"/>
    <w:rsid w:val="00D07D28"/>
    <w:rsid w:val="00D11CF3"/>
    <w:rsid w:val="00D17765"/>
    <w:rsid w:val="00D22E8A"/>
    <w:rsid w:val="00D32412"/>
    <w:rsid w:val="00D432AF"/>
    <w:rsid w:val="00D4603A"/>
    <w:rsid w:val="00D54849"/>
    <w:rsid w:val="00D6049E"/>
    <w:rsid w:val="00D60597"/>
    <w:rsid w:val="00D65785"/>
    <w:rsid w:val="00D70061"/>
    <w:rsid w:val="00D73054"/>
    <w:rsid w:val="00D73C02"/>
    <w:rsid w:val="00D742E1"/>
    <w:rsid w:val="00D86057"/>
    <w:rsid w:val="00DA05B2"/>
    <w:rsid w:val="00DA32BC"/>
    <w:rsid w:val="00DB352F"/>
    <w:rsid w:val="00DB59FC"/>
    <w:rsid w:val="00DB639D"/>
    <w:rsid w:val="00DB71C3"/>
    <w:rsid w:val="00DC197D"/>
    <w:rsid w:val="00DD263E"/>
    <w:rsid w:val="00DE1326"/>
    <w:rsid w:val="00DE1C41"/>
    <w:rsid w:val="00DE2558"/>
    <w:rsid w:val="00DE53A4"/>
    <w:rsid w:val="00DE7DF4"/>
    <w:rsid w:val="00DF1A9D"/>
    <w:rsid w:val="00DF2EE7"/>
    <w:rsid w:val="00DF4873"/>
    <w:rsid w:val="00E04152"/>
    <w:rsid w:val="00E047C8"/>
    <w:rsid w:val="00E05969"/>
    <w:rsid w:val="00E06F4C"/>
    <w:rsid w:val="00E15943"/>
    <w:rsid w:val="00E218AB"/>
    <w:rsid w:val="00E22816"/>
    <w:rsid w:val="00E262FB"/>
    <w:rsid w:val="00E3415F"/>
    <w:rsid w:val="00E34C4A"/>
    <w:rsid w:val="00E36F95"/>
    <w:rsid w:val="00E4274A"/>
    <w:rsid w:val="00E4662C"/>
    <w:rsid w:val="00E52129"/>
    <w:rsid w:val="00E570F4"/>
    <w:rsid w:val="00E572BB"/>
    <w:rsid w:val="00E60870"/>
    <w:rsid w:val="00E707CA"/>
    <w:rsid w:val="00E71CFB"/>
    <w:rsid w:val="00E72A5A"/>
    <w:rsid w:val="00E804EE"/>
    <w:rsid w:val="00E80C53"/>
    <w:rsid w:val="00E82A1B"/>
    <w:rsid w:val="00E839F8"/>
    <w:rsid w:val="00E8641E"/>
    <w:rsid w:val="00E866C0"/>
    <w:rsid w:val="00E961DF"/>
    <w:rsid w:val="00E96CF1"/>
    <w:rsid w:val="00EA3BD0"/>
    <w:rsid w:val="00EA77C3"/>
    <w:rsid w:val="00EA7FAA"/>
    <w:rsid w:val="00EB0C7A"/>
    <w:rsid w:val="00EB12AA"/>
    <w:rsid w:val="00EB151F"/>
    <w:rsid w:val="00EC3024"/>
    <w:rsid w:val="00EC3D34"/>
    <w:rsid w:val="00EC734B"/>
    <w:rsid w:val="00EC753F"/>
    <w:rsid w:val="00EC7EBB"/>
    <w:rsid w:val="00ED1826"/>
    <w:rsid w:val="00ED235B"/>
    <w:rsid w:val="00ED3EB6"/>
    <w:rsid w:val="00ED5DE8"/>
    <w:rsid w:val="00EE175A"/>
    <w:rsid w:val="00EE3BF8"/>
    <w:rsid w:val="00EE5E59"/>
    <w:rsid w:val="00EF0A3C"/>
    <w:rsid w:val="00EF1D93"/>
    <w:rsid w:val="00EF2923"/>
    <w:rsid w:val="00EF4692"/>
    <w:rsid w:val="00EF567C"/>
    <w:rsid w:val="00F05D28"/>
    <w:rsid w:val="00F13915"/>
    <w:rsid w:val="00F14506"/>
    <w:rsid w:val="00F17567"/>
    <w:rsid w:val="00F227CC"/>
    <w:rsid w:val="00F25657"/>
    <w:rsid w:val="00F27BC2"/>
    <w:rsid w:val="00F3038B"/>
    <w:rsid w:val="00F3242E"/>
    <w:rsid w:val="00F326E1"/>
    <w:rsid w:val="00F40365"/>
    <w:rsid w:val="00F459CC"/>
    <w:rsid w:val="00F52243"/>
    <w:rsid w:val="00F55F98"/>
    <w:rsid w:val="00F57025"/>
    <w:rsid w:val="00F62204"/>
    <w:rsid w:val="00F66E48"/>
    <w:rsid w:val="00F738AC"/>
    <w:rsid w:val="00F77ABB"/>
    <w:rsid w:val="00F81757"/>
    <w:rsid w:val="00F85E3A"/>
    <w:rsid w:val="00F93479"/>
    <w:rsid w:val="00F9497A"/>
    <w:rsid w:val="00FA59AB"/>
    <w:rsid w:val="00FB0C31"/>
    <w:rsid w:val="00FC1549"/>
    <w:rsid w:val="00FD19EF"/>
    <w:rsid w:val="00FD2D29"/>
    <w:rsid w:val="00FE1FAC"/>
    <w:rsid w:val="00FE23DC"/>
    <w:rsid w:val="00FE23EC"/>
    <w:rsid w:val="00FE4BF5"/>
    <w:rsid w:val="00FE5946"/>
    <w:rsid w:val="00FE6951"/>
    <w:rsid w:val="00FF3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DE62"/>
  <w15:docId w15:val="{EEDDE60E-05B3-43E1-9761-CCDD5CE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45D31"/>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B45D31"/>
    <w:rPr>
      <w:rFonts w:ascii="Times New Roman" w:eastAsia="SimSun" w:hAnsi="Times New Roman"/>
      <w:noProof/>
      <w:sz w:val="22"/>
      <w:szCs w:val="22"/>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17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70978"/>
    <w:rPr>
      <w:sz w:val="22"/>
      <w:szCs w:val="22"/>
      <w:lang w:val="en-US" w:eastAsia="en-US"/>
    </w:rPr>
  </w:style>
  <w:style w:type="paragraph" w:customStyle="1" w:styleId="Style1">
    <w:name w:val="Style1"/>
    <w:basedOn w:val="prastasis"/>
    <w:autoRedefine/>
    <w:qFormat/>
    <w:rsid w:val="0080416E"/>
    <w:pPr>
      <w:tabs>
        <w:tab w:val="clear" w:pos="567"/>
      </w:tabs>
      <w:spacing w:line="240" w:lineRule="auto"/>
    </w:pPr>
    <w:rPr>
      <w:snapToGrid/>
      <w:lang w:val="en-US"/>
    </w:rPr>
  </w:style>
  <w:style w:type="paragraph" w:customStyle="1" w:styleId="PI-1EMEASMCA">
    <w:name w:val="PI-1 EMEA_SMCA"/>
    <w:basedOn w:val="Antrat2"/>
    <w:autoRedefine/>
    <w:rsid w:val="0080416E"/>
    <w:pPr>
      <w:spacing w:before="0" w:after="0" w:line="276" w:lineRule="auto"/>
    </w:pPr>
    <w:rPr>
      <w:rFonts w:ascii="Times New Roman" w:eastAsia="Calibri" w:hAnsi="Times New Roman"/>
      <w:bCs w:val="0"/>
      <w:i w:val="0"/>
      <w:iCs w:val="0"/>
      <w:snapToGrid/>
      <w:sz w:val="22"/>
      <w:szCs w:val="22"/>
      <w:lang w:val="en-US" w:eastAsia="en-US"/>
    </w:rPr>
  </w:style>
  <w:style w:type="character" w:customStyle="1" w:styleId="TTEMEASMCAChar">
    <w:name w:val="TT EMEA_SMCA Char"/>
    <w:link w:val="TTEMEASMCA"/>
    <w:locked/>
    <w:rsid w:val="0080416E"/>
    <w:rPr>
      <w:b/>
    </w:rPr>
  </w:style>
  <w:style w:type="paragraph" w:customStyle="1" w:styleId="TTEMEASMCA">
    <w:name w:val="TT EMEA_SMCA"/>
    <w:basedOn w:val="Antrat1"/>
    <w:link w:val="TTEMEASMCAChar"/>
    <w:autoRedefine/>
    <w:rsid w:val="0080416E"/>
    <w:pPr>
      <w:spacing w:before="0" w:after="0" w:line="276" w:lineRule="auto"/>
      <w:ind w:left="1287" w:hanging="1287"/>
      <w:jc w:val="center"/>
    </w:pPr>
    <w:rPr>
      <w:rFonts w:ascii="Calibri" w:eastAsia="Calibri" w:hAnsi="Calibri"/>
      <w:caps w:val="0"/>
      <w:sz w:val="20"/>
      <w:lang w:val="lt-LT" w:eastAsia="lt-LT"/>
    </w:rPr>
  </w:style>
  <w:style w:type="paragraph" w:customStyle="1" w:styleId="PI-2EMEASMCA">
    <w:name w:val="PI-2 EMEA_SMCA"/>
    <w:basedOn w:val="Antrat3"/>
    <w:autoRedefine/>
    <w:rsid w:val="0080416E"/>
    <w:pPr>
      <w:spacing w:before="0" w:after="0" w:line="240" w:lineRule="auto"/>
      <w:ind w:left="567" w:hanging="567"/>
      <w:jc w:val="both"/>
    </w:pPr>
    <w:rPr>
      <w:rFonts w:ascii="Times New Roman" w:hAnsi="Times New Roman"/>
      <w:bCs w:val="0"/>
      <w:snapToGrid/>
      <w:kern w:val="28"/>
      <w:sz w:val="22"/>
      <w:szCs w:val="22"/>
      <w:lang w:val="lt-LT" w:eastAsia="en-US"/>
    </w:rPr>
  </w:style>
  <w:style w:type="character" w:customStyle="1" w:styleId="PI-1labEMEASMCAChar">
    <w:name w:val="PI-1_lab EMEA_SMCA Char"/>
    <w:link w:val="PI-1labEMEASMCA"/>
    <w:locked/>
    <w:rsid w:val="0080416E"/>
    <w:rPr>
      <w:b/>
      <w:noProof/>
    </w:rPr>
  </w:style>
  <w:style w:type="paragraph" w:customStyle="1" w:styleId="PI-1labEMEASMCA">
    <w:name w:val="PI-1_lab EMEA_SMCA"/>
    <w:basedOn w:val="prastasis"/>
    <w:link w:val="PI-1labEMEASMCAChar"/>
    <w:autoRedefine/>
    <w:rsid w:val="0080416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pPr>
    <w:rPr>
      <w:rFonts w:ascii="Calibri" w:eastAsia="Calibri" w:hAnsi="Calibri"/>
      <w:b/>
      <w:noProof/>
      <w:snapToGrid/>
      <w:sz w:val="20"/>
      <w:lang w:val="lt-LT" w:eastAsia="lt-LT"/>
    </w:rPr>
  </w:style>
  <w:style w:type="paragraph" w:customStyle="1" w:styleId="BTAnIIEMEASMCA">
    <w:name w:val="BT(AnII) EMEA_SMCA"/>
    <w:basedOn w:val="Debesliotekstas"/>
    <w:autoRedefine/>
    <w:rsid w:val="0080416E"/>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EMEASMCA">
    <w:name w:val="BT- EMEA_SMCA"/>
    <w:basedOn w:val="BTEMEASMCA"/>
    <w:autoRedefine/>
    <w:rsid w:val="00413EEE"/>
    <w:pPr>
      <w:keepNext/>
      <w:numPr>
        <w:numId w:val="149"/>
      </w:numPr>
      <w:tabs>
        <w:tab w:val="left" w:pos="567"/>
        <w:tab w:val="left" w:pos="1135"/>
        <w:tab w:val="left" w:pos="3969"/>
      </w:tabs>
      <w:ind w:left="540" w:hanging="540"/>
    </w:pPr>
    <w:rPr>
      <w:rFonts w:eastAsia="Calibri"/>
      <w:lang w:val="lt-LT" w:eastAsia="en-US"/>
    </w:rPr>
  </w:style>
  <w:style w:type="paragraph" w:customStyle="1" w:styleId="PI-3EMEASMCA">
    <w:name w:val="PI-3 EMEA_SMCA"/>
    <w:basedOn w:val="prastasis"/>
    <w:autoRedefine/>
    <w:rsid w:val="00C5330B"/>
    <w:pPr>
      <w:keepNext/>
      <w:tabs>
        <w:tab w:val="clear" w:pos="567"/>
      </w:tabs>
      <w:spacing w:line="220" w:lineRule="exact"/>
      <w:jc w:val="both"/>
    </w:pPr>
    <w:rPr>
      <w:b/>
      <w:bCs/>
      <w:snapToGrid/>
      <w:szCs w:val="22"/>
      <w:lang w:val="lt-LT"/>
    </w:rPr>
  </w:style>
  <w:style w:type="paragraph" w:customStyle="1" w:styleId="BTbEMEASMCA">
    <w:name w:val="BT(b) EMEA_SMCA"/>
    <w:basedOn w:val="BTEMEASMCA"/>
    <w:autoRedefine/>
    <w:rsid w:val="0080416E"/>
    <w:pPr>
      <w:keepNext/>
      <w:tabs>
        <w:tab w:val="left" w:pos="3969"/>
      </w:tabs>
    </w:pPr>
    <w:rPr>
      <w:rFonts w:eastAsia="Calibri"/>
      <w:b/>
      <w:lang w:val="lt-LT" w:eastAsia="en-US"/>
    </w:rPr>
  </w:style>
  <w:style w:type="paragraph" w:customStyle="1" w:styleId="BTbeEMEASMCA">
    <w:name w:val="BT(be) EMEA_SMCA"/>
    <w:basedOn w:val="BTEMEASMCA"/>
    <w:autoRedefine/>
    <w:rsid w:val="0080416E"/>
    <w:pPr>
      <w:keepNext/>
      <w:tabs>
        <w:tab w:val="left" w:pos="3969"/>
      </w:tabs>
    </w:pPr>
    <w:rPr>
      <w:rFonts w:eastAsia="Calibri"/>
      <w:b/>
      <w:lang w:val="lt-LT" w:eastAsia="en-US"/>
    </w:rPr>
  </w:style>
  <w:style w:type="paragraph" w:customStyle="1" w:styleId="BTeEMEASMCA">
    <w:name w:val="BT(e) EMEA_SMCA"/>
    <w:basedOn w:val="BTEMEASMCA"/>
    <w:autoRedefine/>
    <w:rsid w:val="0080416E"/>
    <w:pPr>
      <w:keepNext/>
      <w:tabs>
        <w:tab w:val="left" w:pos="3969"/>
      </w:tabs>
    </w:pPr>
    <w:rPr>
      <w:rFonts w:eastAsia="Calibri"/>
      <w:lang w:val="lt-LT" w:eastAsia="en-US"/>
    </w:rPr>
  </w:style>
  <w:style w:type="paragraph" w:customStyle="1" w:styleId="BTuEMEASMCA">
    <w:name w:val="BT(u) EMEA_SMCA"/>
    <w:basedOn w:val="BTEMEASMCA"/>
    <w:autoRedefine/>
    <w:rsid w:val="0080416E"/>
    <w:pPr>
      <w:keepNext/>
      <w:tabs>
        <w:tab w:val="left" w:pos="3969"/>
      </w:tabs>
    </w:pPr>
    <w:rPr>
      <w:rFonts w:eastAsia="Calibri"/>
      <w:u w:val="single"/>
      <w:lang w:val="lt-LT" w:eastAsia="en-US"/>
    </w:rPr>
  </w:style>
  <w:style w:type="paragraph" w:styleId="HTMLiankstoformatuotas">
    <w:name w:val="HTML Preformatted"/>
    <w:basedOn w:val="prastasis"/>
    <w:link w:val="HTMLiankstoformatuotasDiagrama"/>
    <w:uiPriority w:val="99"/>
    <w:unhideWhenUsed/>
    <w:rsid w:val="0080416E"/>
    <w:pPr>
      <w:tabs>
        <w:tab w:val="clear" w:pos="567"/>
      </w:tabs>
      <w:spacing w:line="240" w:lineRule="auto"/>
    </w:pPr>
    <w:rPr>
      <w:rFonts w:ascii="Consolas" w:eastAsia="Calibri" w:hAnsi="Consolas"/>
      <w:snapToGrid/>
      <w:sz w:val="20"/>
      <w:lang w:val="en-US"/>
    </w:rPr>
  </w:style>
  <w:style w:type="character" w:customStyle="1" w:styleId="HTMLiankstoformatuotasDiagrama">
    <w:name w:val="HTML iš anksto formatuotas Diagrama"/>
    <w:link w:val="HTMLiankstoformatuotas"/>
    <w:uiPriority w:val="99"/>
    <w:rsid w:val="0080416E"/>
    <w:rPr>
      <w:rFonts w:ascii="Consolas" w:hAnsi="Consolas"/>
      <w:lang w:val="en-US" w:eastAsia="en-US"/>
    </w:rPr>
  </w:style>
  <w:style w:type="character" w:customStyle="1" w:styleId="UnresolvedMention1">
    <w:name w:val="Unresolved Mention1"/>
    <w:uiPriority w:val="99"/>
    <w:semiHidden/>
    <w:unhideWhenUsed/>
    <w:rsid w:val="0080416E"/>
    <w:rPr>
      <w:color w:val="605E5C"/>
      <w:shd w:val="clear" w:color="auto" w:fill="E1DFDD"/>
    </w:rPr>
  </w:style>
  <w:style w:type="character" w:customStyle="1" w:styleId="UnresolvedMention2">
    <w:name w:val="Unresolved Mention2"/>
    <w:uiPriority w:val="99"/>
    <w:semiHidden/>
    <w:unhideWhenUsed/>
    <w:rsid w:val="00804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7786137">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491365925">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B157-F3DC-49EF-AB3F-5DFCDCD8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62045</Words>
  <Characters>35366</Characters>
  <Application>Microsoft Office Word</Application>
  <DocSecurity>4</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7077950</vt:i4>
      </vt:variant>
      <vt:variant>
        <vt:i4>3</vt:i4>
      </vt:variant>
      <vt:variant>
        <vt:i4>0</vt:i4>
      </vt:variant>
      <vt:variant>
        <vt:i4>5</vt:i4>
      </vt:variant>
      <vt:variant>
        <vt:lpwstr>http://www.vvkt.lt/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2024-10-15T11:31:00Z</dcterms:created>
  <dcterms:modified xsi:type="dcterms:W3CDTF">2024-10-15T11:31:00Z</dcterms:modified>
</cp:coreProperties>
</file>