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C3" w:rsidRPr="00AC1BAC" w:rsidRDefault="00525BC3" w:rsidP="00525BC3">
      <w:pPr>
        <w:widowControl w:val="0"/>
        <w:tabs>
          <w:tab w:val="clear" w:pos="567"/>
        </w:tabs>
        <w:spacing w:line="240" w:lineRule="auto"/>
        <w:ind w:left="567" w:hanging="567"/>
        <w:jc w:val="center"/>
        <w:rPr>
          <w:b/>
          <w:bCs/>
          <w:snapToGrid/>
          <w:szCs w:val="22"/>
          <w:lang w:val="lt-LT"/>
        </w:rPr>
      </w:pPr>
      <w:r w:rsidRPr="00AC1BAC">
        <w:rPr>
          <w:b/>
          <w:bCs/>
          <w:snapToGrid/>
          <w:szCs w:val="22"/>
          <w:lang w:val="lt-LT"/>
        </w:rPr>
        <w:t>Pakuotės lapelis: informacija vartotojui</w:t>
      </w:r>
    </w:p>
    <w:p w:rsidR="00525BC3" w:rsidRPr="00AC1BAC" w:rsidRDefault="00525BC3" w:rsidP="00525BC3">
      <w:pPr>
        <w:widowControl w:val="0"/>
        <w:tabs>
          <w:tab w:val="clear" w:pos="567"/>
        </w:tabs>
        <w:spacing w:line="240" w:lineRule="auto"/>
        <w:ind w:left="567" w:hanging="567"/>
        <w:jc w:val="center"/>
        <w:rPr>
          <w:b/>
          <w:snapToGrid/>
          <w:szCs w:val="22"/>
          <w:lang w:val="lt-LT"/>
        </w:rPr>
      </w:pPr>
    </w:p>
    <w:p w:rsidR="00525BC3" w:rsidRPr="00E61697" w:rsidRDefault="00525BC3" w:rsidP="00525BC3">
      <w:pPr>
        <w:jc w:val="center"/>
        <w:rPr>
          <w:b/>
          <w:bCs/>
          <w:snapToGrid/>
          <w:lang w:val="lt-LT"/>
        </w:rPr>
      </w:pPr>
      <w:r w:rsidRPr="00E61697">
        <w:rPr>
          <w:b/>
          <w:bCs/>
          <w:lang w:val="lt-LT"/>
        </w:rPr>
        <w:t>Combogesic</w:t>
      </w:r>
      <w:r w:rsidRPr="003A6E2A">
        <w:rPr>
          <w:b/>
          <w:lang w:val="lt-LT"/>
        </w:rPr>
        <w:t xml:space="preserve"> 32</w:t>
      </w:r>
      <w:r w:rsidRPr="00E61697">
        <w:rPr>
          <w:b/>
          <w:bCs/>
          <w:lang w:val="lt-LT"/>
        </w:rPr>
        <w:t> </w:t>
      </w:r>
      <w:r w:rsidRPr="003A6E2A">
        <w:rPr>
          <w:b/>
          <w:lang w:val="lt-LT"/>
        </w:rPr>
        <w:t>mg/9,6</w:t>
      </w:r>
      <w:r w:rsidRPr="00E61697">
        <w:rPr>
          <w:b/>
          <w:bCs/>
          <w:lang w:val="lt-LT"/>
        </w:rPr>
        <w:t> </w:t>
      </w:r>
      <w:r w:rsidRPr="003A6E2A">
        <w:rPr>
          <w:b/>
          <w:lang w:val="lt-LT"/>
        </w:rPr>
        <w:t>mg/ml geriamoji suspensija</w:t>
      </w:r>
      <w:r w:rsidRPr="00B8316C" w:rsidDel="00DA523A">
        <w:rPr>
          <w:b/>
          <w:bCs/>
          <w:lang w:val="lt-LT" w:eastAsia="en-GB"/>
        </w:rPr>
        <w:t xml:space="preserve"> </w:t>
      </w:r>
    </w:p>
    <w:p w:rsidR="00525BC3" w:rsidRPr="00AC1BAC" w:rsidRDefault="00525BC3" w:rsidP="00525BC3">
      <w:pPr>
        <w:widowControl w:val="0"/>
        <w:tabs>
          <w:tab w:val="clear" w:pos="567"/>
        </w:tabs>
        <w:spacing w:line="240" w:lineRule="auto"/>
        <w:ind w:left="567" w:hanging="567"/>
        <w:jc w:val="center"/>
        <w:rPr>
          <w:snapToGrid/>
          <w:szCs w:val="22"/>
          <w:lang w:val="lt-LT"/>
        </w:rPr>
      </w:pPr>
      <w:r>
        <w:rPr>
          <w:snapToGrid/>
          <w:szCs w:val="22"/>
          <w:lang w:val="lt-LT"/>
        </w:rPr>
        <w:t>p</w:t>
      </w:r>
      <w:r w:rsidRPr="00AC1BAC">
        <w:rPr>
          <w:snapToGrid/>
          <w:szCs w:val="22"/>
          <w:lang w:val="lt-LT"/>
        </w:rPr>
        <w:t>aracetamolis / ibuprofenas</w:t>
      </w:r>
    </w:p>
    <w:p w:rsidR="00525BC3" w:rsidRPr="00AC1BAC" w:rsidRDefault="00525BC3" w:rsidP="00525BC3">
      <w:pPr>
        <w:widowControl w:val="0"/>
        <w:tabs>
          <w:tab w:val="clear" w:pos="567"/>
        </w:tabs>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Atidžiai perskaitykite visą šį lapelį, prieš pradėdami vartoti vaistą, nes jame pateikiama Jums svarbi informacija.</w:t>
      </w:r>
    </w:p>
    <w:p w:rsidR="00525BC3" w:rsidRPr="00AC1BAC" w:rsidRDefault="00525BC3" w:rsidP="00525BC3">
      <w:pPr>
        <w:widowControl w:val="0"/>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Neišmeskite šio lapelio, nes vėl gali prireikti jį perskaityti.</w:t>
      </w:r>
    </w:p>
    <w:p w:rsidR="00525BC3" w:rsidRPr="00AC1BAC" w:rsidRDefault="00525BC3" w:rsidP="00525BC3">
      <w:pPr>
        <w:widowControl w:val="0"/>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Jeigu kiltų daugiau klausimų, kreipkitės į gydytoją arba vaistininką.</w:t>
      </w:r>
    </w:p>
    <w:p w:rsidR="00525BC3" w:rsidRPr="00AC1BAC" w:rsidRDefault="00525BC3" w:rsidP="00525BC3">
      <w:pPr>
        <w:widowControl w:val="0"/>
        <w:autoSpaceDE w:val="0"/>
        <w:autoSpaceDN w:val="0"/>
        <w:adjustRightInd w:val="0"/>
        <w:spacing w:line="240" w:lineRule="auto"/>
        <w:ind w:left="567" w:hanging="567"/>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Šis vaistas skirtas tik Jums, todėl kitiems žmonėms jo duoti negalima. Vaistas gali jiems pakenkti (net tiems, kurių ligos požymiai yra tokie patys kaip Jūsų).</w:t>
      </w:r>
    </w:p>
    <w:p w:rsidR="00525BC3" w:rsidRPr="00AC1BAC" w:rsidRDefault="00525BC3" w:rsidP="00525BC3">
      <w:pPr>
        <w:widowControl w:val="0"/>
        <w:autoSpaceDE w:val="0"/>
        <w:autoSpaceDN w:val="0"/>
        <w:adjustRightInd w:val="0"/>
        <w:spacing w:line="240" w:lineRule="auto"/>
        <w:ind w:left="567" w:hanging="567"/>
        <w:rPr>
          <w:rFonts w:eastAsia="TimesNewRoman,Bold"/>
          <w:snapToGrid/>
          <w:szCs w:val="22"/>
          <w:lang w:val="lt-LT"/>
        </w:rPr>
      </w:pPr>
      <w:r w:rsidRPr="00AC1BAC">
        <w:rPr>
          <w:rFonts w:eastAsia="TimesNewRoman,Bold"/>
          <w:snapToGrid/>
          <w:szCs w:val="22"/>
          <w:lang w:val="lt-LT"/>
        </w:rPr>
        <w:t>-</w:t>
      </w:r>
      <w:r w:rsidRPr="00AC1BAC">
        <w:rPr>
          <w:rFonts w:eastAsia="TimesNewRoman,Bold"/>
          <w:snapToGrid/>
          <w:szCs w:val="22"/>
          <w:lang w:val="lt-LT"/>
        </w:rPr>
        <w:tab/>
        <w:t>Jeigu pasireiškė šalutinis poveikis (net jeigu jis šiame lapelyje nenurodytas), kreipkitės į gydytoją arba vaistininką. Žr. 4 skyrių.</w:t>
      </w:r>
    </w:p>
    <w:p w:rsidR="00525BC3" w:rsidRPr="00AC1BAC" w:rsidRDefault="00525BC3" w:rsidP="00525BC3">
      <w:pPr>
        <w:widowControl w:val="0"/>
        <w:autoSpaceDE w:val="0"/>
        <w:autoSpaceDN w:val="0"/>
        <w:adjustRightInd w:val="0"/>
        <w:spacing w:line="240" w:lineRule="auto"/>
        <w:ind w:left="567" w:hanging="567"/>
        <w:rPr>
          <w:bCs/>
          <w:snapToGrid/>
          <w:szCs w:val="22"/>
          <w:lang w:val="lt-LT"/>
        </w:rPr>
      </w:pPr>
    </w:p>
    <w:p w:rsidR="00525BC3" w:rsidRPr="00AC1BAC" w:rsidRDefault="00525BC3" w:rsidP="00525BC3">
      <w:pPr>
        <w:widowControl w:val="0"/>
        <w:tabs>
          <w:tab w:val="clear" w:pos="567"/>
        </w:tabs>
        <w:spacing w:line="240" w:lineRule="auto"/>
        <w:ind w:left="567" w:hanging="567"/>
        <w:rPr>
          <w:b/>
          <w:snapToGrid/>
          <w:szCs w:val="22"/>
          <w:lang w:val="lt-LT"/>
        </w:rPr>
      </w:pPr>
      <w:r w:rsidRPr="00AC1BAC">
        <w:rPr>
          <w:b/>
          <w:snapToGrid/>
          <w:szCs w:val="22"/>
          <w:lang w:val="lt-LT"/>
        </w:rPr>
        <w:t>Apie ką rašoma šiame lapelyje?</w:t>
      </w:r>
    </w:p>
    <w:p w:rsidR="00525BC3" w:rsidRPr="00AC1BAC" w:rsidRDefault="00525BC3" w:rsidP="00525BC3">
      <w:pPr>
        <w:widowControl w:val="0"/>
        <w:tabs>
          <w:tab w:val="clear" w:pos="567"/>
        </w:tabs>
        <w:spacing w:line="240" w:lineRule="auto"/>
        <w:rPr>
          <w:bCs/>
          <w:snapToGrid/>
          <w:szCs w:val="22"/>
          <w:lang w:val="lt-LT"/>
        </w:rPr>
      </w:pP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1.</w:t>
      </w:r>
      <w:r w:rsidRPr="00AC1BAC">
        <w:rPr>
          <w:snapToGrid/>
          <w:szCs w:val="22"/>
          <w:lang w:val="lt-LT"/>
        </w:rPr>
        <w:tab/>
        <w:t xml:space="preserve">Kas yra </w:t>
      </w:r>
      <w:r>
        <w:rPr>
          <w:snapToGrid/>
          <w:szCs w:val="22"/>
          <w:lang w:val="lt-LT"/>
        </w:rPr>
        <w:t xml:space="preserve">Combogesic </w:t>
      </w:r>
      <w:r w:rsidRPr="00AC1BAC">
        <w:rPr>
          <w:snapToGrid/>
          <w:szCs w:val="22"/>
          <w:lang w:val="lt-LT"/>
        </w:rPr>
        <w:t>ir kam jis vartojamas</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2.</w:t>
      </w:r>
      <w:r w:rsidRPr="00AC1BAC">
        <w:rPr>
          <w:snapToGrid/>
          <w:szCs w:val="22"/>
          <w:lang w:val="lt-LT"/>
        </w:rPr>
        <w:tab/>
        <w:t xml:space="preserve">Kas žinotina prieš vartojant </w:t>
      </w:r>
      <w:r>
        <w:rPr>
          <w:snapToGrid/>
          <w:szCs w:val="22"/>
          <w:lang w:val="lt-LT"/>
        </w:rPr>
        <w:t>Combogesic</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3.</w:t>
      </w:r>
      <w:r w:rsidRPr="00AC1BAC">
        <w:rPr>
          <w:snapToGrid/>
          <w:szCs w:val="22"/>
          <w:lang w:val="lt-LT"/>
        </w:rPr>
        <w:tab/>
        <w:t xml:space="preserve">Kaip vartoti </w:t>
      </w:r>
      <w:r>
        <w:rPr>
          <w:snapToGrid/>
          <w:szCs w:val="22"/>
          <w:lang w:val="lt-LT"/>
        </w:rPr>
        <w:t>Combogesic</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4.</w:t>
      </w:r>
      <w:r w:rsidRPr="00AC1BAC">
        <w:rPr>
          <w:snapToGrid/>
          <w:szCs w:val="22"/>
          <w:lang w:val="lt-LT"/>
        </w:rPr>
        <w:tab/>
        <w:t>Galimas šalutinis poveikis</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5.</w:t>
      </w:r>
      <w:r w:rsidRPr="00AC1BAC">
        <w:rPr>
          <w:snapToGrid/>
          <w:szCs w:val="22"/>
          <w:lang w:val="lt-LT"/>
        </w:rPr>
        <w:tab/>
        <w:t xml:space="preserve">Kaip laikyti </w:t>
      </w:r>
      <w:r>
        <w:rPr>
          <w:snapToGrid/>
          <w:szCs w:val="22"/>
          <w:lang w:val="lt-LT"/>
        </w:rPr>
        <w:t>Combogesic</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6.</w:t>
      </w:r>
      <w:r w:rsidRPr="00AC1BAC">
        <w:rPr>
          <w:snapToGrid/>
          <w:szCs w:val="22"/>
          <w:lang w:val="lt-LT"/>
        </w:rPr>
        <w:tab/>
        <w:t>Pakuotės turinys ir kita informacija</w:t>
      </w:r>
    </w:p>
    <w:p w:rsidR="00525BC3" w:rsidRPr="00AC1BAC" w:rsidRDefault="00525BC3" w:rsidP="00525BC3">
      <w:pPr>
        <w:widowControl w:val="0"/>
        <w:numPr>
          <w:ilvl w:val="12"/>
          <w:numId w:val="0"/>
        </w:numPr>
        <w:tabs>
          <w:tab w:val="clear" w:pos="567"/>
        </w:tabs>
        <w:spacing w:line="240" w:lineRule="auto"/>
        <w:rPr>
          <w:snapToGrid/>
          <w:szCs w:val="22"/>
          <w:lang w:val="lt-LT"/>
        </w:rPr>
      </w:pPr>
    </w:p>
    <w:p w:rsidR="00525BC3" w:rsidRPr="00AC1BAC" w:rsidRDefault="00525BC3" w:rsidP="00525BC3">
      <w:pPr>
        <w:widowControl w:val="0"/>
        <w:numPr>
          <w:ilvl w:val="12"/>
          <w:numId w:val="0"/>
        </w:numPr>
        <w:tabs>
          <w:tab w:val="clear" w:pos="567"/>
        </w:tabs>
        <w:spacing w:line="240" w:lineRule="auto"/>
        <w:rPr>
          <w:snapToGrid/>
          <w:szCs w:val="22"/>
          <w:lang w:val="lt-LT"/>
        </w:rPr>
      </w:pPr>
    </w:p>
    <w:p w:rsidR="00525BC3" w:rsidRPr="00AC1BAC" w:rsidRDefault="00525BC3" w:rsidP="00525BC3">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1.</w:t>
      </w:r>
      <w:r w:rsidRPr="00AC1BAC">
        <w:rPr>
          <w:b/>
          <w:snapToGrid/>
          <w:szCs w:val="22"/>
          <w:lang w:val="lt-LT"/>
        </w:rPr>
        <w:tab/>
        <w:t xml:space="preserve">Kas yra </w:t>
      </w:r>
      <w:r>
        <w:rPr>
          <w:b/>
          <w:bCs/>
          <w:snapToGrid/>
          <w:szCs w:val="22"/>
          <w:lang w:val="lt-LT"/>
        </w:rPr>
        <w:t xml:space="preserve">Combogesic </w:t>
      </w:r>
      <w:r w:rsidRPr="00AC1BAC">
        <w:rPr>
          <w:b/>
          <w:snapToGrid/>
          <w:szCs w:val="22"/>
          <w:lang w:val="lt-LT"/>
        </w:rPr>
        <w:t>ir kam jis vartojamas</w:t>
      </w:r>
    </w:p>
    <w:p w:rsidR="00525BC3" w:rsidRPr="00AC1BAC" w:rsidRDefault="00525BC3" w:rsidP="00525BC3">
      <w:pPr>
        <w:widowControl w:val="0"/>
        <w:tabs>
          <w:tab w:val="clear" w:pos="567"/>
        </w:tabs>
        <w:spacing w:line="240" w:lineRule="auto"/>
        <w:ind w:left="567" w:hanging="567"/>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Combogesic </w:t>
      </w:r>
      <w:r w:rsidRPr="00AC1BAC">
        <w:rPr>
          <w:snapToGrid/>
          <w:szCs w:val="22"/>
          <w:lang w:val="lt-LT"/>
        </w:rPr>
        <w:t>sudėtyje yra paracetamolio ir ibuprofeno.</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Paracetamolis yra veiklioji medžiaga, kuri malšina skausmą.</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Ibuprofenas priklauso vaistų, vadinamų nesteroidiniais vaistais nuo uždegimo (arba NVNU), grupei. Jis malšina skausmą ir mažina uždegimą (patinimą, paraudimą ar skausmą).</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Combogesic </w:t>
      </w:r>
      <w:r w:rsidRPr="00AC1BAC">
        <w:rPr>
          <w:rFonts w:eastAsia="TimesNewRoman"/>
          <w:snapToGrid/>
          <w:szCs w:val="22"/>
          <w:lang w:val="lt-LT"/>
        </w:rPr>
        <w:t>yra vartojamas trumpalaikiam lengvo ar vidutinio stiprumo skausmo malšinimui 2–12 metų vaikams,</w:t>
      </w:r>
      <w:r w:rsidRPr="00AC1BAC">
        <w:rPr>
          <w:lang w:val="lt-LT"/>
        </w:rPr>
        <w:t xml:space="preserve"> </w:t>
      </w:r>
      <w:r w:rsidRPr="00AC1BAC">
        <w:rPr>
          <w:rFonts w:eastAsia="TimesNewRoman"/>
          <w:snapToGrid/>
          <w:szCs w:val="22"/>
          <w:lang w:val="lt-LT"/>
        </w:rPr>
        <w:t>sveriantiems ne mažiau kaip 12 kg, kai manoma, kad toks skausmas nesumažės vartojant vien paracetamolio ar ibuprofeno.</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r w:rsidRPr="00AC1BAC">
        <w:rPr>
          <w:rFonts w:eastAsia="TimesNewRoman,Bold"/>
          <w:snapToGrid/>
          <w:szCs w:val="22"/>
          <w:lang w:val="lt-LT"/>
        </w:rPr>
        <w:t>Jeigu kiltų klausimų dėl šio vaisto, kreipkitės į gydytoją arba vaistininką.</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rPr>
          <w:snapToGrid/>
          <w:szCs w:val="22"/>
          <w:lang w:val="lt-LT"/>
        </w:rPr>
      </w:pPr>
    </w:p>
    <w:p w:rsidR="00525BC3" w:rsidRPr="00AC1BAC" w:rsidRDefault="00525BC3" w:rsidP="00525BC3">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2.</w:t>
      </w:r>
      <w:r w:rsidRPr="00AC1BAC">
        <w:rPr>
          <w:b/>
          <w:snapToGrid/>
          <w:szCs w:val="22"/>
          <w:lang w:val="lt-LT"/>
        </w:rPr>
        <w:tab/>
        <w:t>Kas žinotina prieš vartojant</w:t>
      </w:r>
      <w:r>
        <w:rPr>
          <w:b/>
          <w:snapToGrid/>
          <w:szCs w:val="22"/>
          <w:lang w:val="lt-LT"/>
        </w:rPr>
        <w:t xml:space="preserve"> Combogesic</w:t>
      </w:r>
    </w:p>
    <w:p w:rsidR="00525BC3" w:rsidRPr="00AC1BAC" w:rsidRDefault="00525BC3" w:rsidP="00525BC3">
      <w:pPr>
        <w:widowControl w:val="0"/>
        <w:tabs>
          <w:tab w:val="clear" w:pos="567"/>
        </w:tabs>
        <w:spacing w:line="240" w:lineRule="auto"/>
        <w:ind w:left="567" w:hanging="567"/>
        <w:rPr>
          <w:snapToGrid/>
          <w:szCs w:val="22"/>
          <w:lang w:val="lt-LT"/>
        </w:rPr>
      </w:pPr>
    </w:p>
    <w:p w:rsidR="00525BC3" w:rsidRPr="00AC1BAC" w:rsidRDefault="00525BC3" w:rsidP="00525BC3">
      <w:pPr>
        <w:widowControl w:val="0"/>
        <w:tabs>
          <w:tab w:val="clear" w:pos="567"/>
        </w:tabs>
        <w:spacing w:line="240" w:lineRule="auto"/>
        <w:ind w:left="567" w:hanging="567"/>
        <w:rPr>
          <w:b/>
          <w:bCs/>
          <w:caps/>
          <w:snapToGrid/>
          <w:szCs w:val="22"/>
          <w:lang w:val="lt-LT"/>
        </w:rPr>
      </w:pPr>
      <w:r>
        <w:rPr>
          <w:b/>
          <w:bCs/>
          <w:snapToGrid/>
          <w:szCs w:val="22"/>
          <w:lang w:val="lt-LT"/>
        </w:rPr>
        <w:t xml:space="preserve">Combogesic </w:t>
      </w:r>
      <w:r w:rsidRPr="00AC1BAC">
        <w:rPr>
          <w:b/>
          <w:bCs/>
          <w:snapToGrid/>
          <w:szCs w:val="22"/>
          <w:lang w:val="lt-LT"/>
        </w:rPr>
        <w:t>vartoti draudžiama:</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yra alergija </w:t>
      </w:r>
      <w:r>
        <w:rPr>
          <w:snapToGrid/>
          <w:szCs w:val="22"/>
          <w:lang w:val="lt-LT"/>
        </w:rPr>
        <w:t>paracetamoliui, ibuprofenui</w:t>
      </w:r>
      <w:r w:rsidRPr="00AC1BAC">
        <w:rPr>
          <w:snapToGrid/>
          <w:szCs w:val="22"/>
          <w:lang w:val="lt-LT"/>
        </w:rPr>
        <w:t xml:space="preserve"> arba bet kuriai pagalbinei šio vaisto medžiagai (jos išvardytos 6 skyriuje);</w:t>
      </w:r>
    </w:p>
    <w:p w:rsidR="00525BC3"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yra arba neseniai buvo pepsinė opa (pvz., skrandžio arba dvylikapirštės žarnos opa) </w:t>
      </w:r>
      <w:r>
        <w:rPr>
          <w:snapToGrid/>
          <w:szCs w:val="22"/>
          <w:lang w:val="lt-LT"/>
        </w:rPr>
        <w:t>arba kraujavimas</w:t>
      </w:r>
      <w:r w:rsidRPr="00BE06A2">
        <w:rPr>
          <w:snapToGrid/>
          <w:szCs w:val="22"/>
          <w:lang w:val="lt-LT"/>
        </w:rPr>
        <w:t xml:space="preserve">, </w:t>
      </w:r>
      <w:r>
        <w:rPr>
          <w:snapToGrid/>
          <w:szCs w:val="22"/>
          <w:lang w:val="lt-LT"/>
        </w:rPr>
        <w:t>arba praeityje yra buvę du ar daugiau skrandžio arba plonosios žarnos išopėjimo arba kraujavimo iš jų epizodų</w:t>
      </w:r>
      <w:r w:rsidRPr="00AC1BAC">
        <w:rPr>
          <w:snapToGrid/>
          <w:szCs w:val="22"/>
          <w:lang w:val="lt-LT"/>
        </w:rPr>
        <w:t>;</w:t>
      </w:r>
    </w:p>
    <w:p w:rsidR="00525BC3" w:rsidRPr="008E5E3A"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w:t>
      </w:r>
      <w:r>
        <w:rPr>
          <w:snapToGrid/>
          <w:szCs w:val="22"/>
          <w:lang w:val="lt-LT"/>
        </w:rPr>
        <w:t xml:space="preserve">yra buvęs kraujavimas iš skrandžio ar dvylikapirštės žarnos arba jų prakiurimas, susiję su ankstesniu gydymu </w:t>
      </w:r>
      <w:r w:rsidRPr="008E5E3A">
        <w:rPr>
          <w:snapToGrid/>
          <w:szCs w:val="22"/>
          <w:lang w:val="lt-LT"/>
        </w:rPr>
        <w:t>NVNU;</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kartu su kitais vaistais, kurių sudėtyje yra paracetamolio arba ibuprofeno;</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sunkus širdies nepakankamumas, kepenų nepakankamumas arba inkstų nepakankamumas;</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kraujavimas iš smegenų kraujagyslių ar kitoks aktyvus kraujavimas;</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kraujodaros sutrikimų</w:t>
      </w:r>
      <w:r>
        <w:rPr>
          <w:snapToGrid/>
          <w:szCs w:val="22"/>
          <w:lang w:val="lt-LT"/>
        </w:rPr>
        <w:t>, kraujo krešėjimo sutrikimų ir būklių, susijusių su padidėjusiu polinkiu kraujuoti</w:t>
      </w:r>
      <w:r w:rsidRPr="00AC1BAC">
        <w:rPr>
          <w:snapToGrid/>
          <w:szCs w:val="22"/>
          <w:lang w:val="lt-LT"/>
        </w:rPr>
        <w:t>;</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 xml:space="preserve">jeigu Jūsų vaikui po acetilsalicilo rūgšties ar kitokių NVNU pavartojimo </w:t>
      </w:r>
      <w:r>
        <w:rPr>
          <w:snapToGrid/>
          <w:szCs w:val="22"/>
          <w:lang w:val="lt-LT"/>
        </w:rPr>
        <w:t xml:space="preserve">buvo </w:t>
      </w:r>
      <w:r w:rsidRPr="00AC1BAC">
        <w:rPr>
          <w:snapToGrid/>
          <w:szCs w:val="22"/>
          <w:lang w:val="lt-LT"/>
        </w:rPr>
        <w:t>pasireišk</w:t>
      </w:r>
      <w:r>
        <w:rPr>
          <w:snapToGrid/>
          <w:szCs w:val="22"/>
          <w:lang w:val="lt-LT"/>
        </w:rPr>
        <w:t>usi</w:t>
      </w:r>
      <w:r w:rsidRPr="00AC1BAC">
        <w:rPr>
          <w:snapToGrid/>
          <w:szCs w:val="22"/>
          <w:lang w:val="lt-LT"/>
        </w:rPr>
        <w:t xml:space="preserve"> astma, dilgėlinė ar alerginio tipo reakcija;</w:t>
      </w:r>
    </w:p>
    <w:p w:rsidR="00525BC3" w:rsidRPr="00AC1BAC" w:rsidRDefault="00525BC3" w:rsidP="00525BC3">
      <w:pPr>
        <w:keepNext/>
        <w:keepLines/>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lastRenderedPageBreak/>
        <w:t>jeigu Jūsų vaikui yra sunki dehidratacija (pvz., sukelta vėmimo, viduriavimo arba nepakankamo skysčių suvartojimo);</w:t>
      </w:r>
    </w:p>
    <w:p w:rsidR="00525BC3" w:rsidRPr="00AC1BAC" w:rsidRDefault="00525BC3" w:rsidP="00525BC3">
      <w:pPr>
        <w:keepNext/>
        <w:keepLines/>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kartu su kitais NVNU (įskaitant COX-2 selektyvius inhibitorius) arba didesnėmis nei 75 mg acetilsalicilo rūgšties dozėmis.</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Jeigu esate suaugęs, be aukščiau paminėtų situacijų, </w:t>
      </w:r>
      <w:r>
        <w:rPr>
          <w:snapToGrid/>
          <w:szCs w:val="22"/>
          <w:lang w:val="lt-LT"/>
        </w:rPr>
        <w:t xml:space="preserve">Combogesic </w:t>
      </w:r>
      <w:r w:rsidRPr="00AC1BAC">
        <w:rPr>
          <w:snapToGrid/>
          <w:szCs w:val="22"/>
          <w:lang w:val="lt-LT"/>
        </w:rPr>
        <w:t>Jums vartoti negalima, jei:</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yra paskutiniai trys nėštumo mėnesiai.</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spacing w:line="240" w:lineRule="auto"/>
        <w:ind w:left="567" w:hanging="567"/>
        <w:rPr>
          <w:b/>
          <w:snapToGrid/>
          <w:szCs w:val="22"/>
          <w:lang w:val="lt-LT"/>
        </w:rPr>
      </w:pPr>
      <w:r w:rsidRPr="00AC1BAC">
        <w:rPr>
          <w:b/>
          <w:snapToGrid/>
          <w:szCs w:val="22"/>
          <w:lang w:val="lt-LT"/>
        </w:rPr>
        <w:t>Įspėjimai ir atsargumo priemonės</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 xml:space="preserve">Pasitarkite su gydytoju arba vaistininku, prieš duodami </w:t>
      </w:r>
      <w:r>
        <w:rPr>
          <w:snapToGrid/>
          <w:szCs w:val="22"/>
          <w:lang w:val="lt-LT"/>
        </w:rPr>
        <w:t xml:space="preserve">Combogesic </w:t>
      </w:r>
      <w:r w:rsidRPr="00AC1BAC">
        <w:rPr>
          <w:snapToGrid/>
          <w:szCs w:val="22"/>
          <w:lang w:val="lt-LT"/>
        </w:rPr>
        <w:t>savo vaikui:</w:t>
      </w:r>
    </w:p>
    <w:p w:rsidR="00525BC3" w:rsidRPr="00AC1BAC" w:rsidRDefault="00525BC3" w:rsidP="00525BC3">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AC1BAC">
        <w:rPr>
          <w:snapToGrid/>
          <w:szCs w:val="22"/>
          <w:lang w:val="lt-LT"/>
        </w:rPr>
        <w:t>jeigu Jūsų vaikui yra infekcija (žr. poskyrį „Infekcijos“ žemiau).</w:t>
      </w:r>
    </w:p>
    <w:p w:rsidR="00525BC3" w:rsidRDefault="00525BC3" w:rsidP="00525BC3">
      <w:pPr>
        <w:widowControl w:val="0"/>
        <w:numPr>
          <w:ilvl w:val="12"/>
          <w:numId w:val="0"/>
        </w:numPr>
        <w:tabs>
          <w:tab w:val="clear" w:pos="567"/>
        </w:tabs>
        <w:spacing w:line="240" w:lineRule="auto"/>
        <w:rPr>
          <w:bCs/>
          <w:snapToGrid/>
          <w:szCs w:val="22"/>
          <w:lang w:val="lt-LT"/>
        </w:rPr>
      </w:pPr>
    </w:p>
    <w:p w:rsidR="00525BC3" w:rsidRDefault="00525BC3" w:rsidP="00525BC3">
      <w:pPr>
        <w:widowControl w:val="0"/>
        <w:numPr>
          <w:ilvl w:val="12"/>
          <w:numId w:val="0"/>
        </w:numPr>
        <w:tabs>
          <w:tab w:val="clear" w:pos="567"/>
        </w:tabs>
        <w:spacing w:line="240" w:lineRule="auto"/>
        <w:rPr>
          <w:bCs/>
          <w:snapToGrid/>
          <w:szCs w:val="22"/>
          <w:lang w:val="lt-LT"/>
        </w:rPr>
      </w:pPr>
      <w:r w:rsidRPr="0086046F">
        <w:rPr>
          <w:bCs/>
          <w:snapToGrid/>
          <w:szCs w:val="22"/>
          <w:lang w:val="lt-LT"/>
        </w:rPr>
        <w:t xml:space="preserve">Gydymo </w:t>
      </w:r>
      <w:r w:rsidRPr="002977B0">
        <w:rPr>
          <w:bCs/>
          <w:snapToGrid/>
          <w:szCs w:val="22"/>
          <w:lang w:val="lt-LT"/>
        </w:rPr>
        <w:t>Combogesic</w:t>
      </w:r>
      <w:r w:rsidRPr="0086046F">
        <w:rPr>
          <w:bCs/>
          <w:snapToGrid/>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525BC3" w:rsidRPr="00AC1BAC" w:rsidRDefault="00525BC3" w:rsidP="00525BC3">
      <w:pPr>
        <w:widowControl w:val="0"/>
        <w:numPr>
          <w:ilvl w:val="12"/>
          <w:numId w:val="0"/>
        </w:numPr>
        <w:tabs>
          <w:tab w:val="clear" w:pos="567"/>
        </w:tabs>
        <w:spacing w:line="240" w:lineRule="auto"/>
        <w:rPr>
          <w:bCs/>
          <w:snapToGrid/>
          <w:szCs w:val="22"/>
          <w:lang w:val="lt-LT"/>
        </w:rPr>
      </w:pPr>
    </w:p>
    <w:p w:rsidR="00525BC3" w:rsidRPr="00AC1BAC" w:rsidRDefault="00525BC3" w:rsidP="00525BC3">
      <w:pPr>
        <w:pStyle w:val="Sraassuenkleliais"/>
        <w:numPr>
          <w:ilvl w:val="0"/>
          <w:numId w:val="0"/>
        </w:numPr>
        <w:tabs>
          <w:tab w:val="left" w:pos="709"/>
        </w:tabs>
        <w:rPr>
          <w:szCs w:val="22"/>
          <w:lang w:val="lt-LT"/>
        </w:rPr>
      </w:pPr>
      <w:r w:rsidRPr="00AC1BAC">
        <w:rPr>
          <w:b/>
          <w:szCs w:val="22"/>
          <w:lang w:val="lt-LT"/>
        </w:rPr>
        <w:t xml:space="preserve">Dėmesio! </w:t>
      </w:r>
      <w:r w:rsidRPr="00AC1BAC">
        <w:rPr>
          <w:szCs w:val="22"/>
          <w:lang w:val="lt-LT"/>
        </w:rPr>
        <w:t xml:space="preserve">Išgėrus didesnę nei rekomenduojama dozę, kyla sunkaus kepenų pažeidimo pavojus. Dėl to </w:t>
      </w:r>
      <w:r w:rsidRPr="00AC1BAC">
        <w:rPr>
          <w:b/>
          <w:bCs/>
          <w:szCs w:val="22"/>
          <w:lang w:val="lt-LT"/>
        </w:rPr>
        <w:t>negalima</w:t>
      </w:r>
      <w:r w:rsidRPr="00AC1BAC">
        <w:rPr>
          <w:szCs w:val="22"/>
          <w:lang w:val="lt-LT"/>
        </w:rPr>
        <w:t xml:space="preserve"> viršyti didžiausios paracetamolio paros dozės. Patikrinkite, ar Jūsų vaikas nevartoja kitų vaistų, kurių sudėtyje yra paracetamolio, įskaitant įsigytus be recepto. Nevartokite jų kartu, kad neviršytumėte rekomenduojamos paros dozės (žr. 3 skyrių „Kaip vartoti </w:t>
      </w:r>
      <w:r>
        <w:rPr>
          <w:szCs w:val="22"/>
          <w:lang w:val="lt-LT"/>
        </w:rPr>
        <w:t>Combogesic</w:t>
      </w:r>
      <w:r w:rsidRPr="00AC1BAC">
        <w:rPr>
          <w:szCs w:val="22"/>
          <w:lang w:val="lt-LT"/>
        </w:rPr>
        <w:t xml:space="preserve">“ ir „Ką daryti pavartojus per didelę </w:t>
      </w:r>
      <w:r>
        <w:rPr>
          <w:szCs w:val="22"/>
          <w:lang w:val="lt-LT"/>
        </w:rPr>
        <w:t xml:space="preserve">Combogesic </w:t>
      </w:r>
      <w:r w:rsidRPr="00AC1BAC">
        <w:rPr>
          <w:szCs w:val="22"/>
          <w:lang w:val="lt-LT"/>
        </w:rPr>
        <w:t>dozę“).</w:t>
      </w:r>
    </w:p>
    <w:p w:rsidR="00525BC3" w:rsidRPr="00AC1BAC" w:rsidRDefault="00525BC3" w:rsidP="00525BC3">
      <w:pPr>
        <w:pStyle w:val="Sraassuenkleliais"/>
        <w:numPr>
          <w:ilvl w:val="0"/>
          <w:numId w:val="0"/>
        </w:numPr>
        <w:tabs>
          <w:tab w:val="left" w:pos="709"/>
        </w:tabs>
        <w:rPr>
          <w:szCs w:val="22"/>
          <w:lang w:val="lt-LT"/>
        </w:rPr>
      </w:pPr>
    </w:p>
    <w:p w:rsidR="00525BC3" w:rsidRPr="00AC1BAC" w:rsidRDefault="00525BC3" w:rsidP="00525BC3">
      <w:pPr>
        <w:pStyle w:val="Sraassuenkleliais"/>
        <w:numPr>
          <w:ilvl w:val="0"/>
          <w:numId w:val="0"/>
        </w:numPr>
        <w:tabs>
          <w:tab w:val="left" w:pos="709"/>
        </w:tabs>
        <w:rPr>
          <w:szCs w:val="22"/>
          <w:lang w:val="lt-LT"/>
        </w:rPr>
      </w:pPr>
      <w:r w:rsidRPr="00AC1BAC">
        <w:rPr>
          <w:szCs w:val="22"/>
          <w:lang w:val="lt-LT"/>
        </w:rPr>
        <w:t>Be to, turite patikrinti, ar Jūsų vaikas nevartoja kitų vaistų, kurių sudėtyje yra ibuprofeno.</w:t>
      </w:r>
    </w:p>
    <w:p w:rsidR="00525BC3" w:rsidRPr="00AC1BAC" w:rsidRDefault="00525BC3" w:rsidP="00525BC3">
      <w:pPr>
        <w:tabs>
          <w:tab w:val="clear" w:pos="567"/>
        </w:tabs>
        <w:spacing w:line="240" w:lineRule="auto"/>
        <w:rPr>
          <w:lang w:val="lt-LT"/>
        </w:rPr>
      </w:pPr>
    </w:p>
    <w:p w:rsidR="00525BC3" w:rsidRPr="00AC1BAC" w:rsidRDefault="00525BC3" w:rsidP="00525BC3">
      <w:pPr>
        <w:pStyle w:val="Sraassuenkleliais"/>
        <w:numPr>
          <w:ilvl w:val="0"/>
          <w:numId w:val="0"/>
        </w:numPr>
        <w:tabs>
          <w:tab w:val="clear" w:pos="567"/>
          <w:tab w:val="left" w:pos="0"/>
          <w:tab w:val="left" w:pos="709"/>
        </w:tabs>
        <w:rPr>
          <w:lang w:val="lt-LT"/>
        </w:rPr>
      </w:pPr>
      <w:r w:rsidRPr="00AC1BAC">
        <w:rPr>
          <w:lang w:val="lt-LT"/>
        </w:rPr>
        <w:t>Uždegimą mažinantys / skausmą malšinantys vaistai, tokie kaip ibuprofenas, gali būti susiję su nedideliu širdies priepuolio ar insulto pavojaus padidėjimu, ypač vartojant dideles dozes. Neviršykite rekomenduotos dozės ar gydymo laiko.</w:t>
      </w:r>
    </w:p>
    <w:p w:rsidR="00525BC3" w:rsidRPr="00AC1BAC" w:rsidRDefault="00525BC3" w:rsidP="00525BC3">
      <w:pPr>
        <w:pStyle w:val="Sraassuenkleliais"/>
        <w:numPr>
          <w:ilvl w:val="0"/>
          <w:numId w:val="0"/>
        </w:numPr>
        <w:tabs>
          <w:tab w:val="left" w:pos="709"/>
        </w:tabs>
        <w:rPr>
          <w:lang w:val="lt-LT"/>
        </w:rPr>
      </w:pPr>
    </w:p>
    <w:p w:rsidR="00525BC3" w:rsidRPr="00AC1BAC" w:rsidRDefault="00525BC3" w:rsidP="00525BC3">
      <w:pPr>
        <w:pStyle w:val="Sraopastraipa"/>
        <w:tabs>
          <w:tab w:val="clear" w:pos="567"/>
        </w:tabs>
        <w:spacing w:line="240" w:lineRule="auto"/>
        <w:ind w:left="0" w:right="-2"/>
        <w:jc w:val="both"/>
        <w:rPr>
          <w:snapToGrid w:val="0"/>
          <w:lang w:val="lt-LT" w:eastAsia="en-US"/>
        </w:rPr>
      </w:pPr>
      <w:r w:rsidRPr="00AC1BAC">
        <w:rPr>
          <w:snapToGrid w:val="0"/>
          <w:lang w:val="lt-LT" w:eastAsia="en-US"/>
        </w:rPr>
        <w:t>Vaikams, kurių organizme yra per mažai vandens (dehidratacija), yra inkstų funkcijos sutrikimo rizika.</w:t>
      </w:r>
    </w:p>
    <w:p w:rsidR="00525BC3" w:rsidRPr="00AC1BAC" w:rsidRDefault="00525BC3" w:rsidP="00525BC3">
      <w:pPr>
        <w:pStyle w:val="Sraopastraipa"/>
        <w:tabs>
          <w:tab w:val="clear" w:pos="567"/>
        </w:tabs>
        <w:spacing w:line="240" w:lineRule="auto"/>
        <w:ind w:left="0" w:right="-2"/>
        <w:jc w:val="both"/>
        <w:rPr>
          <w:snapToGrid w:val="0"/>
          <w:lang w:val="lt-LT" w:eastAsia="en-US"/>
        </w:rPr>
      </w:pPr>
      <w:r w:rsidRPr="00AC1BAC">
        <w:rPr>
          <w:snapToGrid w:val="0"/>
          <w:lang w:val="lt-LT" w:eastAsia="en-US"/>
        </w:rPr>
        <w:t xml:space="preserve">Prieš duodami savo vaikui </w:t>
      </w:r>
      <w:r>
        <w:rPr>
          <w:snapToGrid w:val="0"/>
          <w:lang w:val="lt-LT" w:eastAsia="en-US"/>
        </w:rPr>
        <w:t>Combogesic</w:t>
      </w:r>
      <w:r w:rsidRPr="00AC1BAC">
        <w:rPr>
          <w:snapToGrid w:val="0"/>
          <w:lang w:val="lt-LT" w:eastAsia="en-US"/>
        </w:rPr>
        <w:t>, pasitarkite su gydytoju arba vaistininku, jeigu:</w:t>
      </w:r>
    </w:p>
    <w:p w:rsidR="00525BC3"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vaikui nustatytas aukštas kraujospūdis;</w:t>
      </w:r>
    </w:p>
    <w:p w:rsidR="00525BC3" w:rsidRPr="008C2BBC" w:rsidRDefault="00525BC3" w:rsidP="00525BC3">
      <w:pPr>
        <w:numPr>
          <w:ilvl w:val="0"/>
          <w:numId w:val="4"/>
        </w:numPr>
        <w:tabs>
          <w:tab w:val="clear" w:pos="360"/>
          <w:tab w:val="num" w:pos="567"/>
        </w:tabs>
        <w:spacing w:line="240" w:lineRule="auto"/>
        <w:ind w:left="567" w:right="-2" w:hanging="567"/>
        <w:jc w:val="both"/>
        <w:rPr>
          <w:lang w:val="lt-LT"/>
        </w:rPr>
      </w:pPr>
      <w:r>
        <w:rPr>
          <w:lang w:val="lt-LT"/>
        </w:rPr>
        <w:t>Jūsų vaikui nustatytas didelis cholesterolio kiekis arba kraujo giminaičiams yra buvę širdies ligos ar insulto atvejų</w:t>
      </w:r>
      <w:r w:rsidRPr="008C2BBC">
        <w:rPr>
          <w:lang w:val="lt-LT"/>
        </w:rPr>
        <w:t>;</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vaikas serga arba sirgo astma arba cukriniu diabetu;</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vaikas serga arba sirgo vilklige arba mišria jungiamojo audinio liga;</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vaikas serga arba sirgo lėtine uždegimine žarnyno liga, tokia kaip opinis kolitas ar Krono liga, pasireiškiančia kraujavimu iš virškinimo trakto;</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vaikas sirgo arba serga vėjaraupiais;</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vaikas serga kepenų liga, hepatitu, inkstų liga arba jam sunku šlapintis;</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Jūsų vaikui numatoma operacija;</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lang w:val="lt-LT"/>
        </w:rPr>
      </w:pPr>
      <w:r w:rsidRPr="00AC1BAC">
        <w:rPr>
          <w:snapToGrid w:val="0"/>
          <w:lang w:val="lt-LT" w:eastAsia="en-US"/>
        </w:rPr>
        <w:t>Jūsų vaikas turi arba turėjo kitų sveikatos sutrikimų, įskaitant:</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rėmenį, virškinimo sutrikimus, skrandžio opą ar bet kokias kitas skrandžio problemas;</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vėmimą krauju arba kraujavimą iš išangės;</w:t>
      </w:r>
    </w:p>
    <w:p w:rsidR="00525BC3" w:rsidRPr="008C2BB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Pr>
          <w:lang w:val="lt-LT"/>
        </w:rPr>
        <w:t>fermento</w:t>
      </w:r>
      <w:r w:rsidRPr="008C2BBC">
        <w:rPr>
          <w:lang w:val="lt-LT"/>
        </w:rPr>
        <w:t xml:space="preserve"> gl</w:t>
      </w:r>
      <w:r>
        <w:rPr>
          <w:lang w:val="lt-LT"/>
        </w:rPr>
        <w:t>iukozės</w:t>
      </w:r>
      <w:r w:rsidRPr="008C2BBC">
        <w:rPr>
          <w:lang w:val="lt-LT"/>
        </w:rPr>
        <w:t>-6-</w:t>
      </w:r>
      <w:r>
        <w:rPr>
          <w:lang w:val="lt-LT"/>
        </w:rPr>
        <w:t>fosfato dehidrogenazės stoką;</w:t>
      </w:r>
    </w:p>
    <w:p w:rsidR="00525BC3" w:rsidRPr="008C2BB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Pr>
          <w:lang w:val="lt-LT"/>
        </w:rPr>
        <w:t>hemolizinę mažakraujystę</w:t>
      </w:r>
      <w:r w:rsidRPr="008C2BBC">
        <w:rPr>
          <w:lang w:val="lt-LT"/>
        </w:rPr>
        <w:t xml:space="preserve"> (</w:t>
      </w:r>
      <w:r>
        <w:rPr>
          <w:lang w:val="lt-LT"/>
        </w:rPr>
        <w:t>kraujo sutrikimą</w:t>
      </w:r>
      <w:r w:rsidRPr="008C2BBC">
        <w:rPr>
          <w:lang w:val="lt-LT"/>
        </w:rPr>
        <w:t>)</w:t>
      </w:r>
      <w:r>
        <w:rPr>
          <w:lang w:val="lt-LT"/>
        </w:rPr>
        <w:t>;</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sunkias odos reakcijas, pvz., Stivenso-Džonsono sindromą;</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regėjimo problemas;</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kulkšnių ar pėdų patinimą;</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viduriavimą;</w:t>
      </w:r>
    </w:p>
    <w:p w:rsidR="00525BC3" w:rsidRPr="00AC1BAC" w:rsidRDefault="00525BC3" w:rsidP="00525BC3">
      <w:pPr>
        <w:pStyle w:val="Sraassuenkleliais"/>
        <w:numPr>
          <w:ilvl w:val="0"/>
          <w:numId w:val="5"/>
        </w:numPr>
        <w:tabs>
          <w:tab w:val="clear" w:pos="567"/>
          <w:tab w:val="left" w:pos="1134"/>
        </w:tabs>
        <w:suppressAutoHyphens/>
        <w:spacing w:line="240" w:lineRule="auto"/>
        <w:ind w:left="1134" w:hanging="567"/>
        <w:contextualSpacing w:val="0"/>
        <w:rPr>
          <w:lang w:val="lt-LT"/>
        </w:rPr>
      </w:pPr>
      <w:r w:rsidRPr="00AC1BAC">
        <w:rPr>
          <w:lang w:val="lt-LT"/>
        </w:rPr>
        <w:t>paveldimą genetinį arba įgytą tam tikrų fermentų sutrikimą, pasireiškiantį neurologinėmis komplikacijomis arba odos problemomis, pvz., porfiriją.</w:t>
      </w:r>
    </w:p>
    <w:p w:rsidR="00525BC3" w:rsidRPr="00AC1BAC" w:rsidRDefault="00525BC3" w:rsidP="00525BC3">
      <w:pPr>
        <w:rPr>
          <w:lang w:val="lt-LT" w:eastAsia="en-IE"/>
        </w:rPr>
      </w:pPr>
    </w:p>
    <w:p w:rsidR="00525BC3" w:rsidRPr="00AC1BAC" w:rsidRDefault="00525BC3" w:rsidP="00525BC3">
      <w:pPr>
        <w:rPr>
          <w:lang w:val="lt-LT" w:eastAsia="en-IE"/>
        </w:rPr>
      </w:pPr>
      <w:r w:rsidRPr="00AC1BAC">
        <w:rPr>
          <w:lang w:val="lt-LT" w:eastAsia="en-IE"/>
        </w:rPr>
        <w:lastRenderedPageBreak/>
        <w:t>Šis vaistas yra skirtas 2–12 metų vaikams.</w:t>
      </w:r>
      <w:r w:rsidRPr="00AC1BAC">
        <w:rPr>
          <w:lang w:val="lt-LT"/>
        </w:rPr>
        <w:t xml:space="preserve"> </w:t>
      </w:r>
      <w:r w:rsidRPr="00AC1BAC">
        <w:rPr>
          <w:lang w:val="lt-LT" w:eastAsia="en-IE"/>
        </w:rPr>
        <w:t>Jei esate suaugęs žmogus ir vartojate šį vaistą, Jums yra taikomi visi aukščiau pateikti teiginiai ir toliau nurodyti papildomi įspėjimai.</w:t>
      </w:r>
    </w:p>
    <w:p w:rsidR="00525BC3" w:rsidRPr="00AC1BAC" w:rsidRDefault="00525BC3" w:rsidP="00525BC3">
      <w:pPr>
        <w:rPr>
          <w:lang w:val="lt-LT" w:eastAsia="en-IE"/>
        </w:rPr>
      </w:pPr>
      <w:r w:rsidRPr="00AC1BAC">
        <w:rPr>
          <w:lang w:val="lt-LT" w:eastAsia="en-IE"/>
        </w:rPr>
        <w:t>Pasakykite gydytojui arba vaistininkui, jei</w:t>
      </w:r>
      <w:r>
        <w:rPr>
          <w:lang w:val="lt-LT" w:eastAsia="en-IE"/>
        </w:rPr>
        <w:t>gu</w:t>
      </w:r>
      <w:r w:rsidRPr="00AC1BAC">
        <w:rPr>
          <w:lang w:val="lt-LT" w:eastAsia="en-IE"/>
        </w:rPr>
        <w:t>:</w:t>
      </w:r>
    </w:p>
    <w:p w:rsidR="00525BC3" w:rsidRPr="00E736E4"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Pr>
          <w:snapToGrid w:val="0"/>
          <w:lang w:val="lt-LT" w:eastAsia="en-US"/>
        </w:rPr>
        <w:t>reguliariai dideliais kiekiais geriate alkoholį ar vartojate kitokių svaiginamųjų medžiagų</w:t>
      </w:r>
      <w:r w:rsidRPr="00E736E4">
        <w:rPr>
          <w:snapToGrid w:val="0"/>
          <w:lang w:val="lt-LT" w:eastAsia="en-US"/>
        </w:rPr>
        <w:t>;</w:t>
      </w:r>
    </w:p>
    <w:p w:rsidR="00525BC3" w:rsidRPr="00E736E4"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Pr>
          <w:snapToGrid w:val="0"/>
          <w:lang w:val="lt-LT" w:eastAsia="en-US"/>
        </w:rPr>
        <w:t>yra</w:t>
      </w:r>
      <w:r w:rsidRPr="00E736E4">
        <w:rPr>
          <w:snapToGrid w:val="0"/>
          <w:lang w:val="lt-LT" w:eastAsia="en-US"/>
        </w:rPr>
        <w:t xml:space="preserve"> širdies </w:t>
      </w:r>
      <w:r>
        <w:rPr>
          <w:snapToGrid w:val="0"/>
          <w:lang w:val="lt-LT" w:eastAsia="en-US"/>
        </w:rPr>
        <w:t>sutrikimų</w:t>
      </w:r>
      <w:r w:rsidRPr="00E736E4">
        <w:rPr>
          <w:snapToGrid w:val="0"/>
          <w:lang w:val="lt-LT" w:eastAsia="en-US"/>
        </w:rPr>
        <w:t xml:space="preserve">, įskaitant širdies nepakankamumą, krūtinės anginą (jaučiate skausmą krūtinėje) arba jeigu </w:t>
      </w:r>
      <w:r>
        <w:rPr>
          <w:snapToGrid w:val="0"/>
          <w:lang w:val="lt-LT" w:eastAsia="en-US"/>
        </w:rPr>
        <w:t>Jus</w:t>
      </w:r>
      <w:r w:rsidRPr="00E736E4">
        <w:rPr>
          <w:snapToGrid w:val="0"/>
          <w:lang w:val="lt-LT" w:eastAsia="en-US"/>
        </w:rPr>
        <w:t xml:space="preserve"> buvo </w:t>
      </w:r>
      <w:r>
        <w:rPr>
          <w:snapToGrid w:val="0"/>
          <w:lang w:val="lt-LT" w:eastAsia="en-US"/>
        </w:rPr>
        <w:t xml:space="preserve">ištikęs </w:t>
      </w:r>
      <w:r w:rsidRPr="00E736E4">
        <w:rPr>
          <w:snapToGrid w:val="0"/>
          <w:lang w:val="lt-LT" w:eastAsia="en-US"/>
        </w:rPr>
        <w:t>širdies priepuolis, atlikta širdies kraujagyslių jungčių suformavimo operacija, diagnozuota periferinių arterijų liga (</w:t>
      </w:r>
      <w:r>
        <w:rPr>
          <w:snapToGrid w:val="0"/>
          <w:lang w:val="lt-LT" w:eastAsia="en-US"/>
        </w:rPr>
        <w:t>yra bloga</w:t>
      </w:r>
      <w:r w:rsidRPr="00E736E4">
        <w:rPr>
          <w:snapToGrid w:val="0"/>
          <w:lang w:val="lt-LT" w:eastAsia="en-US"/>
        </w:rPr>
        <w:t xml:space="preserve"> kraujotaka </w:t>
      </w:r>
      <w:r>
        <w:rPr>
          <w:snapToGrid w:val="0"/>
          <w:lang w:val="lt-LT" w:eastAsia="en-US"/>
        </w:rPr>
        <w:t xml:space="preserve">kojose ar </w:t>
      </w:r>
      <w:r w:rsidRPr="00E736E4">
        <w:rPr>
          <w:snapToGrid w:val="0"/>
          <w:lang w:val="lt-LT" w:eastAsia="en-US"/>
        </w:rPr>
        <w:t>pėdose dėl susiaurėjusių ar užsikimšusių arterijų) arba buvo ištikęs bet kokios rūšies insultas (įskaitant miniinsultą arba praeinantį smegenų išemijos priepuolį (PSIP)</w:t>
      </w:r>
      <w:r>
        <w:rPr>
          <w:snapToGrid w:val="0"/>
          <w:lang w:val="lt-LT" w:eastAsia="en-US"/>
        </w:rPr>
        <w:t>)</w:t>
      </w:r>
      <w:r w:rsidRPr="00E736E4">
        <w:rPr>
          <w:snapToGrid w:val="0"/>
          <w:lang w:val="lt-LT" w:eastAsia="en-US"/>
        </w:rPr>
        <w:t>;</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Pr>
          <w:snapToGrid w:val="0"/>
          <w:lang w:val="lt-LT" w:eastAsia="en-US"/>
        </w:rPr>
        <w:t>rūkote</w:t>
      </w:r>
      <w:r w:rsidRPr="00AC1BAC">
        <w:rPr>
          <w:snapToGrid w:val="0"/>
          <w:lang w:val="lt-LT" w:eastAsia="en-US"/>
        </w:rPr>
        <w:t>;</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snapToGrid w:val="0"/>
          <w:lang w:val="lt-LT" w:eastAsia="en-US"/>
        </w:rPr>
      </w:pPr>
      <w:r w:rsidRPr="00AC1BAC">
        <w:rPr>
          <w:snapToGrid w:val="0"/>
          <w:lang w:val="lt-LT" w:eastAsia="en-US"/>
        </w:rPr>
        <w:t>esate nėščia arba ketinate pastoti;</w:t>
      </w:r>
    </w:p>
    <w:p w:rsidR="00525BC3" w:rsidRPr="00AC1BAC" w:rsidRDefault="00525BC3" w:rsidP="00525BC3">
      <w:pPr>
        <w:pStyle w:val="Sraopastraipa"/>
        <w:numPr>
          <w:ilvl w:val="0"/>
          <w:numId w:val="4"/>
        </w:numPr>
        <w:tabs>
          <w:tab w:val="clear" w:pos="360"/>
          <w:tab w:val="num" w:pos="567"/>
        </w:tabs>
        <w:spacing w:line="240" w:lineRule="auto"/>
        <w:ind w:left="567" w:right="-2" w:hanging="567"/>
        <w:jc w:val="both"/>
        <w:rPr>
          <w:lang w:val="lt-LT" w:eastAsia="en-IE"/>
        </w:rPr>
      </w:pPr>
      <w:r w:rsidRPr="00AC1BAC">
        <w:rPr>
          <w:snapToGrid w:val="0"/>
          <w:lang w:val="lt-LT" w:eastAsia="en-US"/>
        </w:rPr>
        <w:t>maitinate arba planuojate maitinti krūtimi.</w:t>
      </w:r>
    </w:p>
    <w:p w:rsidR="00525BC3" w:rsidRPr="00AC1BAC" w:rsidRDefault="00525BC3" w:rsidP="00525BC3">
      <w:pPr>
        <w:tabs>
          <w:tab w:val="clear" w:pos="567"/>
        </w:tabs>
        <w:spacing w:line="240" w:lineRule="auto"/>
        <w:rPr>
          <w:lang w:val="lt-LT"/>
        </w:rPr>
      </w:pPr>
    </w:p>
    <w:p w:rsidR="00525BC3" w:rsidRPr="00AC1BAC" w:rsidRDefault="00525BC3" w:rsidP="00525BC3">
      <w:pPr>
        <w:tabs>
          <w:tab w:val="clear" w:pos="567"/>
        </w:tabs>
        <w:spacing w:line="240" w:lineRule="auto"/>
        <w:rPr>
          <w:lang w:val="lt-LT"/>
        </w:rPr>
      </w:pPr>
      <w:r w:rsidRPr="00AC1BAC">
        <w:rPr>
          <w:lang w:val="lt-LT"/>
        </w:rPr>
        <w:t>Šis vaistas priklauso nesteroidinių vaistų nuo uždegimo (NVNU), kurie gali sutrikdyti moterų vaisingumą, grupei. Baigus vartoti šį vaistą, toks poveikis išnyksta.</w:t>
      </w:r>
    </w:p>
    <w:p w:rsidR="00525BC3" w:rsidRPr="00AC1BAC" w:rsidRDefault="00525BC3" w:rsidP="00525BC3">
      <w:pPr>
        <w:tabs>
          <w:tab w:val="clear" w:pos="567"/>
        </w:tabs>
        <w:spacing w:line="240" w:lineRule="auto"/>
        <w:rPr>
          <w:lang w:val="lt-LT"/>
        </w:rPr>
      </w:pPr>
    </w:p>
    <w:p w:rsidR="00525BC3" w:rsidRPr="00AC1BAC" w:rsidRDefault="00525BC3" w:rsidP="00525BC3">
      <w:pPr>
        <w:tabs>
          <w:tab w:val="clear" w:pos="567"/>
          <w:tab w:val="left" w:pos="708"/>
        </w:tabs>
        <w:spacing w:line="240" w:lineRule="auto"/>
        <w:rPr>
          <w:bCs/>
          <w:i/>
          <w:iCs/>
          <w:lang w:val="lt-LT"/>
        </w:rPr>
      </w:pPr>
      <w:r w:rsidRPr="00AC1BAC">
        <w:rPr>
          <w:bCs/>
          <w:i/>
          <w:iCs/>
          <w:lang w:val="lt-LT"/>
        </w:rPr>
        <w:t>Odos reakcijos</w:t>
      </w:r>
    </w:p>
    <w:p w:rsidR="00525BC3" w:rsidRPr="00AC1BAC" w:rsidRDefault="00525BC3" w:rsidP="00525BC3">
      <w:pPr>
        <w:tabs>
          <w:tab w:val="clear" w:pos="567"/>
        </w:tabs>
        <w:spacing w:line="240" w:lineRule="auto"/>
        <w:rPr>
          <w:bCs/>
          <w:lang w:val="lt-LT"/>
        </w:rPr>
      </w:pPr>
      <w:r w:rsidRPr="00AC1BAC">
        <w:rPr>
          <w:bCs/>
          <w:lang w:val="lt-LT"/>
        </w:rPr>
        <w:t xml:space="preserve">Gauta pranešimų apie sunkias odos reakcijas, susijusias su </w:t>
      </w:r>
      <w:r>
        <w:rPr>
          <w:bCs/>
          <w:lang w:val="lt-LT"/>
        </w:rPr>
        <w:t xml:space="preserve">Combogesic </w:t>
      </w:r>
      <w:r w:rsidRPr="00AC1BAC">
        <w:rPr>
          <w:bCs/>
          <w:lang w:val="lt-LT"/>
        </w:rPr>
        <w:t xml:space="preserve">vartojimu. Nustokite duoti </w:t>
      </w:r>
      <w:r>
        <w:rPr>
          <w:bCs/>
          <w:lang w:val="lt-LT"/>
        </w:rPr>
        <w:t xml:space="preserve">Combogesic </w:t>
      </w:r>
      <w:r w:rsidRPr="00AC1BAC">
        <w:rPr>
          <w:bCs/>
          <w:lang w:val="lt-LT"/>
        </w:rPr>
        <w:t>savo vaikui ir nedelsdami kreipkitės medicininės pagalbos, jei vaikui atsiranda bet koks odos išbėrimas, gleivinės pažeidimas, pūslės ar kiti alergijos požymiai, nes tai gali būti pirmieji labai sunkios odos reakcijos požymiai. Žr. 4 skyrių.</w:t>
      </w:r>
    </w:p>
    <w:p w:rsidR="00525BC3" w:rsidRPr="00AC1BAC" w:rsidRDefault="00525BC3" w:rsidP="00525BC3">
      <w:pPr>
        <w:tabs>
          <w:tab w:val="clear" w:pos="567"/>
        </w:tabs>
        <w:spacing w:line="240" w:lineRule="auto"/>
        <w:rPr>
          <w:bCs/>
          <w:lang w:val="lt-LT"/>
        </w:rPr>
      </w:pPr>
    </w:p>
    <w:p w:rsidR="00525BC3" w:rsidRPr="00AC1BAC" w:rsidRDefault="00525BC3" w:rsidP="00525BC3">
      <w:pPr>
        <w:tabs>
          <w:tab w:val="clear" w:pos="567"/>
        </w:tabs>
        <w:spacing w:line="240" w:lineRule="auto"/>
        <w:rPr>
          <w:bCs/>
          <w:i/>
          <w:iCs/>
          <w:lang w:val="lt-LT"/>
        </w:rPr>
      </w:pPr>
      <w:r w:rsidRPr="00AC1BAC">
        <w:rPr>
          <w:bCs/>
          <w:i/>
          <w:iCs/>
          <w:lang w:val="lt-LT"/>
        </w:rPr>
        <w:t>Infekcijos</w:t>
      </w:r>
    </w:p>
    <w:p w:rsidR="00525BC3" w:rsidRPr="00AC1BAC" w:rsidRDefault="00525BC3" w:rsidP="00525BC3">
      <w:pPr>
        <w:tabs>
          <w:tab w:val="clear" w:pos="567"/>
        </w:tabs>
        <w:spacing w:line="240" w:lineRule="auto"/>
        <w:rPr>
          <w:bCs/>
          <w:lang w:val="lt-LT"/>
        </w:rPr>
      </w:pPr>
      <w:r>
        <w:rPr>
          <w:bCs/>
          <w:lang w:val="lt-LT"/>
        </w:rPr>
        <w:t xml:space="preserve">Combogesic </w:t>
      </w:r>
      <w:r w:rsidRPr="00AC1BAC">
        <w:rPr>
          <w:bCs/>
          <w:lang w:val="lt-LT"/>
        </w:rPr>
        <w:t xml:space="preserve">gali slopinti infekcijų požymius, tokius kaip karščiavimas ir skausmas. Todėl gali būti, kad vartojant </w:t>
      </w:r>
      <w:r>
        <w:rPr>
          <w:bCs/>
          <w:lang w:val="lt-LT"/>
        </w:rPr>
        <w:t>Combogesic</w:t>
      </w:r>
      <w:r w:rsidRPr="00AC1BAC">
        <w:rPr>
          <w:bCs/>
          <w:lang w:val="lt-LT"/>
        </w:rPr>
        <w:t xml:space="preserve"> tinkamas infekcijos gydymas bus pradėtas vėliau, o tai gali padidinti komplikacijų riziką. Toks poveikis pastebėtas sergant bakterijų sukelta pneumonija ir su vėjaraupiais susijusiomis bakterinėmis odos infekcijomis. Jei Jūsų vaikas vartoja šį vaistą, kai jam yra infekcija, o infekcijos simptomai išlieka arba pasunkėja, nedelsdami kreipkitės į gydytoją.</w:t>
      </w: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p>
    <w:p w:rsidR="00525BC3" w:rsidRPr="00AC1BAC" w:rsidRDefault="00525BC3" w:rsidP="00525BC3">
      <w:pPr>
        <w:widowControl w:val="0"/>
        <w:numPr>
          <w:ilvl w:val="12"/>
          <w:numId w:val="0"/>
        </w:numPr>
        <w:tabs>
          <w:tab w:val="clear" w:pos="567"/>
        </w:tabs>
        <w:spacing w:line="240" w:lineRule="auto"/>
        <w:rPr>
          <w:snapToGrid/>
          <w:szCs w:val="22"/>
          <w:lang w:val="lt-LT"/>
        </w:rPr>
      </w:pPr>
      <w:r w:rsidRPr="00AC1BAC">
        <w:rPr>
          <w:b/>
          <w:snapToGrid/>
          <w:szCs w:val="22"/>
          <w:lang w:val="lt-LT"/>
        </w:rPr>
        <w:t xml:space="preserve">Kiti vaistai ir </w:t>
      </w:r>
      <w:r>
        <w:rPr>
          <w:b/>
          <w:snapToGrid/>
          <w:szCs w:val="22"/>
          <w:lang w:val="lt-LT"/>
        </w:rPr>
        <w:t>Combogesic</w:t>
      </w:r>
    </w:p>
    <w:p w:rsidR="00525BC3" w:rsidRPr="00671ED4" w:rsidRDefault="00525BC3" w:rsidP="00525BC3">
      <w:pPr>
        <w:widowControl w:val="0"/>
        <w:tabs>
          <w:tab w:val="clear" w:pos="567"/>
        </w:tabs>
        <w:autoSpaceDE w:val="0"/>
        <w:autoSpaceDN w:val="0"/>
        <w:adjustRightInd w:val="0"/>
        <w:spacing w:line="240" w:lineRule="auto"/>
        <w:rPr>
          <w:snapToGrid/>
          <w:szCs w:val="22"/>
          <w:lang w:val="lt-LT"/>
        </w:rPr>
      </w:pPr>
    </w:p>
    <w:p w:rsidR="00525BC3" w:rsidRPr="00671ED4" w:rsidRDefault="00525BC3" w:rsidP="00525BC3">
      <w:pPr>
        <w:widowControl w:val="0"/>
        <w:tabs>
          <w:tab w:val="clear" w:pos="567"/>
        </w:tabs>
        <w:autoSpaceDE w:val="0"/>
        <w:autoSpaceDN w:val="0"/>
        <w:adjustRightInd w:val="0"/>
        <w:spacing w:line="240" w:lineRule="auto"/>
        <w:rPr>
          <w:snapToGrid/>
          <w:szCs w:val="22"/>
          <w:lang w:val="lt-LT"/>
        </w:rPr>
      </w:pPr>
      <w:r>
        <w:rPr>
          <w:snapToGrid/>
          <w:szCs w:val="22"/>
          <w:lang w:val="lt-LT"/>
        </w:rPr>
        <w:t>Šio vaisto negalima vartoti:</w:t>
      </w:r>
    </w:p>
    <w:p w:rsidR="00525BC3" w:rsidRPr="00671ED4"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Pr>
          <w:snapToGrid/>
          <w:szCs w:val="22"/>
          <w:lang w:val="lt-LT"/>
        </w:rPr>
        <w:t>kartu su bet kokiais kitais vaistais, kurių sudėtyje yra</w:t>
      </w:r>
      <w:r w:rsidRPr="00671ED4">
        <w:rPr>
          <w:snapToGrid/>
          <w:szCs w:val="22"/>
          <w:lang w:val="lt-LT"/>
        </w:rPr>
        <w:t xml:space="preserve"> paracetamol</w:t>
      </w:r>
      <w:r>
        <w:rPr>
          <w:snapToGrid/>
          <w:szCs w:val="22"/>
          <w:lang w:val="lt-LT"/>
        </w:rPr>
        <w:t>io ir</w:t>
      </w:r>
      <w:r w:rsidRPr="00671ED4">
        <w:rPr>
          <w:snapToGrid/>
          <w:szCs w:val="22"/>
          <w:lang w:val="lt-LT"/>
        </w:rPr>
        <w:t xml:space="preserve"> ibuprofen</w:t>
      </w:r>
      <w:r>
        <w:rPr>
          <w:snapToGrid/>
          <w:szCs w:val="22"/>
          <w:lang w:val="lt-LT"/>
        </w:rPr>
        <w:t>o;</w:t>
      </w:r>
    </w:p>
    <w:p w:rsidR="00525BC3"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Pr>
          <w:snapToGrid/>
          <w:szCs w:val="22"/>
          <w:lang w:val="lt-LT"/>
        </w:rPr>
        <w:t xml:space="preserve">kartu su kitais NVNU </w:t>
      </w:r>
      <w:r w:rsidRPr="00671ED4">
        <w:rPr>
          <w:snapToGrid/>
          <w:szCs w:val="22"/>
          <w:lang w:val="lt-LT"/>
        </w:rPr>
        <w:t>(</w:t>
      </w:r>
      <w:r>
        <w:rPr>
          <w:snapToGrid/>
          <w:szCs w:val="22"/>
          <w:lang w:val="lt-LT"/>
        </w:rPr>
        <w:t>įskaitant</w:t>
      </w:r>
      <w:r w:rsidRPr="00671ED4">
        <w:rPr>
          <w:snapToGrid/>
          <w:szCs w:val="22"/>
          <w:lang w:val="lt-LT"/>
        </w:rPr>
        <w:t xml:space="preserve"> COX-2 </w:t>
      </w:r>
      <w:r>
        <w:rPr>
          <w:snapToGrid/>
          <w:szCs w:val="22"/>
          <w:lang w:val="lt-LT"/>
        </w:rPr>
        <w:t>selektyvius inhibitorius</w:t>
      </w:r>
      <w:r w:rsidRPr="00671ED4">
        <w:rPr>
          <w:snapToGrid/>
          <w:szCs w:val="22"/>
          <w:lang w:val="lt-LT"/>
        </w:rPr>
        <w:t>)</w:t>
      </w:r>
      <w:r>
        <w:rPr>
          <w:snapToGrid/>
          <w:szCs w:val="22"/>
          <w:lang w:val="lt-LT"/>
        </w:rPr>
        <w:t xml:space="preserve"> arba didesnėmis nei 75 mg acetilsalicilo rūgšties dozėmis.</w:t>
      </w:r>
    </w:p>
    <w:p w:rsidR="00525BC3"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Jeigu Jūs ar Jūsų vaikas vartojate ar neseniai vartojote kitų vaistų arba nesate dėl to tikri, apie tai pasakykite gydytojui arba vaistininkui.</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Combogesic </w:t>
      </w:r>
      <w:r w:rsidRPr="00AC1BAC">
        <w:rPr>
          <w:snapToGrid/>
          <w:szCs w:val="22"/>
          <w:lang w:val="lt-LT"/>
        </w:rPr>
        <w:t xml:space="preserve">gali daryti poveikį kai kuriems kitiems vaistams, o jie − </w:t>
      </w:r>
      <w:r>
        <w:rPr>
          <w:snapToGrid/>
          <w:szCs w:val="22"/>
          <w:lang w:val="lt-LT"/>
        </w:rPr>
        <w:t>Combogesic</w:t>
      </w:r>
      <w:r w:rsidRPr="00AC1BAC">
        <w:rPr>
          <w:snapToGrid/>
          <w:szCs w:val="22"/>
          <w:lang w:val="lt-LT"/>
        </w:rPr>
        <w:t>. Tokie vaistai yra, pavyzdžiui: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kurie yra antikoaguliantai (t. y. skystina kraują ar neleidžia susidaryti kraujo krešuliams, pvz., acetilsalicilo rūgštis, varfarinas, tiklopidinas);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nuo epilepsijos ar priepuolių;</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chloramfenikolis, t. y. antibiotikas, vartojamas ausų ir akių infekcijoms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probenecidas, t. y. vaistas, vartojamas podagrai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zidovudinas, t. y. vaistas, vartojamas ŽIV (virusui, sukeliančiam įgytą imunodeficito ligą) infekcijai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vartojami tuberkuliozei gydyti, pvz., izoniazidas ar rifampicinas;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acetilsalicilo rūgštis, salicilatai ar kiti NVNU;</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vaistai, mažinantys aukštą kraujospūdį (AKF inhibitoriai, tokie kaip kaptoprilis, beta adrenoblokatoriai, tokie kaip atenololis, angiotenzino II receptorių antagonistai, tokie kaip losartanas);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diuretikai (šlapimo išsiskyrimą skatinantys vaistai);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litis, t. y. vaistas, vartojamas kai kurioms depresijos rūšims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metotreksatas, t. y. vaistas, vartojamas artritui ir kai kurioms vėžio rūšims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kortikosteroidai, tokie kaip prednizonas, kortizonas;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lastRenderedPageBreak/>
        <w:t>metoklopramidas, domperidonas, propantelinas;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kolestiraminas, t. y. vaistas, vartojamas padidėjusiam riebalų kiekiui kraujo serume mažinti;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takrolimuzas arba ciklosporinas, t. y. imuninę sistemą slopinantys vaistai, vartojami po organų persodinimo;</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sulfonilkarbamidai, t. y. vaistai, vartojami cukriniam diabetui gydyti;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kai kurie antibiotikai (pvz., chinolonų grupės antibiotikai);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flukloksacilinas (antibiotikas),</w:t>
      </w:r>
      <w:r>
        <w:rPr>
          <w:snapToGrid/>
          <w:szCs w:val="22"/>
          <w:lang w:val="lt-LT"/>
        </w:rPr>
        <w:t xml:space="preserve"> </w:t>
      </w:r>
      <w:r w:rsidRPr="0086046F">
        <w:rPr>
          <w:snapToGrid/>
          <w:szCs w:val="22"/>
          <w:lang w:val="lt-LT"/>
        </w:rPr>
        <w:t>dėl didelės kraujo ir skysčių tyrimų nenormalių rodiklių (vadinamos metabolinės acidozės) rizikos (žr. 2 skyrių), kurią reikia skubiai gydyti</w:t>
      </w:r>
      <w:r w:rsidRPr="00AC1BAC">
        <w:rPr>
          <w:snapToGrid/>
          <w:szCs w:val="22"/>
          <w:lang w:val="lt-LT"/>
        </w:rPr>
        <w:t>;</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aminoglikozidai;</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fenitoinas;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CYP2C9 inhibitoriai, tokie kaip</w:t>
      </w:r>
      <w:r w:rsidRPr="00877683">
        <w:rPr>
          <w:lang w:val="lt-LT"/>
        </w:rPr>
        <w:t xml:space="preserve"> </w:t>
      </w:r>
      <w:r w:rsidRPr="00AC1BAC">
        <w:rPr>
          <w:snapToGrid/>
          <w:szCs w:val="22"/>
          <w:lang w:val="lt-LT"/>
        </w:rPr>
        <w:t>vorikonazolas ir flukonazolas;</w:t>
      </w:r>
    </w:p>
    <w:p w:rsidR="00525BC3" w:rsidRPr="00AC1BA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mifepristonas;</w:t>
      </w:r>
    </w:p>
    <w:p w:rsidR="00525BC3"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AC1BAC">
        <w:rPr>
          <w:snapToGrid/>
          <w:szCs w:val="22"/>
          <w:lang w:val="lt-LT"/>
        </w:rPr>
        <w:t>ritonaviras</w:t>
      </w:r>
      <w:r>
        <w:rPr>
          <w:snapToGrid/>
          <w:szCs w:val="22"/>
          <w:lang w:val="lt-LT"/>
        </w:rPr>
        <w:t>;</w:t>
      </w:r>
    </w:p>
    <w:p w:rsidR="00525BC3" w:rsidRPr="00AE4B6C" w:rsidRDefault="00525BC3" w:rsidP="00525BC3">
      <w:pPr>
        <w:widowControl w:val="0"/>
        <w:numPr>
          <w:ilvl w:val="0"/>
          <w:numId w:val="6"/>
        </w:numPr>
        <w:tabs>
          <w:tab w:val="clear" w:pos="283"/>
          <w:tab w:val="num" w:pos="567"/>
        </w:tabs>
        <w:autoSpaceDE w:val="0"/>
        <w:autoSpaceDN w:val="0"/>
        <w:adjustRightInd w:val="0"/>
        <w:spacing w:line="240" w:lineRule="auto"/>
        <w:ind w:left="567" w:hanging="567"/>
        <w:rPr>
          <w:snapToGrid/>
          <w:szCs w:val="22"/>
          <w:lang w:val="lt-LT"/>
        </w:rPr>
      </w:pPr>
      <w:r w:rsidRPr="008D71A1">
        <w:rPr>
          <w:snapToGrid/>
          <w:szCs w:val="22"/>
          <w:lang w:val="lt-LT"/>
        </w:rPr>
        <w:t>selektyvi</w:t>
      </w:r>
      <w:r>
        <w:rPr>
          <w:snapToGrid/>
          <w:szCs w:val="22"/>
          <w:lang w:val="lt-LT"/>
        </w:rPr>
        <w:t>eji</w:t>
      </w:r>
      <w:r w:rsidRPr="00877AFC">
        <w:rPr>
          <w:snapToGrid/>
          <w:szCs w:val="22"/>
          <w:lang w:val="lt-LT"/>
        </w:rPr>
        <w:t xml:space="preserve"> serotonino reabsorbcijos inhibitoriai (SSRI), širdį veikian</w:t>
      </w:r>
      <w:r>
        <w:rPr>
          <w:snapToGrid/>
          <w:szCs w:val="22"/>
          <w:lang w:val="lt-LT"/>
        </w:rPr>
        <w:t>tys</w:t>
      </w:r>
      <w:r w:rsidRPr="00877AFC">
        <w:rPr>
          <w:snapToGrid/>
          <w:szCs w:val="22"/>
          <w:lang w:val="lt-LT"/>
        </w:rPr>
        <w:t xml:space="preserve"> glikozidai, dviskiaučio ginkmedžio (</w:t>
      </w:r>
      <w:r w:rsidRPr="00B45680">
        <w:rPr>
          <w:i/>
          <w:iCs/>
          <w:snapToGrid/>
          <w:szCs w:val="22"/>
          <w:lang w:val="lt-LT"/>
        </w:rPr>
        <w:t>Ginkgo biloba</w:t>
      </w:r>
      <w:r w:rsidRPr="00B45680">
        <w:rPr>
          <w:snapToGrid/>
          <w:szCs w:val="22"/>
          <w:lang w:val="lt-LT"/>
        </w:rPr>
        <w:t xml:space="preserve">) preparatai, </w:t>
      </w:r>
      <w:r w:rsidRPr="00AE4B6C">
        <w:rPr>
          <w:snapToGrid/>
          <w:szCs w:val="22"/>
          <w:lang w:val="lt-LT"/>
        </w:rPr>
        <w:t>bisfosfonatai ir okspentifilin</w:t>
      </w:r>
      <w:r>
        <w:rPr>
          <w:snapToGrid/>
          <w:szCs w:val="22"/>
          <w:lang w:val="lt-LT"/>
        </w:rPr>
        <w:t>as</w:t>
      </w:r>
      <w:r w:rsidRPr="00AE4B6C">
        <w:rPr>
          <w:snapToGrid/>
          <w:szCs w:val="22"/>
          <w:lang w:val="lt-LT"/>
        </w:rPr>
        <w:t xml:space="preserve"> (pentoksifilin</w:t>
      </w:r>
      <w:r>
        <w:rPr>
          <w:snapToGrid/>
          <w:szCs w:val="22"/>
          <w:lang w:val="lt-LT"/>
        </w:rPr>
        <w:t>as</w:t>
      </w:r>
      <w:r w:rsidRPr="00AE4B6C">
        <w:rPr>
          <w:snapToGrid/>
          <w:szCs w:val="22"/>
          <w:lang w:val="lt-LT"/>
        </w:rPr>
        <w:t>).</w:t>
      </w:r>
    </w:p>
    <w:p w:rsidR="00525BC3" w:rsidRDefault="00525BC3" w:rsidP="00525BC3">
      <w:pPr>
        <w:widowControl w:val="0"/>
        <w:numPr>
          <w:ilvl w:val="12"/>
          <w:numId w:val="0"/>
        </w:numPr>
        <w:tabs>
          <w:tab w:val="clear" w:pos="567"/>
        </w:tabs>
        <w:spacing w:line="240" w:lineRule="auto"/>
        <w:ind w:right="-2"/>
        <w:rPr>
          <w:bCs/>
          <w:snapToGrid/>
          <w:szCs w:val="22"/>
          <w:lang w:val="lt-LT"/>
        </w:rPr>
      </w:pP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r>
        <w:rPr>
          <w:bCs/>
          <w:snapToGrid/>
          <w:szCs w:val="22"/>
          <w:lang w:val="lt-LT"/>
        </w:rPr>
        <w:t xml:space="preserve">Combogesic </w:t>
      </w:r>
      <w:r w:rsidRPr="00AC1BAC">
        <w:rPr>
          <w:bCs/>
          <w:snapToGrid/>
          <w:szCs w:val="22"/>
          <w:lang w:val="lt-LT"/>
        </w:rPr>
        <w:t xml:space="preserve">gali daryti poveikį šiems vaistams, o jie − </w:t>
      </w:r>
      <w:r>
        <w:rPr>
          <w:bCs/>
          <w:snapToGrid/>
          <w:szCs w:val="22"/>
          <w:lang w:val="lt-LT"/>
        </w:rPr>
        <w:t>Combogesic</w:t>
      </w:r>
      <w:r w:rsidRPr="00AC1BAC">
        <w:rPr>
          <w:bCs/>
          <w:snapToGrid/>
          <w:szCs w:val="22"/>
          <w:lang w:val="lt-LT"/>
        </w:rPr>
        <w:t>. Jums gali prireikti vartoti kitokias vaistų dozes arba kitokius vaistus.</w:t>
      </w: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r w:rsidRPr="00AC1BAC">
        <w:rPr>
          <w:bCs/>
          <w:snapToGrid/>
          <w:szCs w:val="22"/>
          <w:lang w:val="lt-LT"/>
        </w:rPr>
        <w:t xml:space="preserve">Kai kurie kiti vaistai taip pat gali daryti poveikį </w:t>
      </w:r>
      <w:r>
        <w:rPr>
          <w:bCs/>
          <w:snapToGrid/>
          <w:szCs w:val="22"/>
          <w:lang w:val="lt-LT"/>
        </w:rPr>
        <w:t>Combogesic</w:t>
      </w:r>
      <w:r w:rsidRPr="00AC1BAC">
        <w:rPr>
          <w:bCs/>
          <w:snapToGrid/>
          <w:szCs w:val="22"/>
          <w:lang w:val="lt-LT"/>
        </w:rPr>
        <w:t xml:space="preserve">, o jis – jiems. Todėl prieš vartodami </w:t>
      </w:r>
      <w:r>
        <w:rPr>
          <w:bCs/>
          <w:snapToGrid/>
          <w:szCs w:val="22"/>
          <w:lang w:val="lt-LT"/>
        </w:rPr>
        <w:t xml:space="preserve">Combogesic </w:t>
      </w:r>
      <w:r w:rsidRPr="00AC1BAC">
        <w:rPr>
          <w:bCs/>
          <w:snapToGrid/>
          <w:szCs w:val="22"/>
          <w:lang w:val="lt-LT"/>
        </w:rPr>
        <w:t>su kitais vaistais, visada pasitarkite su gydytoju arba vaistininku.</w:t>
      </w: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p>
    <w:p w:rsidR="00525BC3" w:rsidRDefault="00525BC3" w:rsidP="00525BC3">
      <w:pPr>
        <w:widowControl w:val="0"/>
        <w:numPr>
          <w:ilvl w:val="12"/>
          <w:numId w:val="0"/>
        </w:numPr>
        <w:tabs>
          <w:tab w:val="clear" w:pos="567"/>
        </w:tabs>
        <w:spacing w:line="240" w:lineRule="auto"/>
        <w:ind w:right="-2"/>
        <w:rPr>
          <w:bCs/>
          <w:snapToGrid/>
          <w:szCs w:val="22"/>
          <w:lang w:val="lt-LT"/>
        </w:rPr>
      </w:pPr>
      <w:r w:rsidRPr="00AC1BAC">
        <w:rPr>
          <w:bCs/>
          <w:snapToGrid/>
          <w:szCs w:val="22"/>
          <w:lang w:val="lt-LT"/>
        </w:rPr>
        <w:t>Jūsų gydytojas ir vaistininkas turės daugiau informacijos apie šiuos ir kitus vaistus, kuriuos su šiuo vaistu reikia vartoti atsargiai arba vengti vartoti kartu.</w:t>
      </w: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p>
    <w:p w:rsidR="00525BC3" w:rsidRPr="00877AFC" w:rsidRDefault="00525BC3" w:rsidP="00525BC3">
      <w:pPr>
        <w:tabs>
          <w:tab w:val="clear" w:pos="567"/>
        </w:tabs>
        <w:spacing w:line="240" w:lineRule="auto"/>
        <w:rPr>
          <w:b/>
          <w:lang w:val="lt-LT"/>
        </w:rPr>
      </w:pPr>
      <w:r>
        <w:rPr>
          <w:b/>
          <w:lang w:val="lt-LT"/>
        </w:rPr>
        <w:t xml:space="preserve">Combogesic </w:t>
      </w:r>
      <w:r w:rsidRPr="00877AFC">
        <w:rPr>
          <w:b/>
          <w:lang w:val="lt-LT"/>
        </w:rPr>
        <w:t>vartojimas su alkoholiu</w:t>
      </w:r>
    </w:p>
    <w:p w:rsidR="00525BC3" w:rsidRDefault="00525BC3" w:rsidP="00525BC3">
      <w:pPr>
        <w:tabs>
          <w:tab w:val="clear" w:pos="567"/>
        </w:tabs>
        <w:spacing w:line="240" w:lineRule="auto"/>
        <w:rPr>
          <w:bCs/>
          <w:snapToGrid/>
          <w:szCs w:val="22"/>
          <w:highlight w:val="yellow"/>
          <w:lang w:val="lt-LT"/>
        </w:rPr>
      </w:pPr>
      <w:r w:rsidRPr="00AC1BAC">
        <w:rPr>
          <w:lang w:val="lt-LT"/>
        </w:rPr>
        <w:t xml:space="preserve">Vartojant šį vaistą negalima gerti alkoholinių gėrimų. Alkoholio vartojimas kartu su </w:t>
      </w:r>
      <w:r>
        <w:rPr>
          <w:lang w:val="lt-LT"/>
        </w:rPr>
        <w:t xml:space="preserve">Combogesic </w:t>
      </w:r>
      <w:r w:rsidRPr="00AC1BAC">
        <w:rPr>
          <w:lang w:val="lt-LT"/>
        </w:rPr>
        <w:t>gali sukelti kepenų pažeidimą.</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Nėštumas, žindymo laikotarpis ir vaisingumas</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 xml:space="preserve">Nevartokite </w:t>
      </w:r>
      <w:r>
        <w:rPr>
          <w:rFonts w:eastAsia="TimesNewRoman,Bold"/>
          <w:snapToGrid/>
          <w:szCs w:val="22"/>
          <w:lang w:val="lt-LT"/>
        </w:rPr>
        <w:t>Combogesic</w:t>
      </w:r>
      <w:r w:rsidRPr="00AC1BAC">
        <w:rPr>
          <w:rFonts w:eastAsia="TimesNewRoman,Bold"/>
          <w:snapToGrid/>
          <w:szCs w:val="22"/>
          <w:lang w:val="lt-LT"/>
        </w:rPr>
        <w:t xml:space="preserve">, jei yra paskutinieji 3 nėštumo mėnesiai, nes tai gali pakenkti Jūsų dar negimusiam vaikui arba sukelti problemų gimdymo metu. Tai gali sukelti inkstų ir širdies problemų dar negimusiam vaikui. Tai gali turėti įtakos Jūsų ir vaiko polinkiui kraujuoti bei gimdymas gali prasidėti vėliau arba trukti ilgiau nei tikėtasi. Pirmuosius 6 nėštumo mėnesius </w:t>
      </w:r>
      <w:r>
        <w:rPr>
          <w:rFonts w:eastAsia="TimesNewRoman,Bold"/>
          <w:snapToGrid/>
          <w:szCs w:val="22"/>
          <w:lang w:val="lt-LT"/>
        </w:rPr>
        <w:t xml:space="preserve">Combogesic </w:t>
      </w:r>
      <w:r w:rsidRPr="00AC1BAC">
        <w:rPr>
          <w:rFonts w:eastAsia="TimesNewRoman,Bold"/>
          <w:snapToGrid/>
          <w:szCs w:val="22"/>
          <w:lang w:val="lt-LT"/>
        </w:rPr>
        <w:t xml:space="preserve">vartoti negalima, nebent neabejotinai būtina ir taip nurodė gydytojas. Jei šiuo laikotarpiu arba bandant pastoti Jums reikia gydymo šiuo vaistu, būtina vartoti mažiausią dozę trumpiausią įmanomą laiką. Vartojamas ilgiau nei kelias dienas nuo 20 nėštumo savaitės, </w:t>
      </w:r>
      <w:r>
        <w:rPr>
          <w:rFonts w:eastAsia="TimesNewRoman,Bold"/>
          <w:snapToGrid/>
          <w:szCs w:val="22"/>
          <w:lang w:val="lt-LT"/>
        </w:rPr>
        <w:t xml:space="preserve">Combogesic </w:t>
      </w:r>
      <w:r w:rsidRPr="00AC1BAC">
        <w:rPr>
          <w:rFonts w:eastAsia="TimesNewRoman,Bold"/>
          <w:snapToGrid/>
          <w:szCs w:val="22"/>
          <w:lang w:val="lt-LT"/>
        </w:rPr>
        <w:t>gali sukelti inkstų sutrikimų Jūsų dar negimusiam vaikui ir dėl to gali sumažėti aplink vaiką esančių vaisiaus vandenų kiekis (pasireikšti oligohidramnionas) arba susiaurėti kraujagyslė (arterinis latakas) vaiko širdyje. Jei Jums reikia ilgiau nei kelias dienas trunkančio gydymo, gydytojas gali rekomenduoti papildomą stebėjimą.</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Šis vaistas gali pakenkti moterų vaisingumui ir yra nerekomenduojamas pastoti norinčioms moterims.</w:t>
      </w:r>
    </w:p>
    <w:p w:rsidR="00525BC3" w:rsidRPr="00AC1BAC" w:rsidRDefault="00525BC3" w:rsidP="00525BC3">
      <w:pPr>
        <w:widowControl w:val="0"/>
        <w:numPr>
          <w:ilvl w:val="12"/>
          <w:numId w:val="0"/>
        </w:numPr>
        <w:tabs>
          <w:tab w:val="clear" w:pos="567"/>
        </w:tabs>
        <w:spacing w:line="240" w:lineRule="auto"/>
        <w:ind w:right="-2"/>
        <w:rPr>
          <w:bCs/>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Vairavimas ir mechanizmų valdymas</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 xml:space="preserve">Kol nesužinosite, kaip </w:t>
      </w:r>
      <w:r>
        <w:rPr>
          <w:rFonts w:eastAsia="TimesNewRoman,Bold"/>
          <w:snapToGrid/>
          <w:szCs w:val="22"/>
          <w:lang w:val="lt-LT"/>
        </w:rPr>
        <w:t xml:space="preserve">Combogesic </w:t>
      </w:r>
      <w:r w:rsidRPr="00AC1BAC">
        <w:rPr>
          <w:rFonts w:eastAsia="TimesNewRoman,Bold"/>
          <w:snapToGrid/>
          <w:szCs w:val="22"/>
          <w:lang w:val="lt-LT"/>
        </w:rPr>
        <w:t>Jus veikia, vairuokite ir valdykite mechanizmus atsargiai.</w:t>
      </w:r>
      <w:r w:rsidRPr="00F05E24">
        <w:rPr>
          <w:lang w:val="lt-LT"/>
        </w:rPr>
        <w:t xml:space="preserve"> </w:t>
      </w:r>
      <w:r>
        <w:rPr>
          <w:rFonts w:eastAsia="TimesNewRoman,Bold"/>
          <w:snapToGrid/>
          <w:szCs w:val="22"/>
          <w:lang w:val="lt-LT"/>
        </w:rPr>
        <w:t>Negalima vairuoti ar valdyti mechanizmų, jei</w:t>
      </w:r>
      <w:r w:rsidRPr="00AE4B6C">
        <w:rPr>
          <w:rFonts w:eastAsia="TimesNewRoman,Bold"/>
          <w:snapToGrid/>
          <w:szCs w:val="22"/>
          <w:lang w:val="lt-LT"/>
        </w:rPr>
        <w:t xml:space="preserve"> </w:t>
      </w:r>
      <w:r>
        <w:rPr>
          <w:rFonts w:eastAsia="TimesNewRoman,Bold"/>
          <w:snapToGrid/>
          <w:szCs w:val="22"/>
          <w:lang w:val="lt-LT"/>
        </w:rPr>
        <w:t>po šio vaisto pavartojimo pasireiškia svaigulys</w:t>
      </w:r>
      <w:r w:rsidRPr="00AE4B6C">
        <w:rPr>
          <w:rFonts w:eastAsia="TimesNewRoman,Bold"/>
          <w:snapToGrid/>
          <w:szCs w:val="22"/>
          <w:lang w:val="lt-LT"/>
        </w:rPr>
        <w:t xml:space="preserve">, </w:t>
      </w:r>
      <w:r>
        <w:rPr>
          <w:rFonts w:eastAsia="TimesNewRoman,Bold"/>
          <w:snapToGrid/>
          <w:szCs w:val="22"/>
          <w:lang w:val="lt-LT"/>
        </w:rPr>
        <w:t>apsnūdimas</w:t>
      </w:r>
      <w:r w:rsidRPr="00AE4B6C">
        <w:rPr>
          <w:rFonts w:eastAsia="TimesNewRoman,Bold"/>
          <w:snapToGrid/>
          <w:szCs w:val="22"/>
          <w:lang w:val="lt-LT"/>
        </w:rPr>
        <w:t xml:space="preserve">, </w:t>
      </w:r>
      <w:r>
        <w:rPr>
          <w:rFonts w:eastAsia="TimesNewRoman,Bold"/>
          <w:snapToGrid/>
          <w:szCs w:val="22"/>
          <w:lang w:val="lt-LT"/>
        </w:rPr>
        <w:t>nuovargis ar regos sutrikimas.</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b/>
          <w:snapToGrid/>
          <w:szCs w:val="22"/>
          <w:lang w:val="lt-LT"/>
        </w:rPr>
      </w:pPr>
      <w:r>
        <w:rPr>
          <w:b/>
          <w:snapToGrid/>
          <w:szCs w:val="22"/>
          <w:lang w:val="lt-LT"/>
        </w:rPr>
        <w:t xml:space="preserve">Combogesic </w:t>
      </w:r>
      <w:r w:rsidRPr="00AC1BAC">
        <w:rPr>
          <w:b/>
          <w:snapToGrid/>
          <w:szCs w:val="22"/>
          <w:lang w:val="lt-LT"/>
        </w:rPr>
        <w:t>sudėtyje yra skystojo maltitolio, natrio benzoato, natrio ir propilenglikolio</w:t>
      </w:r>
    </w:p>
    <w:p w:rsidR="00525BC3" w:rsidRPr="00AC1BAC" w:rsidRDefault="00525BC3" w:rsidP="00525BC3">
      <w:pPr>
        <w:widowControl w:val="0"/>
        <w:numPr>
          <w:ilvl w:val="0"/>
          <w:numId w:val="7"/>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 xml:space="preserve">Skystasis maltitolis: 1 ml </w:t>
      </w:r>
      <w:r>
        <w:rPr>
          <w:bCs/>
          <w:snapToGrid/>
          <w:szCs w:val="22"/>
          <w:lang w:val="lt-LT"/>
        </w:rPr>
        <w:t xml:space="preserve">Combogesic </w:t>
      </w:r>
      <w:r w:rsidRPr="00AC1BAC">
        <w:rPr>
          <w:bCs/>
          <w:snapToGrid/>
          <w:szCs w:val="22"/>
          <w:lang w:val="lt-LT"/>
        </w:rPr>
        <w:t>yra 250 mg skystojo maltitolio. Jeigu gydytojas Jums yra sakęs, kad Jūsų vaikas netoleruoja kokių nors angliavandenių, kreipkitės į gydytoją prieš pradėdami duoti šį vaistą savo vaikui.</w:t>
      </w:r>
    </w:p>
    <w:p w:rsidR="00525BC3" w:rsidRPr="00AC1BAC" w:rsidRDefault="00525BC3" w:rsidP="00525BC3">
      <w:pPr>
        <w:widowControl w:val="0"/>
        <w:numPr>
          <w:ilvl w:val="0"/>
          <w:numId w:val="7"/>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Natrio benzoatas: 1 ml šio vaisto yra 1 mg benzoato druskos.</w:t>
      </w:r>
    </w:p>
    <w:p w:rsidR="00525BC3" w:rsidRPr="00AC1BAC" w:rsidRDefault="00525BC3" w:rsidP="00525BC3">
      <w:pPr>
        <w:widowControl w:val="0"/>
        <w:numPr>
          <w:ilvl w:val="0"/>
          <w:numId w:val="7"/>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t xml:space="preserve">Natris: </w:t>
      </w:r>
      <w:r>
        <w:rPr>
          <w:bCs/>
          <w:snapToGrid/>
          <w:szCs w:val="22"/>
          <w:lang w:val="lt-LT"/>
        </w:rPr>
        <w:t xml:space="preserve">Combogesic </w:t>
      </w:r>
      <w:r w:rsidRPr="000B17AA">
        <w:rPr>
          <w:bCs/>
          <w:snapToGrid/>
          <w:szCs w:val="22"/>
          <w:lang w:val="lt-LT"/>
        </w:rPr>
        <w:t>dozėje yra mažiau kaip 1</w:t>
      </w:r>
      <w:r>
        <w:rPr>
          <w:bCs/>
          <w:snapToGrid/>
          <w:szCs w:val="22"/>
          <w:lang w:val="lt-LT"/>
        </w:rPr>
        <w:t> </w:t>
      </w:r>
      <w:r w:rsidRPr="000B17AA">
        <w:rPr>
          <w:bCs/>
          <w:snapToGrid/>
          <w:szCs w:val="22"/>
          <w:lang w:val="lt-LT"/>
        </w:rPr>
        <w:t>mmol (23</w:t>
      </w:r>
      <w:r>
        <w:rPr>
          <w:bCs/>
          <w:snapToGrid/>
          <w:szCs w:val="22"/>
          <w:lang w:val="lt-LT"/>
        </w:rPr>
        <w:t> </w:t>
      </w:r>
      <w:r w:rsidRPr="000B17AA">
        <w:rPr>
          <w:bCs/>
          <w:snapToGrid/>
          <w:szCs w:val="22"/>
          <w:lang w:val="lt-LT"/>
        </w:rPr>
        <w:t>mg) natrio, t. y. jis beveik neturi reikšmės.</w:t>
      </w:r>
    </w:p>
    <w:p w:rsidR="00525BC3" w:rsidRPr="00AC1BAC" w:rsidRDefault="00525BC3" w:rsidP="00525BC3">
      <w:pPr>
        <w:widowControl w:val="0"/>
        <w:numPr>
          <w:ilvl w:val="0"/>
          <w:numId w:val="7"/>
        </w:numPr>
        <w:tabs>
          <w:tab w:val="clear" w:pos="567"/>
        </w:tabs>
        <w:autoSpaceDE w:val="0"/>
        <w:autoSpaceDN w:val="0"/>
        <w:adjustRightInd w:val="0"/>
        <w:spacing w:line="240" w:lineRule="auto"/>
        <w:ind w:left="567" w:hanging="567"/>
        <w:rPr>
          <w:bCs/>
          <w:snapToGrid/>
          <w:szCs w:val="22"/>
          <w:lang w:val="lt-LT"/>
        </w:rPr>
      </w:pPr>
      <w:r w:rsidRPr="00AC1BAC">
        <w:rPr>
          <w:bCs/>
          <w:snapToGrid/>
          <w:szCs w:val="22"/>
          <w:lang w:val="lt-LT"/>
        </w:rPr>
        <w:lastRenderedPageBreak/>
        <w:t>Propilenglikolis: kiekviename šio vaisto ml yra maždaug 9,6 mg propilenglikolio, tai atitinka iki 16 mg/kg per parą.</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3A6E2A" w:rsidRDefault="00525BC3" w:rsidP="00525BC3">
      <w:pPr>
        <w:keepNext/>
        <w:keepLines/>
        <w:widowControl w:val="0"/>
        <w:numPr>
          <w:ilvl w:val="12"/>
          <w:numId w:val="0"/>
        </w:numPr>
        <w:tabs>
          <w:tab w:val="clear" w:pos="567"/>
        </w:tabs>
        <w:spacing w:line="240" w:lineRule="auto"/>
        <w:ind w:left="567" w:hanging="567"/>
        <w:outlineLvl w:val="0"/>
        <w:rPr>
          <w:b/>
          <w:caps/>
          <w:lang w:val="lt-LT"/>
        </w:rPr>
      </w:pPr>
      <w:r w:rsidRPr="00AC1BAC">
        <w:rPr>
          <w:b/>
          <w:snapToGrid/>
          <w:szCs w:val="22"/>
          <w:lang w:val="lt-LT"/>
        </w:rPr>
        <w:t>3.</w:t>
      </w:r>
      <w:r w:rsidRPr="00AC1BAC">
        <w:rPr>
          <w:b/>
          <w:snapToGrid/>
          <w:szCs w:val="22"/>
          <w:lang w:val="lt-LT"/>
        </w:rPr>
        <w:tab/>
        <w:t>Kaip vartoti</w:t>
      </w:r>
      <w:r>
        <w:rPr>
          <w:b/>
          <w:snapToGrid/>
          <w:szCs w:val="22"/>
          <w:lang w:val="lt-LT"/>
        </w:rPr>
        <w:t xml:space="preserve"> Combogesic</w:t>
      </w:r>
    </w:p>
    <w:p w:rsidR="00525BC3" w:rsidRPr="00AC1BAC" w:rsidRDefault="00525BC3" w:rsidP="00525BC3">
      <w:pPr>
        <w:keepNext/>
        <w:keepLines/>
        <w:widowControl w:val="0"/>
        <w:numPr>
          <w:ilvl w:val="12"/>
          <w:numId w:val="0"/>
        </w:numPr>
        <w:tabs>
          <w:tab w:val="clear" w:pos="567"/>
        </w:tabs>
        <w:spacing w:line="240" w:lineRule="auto"/>
        <w:ind w:left="567" w:hanging="567"/>
        <w:outlineLvl w:val="0"/>
        <w:rPr>
          <w:snapToGrid/>
          <w:szCs w:val="22"/>
          <w:lang w:val="lt-LT"/>
        </w:rPr>
      </w:pPr>
    </w:p>
    <w:p w:rsidR="00525BC3" w:rsidRPr="00AC1BAC" w:rsidRDefault="00525BC3" w:rsidP="00525BC3">
      <w:pPr>
        <w:keepNext/>
        <w:keepLines/>
        <w:widowControl w:val="0"/>
        <w:tabs>
          <w:tab w:val="clear" w:pos="567"/>
        </w:tabs>
        <w:autoSpaceDE w:val="0"/>
        <w:autoSpaceDN w:val="0"/>
        <w:adjustRightInd w:val="0"/>
        <w:spacing w:line="240" w:lineRule="auto"/>
        <w:rPr>
          <w:snapToGrid/>
          <w:szCs w:val="22"/>
          <w:lang w:val="lt-LT"/>
        </w:rPr>
      </w:pPr>
      <w:r w:rsidRPr="00AC1BAC">
        <w:rPr>
          <w:snapToGrid/>
          <w:szCs w:val="22"/>
          <w:lang w:val="lt-LT"/>
        </w:rPr>
        <w:t>Visada vartokite šį vaistą tiksliai, kaip nurodė gydytojas arba vaistininkas. Jeigu abejojate, kreipkitės į gydytoją arba vaistininką.</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suppressAutoHyphens/>
        <w:spacing w:line="240" w:lineRule="auto"/>
        <w:rPr>
          <w:snapToGrid/>
          <w:lang w:val="lt-LT" w:eastAsia="zh-CN"/>
        </w:rPr>
      </w:pPr>
      <w:r w:rsidRPr="00AC1BAC">
        <w:rPr>
          <w:snapToGrid/>
          <w:lang w:val="lt-LT" w:eastAsia="zh-CN"/>
        </w:rPr>
        <w:t>Jaunesniems kaip 10 metų vaikams labai svarbu dozuoti pagal kūno svorį, o ne pagal amžių, kuris yra apytikslis ir pateikiamas tik informacijai.</w:t>
      </w:r>
    </w:p>
    <w:p w:rsidR="00525BC3" w:rsidRPr="00AC1BAC" w:rsidRDefault="00525BC3" w:rsidP="00525BC3">
      <w:pPr>
        <w:suppressAutoHyphens/>
        <w:spacing w:line="240" w:lineRule="auto"/>
        <w:rPr>
          <w:snapToGrid/>
          <w:lang w:val="lt-LT" w:eastAsia="zh-CN"/>
        </w:rPr>
      </w:pPr>
    </w:p>
    <w:tbl>
      <w:tblPr>
        <w:tblW w:w="9208" w:type="dxa"/>
        <w:jc w:val="center"/>
        <w:tblCellMar>
          <w:left w:w="0" w:type="dxa"/>
          <w:right w:w="0" w:type="dxa"/>
        </w:tblCellMar>
        <w:tblLook w:val="04A0" w:firstRow="1" w:lastRow="0" w:firstColumn="1" w:lastColumn="0" w:noHBand="0" w:noVBand="1"/>
      </w:tblPr>
      <w:tblGrid>
        <w:gridCol w:w="2078"/>
        <w:gridCol w:w="2235"/>
        <w:gridCol w:w="2207"/>
        <w:gridCol w:w="2688"/>
      </w:tblGrid>
      <w:tr w:rsidR="00525BC3" w:rsidRPr="00AC1BAC" w:rsidTr="00651428">
        <w:trPr>
          <w:jc w:val="center"/>
        </w:trPr>
        <w:tc>
          <w:tcPr>
            <w:tcW w:w="2078" w:type="dxa"/>
            <w:tcBorders>
              <w:top w:val="single" w:sz="8" w:space="0" w:color="auto"/>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Kūno svoris</w:t>
            </w:r>
          </w:p>
        </w:tc>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Amžius (apytikslis)</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b/>
                <w:bCs/>
                <w:snapToGrid/>
                <w:color w:val="000000"/>
                <w:szCs w:val="22"/>
                <w:lang w:val="lt-LT" w:eastAsia="en-NZ"/>
              </w:rPr>
              <w:t>Dozė (ml)</w:t>
            </w:r>
          </w:p>
        </w:tc>
        <w:tc>
          <w:tcPr>
            <w:tcW w:w="2688" w:type="dxa"/>
            <w:tcBorders>
              <w:top w:val="single" w:sz="8" w:space="0" w:color="auto"/>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b/>
                <w:bCs/>
                <w:snapToGrid/>
                <w:color w:val="000000"/>
                <w:szCs w:val="22"/>
                <w:lang w:val="lt-LT" w:eastAsia="en-NZ"/>
              </w:rPr>
            </w:pPr>
            <w:r w:rsidRPr="00AC1BAC">
              <w:rPr>
                <w:b/>
                <w:bCs/>
                <w:snapToGrid/>
                <w:color w:val="000000"/>
                <w:szCs w:val="22"/>
                <w:lang w:val="lt-LT" w:eastAsia="en-NZ"/>
              </w:rPr>
              <w:t>Didžiausia paros dozė (ml)</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12 iki &lt; 14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18</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14 iki &lt; 16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22</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16 iki &lt; 18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24</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18 iki &lt; 20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28</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20 iki &lt; 22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6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30</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22 iki &lt; 25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7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34</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25 iki &lt; 28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8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38</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28 iki &lt; 31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9 metai</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42</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31 iki &lt; 33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10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46</w:t>
            </w:r>
          </w:p>
        </w:tc>
      </w:tr>
      <w:tr w:rsidR="00525BC3" w:rsidRPr="00AC1BAC" w:rsidTr="00651428">
        <w:trPr>
          <w:jc w:val="center"/>
        </w:trPr>
        <w:tc>
          <w:tcPr>
            <w:tcW w:w="2078" w:type="dxa"/>
            <w:tcBorders>
              <w:top w:val="nil"/>
              <w:left w:val="single" w:sz="8" w:space="0" w:color="auto"/>
              <w:bottom w:val="single" w:sz="8" w:space="0" w:color="auto"/>
              <w:right w:val="single" w:sz="8" w:space="0" w:color="auto"/>
            </w:tcBorders>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Nuo 33 iki &lt; 40 kg*</w:t>
            </w:r>
          </w:p>
        </w:tc>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11–12 metų</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12,5</w:t>
            </w:r>
          </w:p>
        </w:tc>
        <w:tc>
          <w:tcPr>
            <w:tcW w:w="2688" w:type="dxa"/>
            <w:tcBorders>
              <w:top w:val="nil"/>
              <w:left w:val="nil"/>
              <w:bottom w:val="single" w:sz="8" w:space="0" w:color="auto"/>
              <w:right w:val="single" w:sz="8" w:space="0" w:color="auto"/>
            </w:tcBorders>
            <w:hideMark/>
          </w:tcPr>
          <w:p w:rsidR="00525BC3" w:rsidRPr="00AC1BAC" w:rsidRDefault="00525BC3" w:rsidP="00651428">
            <w:pPr>
              <w:tabs>
                <w:tab w:val="clear" w:pos="567"/>
              </w:tabs>
              <w:autoSpaceDE w:val="0"/>
              <w:autoSpaceDN w:val="0"/>
              <w:adjustRightInd w:val="0"/>
              <w:spacing w:line="240" w:lineRule="auto"/>
              <w:jc w:val="center"/>
              <w:rPr>
                <w:snapToGrid/>
                <w:color w:val="000000"/>
                <w:szCs w:val="22"/>
                <w:lang w:val="lt-LT" w:eastAsia="en-NZ"/>
              </w:rPr>
            </w:pPr>
            <w:r w:rsidRPr="00AC1BAC">
              <w:rPr>
                <w:snapToGrid/>
                <w:color w:val="000000"/>
                <w:szCs w:val="22"/>
                <w:lang w:val="lt-LT" w:eastAsia="en-NZ"/>
              </w:rPr>
              <w:t>50</w:t>
            </w:r>
          </w:p>
        </w:tc>
      </w:tr>
    </w:tbl>
    <w:p w:rsidR="00525BC3" w:rsidRPr="00AC1BAC" w:rsidRDefault="00525BC3" w:rsidP="00525BC3">
      <w:pPr>
        <w:tabs>
          <w:tab w:val="left" w:pos="284"/>
        </w:tabs>
        <w:suppressAutoHyphens/>
        <w:spacing w:line="240" w:lineRule="auto"/>
        <w:ind w:left="284" w:hanging="284"/>
        <w:jc w:val="both"/>
        <w:rPr>
          <w:snapToGrid/>
          <w:sz w:val="18"/>
          <w:szCs w:val="18"/>
          <w:lang w:val="lt-LT" w:eastAsia="zh-CN"/>
        </w:rPr>
      </w:pPr>
    </w:p>
    <w:p w:rsidR="00525BC3" w:rsidRPr="00AC1BAC" w:rsidRDefault="00525BC3" w:rsidP="00525BC3">
      <w:pPr>
        <w:tabs>
          <w:tab w:val="left" w:pos="284"/>
        </w:tabs>
        <w:suppressAutoHyphens/>
        <w:spacing w:line="240" w:lineRule="auto"/>
        <w:ind w:left="284" w:hanging="284"/>
        <w:jc w:val="both"/>
        <w:rPr>
          <w:snapToGrid/>
          <w:sz w:val="20"/>
          <w:lang w:val="lt-LT" w:eastAsia="zh-CN"/>
        </w:rPr>
      </w:pPr>
      <w:r w:rsidRPr="00AC1BAC">
        <w:rPr>
          <w:snapToGrid/>
          <w:sz w:val="20"/>
          <w:lang w:val="lt-LT" w:eastAsia="zh-CN"/>
        </w:rPr>
        <w:t>*</w:t>
      </w:r>
      <w:r w:rsidRPr="00AC1BAC">
        <w:rPr>
          <w:snapToGrid/>
          <w:sz w:val="20"/>
          <w:lang w:val="lt-LT" w:eastAsia="zh-CN"/>
        </w:rPr>
        <w:tab/>
        <w:t>Vyresniems nei 10 metų vaikams kūno svorio ir amžiaus santykis nebėra homogeniškas dėl brendimo, kuris turi skirtingą poveikį kūno svoriui, priklausomai nuo lyties ir individualių savybių.</w:t>
      </w:r>
    </w:p>
    <w:p w:rsidR="00525BC3" w:rsidRPr="00AC1BAC" w:rsidRDefault="00525BC3" w:rsidP="00525BC3">
      <w:pPr>
        <w:suppressAutoHyphens/>
        <w:rPr>
          <w:bCs/>
          <w:snapToGrid/>
          <w:szCs w:val="22"/>
          <w:lang w:val="lt-LT" w:eastAsia="zh-CN"/>
        </w:rPr>
      </w:pPr>
    </w:p>
    <w:p w:rsidR="00525BC3" w:rsidRDefault="00525BC3" w:rsidP="00525BC3">
      <w:pPr>
        <w:tabs>
          <w:tab w:val="left" w:pos="480"/>
        </w:tabs>
        <w:suppressAutoHyphens/>
        <w:spacing w:line="240" w:lineRule="auto"/>
        <w:rPr>
          <w:snapToGrid/>
          <w:lang w:val="lt-LT" w:eastAsia="zh-CN"/>
        </w:rPr>
      </w:pPr>
      <w:r>
        <w:rPr>
          <w:snapToGrid/>
          <w:lang w:val="lt-LT" w:eastAsia="zh-CN"/>
        </w:rPr>
        <w:t>Šis vaistas nėra skirtas vartoti</w:t>
      </w:r>
      <w:r w:rsidRPr="00EB13EE">
        <w:rPr>
          <w:snapToGrid/>
          <w:lang w:val="lt-LT" w:eastAsia="zh-CN"/>
        </w:rPr>
        <w:t xml:space="preserve"> </w:t>
      </w:r>
      <w:r>
        <w:rPr>
          <w:snapToGrid/>
          <w:lang w:val="lt-LT" w:eastAsia="zh-CN"/>
        </w:rPr>
        <w:t>jaunesniems kaip</w:t>
      </w:r>
      <w:r w:rsidRPr="00EB13EE">
        <w:rPr>
          <w:snapToGrid/>
          <w:lang w:val="lt-LT" w:eastAsia="zh-CN"/>
        </w:rPr>
        <w:t xml:space="preserve"> 2</w:t>
      </w:r>
      <w:r>
        <w:rPr>
          <w:snapToGrid/>
          <w:lang w:val="lt-LT" w:eastAsia="zh-CN"/>
        </w:rPr>
        <w:t> metų arba sveriantiems mažiau kaip 12 kg vaikams</w:t>
      </w:r>
      <w:r w:rsidRPr="00EB13EE">
        <w:rPr>
          <w:snapToGrid/>
          <w:lang w:val="lt-LT" w:eastAsia="zh-CN"/>
        </w:rPr>
        <w:t>.</w:t>
      </w:r>
    </w:p>
    <w:p w:rsidR="00525BC3" w:rsidRDefault="00525BC3" w:rsidP="00525BC3">
      <w:pPr>
        <w:tabs>
          <w:tab w:val="left" w:pos="480"/>
        </w:tabs>
        <w:suppressAutoHyphens/>
        <w:spacing w:line="240" w:lineRule="auto"/>
        <w:rPr>
          <w:snapToGrid/>
          <w:lang w:val="lt-LT" w:eastAsia="zh-CN"/>
        </w:rPr>
      </w:pPr>
    </w:p>
    <w:p w:rsidR="00525BC3" w:rsidRPr="00AC1BAC" w:rsidRDefault="00525BC3" w:rsidP="00525BC3">
      <w:pPr>
        <w:tabs>
          <w:tab w:val="left" w:pos="480"/>
        </w:tabs>
        <w:suppressAutoHyphens/>
        <w:spacing w:line="240" w:lineRule="auto"/>
        <w:rPr>
          <w:snapToGrid/>
          <w:lang w:val="lt-LT" w:eastAsia="zh-CN"/>
        </w:rPr>
      </w:pPr>
      <w:r w:rsidRPr="00AC1BAC">
        <w:rPr>
          <w:snapToGrid/>
          <w:lang w:val="lt-LT" w:eastAsia="zh-CN"/>
        </w:rPr>
        <w:t>Dozes reikia vartoti pagal poreikį kas 6 valandas, per 24 valandas galima suvartoti ne daugiau kaip 4 dozes.</w:t>
      </w:r>
    </w:p>
    <w:p w:rsidR="00525BC3" w:rsidRPr="00AC1BAC" w:rsidRDefault="00525BC3" w:rsidP="00525BC3">
      <w:pPr>
        <w:suppressAutoHyphens/>
        <w:rPr>
          <w:snapToGrid/>
          <w:lang w:val="lt-LT" w:eastAsia="zh-CN"/>
        </w:rPr>
      </w:pPr>
    </w:p>
    <w:p w:rsidR="00525BC3" w:rsidRPr="00AC1BAC" w:rsidRDefault="00525BC3" w:rsidP="00525BC3">
      <w:pPr>
        <w:suppressAutoHyphens/>
        <w:rPr>
          <w:snapToGrid/>
          <w:lang w:val="lt-LT" w:eastAsia="zh-CN"/>
        </w:rPr>
      </w:pPr>
      <w:bookmarkStart w:id="0" w:name="_Hlk68878842"/>
      <w:r w:rsidRPr="00AC1BAC">
        <w:rPr>
          <w:snapToGrid/>
          <w:lang w:val="lt-LT" w:eastAsia="zh-CN"/>
        </w:rPr>
        <w:t>Šį vaistą vartojantiems suaugusiesiems būtina pasitarti su gydytoju, kuris pasakys, kokią dozę vartoti.</w:t>
      </w:r>
    </w:p>
    <w:bookmarkEnd w:id="0"/>
    <w:p w:rsidR="00525BC3" w:rsidRPr="00AC1BAC" w:rsidRDefault="00525BC3" w:rsidP="00525BC3">
      <w:pPr>
        <w:suppressAutoHyphens/>
        <w:rPr>
          <w:snapToGrid/>
          <w:lang w:val="lt-LT" w:eastAsia="zh-CN"/>
        </w:rPr>
      </w:pPr>
    </w:p>
    <w:p w:rsidR="00525BC3" w:rsidRPr="00877683" w:rsidRDefault="00525BC3" w:rsidP="00525BC3">
      <w:pPr>
        <w:widowControl w:val="0"/>
        <w:numPr>
          <w:ilvl w:val="12"/>
          <w:numId w:val="0"/>
        </w:numPr>
        <w:tabs>
          <w:tab w:val="clear" w:pos="567"/>
        </w:tabs>
        <w:spacing w:line="240" w:lineRule="auto"/>
        <w:rPr>
          <w:b/>
          <w:bCs/>
          <w:snapToGrid/>
          <w:szCs w:val="22"/>
          <w:lang w:val="lt-LT" w:eastAsia="zh-CN"/>
        </w:rPr>
      </w:pPr>
      <w:bookmarkStart w:id="1" w:name="_Hlk68878878"/>
      <w:r w:rsidRPr="00877683">
        <w:rPr>
          <w:b/>
          <w:bCs/>
          <w:snapToGrid/>
          <w:szCs w:val="22"/>
          <w:lang w:val="lt-LT" w:eastAsia="zh-CN"/>
        </w:rPr>
        <w:t>Vaisto negalima vartoti ilgiau negu 3 dienas.</w:t>
      </w:r>
    </w:p>
    <w:p w:rsidR="00525BC3" w:rsidRPr="00AC1BAC" w:rsidRDefault="00525BC3" w:rsidP="00525BC3">
      <w:pPr>
        <w:widowControl w:val="0"/>
        <w:numPr>
          <w:ilvl w:val="12"/>
          <w:numId w:val="0"/>
        </w:numPr>
        <w:tabs>
          <w:tab w:val="clear" w:pos="567"/>
        </w:tabs>
        <w:spacing w:line="240" w:lineRule="auto"/>
        <w:rPr>
          <w:snapToGrid/>
          <w:szCs w:val="22"/>
          <w:lang w:val="lt-LT"/>
        </w:rPr>
      </w:pPr>
      <w:r w:rsidRPr="00AC1BAC">
        <w:rPr>
          <w:snapToGrid/>
          <w:szCs w:val="22"/>
          <w:lang w:val="lt-LT" w:eastAsia="zh-CN"/>
        </w:rPr>
        <w:t>Mažiausią veiksmingą dozę reikia vartoti trumpiausią laikotarpį, būtiną simptomams palengvinti</w:t>
      </w:r>
      <w:r w:rsidRPr="00AC1BAC">
        <w:rPr>
          <w:snapToGrid/>
          <w:lang w:val="lt-LT" w:eastAsia="zh-CN"/>
        </w:rPr>
        <w:t xml:space="preserve"> </w:t>
      </w:r>
      <w:bookmarkEnd w:id="1"/>
      <w:r w:rsidRPr="00AC1BAC">
        <w:rPr>
          <w:snapToGrid/>
          <w:lang w:val="lt-LT" w:eastAsia="zh-CN"/>
        </w:rPr>
        <w:t xml:space="preserve">Jeigu Jums yra infekcija ir </w:t>
      </w:r>
      <w:r w:rsidRPr="00AC1BAC">
        <w:rPr>
          <w:szCs w:val="22"/>
          <w:lang w:val="lt-LT"/>
        </w:rPr>
        <w:t>simptomai, tokie skausmas, nepagerėja arba pablogėja, nedelsdami kreipkitės į gydytoją.</w:t>
      </w:r>
    </w:p>
    <w:p w:rsidR="00525BC3" w:rsidRPr="00AC1BAC" w:rsidRDefault="00525BC3" w:rsidP="00525BC3">
      <w:pPr>
        <w:suppressAutoHyphens/>
        <w:rPr>
          <w:snapToGrid/>
          <w:lang w:val="lt-LT" w:eastAsia="zh-CN"/>
        </w:rPr>
      </w:pPr>
    </w:p>
    <w:p w:rsidR="00525BC3" w:rsidRPr="00AC1BAC" w:rsidRDefault="00525BC3" w:rsidP="00525BC3">
      <w:pPr>
        <w:suppressAutoHyphens/>
        <w:rPr>
          <w:snapToGrid/>
          <w:lang w:val="lt-LT" w:eastAsia="zh-CN"/>
        </w:rPr>
      </w:pPr>
      <w:r w:rsidRPr="00AC1BAC">
        <w:rPr>
          <w:snapToGrid/>
          <w:lang w:val="lt-LT" w:eastAsia="zh-CN"/>
        </w:rPr>
        <w:t>Jei gydytojas skyrė kitokią dozę, vadovaukitės gydytojo nurodymais.</w:t>
      </w:r>
    </w:p>
    <w:p w:rsidR="00525BC3" w:rsidRPr="00AC1BAC" w:rsidRDefault="00525BC3" w:rsidP="00525BC3">
      <w:pPr>
        <w:suppressAutoHyphens/>
        <w:rPr>
          <w:snapToGrid/>
          <w:lang w:val="lt-LT" w:eastAsia="zh-CN"/>
        </w:rPr>
      </w:pPr>
    </w:p>
    <w:p w:rsidR="00525BC3" w:rsidRPr="00AC1BAC" w:rsidRDefault="00525BC3" w:rsidP="00525BC3">
      <w:pPr>
        <w:spacing w:line="240" w:lineRule="auto"/>
        <w:jc w:val="both"/>
        <w:rPr>
          <w:iCs/>
          <w:szCs w:val="22"/>
          <w:lang w:val="lt-LT"/>
        </w:rPr>
      </w:pPr>
      <w:bookmarkStart w:id="2" w:name="_Hlk509905282"/>
      <w:bookmarkStart w:id="3" w:name="_Hlk509846314"/>
      <w:r w:rsidRPr="00AC1BAC">
        <w:rPr>
          <w:iCs/>
          <w:szCs w:val="22"/>
          <w:lang w:val="lt-LT"/>
        </w:rPr>
        <w:t>Švirkšto naudojimo nurodymai</w:t>
      </w:r>
    </w:p>
    <w:p w:rsidR="00525BC3" w:rsidRPr="00AC1BAC" w:rsidRDefault="00525BC3" w:rsidP="00525BC3">
      <w:pPr>
        <w:suppressAutoHyphens/>
        <w:rPr>
          <w:snapToGrid/>
          <w:lang w:val="lt-LT" w:eastAsia="zh-CN"/>
        </w:rPr>
      </w:pP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Prieš vartojimą buteliuką pakratykite ne trumpiau kaip 10 sekundžių</w:t>
      </w:r>
      <w:r w:rsidRPr="00AC1BAC">
        <w:rPr>
          <w:snapToGrid/>
          <w:lang w:val="lt-LT" w:eastAsia="zh-CN"/>
        </w:rPr>
        <w:t xml:space="preserve">. </w:t>
      </w:r>
    </w:p>
    <w:p w:rsidR="00525BC3" w:rsidRPr="00AC1BAC" w:rsidRDefault="00525BC3" w:rsidP="00525BC3">
      <w:pPr>
        <w:tabs>
          <w:tab w:val="clear" w:pos="567"/>
        </w:tabs>
        <w:suppressAutoHyphens/>
        <w:spacing w:line="240" w:lineRule="auto"/>
        <w:ind w:right="-2"/>
        <w:jc w:val="both"/>
        <w:rPr>
          <w:snapToGrid/>
          <w:lang w:val="lt-LT" w:eastAsia="zh-CN"/>
        </w:rPr>
      </w:pP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Tvirtai įstumkite švirkštą į kamštį (angą) buteliuko kaklelyje</w:t>
      </w:r>
      <w:r w:rsidRPr="00AC1BAC">
        <w:rPr>
          <w:snapToGrid/>
          <w:lang w:val="lt-LT" w:eastAsia="zh-CN"/>
        </w:rPr>
        <w:t xml:space="preserve">. </w:t>
      </w:r>
    </w:p>
    <w:p w:rsidR="00525BC3" w:rsidRPr="00AC1BAC" w:rsidRDefault="00525BC3" w:rsidP="00525BC3">
      <w:pPr>
        <w:suppressAutoHyphens/>
        <w:ind w:left="720"/>
        <w:rPr>
          <w:snapToGrid/>
          <w:lang w:val="lt-LT" w:eastAsia="zh-CN"/>
        </w:rPr>
      </w:pPr>
    </w:p>
    <w:p w:rsidR="00525BC3" w:rsidRPr="00AC1BAC" w:rsidRDefault="00525BC3" w:rsidP="00525BC3">
      <w:pPr>
        <w:tabs>
          <w:tab w:val="clear" w:pos="567"/>
        </w:tabs>
        <w:suppressAutoHyphens/>
        <w:spacing w:line="240" w:lineRule="auto"/>
        <w:ind w:left="720" w:right="-2"/>
        <w:jc w:val="both"/>
        <w:rPr>
          <w:snapToGrid/>
          <w:lang w:val="lt-LT" w:eastAsia="zh-CN"/>
        </w:rPr>
      </w:pPr>
      <w:r w:rsidRPr="00AC1BAC">
        <w:rPr>
          <w:rFonts w:ascii="Agfa Rotis Sans Serif" w:hAnsi="Agfa Rotis Sans Serif"/>
          <w:noProof/>
          <w:snapToGrid/>
          <w:sz w:val="20"/>
          <w:lang w:val="lt-LT" w:eastAsia="lt-LT"/>
        </w:rPr>
        <w:drawing>
          <wp:inline distT="0" distB="0" distL="0" distR="0" wp14:anchorId="2CE96DD5" wp14:editId="12275B00">
            <wp:extent cx="771525" cy="704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l="33621" t="24579" r="17819" b="18394"/>
                    <a:stretch>
                      <a:fillRect/>
                    </a:stretch>
                  </pic:blipFill>
                  <pic:spPr bwMode="auto">
                    <a:xfrm>
                      <a:off x="0" y="0"/>
                      <a:ext cx="771525" cy="704850"/>
                    </a:xfrm>
                    <a:prstGeom prst="rect">
                      <a:avLst/>
                    </a:prstGeom>
                    <a:noFill/>
                    <a:ln>
                      <a:noFill/>
                    </a:ln>
                  </pic:spPr>
                </pic:pic>
              </a:graphicData>
            </a:graphic>
          </wp:inline>
        </w:drawing>
      </w: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Norėdami užpildyti švirkštą, buteliuką apverskite. Laikydami švirkštą vietoje, švelniai patraukite stūmoklį žemyn, įtraukdami vaistą iki reikiamos žymės ant švirkšto</w:t>
      </w:r>
      <w:r w:rsidRPr="00AC1BAC">
        <w:rPr>
          <w:snapToGrid/>
          <w:lang w:val="lt-LT" w:eastAsia="zh-CN"/>
        </w:rPr>
        <w:t xml:space="preserve">. </w:t>
      </w:r>
    </w:p>
    <w:p w:rsidR="00525BC3" w:rsidRPr="00AC1BAC" w:rsidRDefault="00525BC3" w:rsidP="00525BC3">
      <w:pPr>
        <w:tabs>
          <w:tab w:val="clear" w:pos="567"/>
        </w:tabs>
        <w:suppressAutoHyphens/>
        <w:spacing w:line="240" w:lineRule="auto"/>
        <w:ind w:left="720" w:right="-2"/>
        <w:jc w:val="both"/>
        <w:rPr>
          <w:snapToGrid/>
          <w:lang w:val="lt-LT" w:eastAsia="zh-CN"/>
        </w:rPr>
      </w:pPr>
    </w:p>
    <w:p w:rsidR="00525BC3" w:rsidRPr="00AC1BAC" w:rsidRDefault="00525BC3" w:rsidP="00525BC3">
      <w:pPr>
        <w:tabs>
          <w:tab w:val="clear" w:pos="567"/>
        </w:tabs>
        <w:suppressAutoHyphens/>
        <w:spacing w:line="240" w:lineRule="auto"/>
        <w:ind w:left="720" w:right="-2"/>
        <w:jc w:val="both"/>
        <w:rPr>
          <w:snapToGrid/>
          <w:lang w:val="lt-LT" w:eastAsia="zh-CN"/>
        </w:rPr>
      </w:pPr>
      <w:r w:rsidRPr="00AC1BAC">
        <w:rPr>
          <w:rFonts w:ascii="Agfa Rotis Sans Serif" w:hAnsi="Agfa Rotis Sans Serif"/>
          <w:noProof/>
          <w:snapToGrid/>
          <w:sz w:val="20"/>
          <w:lang w:val="lt-LT" w:eastAsia="lt-LT"/>
        </w:rPr>
        <w:lastRenderedPageBreak/>
        <w:drawing>
          <wp:inline distT="0" distB="0" distL="0" distR="0" wp14:anchorId="0ADACD15" wp14:editId="06FA51B2">
            <wp:extent cx="809625"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l="26138" t="24992" r="25296" b="15236"/>
                    <a:stretch>
                      <a:fillRect/>
                    </a:stretch>
                  </pic:blipFill>
                  <pic:spPr bwMode="auto">
                    <a:xfrm>
                      <a:off x="0" y="0"/>
                      <a:ext cx="809625" cy="723900"/>
                    </a:xfrm>
                    <a:prstGeom prst="rect">
                      <a:avLst/>
                    </a:prstGeom>
                    <a:noFill/>
                    <a:ln>
                      <a:noFill/>
                    </a:ln>
                  </pic:spPr>
                </pic:pic>
              </a:graphicData>
            </a:graphic>
          </wp:inline>
        </w:drawing>
      </w: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Atsukite buteliuką atgal ir švelniai pasukite švirkštą, kad jį ištrauktumėte iš buteliuko kamščio</w:t>
      </w:r>
      <w:r w:rsidRPr="00AC1BAC">
        <w:rPr>
          <w:snapToGrid/>
          <w:lang w:val="lt-LT" w:eastAsia="zh-CN"/>
        </w:rPr>
        <w:t>.</w:t>
      </w:r>
    </w:p>
    <w:p w:rsidR="00525BC3" w:rsidRPr="00AC1BAC" w:rsidRDefault="00525BC3" w:rsidP="00525BC3">
      <w:pPr>
        <w:tabs>
          <w:tab w:val="clear" w:pos="567"/>
        </w:tabs>
        <w:suppressAutoHyphens/>
        <w:spacing w:line="240" w:lineRule="auto"/>
        <w:ind w:left="720" w:right="-2"/>
        <w:jc w:val="both"/>
        <w:rPr>
          <w:rFonts w:ascii="Agfa Rotis Sans Serif" w:hAnsi="Agfa Rotis Sans Serif"/>
          <w:snapToGrid/>
          <w:sz w:val="20"/>
          <w:lang w:val="lt-LT" w:eastAsia="zh-CN"/>
        </w:rPr>
      </w:pPr>
      <w:r w:rsidRPr="00AC1BAC">
        <w:rPr>
          <w:noProof/>
          <w:lang w:val="lt-LT" w:eastAsia="lt-LT"/>
        </w:rPr>
        <w:drawing>
          <wp:anchor distT="0" distB="0" distL="114300" distR="114300" simplePos="0" relativeHeight="251659264" behindDoc="0" locked="0" layoutInCell="1" allowOverlap="1" wp14:anchorId="4C1CD831" wp14:editId="099EACAE">
            <wp:simplePos x="0" y="0"/>
            <wp:positionH relativeFrom="column">
              <wp:posOffset>697230</wp:posOffset>
            </wp:positionH>
            <wp:positionV relativeFrom="paragraph">
              <wp:posOffset>278130</wp:posOffset>
            </wp:positionV>
            <wp:extent cx="838200" cy="830580"/>
            <wp:effectExtent l="0" t="0" r="0" b="0"/>
            <wp:wrapTopAndBottom/>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l="35422" t="17935" r="27165" b="13995"/>
                    <a:stretch>
                      <a:fillRect/>
                    </a:stretch>
                  </pic:blipFill>
                  <pic:spPr bwMode="auto">
                    <a:xfrm>
                      <a:off x="0" y="0"/>
                      <a:ext cx="83820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5BC3" w:rsidRPr="00AC1BAC" w:rsidRDefault="00525BC3" w:rsidP="00525BC3">
      <w:pPr>
        <w:tabs>
          <w:tab w:val="clear" w:pos="567"/>
        </w:tabs>
        <w:suppressAutoHyphens/>
        <w:spacing w:line="240" w:lineRule="auto"/>
        <w:ind w:left="720" w:right="-2"/>
        <w:jc w:val="both"/>
        <w:rPr>
          <w:snapToGrid/>
          <w:lang w:val="lt-LT" w:eastAsia="zh-CN"/>
        </w:rPr>
      </w:pP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Įkiškite švirkšto galą į vaiko burną, paprastai į burnos šoną tarp dantenų ir skruosto. Paspauskite stūmoklį žemyn, kad lėtai ir švelniai suleistumėte vaistą</w:t>
      </w:r>
      <w:r w:rsidRPr="00AC1BAC">
        <w:rPr>
          <w:snapToGrid/>
          <w:lang w:val="lt-LT" w:eastAsia="zh-CN"/>
        </w:rPr>
        <w:t>.</w:t>
      </w:r>
    </w:p>
    <w:p w:rsidR="00525BC3" w:rsidRPr="00AC1BAC" w:rsidRDefault="00525BC3" w:rsidP="00525BC3">
      <w:pPr>
        <w:tabs>
          <w:tab w:val="clear" w:pos="567"/>
        </w:tabs>
        <w:suppressAutoHyphens/>
        <w:spacing w:line="240" w:lineRule="auto"/>
        <w:ind w:left="786" w:right="-2"/>
        <w:jc w:val="both"/>
        <w:rPr>
          <w:snapToGrid/>
          <w:lang w:val="lt-LT" w:eastAsia="zh-CN"/>
        </w:rPr>
      </w:pPr>
    </w:p>
    <w:p w:rsidR="00525BC3" w:rsidRPr="00AC1BAC" w:rsidRDefault="00525BC3" w:rsidP="00525BC3">
      <w:pPr>
        <w:tabs>
          <w:tab w:val="clear" w:pos="567"/>
        </w:tabs>
        <w:suppressAutoHyphens/>
        <w:spacing w:line="240" w:lineRule="auto"/>
        <w:ind w:left="786" w:right="-2"/>
        <w:jc w:val="both"/>
        <w:rPr>
          <w:snapToGrid/>
          <w:lang w:val="lt-LT" w:eastAsia="zh-CN"/>
        </w:rPr>
      </w:pPr>
      <w:r w:rsidRPr="00AC1BAC">
        <w:rPr>
          <w:rFonts w:ascii="Verdana" w:hAnsi="Verdana"/>
          <w:noProof/>
          <w:snapToGrid/>
          <w:sz w:val="20"/>
          <w:lang w:val="lt-LT" w:eastAsia="lt-LT"/>
        </w:rPr>
        <w:drawing>
          <wp:inline distT="0" distB="0" distL="0" distR="0" wp14:anchorId="275334FA" wp14:editId="3E242347">
            <wp:extent cx="857250" cy="676275"/>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l="18651" t="24579" r="17819" b="20888"/>
                    <a:stretch>
                      <a:fillRect/>
                    </a:stretch>
                  </pic:blipFill>
                  <pic:spPr bwMode="auto">
                    <a:xfrm>
                      <a:off x="0" y="0"/>
                      <a:ext cx="857250" cy="676275"/>
                    </a:xfrm>
                    <a:prstGeom prst="rect">
                      <a:avLst/>
                    </a:prstGeom>
                    <a:noFill/>
                    <a:ln>
                      <a:noFill/>
                    </a:ln>
                  </pic:spPr>
                </pic:pic>
              </a:graphicData>
            </a:graphic>
          </wp:inline>
        </w:drawing>
      </w: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Jei aukščiau pateiktoje lentelėje patariama skirti daugiau nei 5 ml vaisto, pakartokite 2–5 veiksmus, kad suleistumėte savo vaikui tinkamą vaisto kiekį</w:t>
      </w:r>
      <w:r w:rsidRPr="00AC1BAC">
        <w:rPr>
          <w:snapToGrid/>
          <w:lang w:val="lt-LT" w:eastAsia="zh-CN"/>
        </w:rPr>
        <w:t xml:space="preserve">. </w:t>
      </w: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Po vartojimo dangtelį sandariai uždėkite ant buteliuko viršaus. Visus vaistus laikykite vaikams nepastebimoje ir nepasiekiamoje vietoje</w:t>
      </w:r>
      <w:r w:rsidRPr="00AC1BAC">
        <w:rPr>
          <w:snapToGrid/>
          <w:lang w:val="lt-LT" w:eastAsia="zh-CN"/>
        </w:rPr>
        <w:t xml:space="preserve">. </w:t>
      </w:r>
    </w:p>
    <w:p w:rsidR="00525BC3" w:rsidRPr="00AC1BAC" w:rsidRDefault="00525BC3" w:rsidP="00525BC3">
      <w:pPr>
        <w:numPr>
          <w:ilvl w:val="0"/>
          <w:numId w:val="8"/>
        </w:numPr>
        <w:tabs>
          <w:tab w:val="clear" w:pos="567"/>
        </w:tabs>
        <w:suppressAutoHyphens/>
        <w:spacing w:line="240" w:lineRule="auto"/>
        <w:ind w:right="-2"/>
        <w:jc w:val="both"/>
        <w:rPr>
          <w:snapToGrid/>
          <w:lang w:val="lt-LT" w:eastAsia="zh-CN"/>
        </w:rPr>
      </w:pPr>
      <w:r w:rsidRPr="00AC1BAC">
        <w:rPr>
          <w:rFonts w:eastAsia="TimesNewRoman"/>
          <w:snapToGrid/>
          <w:szCs w:val="22"/>
          <w:lang w:val="lt-LT"/>
        </w:rPr>
        <w:t>Nuplaukite švirkštą šiltu vandeniu ir leiskite nudžiūti</w:t>
      </w:r>
      <w:r w:rsidRPr="00AC1BAC">
        <w:rPr>
          <w:snapToGrid/>
          <w:lang w:val="lt-LT" w:eastAsia="zh-CN"/>
        </w:rPr>
        <w:t>.</w:t>
      </w:r>
      <w:bookmarkEnd w:id="2"/>
    </w:p>
    <w:bookmarkEnd w:id="3"/>
    <w:p w:rsidR="00525BC3" w:rsidRPr="00AC1BAC" w:rsidRDefault="00525BC3" w:rsidP="00525BC3">
      <w:pPr>
        <w:suppressAutoHyphens/>
        <w:rPr>
          <w:snapToGrid/>
          <w:lang w:val="lt-LT" w:eastAsia="zh-CN"/>
        </w:rPr>
      </w:pPr>
    </w:p>
    <w:p w:rsidR="00525BC3" w:rsidRPr="00AC1BAC" w:rsidRDefault="00525BC3" w:rsidP="00525BC3">
      <w:pPr>
        <w:suppressAutoHyphens/>
        <w:rPr>
          <w:snapToGrid/>
          <w:lang w:val="lt-LT" w:eastAsia="zh-CN"/>
        </w:rPr>
      </w:pPr>
      <w:r w:rsidRPr="00AC1BAC">
        <w:rPr>
          <w:snapToGrid/>
          <w:lang w:val="lt-LT" w:eastAsia="zh-CN"/>
        </w:rPr>
        <w:t>Šio vaisto negalima maišyti su maistu ar gėrimais.</w:t>
      </w:r>
    </w:p>
    <w:p w:rsidR="00525BC3" w:rsidRPr="00AC1BAC" w:rsidRDefault="00525BC3" w:rsidP="00525BC3">
      <w:pPr>
        <w:widowControl w:val="0"/>
        <w:tabs>
          <w:tab w:val="clear" w:pos="567"/>
        </w:tabs>
        <w:autoSpaceDE w:val="0"/>
        <w:autoSpaceDN w:val="0"/>
        <w:adjustRightInd w:val="0"/>
        <w:spacing w:line="240" w:lineRule="auto"/>
        <w:rPr>
          <w:snapToGrid/>
          <w:szCs w:val="24"/>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 xml:space="preserve">Ką daryti pavartojus per didelę </w:t>
      </w:r>
      <w:r>
        <w:rPr>
          <w:rFonts w:eastAsia="TimesNewRoman,Bold"/>
          <w:b/>
          <w:bCs/>
          <w:snapToGrid/>
          <w:szCs w:val="22"/>
          <w:lang w:val="lt-LT"/>
        </w:rPr>
        <w:t xml:space="preserve">Combogesic </w:t>
      </w:r>
      <w:r w:rsidRPr="00AC1BAC">
        <w:rPr>
          <w:rFonts w:eastAsia="TimesNewRoman,Bold"/>
          <w:b/>
          <w:bCs/>
          <w:snapToGrid/>
          <w:szCs w:val="22"/>
          <w:lang w:val="lt-LT"/>
        </w:rPr>
        <w:t>dozę</w:t>
      </w:r>
    </w:p>
    <w:p w:rsidR="00525BC3" w:rsidRPr="00AC1BAC" w:rsidRDefault="00525BC3" w:rsidP="00525BC3">
      <w:pPr>
        <w:rPr>
          <w:lang w:val="lt-LT"/>
        </w:rPr>
      </w:pPr>
      <w:r w:rsidRPr="00D319AD">
        <w:rPr>
          <w:lang w:val="lt-LT"/>
        </w:rPr>
        <w:t xml:space="preserve">Jei </w:t>
      </w:r>
      <w:r>
        <w:rPr>
          <w:lang w:val="lt-LT"/>
        </w:rPr>
        <w:t xml:space="preserve">Jūs arba Jūsų vaikas </w:t>
      </w:r>
      <w:r w:rsidRPr="00D319AD">
        <w:rPr>
          <w:lang w:val="lt-LT"/>
        </w:rPr>
        <w:t>išgėrėte daugiau</w:t>
      </w:r>
      <w:r>
        <w:rPr>
          <w:lang w:val="lt-LT"/>
        </w:rPr>
        <w:t xml:space="preserve"> Combogesic </w:t>
      </w:r>
      <w:r w:rsidRPr="00D319AD">
        <w:rPr>
          <w:lang w:val="lt-LT"/>
        </w:rPr>
        <w:t xml:space="preserve">nei reikia </w:t>
      </w:r>
      <w:r>
        <w:rPr>
          <w:lang w:val="lt-LT"/>
        </w:rPr>
        <w:t>arba jeigu Jūsų vaikas Combogesic išgėrė netyčia</w:t>
      </w:r>
      <w:r w:rsidRPr="00D319AD">
        <w:rPr>
          <w:lang w:val="lt-LT"/>
        </w:rPr>
        <w:t xml:space="preserve">, </w:t>
      </w:r>
      <w:r>
        <w:rPr>
          <w:lang w:val="lt-LT"/>
        </w:rPr>
        <w:t>nedelsdami</w:t>
      </w:r>
      <w:r w:rsidRPr="00D319AD">
        <w:rPr>
          <w:lang w:val="lt-LT"/>
        </w:rPr>
        <w:t xml:space="preserve"> kreipkitės į gydytoją arba </w:t>
      </w:r>
      <w:r>
        <w:rPr>
          <w:lang w:val="lt-LT"/>
        </w:rPr>
        <w:t xml:space="preserve">į </w:t>
      </w:r>
      <w:r w:rsidRPr="00D319AD">
        <w:rPr>
          <w:lang w:val="lt-LT"/>
        </w:rPr>
        <w:t>artimiausi</w:t>
      </w:r>
      <w:r>
        <w:rPr>
          <w:lang w:val="lt-LT"/>
        </w:rPr>
        <w:t>os</w:t>
      </w:r>
      <w:r w:rsidRPr="00D319AD">
        <w:rPr>
          <w:lang w:val="lt-LT"/>
        </w:rPr>
        <w:t xml:space="preserve"> ligonin</w:t>
      </w:r>
      <w:r>
        <w:rPr>
          <w:lang w:val="lt-LT"/>
        </w:rPr>
        <w:t>ės nelaimingų atsitikimų ir skubios pagalbos skyrių</w:t>
      </w:r>
      <w:r w:rsidRPr="00D319AD">
        <w:rPr>
          <w:lang w:val="lt-LT"/>
        </w:rPr>
        <w:t xml:space="preserve">, kad sužinotumėte apie riziką ir </w:t>
      </w:r>
      <w:r>
        <w:rPr>
          <w:lang w:val="lt-LT"/>
        </w:rPr>
        <w:t xml:space="preserve">gautumėte patarimą, </w:t>
      </w:r>
      <w:r w:rsidRPr="00D319AD">
        <w:rPr>
          <w:lang w:val="lt-LT"/>
        </w:rPr>
        <w:t>kokių veiksmų imtis.</w:t>
      </w:r>
      <w:r w:rsidRPr="00AC1BAC">
        <w:rPr>
          <w:lang w:val="lt-LT"/>
        </w:rPr>
        <w:t xml:space="preserve"> </w:t>
      </w:r>
      <w:r w:rsidRPr="00AC1BAC">
        <w:rPr>
          <w:bCs/>
          <w:szCs w:val="22"/>
          <w:lang w:val="lt-LT"/>
        </w:rPr>
        <w:t>Tai būtina dėl to, kad per didelis paracetamolio kiekis gali sukelti sunkų vėlyvą kepenų pažeidimą</w:t>
      </w:r>
      <w:r w:rsidRPr="00AC1BAC">
        <w:rPr>
          <w:lang w:val="lt-LT"/>
        </w:rPr>
        <w:t xml:space="preserve">. </w:t>
      </w:r>
      <w:r>
        <w:rPr>
          <w:lang w:val="lt-LT"/>
        </w:rPr>
        <w:t xml:space="preserve">Darykite tai, </w:t>
      </w:r>
      <w:r>
        <w:rPr>
          <w:bCs/>
          <w:szCs w:val="22"/>
          <w:lang w:val="lt-LT"/>
        </w:rPr>
        <w:t xml:space="preserve">net jei nėra negalavimo ar </w:t>
      </w:r>
      <w:r w:rsidRPr="00AC1BAC">
        <w:rPr>
          <w:bCs/>
          <w:szCs w:val="22"/>
          <w:lang w:val="lt-LT"/>
        </w:rPr>
        <w:t>apsinuodijimo požymių</w:t>
      </w:r>
      <w:r>
        <w:rPr>
          <w:lang w:val="lt-LT"/>
        </w:rPr>
        <w:t xml:space="preserve">, </w:t>
      </w:r>
      <w:r w:rsidRPr="00AC1BAC">
        <w:rPr>
          <w:lang w:val="lt-LT"/>
        </w:rPr>
        <w:t>Jūsų vaikui gali prireikti skubios medicininės pagalbos.</w:t>
      </w:r>
    </w:p>
    <w:p w:rsidR="00525BC3" w:rsidRPr="00AC1BAC" w:rsidRDefault="00525BC3" w:rsidP="00525BC3">
      <w:pPr>
        <w:rPr>
          <w:lang w:val="lt-LT"/>
        </w:rPr>
      </w:pPr>
    </w:p>
    <w:p w:rsidR="00525BC3" w:rsidRPr="00AC1BAC" w:rsidRDefault="00525BC3" w:rsidP="00525BC3">
      <w:pPr>
        <w:spacing w:line="240" w:lineRule="auto"/>
        <w:rPr>
          <w:lang w:val="lt-LT"/>
        </w:rPr>
      </w:pPr>
      <w:r w:rsidRPr="008101B2">
        <w:rPr>
          <w:lang w:val="lt-LT"/>
        </w:rPr>
        <w:t xml:space="preserve">Kiti perdozavimo simptomai gali būti pykinimas, skrandžio skausmas, vėmimas (gali būti </w:t>
      </w:r>
      <w:r>
        <w:rPr>
          <w:lang w:val="lt-LT"/>
        </w:rPr>
        <w:t xml:space="preserve">su </w:t>
      </w:r>
      <w:r w:rsidRPr="008101B2">
        <w:rPr>
          <w:lang w:val="lt-LT"/>
        </w:rPr>
        <w:t>krauj</w:t>
      </w:r>
      <w:r>
        <w:rPr>
          <w:lang w:val="lt-LT"/>
        </w:rPr>
        <w:t>o priemaišomis</w:t>
      </w:r>
      <w:r w:rsidRPr="008101B2">
        <w:rPr>
          <w:lang w:val="lt-LT"/>
        </w:rPr>
        <w:t xml:space="preserve">), kraujavimas iš virškinimo trakto (taip pat žr. 4 dalį žemiau), viduriavimas, galvos skausmas, spengimas ausyse, sumišimas ir </w:t>
      </w:r>
      <w:r>
        <w:rPr>
          <w:lang w:val="lt-LT"/>
        </w:rPr>
        <w:t xml:space="preserve">drebantys </w:t>
      </w:r>
      <w:r w:rsidRPr="008101B2">
        <w:rPr>
          <w:lang w:val="lt-LT"/>
        </w:rPr>
        <w:t>akių judesiai. Taip pat gali pasireikšti susijaudinimas, mieguistumas</w:t>
      </w:r>
      <w:r>
        <w:rPr>
          <w:lang w:val="lt-LT"/>
        </w:rPr>
        <w:t xml:space="preserve"> (somnolencija)</w:t>
      </w:r>
      <w:r w:rsidRPr="008101B2">
        <w:rPr>
          <w:lang w:val="lt-LT"/>
        </w:rPr>
        <w:t>, dezorientacija arba koma. Kartais pacientams pasireiškia traukuliai. Vartojant dideles dozes pasireiškė mieguistumas</w:t>
      </w:r>
      <w:r>
        <w:rPr>
          <w:lang w:val="lt-LT"/>
        </w:rPr>
        <w:t xml:space="preserve"> (somnolencija)</w:t>
      </w:r>
      <w:r w:rsidRPr="008101B2">
        <w:rPr>
          <w:lang w:val="lt-LT"/>
        </w:rPr>
        <w:t>, krūtinės skausmas, širdies plakimas,</w:t>
      </w:r>
      <w:r w:rsidRPr="0086046F">
        <w:rPr>
          <w:lang w:val="lt-LT"/>
        </w:rPr>
        <w:t xml:space="preserve"> </w:t>
      </w:r>
      <w:r>
        <w:rPr>
          <w:lang w:val="lt-LT"/>
        </w:rPr>
        <w:t>perplakimai (palpitacijos)</w:t>
      </w:r>
      <w:r w:rsidRPr="008101B2">
        <w:rPr>
          <w:lang w:val="lt-LT"/>
        </w:rPr>
        <w:t xml:space="preserve">, sąmonės </w:t>
      </w:r>
      <w:r>
        <w:rPr>
          <w:lang w:val="lt-LT"/>
        </w:rPr>
        <w:t>praradimas</w:t>
      </w:r>
      <w:r w:rsidRPr="008101B2">
        <w:rPr>
          <w:lang w:val="lt-LT"/>
        </w:rPr>
        <w:t>, traukuliai (da</w:t>
      </w:r>
      <w:r>
        <w:rPr>
          <w:lang w:val="lt-LT"/>
        </w:rPr>
        <w:t>žniausiai</w:t>
      </w:r>
      <w:r w:rsidRPr="008101B2">
        <w:rPr>
          <w:lang w:val="lt-LT"/>
        </w:rPr>
        <w:t xml:space="preserve"> vaikams), silpnumas ir</w:t>
      </w:r>
      <w:r>
        <w:rPr>
          <w:lang w:val="lt-LT"/>
        </w:rPr>
        <w:t>svaigulys</w:t>
      </w:r>
      <w:r w:rsidRPr="008101B2">
        <w:rPr>
          <w:lang w:val="lt-LT"/>
        </w:rPr>
        <w:t>, kraujas šlapime, mažas kalio kiekis kraujyje, šal</w:t>
      </w:r>
      <w:r>
        <w:rPr>
          <w:lang w:val="lt-LT"/>
        </w:rPr>
        <w:t>to kūno jausmas</w:t>
      </w:r>
      <w:r w:rsidRPr="008101B2">
        <w:rPr>
          <w:lang w:val="lt-LT"/>
        </w:rPr>
        <w:t xml:space="preserve"> ir kvėpavimo sutrikimai. Be to, </w:t>
      </w:r>
      <w:r>
        <w:rPr>
          <w:lang w:val="lt-LT"/>
        </w:rPr>
        <w:t xml:space="preserve">gali prailgėti </w:t>
      </w:r>
      <w:r w:rsidRPr="008101B2">
        <w:rPr>
          <w:lang w:val="lt-LT"/>
        </w:rPr>
        <w:t xml:space="preserve">protrombino laikas/ </w:t>
      </w:r>
      <w:r>
        <w:rPr>
          <w:lang w:val="lt-LT"/>
        </w:rPr>
        <w:t>TNS</w:t>
      </w:r>
      <w:r w:rsidRPr="008101B2">
        <w:rPr>
          <w:lang w:val="lt-LT"/>
        </w:rPr>
        <w:t xml:space="preserve">, </w:t>
      </w:r>
      <w:r>
        <w:rPr>
          <w:lang w:val="lt-LT"/>
        </w:rPr>
        <w:t>galimai</w:t>
      </w:r>
      <w:r w:rsidRPr="008101B2">
        <w:rPr>
          <w:lang w:val="lt-LT"/>
        </w:rPr>
        <w:t xml:space="preserve"> dėl cirkuliuojančių krešėjimo faktorių veikim</w:t>
      </w:r>
      <w:r>
        <w:rPr>
          <w:lang w:val="lt-LT"/>
        </w:rPr>
        <w:t>o sutrikimo</w:t>
      </w:r>
      <w:r w:rsidRPr="008101B2">
        <w:rPr>
          <w:lang w:val="lt-LT"/>
        </w:rPr>
        <w:t>. Gali pasireikšti ūminis inkstų nepakankamumas ir kepenų pažeidimas. Sergantiems astma galimas astmos paūmėjimas. Be to, gali sumažėti kraujospūdis ir su</w:t>
      </w:r>
      <w:r>
        <w:rPr>
          <w:lang w:val="lt-LT"/>
        </w:rPr>
        <w:t>lėtėti</w:t>
      </w:r>
      <w:r w:rsidRPr="008101B2">
        <w:rPr>
          <w:lang w:val="lt-LT"/>
        </w:rPr>
        <w:t xml:space="preserve"> kvėpavimas</w:t>
      </w:r>
      <w:r>
        <w:rPr>
          <w:lang w:val="lt-LT"/>
        </w:rPr>
        <w:t>.</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b/>
          <w:bCs/>
          <w:snapToGrid/>
          <w:szCs w:val="22"/>
          <w:lang w:val="lt-LT"/>
        </w:rPr>
      </w:pPr>
      <w:r w:rsidRPr="00AC1BAC">
        <w:rPr>
          <w:rFonts w:eastAsia="TimesNewRoman,Bold"/>
          <w:b/>
          <w:bCs/>
          <w:snapToGrid/>
          <w:szCs w:val="22"/>
          <w:lang w:val="lt-LT"/>
        </w:rPr>
        <w:t xml:space="preserve">Pamiršus vaikui duoti </w:t>
      </w:r>
      <w:r>
        <w:rPr>
          <w:rFonts w:eastAsia="TimesNewRoman,Bold"/>
          <w:b/>
          <w:bCs/>
          <w:snapToGrid/>
          <w:szCs w:val="22"/>
          <w:lang w:val="lt-LT"/>
        </w:rPr>
        <w:t>Combogesic</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Jei jau beveik laikas vartoti kitą dozę, praleiskite užmirštą dozę ir kitą dozę duokite išgerti įprastu laiku. Kitu atveju dozę duokite išgerti iškart, kai tik prisiminsite, o tada grįžkite prie įprasto suspensijos vartojimo grafiko.</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Negalima vartoti dvigubos dozės norint kompensuoti praleistą dozę.</w:t>
      </w: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Bold"/>
          <w:snapToGrid/>
          <w:szCs w:val="22"/>
          <w:lang w:val="lt-LT"/>
        </w:rPr>
      </w:pPr>
      <w:r w:rsidRPr="00AC1BAC">
        <w:rPr>
          <w:rFonts w:eastAsia="TimesNewRoman,Bold"/>
          <w:snapToGrid/>
          <w:szCs w:val="22"/>
          <w:lang w:val="lt-LT"/>
        </w:rPr>
        <w:t>Jei nesate tikri, ar praleisti dozę, pasitarkite su gydytoju arba vaistininku.</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ind w:left="567" w:hanging="567"/>
        <w:outlineLvl w:val="0"/>
        <w:rPr>
          <w:b/>
          <w:caps/>
          <w:snapToGrid/>
          <w:szCs w:val="22"/>
          <w:lang w:val="lt-LT"/>
        </w:rPr>
      </w:pPr>
      <w:r w:rsidRPr="00AC1BAC">
        <w:rPr>
          <w:b/>
          <w:caps/>
          <w:snapToGrid/>
          <w:szCs w:val="22"/>
          <w:lang w:val="lt-LT"/>
        </w:rPr>
        <w:t>4.</w:t>
      </w:r>
      <w:r w:rsidRPr="00AC1BAC">
        <w:rPr>
          <w:b/>
          <w:caps/>
          <w:snapToGrid/>
          <w:szCs w:val="22"/>
          <w:lang w:val="lt-LT"/>
        </w:rPr>
        <w:tab/>
      </w:r>
      <w:r w:rsidRPr="00AC1BAC">
        <w:rPr>
          <w:b/>
          <w:snapToGrid/>
          <w:szCs w:val="22"/>
          <w:lang w:val="lt-LT"/>
        </w:rPr>
        <w:t>Galimas šalutinis poveikis</w:t>
      </w:r>
    </w:p>
    <w:p w:rsidR="00525BC3" w:rsidRPr="00AC1BAC" w:rsidRDefault="00525BC3" w:rsidP="00525BC3">
      <w:pPr>
        <w:widowControl w:val="0"/>
        <w:tabs>
          <w:tab w:val="clear" w:pos="567"/>
        </w:tabs>
        <w:spacing w:line="240" w:lineRule="auto"/>
        <w:ind w:left="567" w:hanging="567"/>
        <w:rPr>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r w:rsidRPr="00AC1BAC">
        <w:rPr>
          <w:snapToGrid/>
          <w:szCs w:val="22"/>
          <w:lang w:val="lt-LT"/>
        </w:rPr>
        <w:t>Šis vaistas, kaip ir visi kiti, gali sukelti šalutinį poveikį, nors jis pasireiškia ne visiems žmonėms.</w:t>
      </w:r>
    </w:p>
    <w:p w:rsidR="00525BC3" w:rsidRPr="00AC1BAC" w:rsidRDefault="00525BC3" w:rsidP="00525BC3">
      <w:pPr>
        <w:suppressAutoHyphens/>
        <w:rPr>
          <w:snapToGrid/>
          <w:lang w:val="lt-LT"/>
        </w:rPr>
      </w:pPr>
      <w:r w:rsidRPr="00AC1BAC">
        <w:rPr>
          <w:snapToGrid/>
          <w:lang w:val="lt-LT"/>
        </w:rPr>
        <w:t>Jei bet kuris šalutinis poveikis tampa sunkus arba pasireiškia šiame lapelyje nenurodytas šalutinis poveikis, apie tai pasakykite gydytojui arba vaistininkui.</w:t>
      </w:r>
    </w:p>
    <w:p w:rsidR="00525BC3" w:rsidRPr="00AC1BAC" w:rsidRDefault="00525BC3" w:rsidP="00525BC3">
      <w:pPr>
        <w:suppressAutoHyphens/>
        <w:rPr>
          <w:snapToGrid/>
          <w:lang w:val="lt-LT" w:eastAsia="zh-CN"/>
        </w:rPr>
      </w:pPr>
    </w:p>
    <w:p w:rsidR="00525BC3" w:rsidRPr="00AC1BAC" w:rsidRDefault="00525BC3" w:rsidP="00525BC3">
      <w:pPr>
        <w:suppressAutoHyphens/>
        <w:rPr>
          <w:b/>
          <w:snapToGrid/>
          <w:lang w:val="lt-LT" w:eastAsia="zh-CN"/>
        </w:rPr>
      </w:pPr>
      <w:r w:rsidRPr="00AC1BAC">
        <w:rPr>
          <w:b/>
          <w:snapToGrid/>
          <w:lang w:val="lt-LT" w:eastAsia="zh-CN"/>
        </w:rPr>
        <w:t xml:space="preserve">Jei pasireiškia bet kuris toliau paminėtas sunkus šalutinis poveikis, nutraukite </w:t>
      </w:r>
      <w:r>
        <w:rPr>
          <w:b/>
          <w:snapToGrid/>
          <w:lang w:val="lt-LT" w:eastAsia="zh-CN"/>
        </w:rPr>
        <w:t xml:space="preserve">Combogesic </w:t>
      </w:r>
      <w:r w:rsidRPr="00AC1BAC">
        <w:rPr>
          <w:b/>
          <w:snapToGrid/>
          <w:lang w:val="lt-LT" w:eastAsia="zh-CN"/>
        </w:rPr>
        <w:t>vartojimą ir nedelsdami kreipkitės į gydytoją arba vykite į artimiausios ligoninės skubios pagalbos skyrių.</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Pr>
          <w:b/>
          <w:bCs/>
          <w:snapToGrid/>
          <w:lang w:val="lt-LT" w:eastAsia="zh-CN"/>
        </w:rPr>
        <w:t>Ned</w:t>
      </w:r>
      <w:r w:rsidRPr="00AC1BAC">
        <w:rPr>
          <w:b/>
          <w:bCs/>
          <w:snapToGrid/>
          <w:lang w:val="lt-LT" w:eastAsia="zh-CN"/>
        </w:rPr>
        <w:t>ažni šalutinio poveikio reiškiniai (gali pasireikšti rečiau kaip 1 iš 1</w:t>
      </w:r>
      <w:r>
        <w:rPr>
          <w:b/>
          <w:bCs/>
          <w:snapToGrid/>
          <w:lang w:val="lt-LT" w:eastAsia="zh-CN"/>
        </w:rPr>
        <w:t>0</w:t>
      </w:r>
      <w:r w:rsidRPr="00AC1BAC">
        <w:rPr>
          <w:b/>
          <w:bCs/>
          <w:snapToGrid/>
          <w:lang w:val="lt-LT" w:eastAsia="zh-CN"/>
        </w:rPr>
        <w:t>0 asmenų):</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vėmimas krauju arba turiniu, kuris atrodo kaip kavos tirščiai;</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kraujavimas iš išangės, juodos lipnios išmatos arba viduriavimas kraujingu turiniu;</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veido, lūpų ar liežuvio patinimas, dėl kurio gali pasunkėti rijimas arba kvėpavimas.</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sidRPr="00AC1BAC">
        <w:rPr>
          <w:b/>
          <w:bCs/>
          <w:snapToGrid/>
          <w:lang w:val="lt-LT" w:eastAsia="zh-CN"/>
        </w:rPr>
        <w:t>Reti šalutinio poveikio reiškiniai (gali pasireikšti rečiau kaip 1 iš 1 000 asmenų):</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dilgėlinė.</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sidRPr="00AC1BAC">
        <w:rPr>
          <w:b/>
          <w:bCs/>
          <w:snapToGrid/>
          <w:lang w:val="lt-LT" w:eastAsia="zh-CN"/>
        </w:rPr>
        <w:t>Labai reti šalutinio poveikio reiškiniai (gali pasireikšti rečiau kaip 1 iš 10 000 asmenų):</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astma, švokštimas, dusulys;</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staiga atsiradęs arba stiprus niežulys, odos išbėrimas;</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sunkus išbėrimas su pūslėmis ir kraujavimu lūpose, akyse, burnoje, nosyje ir lytiniuose organuose (Stivenso-Džonsono sindromas). Gauta pranešimų apie labai retus sunkių odos reakcijų atvejus;</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esamų sunkių odos infekcijų pasunkėjimas (galite pastebėti išbėrimą, pūslių susidarymą ir odos spalvos pasikeitimą, karščiavimą, mieguistumą, viduriavimą ir pykinimą) arba kitų infekcijų, įskaitant vėjaraupius ar juostinę pūslelinę, pasunkėjimas, sunki infekcija su poodinių audinių ir raumenų suirimu (nekroze), odos pūslių susidarymas ir lupimasis;</w:t>
      </w:r>
    </w:p>
    <w:p w:rsidR="00525BC3"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karščiavimas</w:t>
      </w:r>
      <w:r>
        <w:rPr>
          <w:snapToGrid/>
          <w:lang w:val="lt-LT" w:eastAsia="zh-CN"/>
        </w:rPr>
        <w:t>;</w:t>
      </w:r>
    </w:p>
    <w:p w:rsidR="00525BC3"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bloga bendroji savijauta</w:t>
      </w:r>
      <w:r>
        <w:rPr>
          <w:snapToGrid/>
          <w:lang w:val="lt-LT" w:eastAsia="zh-CN"/>
        </w:rPr>
        <w:t>;</w:t>
      </w:r>
    </w:p>
    <w:p w:rsidR="00525BC3" w:rsidRPr="00AC1BAC" w:rsidRDefault="00525BC3" w:rsidP="00525BC3">
      <w:pPr>
        <w:numPr>
          <w:ilvl w:val="0"/>
          <w:numId w:val="9"/>
        </w:numPr>
        <w:tabs>
          <w:tab w:val="clear" w:pos="567"/>
        </w:tabs>
        <w:suppressAutoHyphens/>
        <w:spacing w:line="240" w:lineRule="auto"/>
        <w:ind w:left="567" w:right="-2" w:hanging="567"/>
        <w:jc w:val="both"/>
        <w:rPr>
          <w:snapToGrid/>
          <w:lang w:val="lt-LT" w:eastAsia="zh-CN"/>
        </w:rPr>
      </w:pPr>
      <w:r w:rsidRPr="00AC1BAC">
        <w:rPr>
          <w:snapToGrid/>
          <w:lang w:val="lt-LT" w:eastAsia="zh-CN"/>
        </w:rPr>
        <w:t>kaklo stingulys.</w:t>
      </w:r>
    </w:p>
    <w:p w:rsidR="00525BC3" w:rsidRPr="00AC1BAC" w:rsidRDefault="00525BC3" w:rsidP="00525BC3">
      <w:pPr>
        <w:suppressAutoHyphens/>
        <w:rPr>
          <w:snapToGrid/>
          <w:lang w:val="lt-LT" w:eastAsia="zh-CN"/>
        </w:rPr>
      </w:pPr>
    </w:p>
    <w:p w:rsidR="00525BC3" w:rsidRPr="00AC1BAC" w:rsidRDefault="00525BC3" w:rsidP="00525BC3">
      <w:pPr>
        <w:keepNext/>
        <w:keepLines/>
        <w:suppressAutoHyphens/>
        <w:rPr>
          <w:b/>
          <w:snapToGrid/>
          <w:lang w:val="lt-LT" w:eastAsia="zh-CN"/>
        </w:rPr>
      </w:pPr>
      <w:r w:rsidRPr="00AC1BAC">
        <w:rPr>
          <w:b/>
          <w:snapToGrid/>
          <w:lang w:val="lt-LT" w:eastAsia="zh-CN"/>
        </w:rPr>
        <w:t>Kitoks galimas šalutinis poveikis</w:t>
      </w:r>
    </w:p>
    <w:p w:rsidR="00525BC3" w:rsidRPr="00AC1BAC" w:rsidRDefault="00525BC3" w:rsidP="00525BC3">
      <w:pPr>
        <w:keepNext/>
        <w:keepLines/>
        <w:suppressAutoHyphens/>
        <w:rPr>
          <w:snapToGrid/>
          <w:lang w:val="lt-LT" w:eastAsia="zh-CN"/>
        </w:rPr>
      </w:pPr>
    </w:p>
    <w:p w:rsidR="00525BC3" w:rsidRPr="00AC1BAC" w:rsidRDefault="00525BC3" w:rsidP="00525BC3">
      <w:pPr>
        <w:keepNext/>
        <w:keepLines/>
        <w:suppressAutoHyphens/>
        <w:rPr>
          <w:b/>
          <w:bCs/>
          <w:i/>
          <w:snapToGrid/>
          <w:lang w:val="lt-LT" w:eastAsia="zh-CN"/>
        </w:rPr>
      </w:pPr>
      <w:r w:rsidRPr="00AC1BAC">
        <w:rPr>
          <w:b/>
          <w:bCs/>
          <w:snapToGrid/>
          <w:lang w:val="lt-LT" w:eastAsia="zh-CN"/>
        </w:rPr>
        <w:t>Dažni šalutinio poveikio reiškiniai (gali pasireikšti rečiau kaip 1 iš 10 asmenų):</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pykinimas arba vėmimas;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apetito praradimas;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rėmuo ar skausmas viršutinėje pilvo dalyje;</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mėšlungis, dujų kaupimasis žarnyne, vidurių užkietėjimas ar viduriavimas, nedidelis kraujo netekimas iš virškinimo trakto;</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odos išbėrimas, odos niežulys;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galvos skausmas;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svaigulys;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nervingumo jausmas;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spengimas ar zvimbimas ausyse;</w:t>
      </w:r>
    </w:p>
    <w:p w:rsidR="00525BC3"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neįprastas kūno svorio padidėjimas, patinimas ir skysčių susilaikymas, kulkšnių ar kojų patinimas (edema)</w:t>
      </w:r>
      <w:r>
        <w:rPr>
          <w:snapToGrid/>
          <w:lang w:val="lt-LT" w:eastAsia="zh-CN"/>
        </w:rPr>
        <w:t>;</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BA7152">
        <w:rPr>
          <w:snapToGrid/>
          <w:lang w:val="lt-LT" w:eastAsia="zh-CN"/>
        </w:rPr>
        <w:t>alanin</w:t>
      </w:r>
      <w:r>
        <w:rPr>
          <w:snapToGrid/>
          <w:lang w:val="lt-LT" w:eastAsia="zh-CN"/>
        </w:rPr>
        <w:t>o</w:t>
      </w:r>
      <w:r w:rsidRPr="00BA7152">
        <w:rPr>
          <w:snapToGrid/>
          <w:lang w:val="lt-LT" w:eastAsia="zh-CN"/>
        </w:rPr>
        <w:t xml:space="preserve"> </w:t>
      </w:r>
      <w:r>
        <w:rPr>
          <w:snapToGrid/>
          <w:lang w:val="lt-LT" w:eastAsia="zh-CN"/>
        </w:rPr>
        <w:t>aminotransferazės aktyvumo padidėjimas</w:t>
      </w:r>
      <w:r w:rsidRPr="00BA7152">
        <w:rPr>
          <w:snapToGrid/>
          <w:lang w:val="lt-LT" w:eastAsia="zh-CN"/>
        </w:rPr>
        <w:t>, gama</w:t>
      </w:r>
      <w:r>
        <w:rPr>
          <w:snapToGrid/>
          <w:lang w:val="lt-LT" w:eastAsia="zh-CN"/>
        </w:rPr>
        <w:t xml:space="preserve"> </w:t>
      </w:r>
      <w:r w:rsidRPr="00AC1BAC">
        <w:rPr>
          <w:color w:val="000000"/>
          <w:szCs w:val="22"/>
          <w:lang w:val="lt-LT"/>
        </w:rPr>
        <w:t xml:space="preserve">glutamiltransferazės </w:t>
      </w:r>
      <w:r>
        <w:rPr>
          <w:snapToGrid/>
          <w:lang w:val="lt-LT" w:eastAsia="zh-CN"/>
        </w:rPr>
        <w:t>aktyvumo padidėjimas ir nenormalūs kepenų funkcijos tyrimų rodmenys vartojant</w:t>
      </w:r>
      <w:r w:rsidRPr="00BA7152">
        <w:rPr>
          <w:snapToGrid/>
          <w:lang w:val="lt-LT" w:eastAsia="zh-CN"/>
        </w:rPr>
        <w:t xml:space="preserve"> paracetamol</w:t>
      </w:r>
      <w:r>
        <w:rPr>
          <w:snapToGrid/>
          <w:lang w:val="lt-LT" w:eastAsia="zh-CN"/>
        </w:rPr>
        <w:t>io</w:t>
      </w:r>
      <w:r w:rsidRPr="00BA7152">
        <w:rPr>
          <w:snapToGrid/>
          <w:lang w:val="lt-LT" w:eastAsia="zh-CN"/>
        </w:rPr>
        <w:t xml:space="preserve">, </w:t>
      </w:r>
      <w:r>
        <w:rPr>
          <w:snapToGrid/>
          <w:lang w:val="lt-LT" w:eastAsia="zh-CN"/>
        </w:rPr>
        <w:t>kreatinino kiekio padidėjimas kraujyje ir šlapalo kiekio padidėjimas kraujyje</w:t>
      </w:r>
      <w:r w:rsidRPr="00AC1BAC">
        <w:rPr>
          <w:snapToGrid/>
          <w:lang w:val="lt-LT" w:eastAsia="zh-CN"/>
        </w:rPr>
        <w:t>.</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sidRPr="00AC1BAC">
        <w:rPr>
          <w:b/>
          <w:bCs/>
          <w:snapToGrid/>
          <w:lang w:val="lt-LT" w:eastAsia="zh-CN"/>
        </w:rPr>
        <w:t>Nedažni šalutinio poveikio reiškiniai (gali pasireikšti rečiau kaip 1 iš 100 asmenų):</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raudonųjų kraujo ląstelių kiekio sumažėjimas, kraujavimas iš nosies ir sunkesnės mėnesinės (menstruacinis kraujavimas);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lastRenderedPageBreak/>
        <w:t xml:space="preserve">alerginės reakcijos – odos išbėrimas, nuovargis, sąnarių skausmas (pvz., seruminė liga, raudonosios vilkligės sindromas, </w:t>
      </w:r>
      <w:r w:rsidRPr="00AC1BAC">
        <w:rPr>
          <w:i/>
          <w:iCs/>
          <w:snapToGrid/>
          <w:lang w:val="lt-LT" w:eastAsia="zh-CN"/>
        </w:rPr>
        <w:t>Henoch-Schönlein</w:t>
      </w:r>
      <w:r w:rsidRPr="00AC1BAC">
        <w:rPr>
          <w:snapToGrid/>
          <w:lang w:val="lt-LT" w:eastAsia="zh-CN"/>
        </w:rPr>
        <w:t xml:space="preserve"> vaskulitas, angioneurozinė edema);</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krūtų audinio padidėjimas vyrams; mažas cukraus kiekis kraujyje;</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nemiga;</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nuotaikos pokyčiai, pvz., depresija, minčių susipainiojimas;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akių sutrikimai, pvz., matomo vaizdo neryškumas (grįžtamas), akių paraudimas, niežulys;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sutirštėjusios gleivės;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švokštimas dėl sutrikusio oro srauto vaikams tonzilektomijos operacijos metu;</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mažas deguonies kiekis kraujyje;</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stiprus pilvo skausmas arba jautrumas; pepsinė / virškinimo trakto opa;</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žarnyno uždegimas ir storosios žarnos uždegimo (kolito) bei virškinimo trakto uždegimo (Krono ligos) pasunkėjimas ir storosios žarnos divertikulų komplikacijos (prakiurimas arba fistulė);</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negebėjimas visiškai ištuštinti šlapimo pūslės (šlapimo susilaikymas);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nenormalūs laboratorinių tyrimų rezultatai (kraujo, kepenų ir inkstų fermentų tyrimų rezultatai);</w:t>
      </w:r>
    </w:p>
    <w:p w:rsidR="00525BC3"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pooperacinis kraujavimas po tonzilektomijos operacijos</w:t>
      </w:r>
      <w:r>
        <w:rPr>
          <w:snapToGrid/>
          <w:lang w:val="lt-LT" w:eastAsia="zh-CN"/>
        </w:rPr>
        <w:t>;</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Pr>
          <w:snapToGrid/>
          <w:lang w:val="lt-LT" w:eastAsia="zh-CN"/>
        </w:rPr>
        <w:t>opinis stomatitas</w:t>
      </w:r>
      <w:r w:rsidRPr="00AC1BAC">
        <w:rPr>
          <w:snapToGrid/>
          <w:lang w:val="lt-LT" w:eastAsia="zh-CN"/>
        </w:rPr>
        <w:t>.</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sidRPr="00AC1BAC">
        <w:rPr>
          <w:b/>
          <w:bCs/>
          <w:snapToGrid/>
          <w:lang w:val="lt-LT" w:eastAsia="zh-CN"/>
        </w:rPr>
        <w:t>Reti šalutinio poveikio reiškiniai (gali pasireikšti rečiau kaip 1 iš 1 000 asmenų):</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plaštakų ir pėdų dilgčiojimas;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nenormalūs sapnai, daiktų matymas (haliucinacijos);</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inkstų audinio pažeidimas (ypač vartojant ilgai);</w:t>
      </w:r>
    </w:p>
    <w:p w:rsidR="00525BC3" w:rsidRPr="00AC1BAC" w:rsidRDefault="00525BC3" w:rsidP="00525BC3">
      <w:pPr>
        <w:numPr>
          <w:ilvl w:val="0"/>
          <w:numId w:val="10"/>
        </w:numPr>
        <w:tabs>
          <w:tab w:val="clear" w:pos="567"/>
        </w:tabs>
        <w:suppressAutoHyphens/>
        <w:spacing w:line="240" w:lineRule="auto"/>
        <w:ind w:left="567" w:right="-2" w:hanging="567"/>
        <w:jc w:val="both"/>
        <w:rPr>
          <w:snapToGrid/>
          <w:lang w:val="lt-LT" w:eastAsia="zh-CN"/>
        </w:rPr>
      </w:pPr>
      <w:r w:rsidRPr="00AC1BAC">
        <w:rPr>
          <w:snapToGrid/>
          <w:lang w:val="lt-LT" w:eastAsia="zh-CN"/>
        </w:rPr>
        <w:t>didelis šlapimo rūgšties kiekis kraujyje (hiperurikemija).</w:t>
      </w:r>
    </w:p>
    <w:p w:rsidR="00525BC3" w:rsidRPr="00AC1BAC" w:rsidRDefault="00525BC3" w:rsidP="00525BC3">
      <w:pPr>
        <w:suppressAutoHyphens/>
        <w:rPr>
          <w:snapToGrid/>
          <w:lang w:val="lt-LT" w:eastAsia="zh-CN"/>
        </w:rPr>
      </w:pPr>
    </w:p>
    <w:p w:rsidR="00525BC3" w:rsidRPr="00AC1BAC" w:rsidRDefault="00525BC3" w:rsidP="00525BC3">
      <w:pPr>
        <w:suppressAutoHyphens/>
        <w:rPr>
          <w:b/>
          <w:bCs/>
          <w:snapToGrid/>
          <w:lang w:val="lt-LT" w:eastAsia="zh-CN"/>
        </w:rPr>
      </w:pPr>
      <w:r w:rsidRPr="00AC1BAC">
        <w:rPr>
          <w:b/>
          <w:bCs/>
          <w:snapToGrid/>
          <w:lang w:val="lt-LT" w:eastAsia="zh-CN"/>
        </w:rPr>
        <w:t>Labai reti šalutinio poveikio reiškiniai (gali pasireikšti rečiau kaip 1 iš 10 000 asmenų):</w:t>
      </w:r>
    </w:p>
    <w:p w:rsidR="00525BC3" w:rsidRPr="00AC1BAC" w:rsidRDefault="00525BC3" w:rsidP="00525BC3">
      <w:pPr>
        <w:numPr>
          <w:ilvl w:val="0"/>
          <w:numId w:val="11"/>
        </w:numPr>
        <w:tabs>
          <w:tab w:val="clear" w:pos="567"/>
        </w:tabs>
        <w:suppressAutoHyphens/>
        <w:spacing w:line="240" w:lineRule="auto"/>
        <w:ind w:left="567" w:right="-2" w:hanging="567"/>
        <w:jc w:val="both"/>
        <w:rPr>
          <w:snapToGrid/>
          <w:lang w:val="lt-LT" w:eastAsia="zh-CN"/>
        </w:rPr>
      </w:pPr>
      <w:r w:rsidRPr="00AC1BAC">
        <w:rPr>
          <w:snapToGrid/>
          <w:lang w:val="lt-LT" w:eastAsia="zh-CN"/>
        </w:rPr>
        <w:t>mažas kalio kiekis – silpnumas, nuovargis, raumenų mėšlungis (hipokalemija);</w:t>
      </w:r>
    </w:p>
    <w:p w:rsidR="00525BC3" w:rsidRPr="00AC1BAC" w:rsidRDefault="00525BC3" w:rsidP="00525BC3">
      <w:pPr>
        <w:numPr>
          <w:ilvl w:val="0"/>
          <w:numId w:val="11"/>
        </w:numPr>
        <w:tabs>
          <w:tab w:val="clear" w:pos="567"/>
        </w:tabs>
        <w:suppressAutoHyphens/>
        <w:spacing w:line="240" w:lineRule="auto"/>
        <w:ind w:left="567" w:right="-2" w:hanging="567"/>
        <w:jc w:val="both"/>
        <w:rPr>
          <w:snapToGrid/>
          <w:lang w:val="lt-LT" w:eastAsia="zh-CN"/>
        </w:rPr>
      </w:pPr>
      <w:r w:rsidRPr="00AC1BAC">
        <w:rPr>
          <w:snapToGrid/>
          <w:lang w:val="lt-LT" w:eastAsia="zh-CN"/>
        </w:rPr>
        <w:t>mažakraujystės požymiai, tokie kaip nuovargis, galvos skausmas, dusulys ir išblyškimas;</w:t>
      </w:r>
    </w:p>
    <w:p w:rsidR="00525BC3" w:rsidRPr="00AC1BAC" w:rsidRDefault="00525BC3" w:rsidP="00525BC3">
      <w:pPr>
        <w:numPr>
          <w:ilvl w:val="0"/>
          <w:numId w:val="11"/>
        </w:numPr>
        <w:tabs>
          <w:tab w:val="clear" w:pos="567"/>
        </w:tabs>
        <w:suppressAutoHyphens/>
        <w:spacing w:line="240" w:lineRule="auto"/>
        <w:ind w:left="567" w:right="-2" w:hanging="567"/>
        <w:jc w:val="both"/>
        <w:rPr>
          <w:snapToGrid/>
          <w:lang w:val="lt-LT" w:eastAsia="zh-CN"/>
        </w:rPr>
      </w:pPr>
      <w:r w:rsidRPr="00AC1BAC">
        <w:rPr>
          <w:snapToGrid/>
          <w:lang w:val="lt-LT" w:eastAsia="zh-CN"/>
        </w:rPr>
        <w:t>lengviau nei įprastai prasidedantis kraujavimas arba mėlynių susidarymas, rausvos arba purpurinės dėmės po oda;</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stiprus arba išliekantis galvos skausmas;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sukimosi pojūtis (</w:t>
      </w:r>
      <w:r w:rsidRPr="00AC1BAC">
        <w:rPr>
          <w:i/>
          <w:iCs/>
          <w:snapToGrid/>
          <w:lang w:val="lt-LT" w:eastAsia="zh-CN"/>
        </w:rPr>
        <w:t>vertigo</w:t>
      </w:r>
      <w:r w:rsidRPr="00AC1BAC">
        <w:rPr>
          <w:snapToGrid/>
          <w:lang w:val="lt-LT" w:eastAsia="zh-CN"/>
        </w:rPr>
        <w:t>);</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dažnas arba neritmiškas širdies plakimas, dar vadinamas palpitacijomis;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kraujospūdžio padidėjimas ir galimi širdies sutrikimai;</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stemplės uždegimas;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odos ir (arba) akių pageltimas, dar vadinamas gelta;</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kepenų pažeidimas (ypač vartojant ilgai);</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plaukų slinkimas;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padidėjęs prakaitavimas;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dažnų ar nerimą keliančių infekcijų požymiai, pvz., karščiavimas, stiprus šaltkrėtis, gerklės skausmas ar burnos opos;</w:t>
      </w:r>
    </w:p>
    <w:p w:rsidR="00525BC3" w:rsidRDefault="00525BC3" w:rsidP="00525BC3">
      <w:pPr>
        <w:numPr>
          <w:ilvl w:val="0"/>
          <w:numId w:val="11"/>
        </w:numPr>
        <w:suppressAutoHyphens/>
        <w:ind w:left="567" w:hanging="567"/>
        <w:rPr>
          <w:snapToGrid/>
          <w:lang w:val="lt-LT" w:eastAsia="zh-CN"/>
        </w:rPr>
      </w:pPr>
      <w:r w:rsidRPr="00AC1BAC">
        <w:rPr>
          <w:snapToGrid/>
          <w:lang w:val="lt-LT" w:eastAsia="zh-CN"/>
        </w:rPr>
        <w:t>drumstas šlapimas</w:t>
      </w:r>
      <w:r>
        <w:rPr>
          <w:snapToGrid/>
          <w:lang w:val="lt-LT" w:eastAsia="zh-CN"/>
        </w:rPr>
        <w:t>;</w:t>
      </w:r>
    </w:p>
    <w:p w:rsidR="00525BC3" w:rsidRDefault="00525BC3" w:rsidP="00525BC3">
      <w:pPr>
        <w:numPr>
          <w:ilvl w:val="0"/>
          <w:numId w:val="11"/>
        </w:numPr>
        <w:suppressAutoHyphens/>
        <w:ind w:left="567" w:hanging="567"/>
        <w:rPr>
          <w:snapToGrid/>
          <w:lang w:val="lt-LT" w:eastAsia="zh-CN"/>
        </w:rPr>
      </w:pPr>
      <w:r w:rsidRPr="00B95480">
        <w:rPr>
          <w:snapToGrid/>
          <w:lang w:val="lt-LT" w:eastAsia="zh-CN"/>
        </w:rPr>
        <w:t>odos jautrumas šviesai</w:t>
      </w:r>
      <w:r>
        <w:rPr>
          <w:snapToGrid/>
          <w:lang w:val="lt-LT" w:eastAsia="zh-CN"/>
        </w:rPr>
        <w:t>;</w:t>
      </w:r>
    </w:p>
    <w:p w:rsidR="00525BC3" w:rsidRPr="0057470B" w:rsidRDefault="00525BC3" w:rsidP="00525BC3">
      <w:pPr>
        <w:numPr>
          <w:ilvl w:val="0"/>
          <w:numId w:val="11"/>
        </w:numPr>
        <w:suppressAutoHyphens/>
        <w:ind w:left="567" w:hanging="567"/>
        <w:rPr>
          <w:snapToGrid/>
          <w:lang w:val="lt-LT" w:eastAsia="zh-CN"/>
        </w:rPr>
      </w:pPr>
      <w:r>
        <w:rPr>
          <w:snapToGrid/>
          <w:lang w:val="lt-LT" w:eastAsia="zh-CN"/>
        </w:rPr>
        <w:t>priešingas nei tikėtinas vaisto poveikis</w:t>
      </w:r>
      <w:r w:rsidRPr="0057470B">
        <w:rPr>
          <w:snapToGrid/>
          <w:lang w:val="lt-LT" w:eastAsia="zh-CN"/>
        </w:rPr>
        <w:t xml:space="preserve">, </w:t>
      </w:r>
      <w:r>
        <w:rPr>
          <w:snapToGrid/>
          <w:lang w:val="lt-LT" w:eastAsia="zh-CN"/>
        </w:rPr>
        <w:t>skausmingi akių judesiai ar laikinas regos pablogėjimas</w:t>
      </w:r>
      <w:r w:rsidRPr="0057470B">
        <w:rPr>
          <w:snapToGrid/>
          <w:lang w:val="lt-LT" w:eastAsia="zh-CN"/>
        </w:rPr>
        <w:t xml:space="preserve">, </w:t>
      </w:r>
      <w:r>
        <w:rPr>
          <w:snapToGrid/>
          <w:lang w:val="lt-LT" w:eastAsia="zh-CN"/>
        </w:rPr>
        <w:t>sutrikę ar nevalingi judesiai</w:t>
      </w:r>
      <w:r w:rsidRPr="0057470B">
        <w:rPr>
          <w:snapToGrid/>
          <w:lang w:val="lt-LT" w:eastAsia="zh-CN"/>
        </w:rPr>
        <w:t xml:space="preserve">, </w:t>
      </w:r>
      <w:r>
        <w:rPr>
          <w:snapToGrid/>
          <w:lang w:val="lt-LT" w:eastAsia="zh-CN"/>
        </w:rPr>
        <w:t>drebulys ar traukuliai;</w:t>
      </w:r>
    </w:p>
    <w:p w:rsidR="00525BC3" w:rsidRDefault="00525BC3" w:rsidP="00525BC3">
      <w:pPr>
        <w:numPr>
          <w:ilvl w:val="0"/>
          <w:numId w:val="11"/>
        </w:numPr>
        <w:suppressAutoHyphens/>
        <w:ind w:left="567" w:hanging="567"/>
        <w:rPr>
          <w:snapToGrid/>
          <w:lang w:val="lt-LT" w:eastAsia="zh-CN"/>
        </w:rPr>
      </w:pPr>
      <w:r>
        <w:rPr>
          <w:snapToGrid/>
          <w:lang w:val="lt-LT" w:eastAsia="zh-CN"/>
        </w:rPr>
        <w:t>pilvo skausmas</w:t>
      </w:r>
      <w:r w:rsidRPr="0057470B">
        <w:rPr>
          <w:snapToGrid/>
          <w:lang w:val="lt-LT" w:eastAsia="zh-CN"/>
        </w:rPr>
        <w:t xml:space="preserve">, </w:t>
      </w:r>
      <w:r>
        <w:rPr>
          <w:snapToGrid/>
          <w:lang w:val="lt-LT" w:eastAsia="zh-CN"/>
        </w:rPr>
        <w:t>vidurių pūtimas ar negebėjimas išleisti dujas ar pasituštinti;</w:t>
      </w:r>
    </w:p>
    <w:p w:rsidR="00525BC3" w:rsidRPr="00AC1BAC" w:rsidRDefault="00525BC3" w:rsidP="00525BC3">
      <w:pPr>
        <w:numPr>
          <w:ilvl w:val="0"/>
          <w:numId w:val="11"/>
        </w:numPr>
        <w:suppressAutoHyphens/>
        <w:ind w:left="567" w:hanging="567"/>
        <w:rPr>
          <w:snapToGrid/>
          <w:lang w:val="lt-LT" w:eastAsia="zh-CN"/>
        </w:rPr>
      </w:pPr>
      <w:r>
        <w:rPr>
          <w:snapToGrid/>
          <w:lang w:val="lt-LT" w:eastAsia="zh-CN"/>
        </w:rPr>
        <w:t>išbėrimas raudonomis ar violetinėmis dėmėmis</w:t>
      </w:r>
      <w:r w:rsidRPr="00AC1BAC">
        <w:rPr>
          <w:snapToGrid/>
          <w:lang w:val="lt-LT" w:eastAsia="zh-CN"/>
        </w:rPr>
        <w:t>.</w:t>
      </w:r>
    </w:p>
    <w:p w:rsidR="00525BC3" w:rsidRPr="00AC1BAC" w:rsidRDefault="00525BC3" w:rsidP="00525BC3">
      <w:pPr>
        <w:suppressAutoHyphens/>
        <w:rPr>
          <w:bCs/>
          <w:snapToGrid/>
          <w:lang w:val="lt-LT" w:eastAsia="zh-CN"/>
        </w:rPr>
      </w:pPr>
    </w:p>
    <w:p w:rsidR="00525BC3" w:rsidRPr="00AC1BAC" w:rsidRDefault="00525BC3" w:rsidP="00525BC3">
      <w:pPr>
        <w:suppressAutoHyphens/>
        <w:rPr>
          <w:b/>
          <w:snapToGrid/>
          <w:lang w:val="lt-LT" w:eastAsia="zh-CN"/>
        </w:rPr>
      </w:pPr>
      <w:r w:rsidRPr="00AC1BAC">
        <w:rPr>
          <w:b/>
          <w:snapToGrid/>
          <w:lang w:val="lt-LT" w:eastAsia="zh-CN"/>
        </w:rPr>
        <w:t>Šalutinio poveikio reiškiniai, kurių dažnis nežinomas (negali būti apskaičiuotas pagal turimus duomenis):</w:t>
      </w:r>
    </w:p>
    <w:p w:rsidR="00525BC3" w:rsidRPr="00AC1BAC" w:rsidRDefault="00525BC3" w:rsidP="00525BC3">
      <w:pPr>
        <w:numPr>
          <w:ilvl w:val="0"/>
          <w:numId w:val="11"/>
        </w:numPr>
        <w:suppressAutoHyphens/>
        <w:ind w:left="567" w:hanging="567"/>
        <w:rPr>
          <w:snapToGrid/>
          <w:lang w:val="lt-LT" w:eastAsia="zh-CN"/>
        </w:rPr>
      </w:pPr>
      <w:r w:rsidRPr="00AC1BAC">
        <w:rPr>
          <w:snapToGrid/>
          <w:lang w:val="lt-LT" w:eastAsia="zh-CN"/>
        </w:rPr>
        <w:t>sunki odos reakcija, vadinama DRESS sindromu. DRESS simptomai yra: odos išbėrimas, karščiavimas, limfmazgių patinimas ir eozinofilų (tam tikros rūšies baltųjų kraujo ląstelių) kiekio padidėjimas;</w:t>
      </w:r>
    </w:p>
    <w:p w:rsidR="00525BC3" w:rsidRDefault="00525BC3" w:rsidP="00525BC3">
      <w:pPr>
        <w:numPr>
          <w:ilvl w:val="0"/>
          <w:numId w:val="11"/>
        </w:numPr>
        <w:suppressAutoHyphens/>
        <w:ind w:left="567" w:hanging="567"/>
        <w:rPr>
          <w:snapToGrid/>
          <w:lang w:val="lt-LT" w:eastAsia="zh-CN"/>
        </w:rPr>
      </w:pPr>
      <w:r w:rsidRPr="00AC1BAC">
        <w:rPr>
          <w:snapToGrid/>
          <w:lang w:val="lt-LT" w:eastAsia="zh-CN"/>
        </w:rPr>
        <w:t xml:space="preserve">raudonas, žvynuotas išplitęs bėrimas su gumbeliais po oda ir pūslelėmis, daugiausia pasireiškiantis odos raukšlėse, liemens srityje ir rankose, kartu su karščiavimu gydymo pradžioje (ūminė generalizuota egzanteminė pustuliozė). Jei pasireiškė šie simptomai, </w:t>
      </w:r>
      <w:r w:rsidRPr="00AC1BAC">
        <w:rPr>
          <w:snapToGrid/>
          <w:lang w:val="lt-LT" w:eastAsia="zh-CN"/>
        </w:rPr>
        <w:lastRenderedPageBreak/>
        <w:t xml:space="preserve">nutraukite </w:t>
      </w:r>
      <w:r>
        <w:rPr>
          <w:snapToGrid/>
          <w:lang w:val="lt-LT" w:eastAsia="zh-CN"/>
        </w:rPr>
        <w:t xml:space="preserve">Combogesic </w:t>
      </w:r>
      <w:r w:rsidRPr="00AC1BAC">
        <w:rPr>
          <w:snapToGrid/>
          <w:lang w:val="lt-LT" w:eastAsia="zh-CN"/>
        </w:rPr>
        <w:t>vartojimą ir nedelsdami kreipkitės medicininės pagalbos. Taip pat žr. 2 skyrių</w:t>
      </w:r>
      <w:r>
        <w:rPr>
          <w:snapToGrid/>
          <w:lang w:val="lt-LT" w:eastAsia="zh-CN"/>
        </w:rPr>
        <w:t>;</w:t>
      </w:r>
    </w:p>
    <w:p w:rsidR="00525BC3" w:rsidRPr="00B95480" w:rsidRDefault="00525BC3" w:rsidP="00525BC3">
      <w:pPr>
        <w:numPr>
          <w:ilvl w:val="0"/>
          <w:numId w:val="11"/>
        </w:numPr>
        <w:suppressAutoHyphens/>
        <w:ind w:left="567" w:hanging="567"/>
        <w:rPr>
          <w:snapToGrid/>
          <w:lang w:val="lt-LT" w:eastAsia="zh-CN"/>
        </w:rPr>
      </w:pPr>
      <w:r w:rsidRPr="0086046F">
        <w:rPr>
          <w:snapToGrid/>
          <w:lang w:val="lt-LT" w:eastAsia="zh-CN"/>
        </w:rPr>
        <w:t>sunkus sutrikimas, dėl kurio gali padidėti kraujo rūgštingumas (vadinamas metaboline acidoze) sunkia liga sergantiems pacientams, vartojantiems paracetamolį (žr. 2 skyrių).</w:t>
      </w:r>
    </w:p>
    <w:p w:rsidR="00525BC3" w:rsidRPr="00AC1BAC" w:rsidRDefault="00525BC3" w:rsidP="00525BC3">
      <w:pPr>
        <w:suppressAutoHyphens/>
        <w:rPr>
          <w:snapToGrid/>
          <w:lang w:val="lt-LT" w:eastAsia="zh-CN"/>
        </w:rPr>
      </w:pPr>
    </w:p>
    <w:p w:rsidR="00525BC3" w:rsidRPr="00AC1BAC" w:rsidRDefault="00525BC3" w:rsidP="00525BC3">
      <w:pPr>
        <w:suppressAutoHyphens/>
        <w:rPr>
          <w:b/>
          <w:snapToGrid/>
          <w:lang w:val="lt-LT" w:eastAsia="zh-CN"/>
        </w:rPr>
      </w:pPr>
      <w:r w:rsidRPr="00AC1BAC">
        <w:rPr>
          <w:snapToGrid/>
          <w:lang w:val="lt-LT" w:eastAsia="zh-CN"/>
        </w:rPr>
        <w:t>Aukščiau pateiktame sąraše yra paminėtas sunkus šalutinis poveikis, dėl kurio gali prireikti medicininės pagalbos. Sunkus šalutinis poveikis retai pasireiškia vartojant mažas šio vaisto dozes ir vartojant trumpą laiką.</w:t>
      </w:r>
    </w:p>
    <w:p w:rsidR="00525BC3" w:rsidRPr="00AC1BAC" w:rsidRDefault="00525BC3" w:rsidP="00525BC3">
      <w:pPr>
        <w:widowControl w:val="0"/>
        <w:tabs>
          <w:tab w:val="clear" w:pos="567"/>
        </w:tabs>
        <w:autoSpaceDE w:val="0"/>
        <w:autoSpaceDN w:val="0"/>
        <w:adjustRightInd w:val="0"/>
        <w:spacing w:line="240" w:lineRule="auto"/>
        <w:rPr>
          <w:snapToGrid/>
          <w:szCs w:val="22"/>
          <w:lang w:val="lt-LT"/>
        </w:rPr>
      </w:pPr>
    </w:p>
    <w:p w:rsidR="00525BC3" w:rsidRPr="00AC1BAC" w:rsidRDefault="00525BC3" w:rsidP="00525BC3">
      <w:pPr>
        <w:keepNext/>
        <w:keepLines/>
        <w:widowControl w:val="0"/>
        <w:tabs>
          <w:tab w:val="clear" w:pos="567"/>
          <w:tab w:val="left" w:pos="540"/>
        </w:tabs>
        <w:spacing w:line="240" w:lineRule="auto"/>
        <w:rPr>
          <w:rFonts w:eastAsia="Calibri"/>
          <w:b/>
          <w:snapToGrid/>
          <w:szCs w:val="22"/>
          <w:lang w:val="lt-LT"/>
        </w:rPr>
      </w:pPr>
      <w:r w:rsidRPr="00AC1BAC">
        <w:rPr>
          <w:rFonts w:eastAsia="Calibri"/>
          <w:b/>
          <w:snapToGrid/>
          <w:szCs w:val="22"/>
          <w:lang w:val="lt-LT"/>
        </w:rPr>
        <w:t>Pranešimas apie šalutinį poveikį</w:t>
      </w:r>
    </w:p>
    <w:p w:rsidR="00525BC3" w:rsidRPr="0086046F" w:rsidRDefault="00525BC3" w:rsidP="00525BC3">
      <w:pPr>
        <w:ind w:right="-1"/>
        <w:rPr>
          <w:lang w:val="lt-LT"/>
        </w:rPr>
      </w:pPr>
      <w:r w:rsidRPr="0086046F">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86046F">
        <w:rPr>
          <w:color w:val="0000EE"/>
          <w:szCs w:val="22"/>
          <w:u w:val="single"/>
          <w:lang w:val="lt-LT" w:eastAsia="lt-LT"/>
        </w:rPr>
        <w:t>https://vvkt.lrv.lt/lt/</w:t>
      </w:r>
      <w:r w:rsidRPr="0086046F">
        <w:rPr>
          <w:szCs w:val="22"/>
          <w:lang w:val="lt-LT" w:eastAsia="lt-LT"/>
        </w:rPr>
        <w:t xml:space="preserve"> nurodytais būdais arba paskambinti nemokamu telefonu </w:t>
      </w:r>
      <w:r>
        <w:rPr>
          <w:szCs w:val="22"/>
          <w:lang w:val="lt-LT" w:eastAsia="lt-LT"/>
        </w:rPr>
        <w:t>+370</w:t>
      </w:r>
      <w:r w:rsidRPr="0086046F">
        <w:rPr>
          <w:szCs w:val="22"/>
          <w:lang w:val="lt-LT" w:eastAsia="lt-LT"/>
        </w:rPr>
        <w:t xml:space="preserve"> 800 73 568. Pranešdami apie šalutinį poveikį galite mums padėti gauti daugiau informacijos apie šio vaisto saugumą</w:t>
      </w:r>
      <w:r w:rsidRPr="0086046F">
        <w:rPr>
          <w:lang w:val="lt-LT"/>
        </w:rPr>
        <w:t>.</w:t>
      </w:r>
    </w:p>
    <w:p w:rsidR="00525BC3" w:rsidRPr="00AC1BAC" w:rsidRDefault="00525BC3" w:rsidP="00525BC3">
      <w:pPr>
        <w:widowControl w:val="0"/>
        <w:numPr>
          <w:ilvl w:val="12"/>
          <w:numId w:val="0"/>
        </w:numPr>
        <w:tabs>
          <w:tab w:val="clear" w:pos="567"/>
        </w:tabs>
        <w:spacing w:line="240" w:lineRule="auto"/>
        <w:ind w:right="-2"/>
        <w:rPr>
          <w:snapToGrid/>
          <w:szCs w:val="24"/>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5.</w:t>
      </w:r>
      <w:r w:rsidRPr="00AC1BAC">
        <w:rPr>
          <w:b/>
          <w:snapToGrid/>
          <w:szCs w:val="22"/>
          <w:lang w:val="lt-LT"/>
        </w:rPr>
        <w:tab/>
        <w:t xml:space="preserve">Kaip laikyti </w:t>
      </w:r>
      <w:r>
        <w:rPr>
          <w:b/>
          <w:snapToGrid/>
          <w:szCs w:val="22"/>
          <w:lang w:val="lt-LT"/>
        </w:rPr>
        <w:t>Combogesic</w:t>
      </w:r>
    </w:p>
    <w:p w:rsidR="00525BC3" w:rsidRPr="00AC1BAC" w:rsidRDefault="00525BC3" w:rsidP="00525BC3">
      <w:pPr>
        <w:widowControl w:val="0"/>
        <w:tabs>
          <w:tab w:val="clear" w:pos="567"/>
        </w:tabs>
        <w:spacing w:line="240" w:lineRule="auto"/>
        <w:rPr>
          <w:i/>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r w:rsidRPr="00AC1BAC">
        <w:rPr>
          <w:snapToGrid/>
          <w:szCs w:val="22"/>
          <w:lang w:val="lt-LT"/>
        </w:rPr>
        <w:t>Šį vaistą laikykite vaikams nepastebimoje ir nepasiekiamoje vietoje.</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tabs>
          <w:tab w:val="clear" w:pos="567"/>
        </w:tabs>
        <w:spacing w:line="240" w:lineRule="auto"/>
        <w:rPr>
          <w:rFonts w:eastAsia="TimesNewRoman"/>
          <w:snapToGrid/>
          <w:szCs w:val="22"/>
          <w:lang w:val="lt-LT"/>
        </w:rPr>
      </w:pPr>
      <w:r w:rsidRPr="00AC1BAC">
        <w:rPr>
          <w:rFonts w:eastAsia="TimesNewRoman"/>
          <w:snapToGrid/>
          <w:szCs w:val="22"/>
          <w:lang w:val="lt-LT"/>
        </w:rPr>
        <w:t xml:space="preserve">Laikyti žemesnėje kaip </w:t>
      </w:r>
      <w:r w:rsidRPr="00AC1BAC">
        <w:rPr>
          <w:snapToGrid/>
          <w:szCs w:val="22"/>
          <w:lang w:val="lt-LT"/>
        </w:rPr>
        <w:t>25 °C</w:t>
      </w:r>
      <w:r w:rsidRPr="00AC1BAC">
        <w:rPr>
          <w:rFonts w:eastAsia="TimesNewRoman"/>
          <w:snapToGrid/>
          <w:szCs w:val="22"/>
          <w:lang w:val="lt-LT"/>
        </w:rPr>
        <w:t xml:space="preserve"> temperatūroje.</w:t>
      </w:r>
    </w:p>
    <w:p w:rsidR="00525BC3" w:rsidRPr="00AC1BAC" w:rsidRDefault="00525BC3" w:rsidP="00525BC3">
      <w:pPr>
        <w:widowControl w:val="0"/>
        <w:tabs>
          <w:tab w:val="clear" w:pos="567"/>
        </w:tabs>
        <w:spacing w:line="240" w:lineRule="auto"/>
        <w:rPr>
          <w:snapToGrid/>
          <w:szCs w:val="22"/>
          <w:lang w:val="lt-LT"/>
        </w:rPr>
      </w:pPr>
      <w:r w:rsidRPr="00AC1BAC">
        <w:rPr>
          <w:snapToGrid/>
          <w:szCs w:val="22"/>
          <w:lang w:val="lt-LT"/>
        </w:rPr>
        <w:t>Pradėto vartoti vaisto tinkamumo laikas yra 3 mėnesiai, jei laikoma 25 °C arba žemesnėje</w:t>
      </w:r>
      <w:r w:rsidRPr="00AC1BAC">
        <w:rPr>
          <w:rFonts w:eastAsia="TimesNewRoman"/>
          <w:snapToGrid/>
          <w:szCs w:val="22"/>
          <w:lang w:val="lt-LT"/>
        </w:rPr>
        <w:t xml:space="preserve"> temperatūroje</w:t>
      </w:r>
      <w:r w:rsidRPr="00AC1BAC">
        <w:rPr>
          <w:snapToGrid/>
          <w:szCs w:val="22"/>
          <w:lang w:val="lt-LT"/>
        </w:rPr>
        <w:t>.</w:t>
      </w:r>
    </w:p>
    <w:p w:rsidR="00525BC3" w:rsidRPr="00AC1BAC" w:rsidRDefault="00525BC3" w:rsidP="00525BC3">
      <w:pPr>
        <w:widowControl w:val="0"/>
        <w:tabs>
          <w:tab w:val="clear" w:pos="567"/>
        </w:tabs>
        <w:spacing w:line="240" w:lineRule="auto"/>
        <w:rPr>
          <w:iCs/>
          <w:snapToGrid/>
          <w:szCs w:val="22"/>
          <w:lang w:val="lt-LT"/>
        </w:rPr>
      </w:pPr>
    </w:p>
    <w:p w:rsidR="00525BC3" w:rsidRPr="00AC1BAC" w:rsidRDefault="00525BC3" w:rsidP="00525BC3">
      <w:pPr>
        <w:widowControl w:val="0"/>
        <w:tabs>
          <w:tab w:val="clear" w:pos="567"/>
        </w:tabs>
        <w:spacing w:line="240" w:lineRule="auto"/>
        <w:rPr>
          <w:iCs/>
          <w:snapToGrid/>
          <w:szCs w:val="22"/>
          <w:lang w:val="lt-LT"/>
        </w:rPr>
      </w:pPr>
      <w:r w:rsidRPr="00AC1BAC">
        <w:rPr>
          <w:iCs/>
          <w:snapToGrid/>
          <w:szCs w:val="22"/>
          <w:lang w:val="lt-LT"/>
        </w:rPr>
        <w:t>Ant dėžutės ir buteliuko po „EXP“ nurodytam tinkamumo laikui pasibaigus, šio vaisto vartoti negalima. Vaistas tinkamas vartoti iki paskutinės nurodyto mėnesio dienos.</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numPr>
          <w:ilvl w:val="12"/>
          <w:numId w:val="0"/>
        </w:numPr>
        <w:tabs>
          <w:tab w:val="clear" w:pos="567"/>
        </w:tabs>
        <w:spacing w:line="240" w:lineRule="auto"/>
        <w:ind w:right="-2"/>
        <w:rPr>
          <w:szCs w:val="22"/>
          <w:lang w:val="lt-LT"/>
        </w:rPr>
      </w:pPr>
      <w:r w:rsidRPr="00AC1BAC">
        <w:rPr>
          <w:szCs w:val="22"/>
          <w:lang w:val="lt-LT"/>
        </w:rPr>
        <w:t>Pastebėjus pakuotės pažeidimą ar atidarymo požymių, šio vaisto vartoti negalima.</w:t>
      </w:r>
    </w:p>
    <w:p w:rsidR="00525BC3" w:rsidRPr="00AC1BAC" w:rsidRDefault="00525BC3" w:rsidP="00525BC3">
      <w:pPr>
        <w:widowControl w:val="0"/>
        <w:tabs>
          <w:tab w:val="clear" w:pos="567"/>
        </w:tabs>
        <w:spacing w:line="240" w:lineRule="auto"/>
        <w:rPr>
          <w:rFonts w:eastAsia="TimesNewRoman"/>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r w:rsidRPr="00AC1BAC">
        <w:rPr>
          <w:snapToGrid/>
          <w:szCs w:val="22"/>
          <w:lang w:val="lt-LT"/>
        </w:rPr>
        <w:t>Vaistų negalima išmesti į kanalizaciją arba su buitinėmis</w:t>
      </w:r>
      <w:r w:rsidRPr="00AC1BAC">
        <w:rPr>
          <w:snapToGrid/>
          <w:color w:val="993366"/>
          <w:szCs w:val="22"/>
          <w:lang w:val="lt-LT"/>
        </w:rPr>
        <w:t xml:space="preserve"> </w:t>
      </w:r>
      <w:r w:rsidRPr="00AC1BAC">
        <w:rPr>
          <w:snapToGrid/>
          <w:szCs w:val="22"/>
          <w:lang w:val="lt-LT"/>
        </w:rPr>
        <w:t>atliekomis. Kaip išmesti nereikalingus vaistus, klauskite vaistininko. Šios priemonės padės apsaugoti aplinką.</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keepNext/>
        <w:keepLines/>
        <w:widowControl w:val="0"/>
        <w:numPr>
          <w:ilvl w:val="12"/>
          <w:numId w:val="0"/>
        </w:numPr>
        <w:tabs>
          <w:tab w:val="clear" w:pos="567"/>
        </w:tabs>
        <w:spacing w:line="240" w:lineRule="auto"/>
        <w:ind w:left="567" w:hanging="567"/>
        <w:outlineLvl w:val="0"/>
        <w:rPr>
          <w:b/>
          <w:caps/>
          <w:snapToGrid/>
          <w:szCs w:val="22"/>
          <w:lang w:val="lt-LT"/>
        </w:rPr>
      </w:pPr>
      <w:r w:rsidRPr="00AC1BAC">
        <w:rPr>
          <w:b/>
          <w:snapToGrid/>
          <w:szCs w:val="22"/>
          <w:lang w:val="lt-LT"/>
        </w:rPr>
        <w:t>6.</w:t>
      </w:r>
      <w:r w:rsidRPr="00AC1BAC">
        <w:rPr>
          <w:b/>
          <w:snapToGrid/>
          <w:szCs w:val="22"/>
          <w:lang w:val="lt-LT"/>
        </w:rPr>
        <w:tab/>
        <w:t>Pakuotės turinys ir kita informacija</w:t>
      </w:r>
    </w:p>
    <w:p w:rsidR="00525BC3" w:rsidRPr="00AC1BAC" w:rsidRDefault="00525BC3" w:rsidP="00525BC3">
      <w:pPr>
        <w:keepNext/>
        <w:keepLines/>
        <w:widowControl w:val="0"/>
        <w:numPr>
          <w:ilvl w:val="12"/>
          <w:numId w:val="0"/>
        </w:numPr>
        <w:tabs>
          <w:tab w:val="clear" w:pos="567"/>
        </w:tabs>
        <w:spacing w:line="240" w:lineRule="auto"/>
        <w:rPr>
          <w:snapToGrid/>
          <w:szCs w:val="22"/>
          <w:lang w:val="lt-LT"/>
        </w:rPr>
      </w:pPr>
    </w:p>
    <w:p w:rsidR="00525BC3" w:rsidRPr="00AC1BAC" w:rsidRDefault="00525BC3" w:rsidP="00525BC3">
      <w:pPr>
        <w:keepNext/>
        <w:keepLines/>
        <w:widowControl w:val="0"/>
        <w:numPr>
          <w:ilvl w:val="12"/>
          <w:numId w:val="0"/>
        </w:numPr>
        <w:tabs>
          <w:tab w:val="clear" w:pos="567"/>
        </w:tabs>
        <w:spacing w:line="240" w:lineRule="auto"/>
        <w:rPr>
          <w:snapToGrid/>
          <w:szCs w:val="22"/>
          <w:u w:val="single"/>
          <w:lang w:val="lt-LT"/>
        </w:rPr>
      </w:pPr>
      <w:r>
        <w:rPr>
          <w:b/>
          <w:bCs/>
          <w:snapToGrid/>
          <w:szCs w:val="22"/>
          <w:lang w:val="lt-LT"/>
        </w:rPr>
        <w:t xml:space="preserve">Combogesic </w:t>
      </w:r>
      <w:r w:rsidRPr="00AC1BAC">
        <w:rPr>
          <w:b/>
          <w:bCs/>
          <w:snapToGrid/>
          <w:szCs w:val="22"/>
          <w:lang w:val="lt-LT"/>
        </w:rPr>
        <w:t>sudėtis</w:t>
      </w:r>
    </w:p>
    <w:p w:rsidR="00525BC3" w:rsidRPr="00AC1BAC" w:rsidRDefault="00525BC3" w:rsidP="00525BC3">
      <w:pPr>
        <w:keepNext/>
        <w:keepLines/>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AC1BAC">
        <w:rPr>
          <w:snapToGrid/>
          <w:szCs w:val="22"/>
          <w:lang w:val="lt-LT"/>
        </w:rPr>
        <w:t xml:space="preserve">Veikliosios medžiagos yra </w:t>
      </w:r>
      <w:r w:rsidRPr="00877683">
        <w:rPr>
          <w:snapToGrid/>
          <w:szCs w:val="22"/>
          <w:lang w:val="lt-LT"/>
        </w:rPr>
        <w:t xml:space="preserve">paracetamolis </w:t>
      </w:r>
      <w:r w:rsidRPr="00AC1BAC">
        <w:rPr>
          <w:snapToGrid/>
          <w:szCs w:val="22"/>
          <w:lang w:val="lt-LT"/>
        </w:rPr>
        <w:t>ir ibuprofenas</w:t>
      </w:r>
      <w:r>
        <w:rPr>
          <w:snapToGrid/>
          <w:szCs w:val="22"/>
          <w:lang w:val="lt-LT"/>
        </w:rPr>
        <w:t>. 1 ml geriamosios suspensijos yra</w:t>
      </w:r>
      <w:r w:rsidRPr="00877683">
        <w:rPr>
          <w:snapToGrid/>
          <w:szCs w:val="22"/>
          <w:lang w:val="lt-LT"/>
        </w:rPr>
        <w:t xml:space="preserve"> 32 mg </w:t>
      </w:r>
      <w:r>
        <w:rPr>
          <w:snapToGrid/>
          <w:szCs w:val="22"/>
          <w:lang w:val="lt-LT"/>
        </w:rPr>
        <w:t>paracetamolio</w:t>
      </w:r>
      <w:r w:rsidRPr="00AC1BAC">
        <w:rPr>
          <w:snapToGrid/>
          <w:szCs w:val="22"/>
          <w:lang w:val="lt-LT"/>
        </w:rPr>
        <w:t xml:space="preserve"> 9,6 mg </w:t>
      </w:r>
      <w:r>
        <w:rPr>
          <w:snapToGrid/>
          <w:szCs w:val="22"/>
          <w:lang w:val="lt-LT"/>
        </w:rPr>
        <w:t>ibuprofeno</w:t>
      </w:r>
      <w:r w:rsidRPr="00AC1BAC">
        <w:rPr>
          <w:snapToGrid/>
          <w:szCs w:val="22"/>
          <w:lang w:val="lt-LT"/>
        </w:rPr>
        <w:t>.</w:t>
      </w:r>
    </w:p>
    <w:p w:rsidR="00525BC3" w:rsidRPr="00AC1BAC" w:rsidRDefault="00525BC3" w:rsidP="00525BC3">
      <w:pPr>
        <w:keepNext/>
        <w:keepLines/>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AC1BAC">
        <w:rPr>
          <w:snapToGrid/>
          <w:szCs w:val="22"/>
          <w:lang w:val="lt-LT"/>
        </w:rPr>
        <w:t>Pagalbinės medžiagos yra</w:t>
      </w:r>
      <w:r w:rsidRPr="00AC1BAC">
        <w:rPr>
          <w:rFonts w:eastAsia="TimesNewRoman"/>
          <w:snapToGrid/>
          <w:szCs w:val="22"/>
          <w:lang w:val="lt-LT"/>
        </w:rPr>
        <w:t xml:space="preserve"> citrinų rūgštis monohidratas (E330), glicerolis (E422), skystasis maltitolis (E965), polisorbatas 80 (E433), natrio benzoatas (E211), natrio citratas dihidratas (E331), sukralozė (E955), Vivapur MCG 591P (mikrokristalinė celiuliozė [E460] ir karmeliozės natrio druska [E466]), ksantano lipai (E415), maskuojamoji kvapioji medžiaga*, žemuogių kvapioji medžiaga*, saldainių kvapioji medžiaga*, vanilės kvapioji medžiaga*ir karminas (E120).</w:t>
      </w:r>
    </w:p>
    <w:p w:rsidR="00525BC3" w:rsidRPr="00AC1BAC" w:rsidRDefault="00525BC3" w:rsidP="00525BC3">
      <w:pPr>
        <w:widowControl w:val="0"/>
        <w:tabs>
          <w:tab w:val="clear" w:pos="567"/>
        </w:tabs>
        <w:autoSpaceDE w:val="0"/>
        <w:autoSpaceDN w:val="0"/>
        <w:adjustRightInd w:val="0"/>
        <w:spacing w:line="240" w:lineRule="auto"/>
        <w:rPr>
          <w:rFonts w:eastAsia="TimesNewRoman"/>
          <w:snapToGrid/>
          <w:szCs w:val="22"/>
          <w:lang w:val="lt-LT"/>
        </w:rPr>
      </w:pPr>
    </w:p>
    <w:p w:rsidR="00525BC3" w:rsidRPr="00AC1BAC" w:rsidRDefault="00525BC3" w:rsidP="00525BC3">
      <w:pPr>
        <w:widowControl w:val="0"/>
        <w:tabs>
          <w:tab w:val="clear" w:pos="567"/>
        </w:tabs>
        <w:autoSpaceDE w:val="0"/>
        <w:autoSpaceDN w:val="0"/>
        <w:adjustRightInd w:val="0"/>
        <w:spacing w:line="240" w:lineRule="auto"/>
        <w:rPr>
          <w:rFonts w:eastAsia="TimesNewRoman"/>
          <w:snapToGrid/>
          <w:szCs w:val="22"/>
          <w:lang w:val="lt-LT"/>
        </w:rPr>
      </w:pPr>
      <w:r w:rsidRPr="00AC1BAC">
        <w:rPr>
          <w:rFonts w:eastAsia="TimesNewRoman"/>
          <w:snapToGrid/>
          <w:szCs w:val="22"/>
          <w:lang w:val="lt-LT"/>
        </w:rPr>
        <w:t>*Sudėtyje yra propilenglikolio (E1520)</w:t>
      </w:r>
    </w:p>
    <w:p w:rsidR="00525BC3" w:rsidRPr="00AC1BAC" w:rsidRDefault="00525BC3" w:rsidP="00525BC3">
      <w:pPr>
        <w:widowControl w:val="0"/>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rPr>
          <w:b/>
          <w:bCs/>
          <w:snapToGrid/>
          <w:szCs w:val="22"/>
          <w:lang w:val="lt-LT"/>
        </w:rPr>
      </w:pPr>
      <w:r>
        <w:rPr>
          <w:b/>
          <w:bCs/>
          <w:snapToGrid/>
          <w:szCs w:val="22"/>
          <w:lang w:val="lt-LT"/>
        </w:rPr>
        <w:t xml:space="preserve">Combogesic </w:t>
      </w:r>
      <w:r w:rsidRPr="00AC1BAC">
        <w:rPr>
          <w:b/>
          <w:bCs/>
          <w:snapToGrid/>
          <w:szCs w:val="22"/>
          <w:lang w:val="lt-LT"/>
        </w:rPr>
        <w:t>išvaizda ir kiekis pakuotėje</w:t>
      </w:r>
    </w:p>
    <w:p w:rsidR="00525BC3" w:rsidRPr="00AC1BAC" w:rsidRDefault="00525BC3" w:rsidP="00525BC3">
      <w:pPr>
        <w:widowControl w:val="0"/>
        <w:tabs>
          <w:tab w:val="clear" w:pos="567"/>
        </w:tabs>
        <w:autoSpaceDE w:val="0"/>
        <w:autoSpaceDN w:val="0"/>
        <w:adjustRightInd w:val="0"/>
        <w:spacing w:line="240" w:lineRule="auto"/>
        <w:rPr>
          <w:snapToGrid/>
          <w:color w:val="000000"/>
          <w:szCs w:val="22"/>
          <w:lang w:val="lt-LT"/>
        </w:rPr>
      </w:pPr>
    </w:p>
    <w:p w:rsidR="00525BC3" w:rsidRPr="00AC1BAC" w:rsidRDefault="00525BC3" w:rsidP="00525BC3">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Combogesic </w:t>
      </w:r>
      <w:r w:rsidRPr="00AC1BAC">
        <w:rPr>
          <w:snapToGrid/>
          <w:color w:val="000000"/>
          <w:szCs w:val="22"/>
          <w:lang w:val="lt-LT"/>
        </w:rPr>
        <w:t>yra klampi rožinės spalvos suspensija.</w:t>
      </w:r>
    </w:p>
    <w:p w:rsidR="00525BC3" w:rsidRPr="00AC1BAC" w:rsidRDefault="00525BC3" w:rsidP="00525BC3">
      <w:pPr>
        <w:widowControl w:val="0"/>
        <w:tabs>
          <w:tab w:val="clear" w:pos="567"/>
        </w:tabs>
        <w:autoSpaceDE w:val="0"/>
        <w:autoSpaceDN w:val="0"/>
        <w:adjustRightInd w:val="0"/>
        <w:spacing w:line="240" w:lineRule="auto"/>
        <w:rPr>
          <w:snapToGrid/>
          <w:color w:val="000000"/>
          <w:szCs w:val="22"/>
          <w:lang w:val="lt-LT"/>
        </w:rPr>
      </w:pPr>
    </w:p>
    <w:p w:rsidR="00525BC3" w:rsidRPr="00AC1BAC" w:rsidRDefault="00525BC3" w:rsidP="00525BC3">
      <w:pPr>
        <w:spacing w:line="240" w:lineRule="auto"/>
        <w:jc w:val="both"/>
        <w:rPr>
          <w:snapToGrid/>
          <w:lang w:val="lt-LT" w:eastAsia="zh-CN"/>
        </w:rPr>
      </w:pPr>
      <w:r w:rsidRPr="00AC1BAC">
        <w:rPr>
          <w:szCs w:val="22"/>
          <w:lang w:val="lt-LT"/>
        </w:rPr>
        <w:t>Kiekvienoje pakuotėje yra 100 ml arba 200 </w:t>
      </w:r>
      <w:r w:rsidRPr="00AC1BAC">
        <w:rPr>
          <w:lang w:val="lt-LT"/>
        </w:rPr>
        <w:t xml:space="preserve">ml </w:t>
      </w:r>
      <w:r w:rsidRPr="00AC1BAC">
        <w:rPr>
          <w:szCs w:val="22"/>
          <w:lang w:val="lt-LT"/>
        </w:rPr>
        <w:t xml:space="preserve">buteliukas </w:t>
      </w:r>
      <w:r w:rsidRPr="00AC1BAC">
        <w:rPr>
          <w:lang w:val="lt-LT"/>
        </w:rPr>
        <w:t xml:space="preserve">su vaikų sunkiai atidaromu uždoriu </w:t>
      </w:r>
      <w:r w:rsidRPr="00AC1BAC">
        <w:rPr>
          <w:szCs w:val="22"/>
          <w:lang w:val="lt-LT"/>
        </w:rPr>
        <w:t>ir</w:t>
      </w:r>
      <w:r w:rsidRPr="00AC1BAC">
        <w:rPr>
          <w:lang w:val="lt-LT"/>
        </w:rPr>
        <w:t xml:space="preserve"> </w:t>
      </w:r>
      <w:r w:rsidRPr="00AC1BAC">
        <w:rPr>
          <w:szCs w:val="22"/>
          <w:lang w:val="lt-LT"/>
        </w:rPr>
        <w:t>5 ml matavimo švirkštu (0,5 ml žingsniais su žymėmis kas 0,1 ml), kuris naudojamas kaip dozavimo priemonė.</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widowControl w:val="0"/>
        <w:numPr>
          <w:ilvl w:val="12"/>
          <w:numId w:val="0"/>
        </w:numPr>
        <w:tabs>
          <w:tab w:val="clear" w:pos="567"/>
        </w:tabs>
        <w:spacing w:line="240" w:lineRule="auto"/>
        <w:rPr>
          <w:b/>
          <w:bCs/>
          <w:snapToGrid/>
          <w:szCs w:val="22"/>
          <w:lang w:val="lt-LT"/>
        </w:rPr>
      </w:pPr>
      <w:r w:rsidRPr="00AC1BAC">
        <w:rPr>
          <w:b/>
          <w:bCs/>
          <w:snapToGrid/>
          <w:szCs w:val="22"/>
          <w:lang w:val="lt-LT"/>
        </w:rPr>
        <w:t>Registruotojas ir gamintojas</w:t>
      </w:r>
    </w:p>
    <w:p w:rsidR="00525BC3" w:rsidRPr="00AC1BAC" w:rsidRDefault="00525BC3" w:rsidP="00525BC3">
      <w:pPr>
        <w:widowControl w:val="0"/>
        <w:numPr>
          <w:ilvl w:val="12"/>
          <w:numId w:val="0"/>
        </w:numPr>
        <w:tabs>
          <w:tab w:val="clear" w:pos="567"/>
        </w:tabs>
        <w:spacing w:line="240" w:lineRule="auto"/>
        <w:rPr>
          <w:b/>
          <w:bCs/>
          <w:snapToGrid/>
          <w:szCs w:val="22"/>
          <w:lang w:val="lt-LT"/>
        </w:rPr>
      </w:pPr>
    </w:p>
    <w:p w:rsidR="00525BC3" w:rsidRPr="00AC1BAC" w:rsidRDefault="00525BC3" w:rsidP="00525BC3">
      <w:pPr>
        <w:widowControl w:val="0"/>
        <w:numPr>
          <w:ilvl w:val="12"/>
          <w:numId w:val="0"/>
        </w:numPr>
        <w:tabs>
          <w:tab w:val="clear" w:pos="567"/>
        </w:tabs>
        <w:spacing w:line="240" w:lineRule="auto"/>
        <w:rPr>
          <w:bCs/>
          <w:i/>
          <w:snapToGrid/>
          <w:szCs w:val="22"/>
          <w:lang w:val="lt-LT"/>
        </w:rPr>
      </w:pPr>
      <w:r w:rsidRPr="00AC1BAC">
        <w:rPr>
          <w:bCs/>
          <w:i/>
          <w:snapToGrid/>
          <w:szCs w:val="22"/>
          <w:lang w:val="lt-LT"/>
        </w:rPr>
        <w:t>Registruotojas</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Swixx Biopharma Kft</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Árpád fejedelem útja 26-28</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1023 Budapest</w:t>
      </w:r>
    </w:p>
    <w:p w:rsidR="00525BC3" w:rsidRPr="00AC1BAC" w:rsidRDefault="00525BC3" w:rsidP="00525BC3">
      <w:pPr>
        <w:widowControl w:val="0"/>
        <w:tabs>
          <w:tab w:val="clear" w:pos="567"/>
        </w:tabs>
        <w:spacing w:line="240" w:lineRule="auto"/>
        <w:ind w:left="567" w:hanging="567"/>
        <w:rPr>
          <w:snapToGrid/>
          <w:szCs w:val="22"/>
          <w:lang w:val="lt-LT"/>
        </w:rPr>
      </w:pPr>
      <w:r w:rsidRPr="00AC1BAC">
        <w:rPr>
          <w:snapToGrid/>
          <w:szCs w:val="22"/>
          <w:lang w:val="lt-LT"/>
        </w:rPr>
        <w:t>Vengrija</w:t>
      </w:r>
    </w:p>
    <w:p w:rsidR="00525BC3" w:rsidRPr="00AC1BAC" w:rsidRDefault="00525BC3" w:rsidP="00525BC3">
      <w:pPr>
        <w:widowControl w:val="0"/>
        <w:numPr>
          <w:ilvl w:val="12"/>
          <w:numId w:val="0"/>
        </w:numPr>
        <w:tabs>
          <w:tab w:val="clear" w:pos="567"/>
        </w:tabs>
        <w:spacing w:line="240" w:lineRule="auto"/>
        <w:ind w:right="-2"/>
        <w:rPr>
          <w:snapToGrid/>
          <w:szCs w:val="22"/>
          <w:lang w:val="lt-LT"/>
        </w:rPr>
      </w:pPr>
    </w:p>
    <w:p w:rsidR="00525BC3" w:rsidRPr="00AC1BAC" w:rsidRDefault="00525BC3" w:rsidP="00525BC3">
      <w:pPr>
        <w:keepNext/>
        <w:keepLines/>
        <w:widowControl w:val="0"/>
        <w:tabs>
          <w:tab w:val="clear" w:pos="567"/>
        </w:tabs>
        <w:spacing w:line="240" w:lineRule="auto"/>
        <w:ind w:left="142" w:hanging="142"/>
        <w:rPr>
          <w:i/>
          <w:snapToGrid/>
          <w:szCs w:val="24"/>
          <w:lang w:val="lt-LT"/>
        </w:rPr>
      </w:pPr>
      <w:r w:rsidRPr="00AC1BAC">
        <w:rPr>
          <w:bCs/>
          <w:i/>
          <w:snapToGrid/>
          <w:szCs w:val="22"/>
          <w:lang w:val="lt-LT"/>
        </w:rPr>
        <w:t>Gamintojas</w:t>
      </w:r>
    </w:p>
    <w:p w:rsidR="00525BC3" w:rsidRPr="00AC1BAC" w:rsidRDefault="00525BC3" w:rsidP="00525BC3">
      <w:pPr>
        <w:keepNext/>
        <w:keepLines/>
        <w:spacing w:line="240" w:lineRule="auto"/>
        <w:rPr>
          <w:szCs w:val="22"/>
          <w:lang w:val="lt-LT"/>
        </w:rPr>
      </w:pPr>
      <w:r w:rsidRPr="00AC1BAC">
        <w:rPr>
          <w:iCs/>
          <w:szCs w:val="22"/>
          <w:lang w:val="lt-LT"/>
        </w:rPr>
        <w:t>SAG Manufacturing S.L.U.</w:t>
      </w:r>
    </w:p>
    <w:p w:rsidR="00525BC3" w:rsidRDefault="00525BC3" w:rsidP="00525BC3">
      <w:pPr>
        <w:keepNext/>
        <w:keepLines/>
        <w:spacing w:line="240" w:lineRule="auto"/>
        <w:rPr>
          <w:iCs/>
          <w:szCs w:val="22"/>
          <w:lang w:val="lt-LT"/>
        </w:rPr>
      </w:pPr>
      <w:r w:rsidRPr="00AC1BAC">
        <w:rPr>
          <w:iCs/>
          <w:szCs w:val="22"/>
          <w:lang w:val="lt-LT"/>
        </w:rPr>
        <w:t>Carretera N-I, Km 36</w:t>
      </w:r>
    </w:p>
    <w:p w:rsidR="00525BC3" w:rsidRDefault="00525BC3" w:rsidP="00525BC3">
      <w:pPr>
        <w:keepNext/>
        <w:keepLines/>
        <w:spacing w:line="240" w:lineRule="auto"/>
        <w:rPr>
          <w:iCs/>
          <w:szCs w:val="22"/>
          <w:lang w:val="lt-LT"/>
        </w:rPr>
      </w:pPr>
      <w:r w:rsidRPr="00AC1BAC">
        <w:rPr>
          <w:iCs/>
          <w:szCs w:val="22"/>
          <w:lang w:val="lt-LT"/>
        </w:rPr>
        <w:t>San Agustin de Guadalix</w:t>
      </w:r>
    </w:p>
    <w:p w:rsidR="00525BC3" w:rsidRDefault="00525BC3" w:rsidP="00525BC3">
      <w:pPr>
        <w:keepNext/>
        <w:keepLines/>
        <w:spacing w:line="240" w:lineRule="auto"/>
        <w:rPr>
          <w:iCs/>
          <w:szCs w:val="22"/>
          <w:lang w:val="lt-LT"/>
        </w:rPr>
      </w:pPr>
      <w:r w:rsidRPr="00AC1BAC">
        <w:rPr>
          <w:iCs/>
          <w:szCs w:val="22"/>
          <w:lang w:val="lt-LT"/>
        </w:rPr>
        <w:t>28750 Madrid</w:t>
      </w:r>
    </w:p>
    <w:p w:rsidR="00525BC3" w:rsidRPr="00AC1BAC" w:rsidRDefault="00525BC3" w:rsidP="00525BC3">
      <w:pPr>
        <w:keepNext/>
        <w:keepLines/>
        <w:spacing w:line="240" w:lineRule="auto"/>
        <w:rPr>
          <w:szCs w:val="22"/>
          <w:lang w:val="lt-LT"/>
        </w:rPr>
      </w:pPr>
      <w:r w:rsidRPr="00AC1BAC">
        <w:rPr>
          <w:iCs/>
          <w:szCs w:val="22"/>
          <w:lang w:val="lt-LT"/>
        </w:rPr>
        <w:t>Ispanija</w:t>
      </w:r>
    </w:p>
    <w:p w:rsidR="00525BC3" w:rsidRPr="00AC1BAC" w:rsidRDefault="00525BC3" w:rsidP="00525BC3">
      <w:pPr>
        <w:widowControl w:val="0"/>
        <w:tabs>
          <w:tab w:val="clear" w:pos="567"/>
        </w:tabs>
        <w:spacing w:line="240" w:lineRule="auto"/>
        <w:rPr>
          <w:snapToGrid/>
          <w:szCs w:val="24"/>
          <w:lang w:val="lt-LT"/>
        </w:rPr>
      </w:pPr>
    </w:p>
    <w:p w:rsidR="00525BC3" w:rsidRPr="00AC1BAC" w:rsidRDefault="00525BC3" w:rsidP="00525BC3">
      <w:pPr>
        <w:keepNext/>
        <w:numPr>
          <w:ilvl w:val="12"/>
          <w:numId w:val="0"/>
        </w:numPr>
        <w:spacing w:line="240" w:lineRule="auto"/>
        <w:ind w:right="-2"/>
        <w:rPr>
          <w:szCs w:val="22"/>
          <w:lang w:val="lt-LT"/>
        </w:rPr>
      </w:pPr>
      <w:r w:rsidRPr="00AC1BAC">
        <w:rPr>
          <w:szCs w:val="22"/>
          <w:lang w:val="lt-LT"/>
        </w:rPr>
        <w:t>Jeigu apie šį vaistą norite sužinoti daugiau, kreipkitės į vietinį registruotojo atstovą:</w:t>
      </w:r>
    </w:p>
    <w:p w:rsidR="00525BC3" w:rsidRPr="00AC1BAC" w:rsidRDefault="00525BC3" w:rsidP="00525BC3">
      <w:pPr>
        <w:keepNext/>
        <w:spacing w:line="240" w:lineRule="auto"/>
        <w:rPr>
          <w:lang w:val="lt-LT"/>
        </w:rPr>
      </w:pPr>
    </w:p>
    <w:p w:rsidR="00525BC3" w:rsidRPr="00AC1BAC" w:rsidRDefault="00525BC3" w:rsidP="00525BC3">
      <w:pPr>
        <w:keepNext/>
        <w:spacing w:line="240" w:lineRule="auto"/>
        <w:rPr>
          <w:lang w:val="lt-LT"/>
        </w:rPr>
      </w:pPr>
      <w:r w:rsidRPr="00AC1BAC">
        <w:rPr>
          <w:lang w:val="lt-LT"/>
        </w:rPr>
        <w:t>UAB „Swixx Biopharma“</w:t>
      </w:r>
    </w:p>
    <w:p w:rsidR="00525BC3" w:rsidRDefault="00525BC3" w:rsidP="00525BC3">
      <w:pPr>
        <w:keepNext/>
        <w:spacing w:line="240" w:lineRule="auto"/>
        <w:rPr>
          <w:lang w:val="lt-LT"/>
        </w:rPr>
      </w:pPr>
      <w:r w:rsidRPr="00AC1BAC">
        <w:rPr>
          <w:lang w:val="lt-LT"/>
        </w:rPr>
        <w:t xml:space="preserve">Bokšto </w:t>
      </w:r>
      <w:r>
        <w:rPr>
          <w:lang w:val="lt-LT"/>
        </w:rPr>
        <w:t xml:space="preserve">g. </w:t>
      </w:r>
      <w:r w:rsidRPr="00AC1BAC">
        <w:rPr>
          <w:lang w:val="lt-LT"/>
        </w:rPr>
        <w:t>1-3</w:t>
      </w:r>
    </w:p>
    <w:p w:rsidR="00525BC3" w:rsidRDefault="00525BC3" w:rsidP="00525BC3">
      <w:pPr>
        <w:keepNext/>
        <w:spacing w:line="240" w:lineRule="auto"/>
        <w:rPr>
          <w:lang w:val="lt-LT"/>
        </w:rPr>
      </w:pPr>
      <w:r w:rsidRPr="00AC1BAC">
        <w:rPr>
          <w:lang w:val="lt-LT"/>
        </w:rPr>
        <w:t>Vilnius LT-01126</w:t>
      </w:r>
    </w:p>
    <w:p w:rsidR="00525BC3" w:rsidRPr="00AC1BAC" w:rsidRDefault="00525BC3" w:rsidP="00525BC3">
      <w:pPr>
        <w:keepNext/>
        <w:spacing w:line="240" w:lineRule="auto"/>
        <w:rPr>
          <w:lang w:val="lt-LT"/>
        </w:rPr>
      </w:pPr>
      <w:r w:rsidRPr="00AC1BAC">
        <w:rPr>
          <w:lang w:val="lt-LT"/>
        </w:rPr>
        <w:t>Lietuva</w:t>
      </w:r>
    </w:p>
    <w:p w:rsidR="00525BC3" w:rsidRPr="00AC1BAC" w:rsidRDefault="00525BC3" w:rsidP="00525BC3">
      <w:pPr>
        <w:keepNext/>
        <w:spacing w:line="240" w:lineRule="auto"/>
        <w:rPr>
          <w:lang w:val="lt-LT"/>
        </w:rPr>
      </w:pPr>
      <w:r w:rsidRPr="00AC1BAC">
        <w:rPr>
          <w:lang w:val="lt-LT"/>
        </w:rPr>
        <w:t>Tel. +370 52 369140</w:t>
      </w:r>
    </w:p>
    <w:p w:rsidR="00525BC3" w:rsidRPr="00AC1BAC" w:rsidRDefault="00525BC3" w:rsidP="00525BC3">
      <w:pPr>
        <w:widowControl w:val="0"/>
        <w:numPr>
          <w:ilvl w:val="12"/>
          <w:numId w:val="0"/>
        </w:numPr>
        <w:spacing w:line="240" w:lineRule="auto"/>
        <w:ind w:right="-2"/>
        <w:rPr>
          <w:szCs w:val="24"/>
          <w:lang w:val="lt-LT"/>
        </w:rPr>
      </w:pPr>
    </w:p>
    <w:p w:rsidR="00525BC3" w:rsidRPr="00AC1BAC" w:rsidRDefault="00525BC3" w:rsidP="00525BC3">
      <w:pPr>
        <w:widowControl w:val="0"/>
        <w:numPr>
          <w:ilvl w:val="12"/>
          <w:numId w:val="0"/>
        </w:numPr>
        <w:spacing w:line="240" w:lineRule="auto"/>
        <w:rPr>
          <w:lang w:val="lt-LT"/>
        </w:rPr>
      </w:pPr>
      <w:r w:rsidRPr="00E61697">
        <w:rPr>
          <w:b/>
          <w:lang w:val="lt-LT"/>
        </w:rPr>
        <w:t>Šis vaistas Europos ekonominės erdvės valstybėse narėse registruotas tokiais pavadinimais:</w:t>
      </w:r>
    </w:p>
    <w:p w:rsidR="00525BC3" w:rsidRPr="00AF05FD" w:rsidRDefault="00525BC3" w:rsidP="00525BC3">
      <w:pPr>
        <w:widowControl w:val="0"/>
        <w:tabs>
          <w:tab w:val="clear" w:pos="567"/>
        </w:tabs>
        <w:spacing w:line="240" w:lineRule="auto"/>
        <w:rPr>
          <w:snapToGrid/>
          <w:szCs w:val="22"/>
          <w:lang w:val="lt-LT" w:eastAsia="x-none"/>
        </w:rPr>
      </w:pPr>
    </w:p>
    <w:p w:rsidR="00525BC3" w:rsidRPr="00AF05FD" w:rsidRDefault="00525BC3" w:rsidP="00525BC3">
      <w:pPr>
        <w:widowControl w:val="0"/>
        <w:tabs>
          <w:tab w:val="clear" w:pos="567"/>
        </w:tabs>
        <w:spacing w:line="240" w:lineRule="auto"/>
        <w:rPr>
          <w:snapToGrid/>
          <w:szCs w:val="22"/>
          <w:lang w:val="lt-LT" w:eastAsia="x-none"/>
        </w:rPr>
      </w:pPr>
      <w:r w:rsidRPr="00AF05FD">
        <w:rPr>
          <w:snapToGrid/>
          <w:szCs w:val="22"/>
          <w:lang w:val="lt-LT" w:eastAsia="x-none"/>
        </w:rPr>
        <w:t>Estija – Combogesic</w:t>
      </w:r>
    </w:p>
    <w:p w:rsidR="00525BC3" w:rsidRPr="00E61697" w:rsidRDefault="00525BC3" w:rsidP="00525BC3">
      <w:pPr>
        <w:widowControl w:val="0"/>
        <w:tabs>
          <w:tab w:val="clear" w:pos="567"/>
        </w:tabs>
        <w:spacing w:line="240" w:lineRule="auto"/>
        <w:rPr>
          <w:color w:val="000000"/>
          <w:szCs w:val="22"/>
          <w:lang w:val="lt-LT"/>
        </w:rPr>
      </w:pPr>
      <w:r w:rsidRPr="00AF05FD">
        <w:rPr>
          <w:szCs w:val="22"/>
          <w:lang w:val="lt-LT"/>
        </w:rPr>
        <w:t xml:space="preserve">Kroatija - </w:t>
      </w:r>
      <w:r w:rsidRPr="00E61697">
        <w:rPr>
          <w:color w:val="000000"/>
          <w:szCs w:val="22"/>
          <w:lang w:val="lt-LT"/>
        </w:rPr>
        <w:t>Combofen za djecu 32</w:t>
      </w:r>
      <w:r>
        <w:rPr>
          <w:color w:val="000000"/>
          <w:szCs w:val="22"/>
          <w:lang w:val="lt-LT"/>
        </w:rPr>
        <w:t> </w:t>
      </w:r>
      <w:r w:rsidRPr="00E61697">
        <w:rPr>
          <w:color w:val="000000"/>
          <w:szCs w:val="22"/>
          <w:lang w:val="lt-LT"/>
        </w:rPr>
        <w:t>mg/ml + 9,6</w:t>
      </w:r>
      <w:r>
        <w:rPr>
          <w:color w:val="000000"/>
          <w:szCs w:val="22"/>
          <w:lang w:val="lt-LT"/>
        </w:rPr>
        <w:t> </w:t>
      </w:r>
      <w:r w:rsidRPr="00E61697">
        <w:rPr>
          <w:color w:val="000000"/>
          <w:szCs w:val="22"/>
          <w:lang w:val="lt-LT"/>
        </w:rPr>
        <w:t>mg/ml oralna suspenzija</w:t>
      </w:r>
    </w:p>
    <w:p w:rsidR="00525BC3" w:rsidRPr="00AF05FD" w:rsidRDefault="00525BC3" w:rsidP="00525BC3">
      <w:pPr>
        <w:widowControl w:val="0"/>
        <w:tabs>
          <w:tab w:val="clear" w:pos="567"/>
        </w:tabs>
        <w:spacing w:line="240" w:lineRule="auto"/>
        <w:rPr>
          <w:szCs w:val="22"/>
          <w:lang w:val="lt-LT"/>
        </w:rPr>
      </w:pPr>
      <w:r w:rsidRPr="00AF05FD">
        <w:rPr>
          <w:snapToGrid/>
          <w:szCs w:val="22"/>
          <w:lang w:val="lt-LT" w:eastAsia="x-none"/>
        </w:rPr>
        <w:t xml:space="preserve">Latvia – Adobil </w:t>
      </w:r>
      <w:r w:rsidRPr="00E61697">
        <w:rPr>
          <w:szCs w:val="22"/>
          <w:lang w:val="lt-LT"/>
        </w:rPr>
        <w:t>160</w:t>
      </w:r>
      <w:r>
        <w:rPr>
          <w:szCs w:val="22"/>
          <w:lang w:val="lt-LT"/>
        </w:rPr>
        <w:t> </w:t>
      </w:r>
      <w:r w:rsidRPr="00E61697">
        <w:rPr>
          <w:szCs w:val="22"/>
          <w:lang w:val="lt-LT"/>
        </w:rPr>
        <w:t>mg/48</w:t>
      </w:r>
      <w:r>
        <w:rPr>
          <w:szCs w:val="22"/>
          <w:lang w:val="lt-LT"/>
        </w:rPr>
        <w:t> </w:t>
      </w:r>
      <w:r w:rsidRPr="00E61697">
        <w:rPr>
          <w:szCs w:val="22"/>
          <w:lang w:val="lt-LT"/>
        </w:rPr>
        <w:t>mg/5</w:t>
      </w:r>
      <w:r>
        <w:rPr>
          <w:szCs w:val="22"/>
          <w:lang w:val="lt-LT"/>
        </w:rPr>
        <w:t> </w:t>
      </w:r>
      <w:r w:rsidRPr="00E61697">
        <w:rPr>
          <w:szCs w:val="22"/>
          <w:lang w:val="lt-LT"/>
        </w:rPr>
        <w:t>ml suspensija iekšķīgai lietošanai</w:t>
      </w:r>
    </w:p>
    <w:p w:rsidR="00525BC3" w:rsidRPr="00E61697" w:rsidRDefault="00525BC3" w:rsidP="00525BC3">
      <w:pPr>
        <w:rPr>
          <w:snapToGrid/>
          <w:szCs w:val="22"/>
          <w:lang w:val="lt-LT"/>
        </w:rPr>
      </w:pPr>
      <w:r w:rsidRPr="00AF05FD">
        <w:rPr>
          <w:szCs w:val="22"/>
          <w:lang w:val="lt-LT"/>
        </w:rPr>
        <w:t xml:space="preserve">Lietuva – </w:t>
      </w:r>
      <w:r w:rsidRPr="0081062A">
        <w:rPr>
          <w:lang w:val="lt-LT"/>
        </w:rPr>
        <w:t>Combogesic</w:t>
      </w:r>
      <w:r w:rsidRPr="003A6E2A">
        <w:rPr>
          <w:lang w:val="lt-LT"/>
        </w:rPr>
        <w:t xml:space="preserve"> 32</w:t>
      </w:r>
      <w:r>
        <w:rPr>
          <w:lang w:val="lt-LT"/>
        </w:rPr>
        <w:t> </w:t>
      </w:r>
      <w:r w:rsidRPr="003A6E2A">
        <w:rPr>
          <w:lang w:val="lt-LT"/>
        </w:rPr>
        <w:t>mg/9,6</w:t>
      </w:r>
      <w:r>
        <w:rPr>
          <w:lang w:val="lt-LT"/>
        </w:rPr>
        <w:t> </w:t>
      </w:r>
      <w:r w:rsidRPr="003A6E2A">
        <w:rPr>
          <w:lang w:val="lt-LT"/>
        </w:rPr>
        <w:t>mg/ml geriamoji suspensija</w:t>
      </w:r>
    </w:p>
    <w:p w:rsidR="00525BC3" w:rsidRDefault="00525BC3" w:rsidP="00525BC3">
      <w:pPr>
        <w:pStyle w:val="Default"/>
        <w:rPr>
          <w:sz w:val="22"/>
          <w:szCs w:val="22"/>
          <w:lang w:val="lt-LT" w:eastAsia="x-none"/>
        </w:rPr>
      </w:pPr>
      <w:r w:rsidRPr="00E61697">
        <w:rPr>
          <w:sz w:val="22"/>
          <w:szCs w:val="22"/>
          <w:lang w:val="lt-LT" w:eastAsia="x-none"/>
        </w:rPr>
        <w:t xml:space="preserve">Slovėnija </w:t>
      </w:r>
      <w:r>
        <w:rPr>
          <w:sz w:val="22"/>
          <w:szCs w:val="22"/>
          <w:lang w:val="lt-LT" w:eastAsia="x-none"/>
        </w:rPr>
        <w:t>–</w:t>
      </w:r>
      <w:r w:rsidRPr="00E61697">
        <w:rPr>
          <w:sz w:val="22"/>
          <w:szCs w:val="22"/>
          <w:lang w:val="lt-LT" w:eastAsia="x-none"/>
        </w:rPr>
        <w:t xml:space="preserve"> </w:t>
      </w:r>
      <w:r w:rsidRPr="00E61697">
        <w:rPr>
          <w:sz w:val="22"/>
          <w:szCs w:val="22"/>
          <w:lang w:val="lt-LT"/>
        </w:rPr>
        <w:t>Adobil 160</w:t>
      </w:r>
      <w:r>
        <w:rPr>
          <w:sz w:val="22"/>
          <w:szCs w:val="22"/>
          <w:lang w:val="lt-LT"/>
        </w:rPr>
        <w:t> </w:t>
      </w:r>
      <w:r w:rsidRPr="00E61697">
        <w:rPr>
          <w:sz w:val="22"/>
          <w:szCs w:val="22"/>
          <w:lang w:val="lt-LT"/>
        </w:rPr>
        <w:t>mg/48</w:t>
      </w:r>
      <w:r>
        <w:rPr>
          <w:sz w:val="22"/>
          <w:szCs w:val="22"/>
          <w:lang w:val="lt-LT"/>
        </w:rPr>
        <w:t> </w:t>
      </w:r>
      <w:r w:rsidRPr="00E61697">
        <w:rPr>
          <w:sz w:val="22"/>
          <w:szCs w:val="22"/>
          <w:lang w:val="lt-LT"/>
        </w:rPr>
        <w:t>mg v 5</w:t>
      </w:r>
      <w:r>
        <w:rPr>
          <w:sz w:val="22"/>
          <w:szCs w:val="22"/>
          <w:lang w:val="lt-LT"/>
        </w:rPr>
        <w:t> </w:t>
      </w:r>
      <w:r w:rsidRPr="00E61697">
        <w:rPr>
          <w:sz w:val="22"/>
          <w:szCs w:val="22"/>
          <w:lang w:val="lt-LT"/>
        </w:rPr>
        <w:t xml:space="preserve">ml peroralna suspenzija </w:t>
      </w:r>
    </w:p>
    <w:p w:rsidR="00525BC3" w:rsidRPr="00AF05FD" w:rsidRDefault="00525BC3" w:rsidP="00525BC3">
      <w:pPr>
        <w:widowControl w:val="0"/>
        <w:tabs>
          <w:tab w:val="clear" w:pos="567"/>
        </w:tabs>
        <w:spacing w:line="240" w:lineRule="auto"/>
        <w:rPr>
          <w:snapToGrid/>
          <w:szCs w:val="24"/>
          <w:lang w:val="lt-LT" w:eastAsia="x-none"/>
        </w:rPr>
      </w:pPr>
    </w:p>
    <w:p w:rsidR="00525BC3" w:rsidRPr="00AC1BAC" w:rsidRDefault="00525BC3" w:rsidP="00525BC3">
      <w:pPr>
        <w:widowControl w:val="0"/>
        <w:tabs>
          <w:tab w:val="clear" w:pos="567"/>
        </w:tabs>
        <w:spacing w:line="240" w:lineRule="auto"/>
        <w:rPr>
          <w:snapToGrid/>
          <w:szCs w:val="24"/>
          <w:lang w:val="lt-LT"/>
        </w:rPr>
      </w:pPr>
      <w:r w:rsidRPr="00AC1BAC">
        <w:rPr>
          <w:b/>
          <w:bCs/>
          <w:snapToGrid/>
          <w:szCs w:val="24"/>
          <w:lang w:val="lt-LT" w:eastAsia="x-none"/>
        </w:rPr>
        <w:t>Šis pakuotės lapelis</w:t>
      </w:r>
      <w:r w:rsidRPr="00AC1BAC">
        <w:rPr>
          <w:b/>
          <w:snapToGrid/>
          <w:szCs w:val="24"/>
          <w:lang w:val="lt-LT" w:eastAsia="x-none"/>
        </w:rPr>
        <w:t xml:space="preserve"> paskutinį kartą peržiūrėtas </w:t>
      </w:r>
      <w:r>
        <w:rPr>
          <w:b/>
          <w:lang w:val="lt-LT"/>
        </w:rPr>
        <w:t>2025-02-14.</w:t>
      </w:r>
    </w:p>
    <w:p w:rsidR="00525BC3" w:rsidRPr="00877683" w:rsidRDefault="00525BC3" w:rsidP="00525BC3">
      <w:pPr>
        <w:widowControl w:val="0"/>
        <w:tabs>
          <w:tab w:val="clear" w:pos="567"/>
        </w:tabs>
        <w:spacing w:line="240" w:lineRule="auto"/>
        <w:rPr>
          <w:b/>
          <w:lang w:val="lt-LT"/>
        </w:rPr>
      </w:pPr>
    </w:p>
    <w:p w:rsidR="00525BC3" w:rsidRPr="00AC1BAC" w:rsidRDefault="00525BC3" w:rsidP="00525BC3">
      <w:pPr>
        <w:widowControl w:val="0"/>
        <w:tabs>
          <w:tab w:val="clear" w:pos="567"/>
        </w:tabs>
        <w:spacing w:line="240" w:lineRule="auto"/>
        <w:rPr>
          <w:snapToGrid/>
          <w:szCs w:val="24"/>
          <w:lang w:val="lt-LT"/>
        </w:rPr>
      </w:pPr>
    </w:p>
    <w:p w:rsidR="00525BC3" w:rsidRPr="0086046F" w:rsidRDefault="00525BC3" w:rsidP="00525BC3">
      <w:pPr>
        <w:spacing w:line="240" w:lineRule="auto"/>
        <w:rPr>
          <w:szCs w:val="22"/>
          <w:lang w:val="lt-LT" w:eastAsia="lt-LT"/>
        </w:rPr>
      </w:pPr>
      <w:r w:rsidRPr="00AC1BAC">
        <w:rPr>
          <w:snapToGrid/>
          <w:szCs w:val="24"/>
          <w:lang w:val="lt-LT"/>
        </w:rPr>
        <w:t xml:space="preserve">Išsami informacija apie šį vaistą pateikiama Valstybinės vaistų kontrolės tarnybos prie Lietuvos Respublikos sveikatos apsaugos ministerijos tinklalapyje </w:t>
      </w:r>
      <w:r w:rsidRPr="0086046F">
        <w:rPr>
          <w:color w:val="0000EE"/>
          <w:szCs w:val="22"/>
          <w:u w:val="single"/>
          <w:lang w:val="lt-LT" w:eastAsia="lt-LT"/>
        </w:rPr>
        <w:t>https://vvkt.lrv.lt/lt/</w:t>
      </w:r>
      <w:r w:rsidRPr="0086046F">
        <w:rPr>
          <w:szCs w:val="22"/>
          <w:lang w:val="lt-LT" w:eastAsia="lt-LT"/>
        </w:rPr>
        <w:t>.</w:t>
      </w:r>
    </w:p>
    <w:p w:rsidR="00525BC3" w:rsidRPr="00AC1BAC" w:rsidRDefault="00525BC3" w:rsidP="00525BC3">
      <w:pPr>
        <w:widowControl w:val="0"/>
        <w:tabs>
          <w:tab w:val="clear" w:pos="567"/>
        </w:tabs>
        <w:spacing w:line="240" w:lineRule="auto"/>
        <w:rPr>
          <w:lang w:val="lt-LT"/>
        </w:rPr>
      </w:pPr>
    </w:p>
    <w:p w:rsidR="00BA6577" w:rsidRDefault="00BA6577">
      <w:bookmarkStart w:id="4" w:name="_GoBack"/>
      <w:bookmarkEnd w:id="4"/>
    </w:p>
    <w:sectPr w:rsidR="00BA6577" w:rsidSect="00146468">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gfa Rotis Sans Serif">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2E" w:rsidRDefault="00525BC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B7692E" w:rsidRDefault="00525BC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2E" w:rsidRPr="006F2779" w:rsidRDefault="00525BC3">
    <w:pPr>
      <w:pStyle w:val="Porat"/>
      <w:ind w:right="360"/>
      <w:jc w:val="center"/>
      <w:rPr>
        <w:rStyle w:val="Puslapionumeris"/>
        <w:lang w:val="lt-LT"/>
      </w:rPr>
    </w:pPr>
    <w:r w:rsidRPr="006F2779">
      <w:rPr>
        <w:rStyle w:val="Puslapionumeris"/>
        <w:lang w:val="lt-LT"/>
      </w:rPr>
      <w:fldChar w:fldCharType="begin"/>
    </w:r>
    <w:r w:rsidRPr="006F2779">
      <w:rPr>
        <w:rStyle w:val="Puslapionumeris"/>
        <w:lang w:val="lt-LT"/>
      </w:rPr>
      <w:instrText xml:space="preserve"> PAGE </w:instrText>
    </w:r>
    <w:r w:rsidRPr="006F2779">
      <w:rPr>
        <w:rStyle w:val="Puslapionumeris"/>
        <w:lang w:val="lt-LT"/>
      </w:rPr>
      <w:fldChar w:fldCharType="separate"/>
    </w:r>
    <w:r>
      <w:rPr>
        <w:rStyle w:val="Puslapionumeris"/>
        <w:noProof/>
        <w:lang w:val="lt-LT"/>
      </w:rPr>
      <w:t>10</w:t>
    </w:r>
    <w:r w:rsidRPr="006F2779">
      <w:rPr>
        <w:rStyle w:val="Puslapionumeris"/>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778" w:rsidRDefault="00525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7489E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C"/>
    <w:multiLevelType w:val="singleLevel"/>
    <w:tmpl w:val="0000000C"/>
    <w:lvl w:ilvl="0">
      <w:numFmt w:val="bullet"/>
      <w:lvlText w:val="-"/>
      <w:lvlJc w:val="left"/>
      <w:pPr>
        <w:tabs>
          <w:tab w:val="num" w:pos="360"/>
        </w:tabs>
        <w:ind w:left="360" w:hanging="360"/>
      </w:pPr>
      <w:rPr>
        <w:rFonts w:ascii="OpenSymbol" w:hAnsi="OpenSymbol"/>
      </w:rPr>
    </w:lvl>
  </w:abstractNum>
  <w:abstractNum w:abstractNumId="3" w15:restartNumberingAfterBreak="0">
    <w:nsid w:val="04850230"/>
    <w:multiLevelType w:val="hybridMultilevel"/>
    <w:tmpl w:val="D2BADFBC"/>
    <w:lvl w:ilvl="0" w:tplc="10000001">
      <w:start w:val="1"/>
      <w:numFmt w:val="bullet"/>
      <w:lvlText w:val=""/>
      <w:lvlJc w:val="left"/>
      <w:pPr>
        <w:ind w:left="720" w:hanging="360"/>
      </w:pPr>
      <w:rPr>
        <w:rFonts w:ascii="Symbol" w:hAnsi="Symbol" w:hint="default"/>
      </w:rPr>
    </w:lvl>
    <w:lvl w:ilvl="1" w:tplc="C108F748">
      <w:numFmt w:val="bullet"/>
      <w:lvlText w:val="•"/>
      <w:lvlJc w:val="left"/>
      <w:pPr>
        <w:ind w:left="1440" w:hanging="360"/>
      </w:pPr>
      <w:rPr>
        <w:rFonts w:ascii="Times New Roman" w:eastAsia="Times New Roman" w:hAnsi="Times New Roman" w:cs="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9831D50"/>
    <w:multiLevelType w:val="multilevel"/>
    <w:tmpl w:val="53DEDC72"/>
    <w:lvl w:ilvl="0">
      <w:start w:val="4"/>
      <w:numFmt w:val="bullet"/>
      <w:lvlText w:val="-"/>
      <w:lvlJc w:val="left"/>
      <w:pPr>
        <w:tabs>
          <w:tab w:val="num" w:pos="283"/>
        </w:tabs>
        <w:ind w:left="283" w:hanging="283"/>
      </w:pPr>
      <w:rPr>
        <w:rFonts w:ascii="Times New Roman" w:eastAsia="TimesNewRoman" w:hAnsi="Times New Roman" w:cs="Times New Roman" w:hint="default"/>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5" w15:restartNumberingAfterBreak="0">
    <w:nsid w:val="141928FC"/>
    <w:multiLevelType w:val="hybridMultilevel"/>
    <w:tmpl w:val="19FE7D88"/>
    <w:lvl w:ilvl="0" w:tplc="0410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A22B8"/>
    <w:multiLevelType w:val="hybridMultilevel"/>
    <w:tmpl w:val="4C2A767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34B54DBE"/>
    <w:multiLevelType w:val="hybridMultilevel"/>
    <w:tmpl w:val="8998FF62"/>
    <w:lvl w:ilvl="0" w:tplc="0000000C">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723D7E"/>
    <w:multiLevelType w:val="hybridMultilevel"/>
    <w:tmpl w:val="6DCE151A"/>
    <w:lvl w:ilvl="0" w:tplc="2C785190">
      <w:start w:val="1"/>
      <w:numFmt w:val="decimal"/>
      <w:lvlText w:val="%1."/>
      <w:lvlJc w:val="left"/>
      <w:pPr>
        <w:ind w:left="786"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10" w15:restartNumberingAfterBreak="0">
    <w:nsid w:val="7D8662EA"/>
    <w:multiLevelType w:val="hybridMultilevel"/>
    <w:tmpl w:val="E15E5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6"/>
  </w:num>
  <w:num w:numId="3">
    <w:abstractNumId w:val="0"/>
  </w:num>
  <w:num w:numId="4">
    <w:abstractNumId w:val="2"/>
  </w:num>
  <w:num w:numId="5">
    <w:abstractNumId w:val="7"/>
  </w:num>
  <w:num w:numId="6">
    <w:abstractNumId w:val="4"/>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C3"/>
    <w:rsid w:val="00072F85"/>
    <w:rsid w:val="000A5E72"/>
    <w:rsid w:val="000A7B60"/>
    <w:rsid w:val="00181364"/>
    <w:rsid w:val="002945D9"/>
    <w:rsid w:val="00305C48"/>
    <w:rsid w:val="003362C6"/>
    <w:rsid w:val="00497D4D"/>
    <w:rsid w:val="00525BC3"/>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99594-2531-433E-8B53-D9E26B4C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BC3"/>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25BC3"/>
    <w:pPr>
      <w:tabs>
        <w:tab w:val="center" w:pos="4536"/>
        <w:tab w:val="right" w:pos="8306"/>
      </w:tabs>
    </w:pPr>
    <w:rPr>
      <w:lang w:eastAsia="x-none"/>
    </w:rPr>
  </w:style>
  <w:style w:type="character" w:customStyle="1" w:styleId="PoratDiagrama">
    <w:name w:val="Poraštė Diagrama"/>
    <w:basedOn w:val="Numatytasispastraiposriftas"/>
    <w:link w:val="Porat"/>
    <w:rsid w:val="00525BC3"/>
    <w:rPr>
      <w:rFonts w:ascii="Times New Roman" w:eastAsia="Times New Roman" w:hAnsi="Times New Roman" w:cs="Times New Roman"/>
      <w:snapToGrid w:val="0"/>
      <w:szCs w:val="20"/>
      <w:lang w:val="en-GB" w:eastAsia="x-none"/>
    </w:rPr>
  </w:style>
  <w:style w:type="character" w:styleId="Puslapionumeris">
    <w:name w:val="page number"/>
    <w:rsid w:val="00525BC3"/>
    <w:rPr>
      <w:rFonts w:cs="Times New Roman"/>
    </w:rPr>
  </w:style>
  <w:style w:type="paragraph" w:styleId="Antrats">
    <w:name w:val="header"/>
    <w:basedOn w:val="prastasis"/>
    <w:link w:val="AntratsDiagrama"/>
    <w:rsid w:val="00525BC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525BC3"/>
    <w:rPr>
      <w:rFonts w:ascii="Times New Roman" w:eastAsia="SimSun" w:hAnsi="Times New Roman" w:cs="Times New Roman"/>
      <w:szCs w:val="20"/>
      <w:lang w:val="en-GB" w:eastAsia="zh-CN"/>
    </w:rPr>
  </w:style>
  <w:style w:type="paragraph" w:customStyle="1" w:styleId="Default">
    <w:name w:val="Default"/>
    <w:rsid w:val="00525BC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assuenkleliais">
    <w:name w:val="List Bullet"/>
    <w:basedOn w:val="prastasis"/>
    <w:uiPriority w:val="99"/>
    <w:unhideWhenUsed/>
    <w:rsid w:val="00525BC3"/>
    <w:pPr>
      <w:numPr>
        <w:numId w:val="3"/>
      </w:numPr>
      <w:contextualSpacing/>
    </w:pPr>
  </w:style>
  <w:style w:type="paragraph" w:styleId="Sraopastraipa">
    <w:name w:val="List Paragraph"/>
    <w:basedOn w:val="prastasis"/>
    <w:uiPriority w:val="34"/>
    <w:qFormat/>
    <w:rsid w:val="00525BC3"/>
    <w:pPr>
      <w:suppressAutoHyphens/>
      <w:ind w:left="720"/>
    </w:pPr>
    <w:rPr>
      <w:snapToGrid/>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17262</Words>
  <Characters>9840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2025-04-04T10:37:00Z</dcterms:created>
  <dcterms:modified xsi:type="dcterms:W3CDTF">2025-04-04T10:38:00Z</dcterms:modified>
</cp:coreProperties>
</file>