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3C" w:rsidRDefault="004C3D3C" w:rsidP="004C3D3C">
      <w:pPr>
        <w:widowControl w:val="0"/>
        <w:tabs>
          <w:tab w:val="clear" w:pos="567"/>
        </w:tabs>
        <w:spacing w:line="240" w:lineRule="auto"/>
        <w:ind w:left="567" w:hanging="567"/>
        <w:jc w:val="center"/>
        <w:rPr>
          <w:b/>
          <w:bCs/>
          <w:snapToGrid/>
          <w:szCs w:val="22"/>
          <w:lang w:val="lt-LT"/>
        </w:rPr>
      </w:pPr>
      <w:r>
        <w:rPr>
          <w:b/>
          <w:bCs/>
          <w:snapToGrid/>
          <w:szCs w:val="22"/>
          <w:lang w:val="lt-LT"/>
        </w:rPr>
        <w:t>Pakuotės lapelis: informacija pacientui</w:t>
      </w:r>
    </w:p>
    <w:p w:rsidR="004C3D3C" w:rsidRDefault="004C3D3C" w:rsidP="004C3D3C">
      <w:pPr>
        <w:widowControl w:val="0"/>
        <w:tabs>
          <w:tab w:val="clear" w:pos="567"/>
        </w:tabs>
        <w:spacing w:line="240" w:lineRule="auto"/>
        <w:ind w:left="567" w:hanging="567"/>
        <w:jc w:val="center"/>
        <w:rPr>
          <w:b/>
          <w:snapToGrid/>
          <w:szCs w:val="22"/>
          <w:lang w:val="lt-LT"/>
        </w:rPr>
      </w:pPr>
    </w:p>
    <w:p w:rsidR="004C3D3C" w:rsidRDefault="004C3D3C" w:rsidP="004C3D3C">
      <w:pPr>
        <w:widowControl w:val="0"/>
        <w:tabs>
          <w:tab w:val="clear" w:pos="567"/>
        </w:tabs>
        <w:autoSpaceDE w:val="0"/>
        <w:autoSpaceDN w:val="0"/>
        <w:adjustRightInd w:val="0"/>
        <w:spacing w:line="240" w:lineRule="auto"/>
        <w:jc w:val="center"/>
        <w:rPr>
          <w:b/>
          <w:bCs/>
          <w:snapToGrid/>
          <w:color w:val="000000"/>
          <w:szCs w:val="22"/>
          <w:lang w:val="lt-LT"/>
        </w:rPr>
      </w:pPr>
      <w:r>
        <w:rPr>
          <w:b/>
          <w:bCs/>
          <w:snapToGrid/>
          <w:color w:val="000000"/>
          <w:szCs w:val="22"/>
          <w:lang w:val="lt-LT"/>
        </w:rPr>
        <w:t>Asigefort 50 mg/850 mg plėvele dengtos tabletės</w:t>
      </w:r>
    </w:p>
    <w:p w:rsidR="004C3D3C" w:rsidRDefault="004C3D3C" w:rsidP="004C3D3C">
      <w:pPr>
        <w:widowControl w:val="0"/>
        <w:tabs>
          <w:tab w:val="clear" w:pos="567"/>
        </w:tabs>
        <w:autoSpaceDE w:val="0"/>
        <w:autoSpaceDN w:val="0"/>
        <w:adjustRightInd w:val="0"/>
        <w:spacing w:line="240" w:lineRule="auto"/>
        <w:jc w:val="center"/>
        <w:rPr>
          <w:b/>
          <w:bCs/>
          <w:snapToGrid/>
          <w:color w:val="000000"/>
          <w:szCs w:val="22"/>
          <w:lang w:val="lt-LT"/>
        </w:rPr>
      </w:pPr>
      <w:r>
        <w:rPr>
          <w:b/>
          <w:bCs/>
          <w:snapToGrid/>
          <w:color w:val="000000"/>
          <w:szCs w:val="22"/>
          <w:lang w:val="lt-LT"/>
        </w:rPr>
        <w:t>Asigefort 50 mg/1000 mg plėvele dengtos tabletės</w:t>
      </w:r>
    </w:p>
    <w:p w:rsidR="004C3D3C" w:rsidRDefault="004C3D3C" w:rsidP="004C3D3C">
      <w:pPr>
        <w:widowControl w:val="0"/>
        <w:tabs>
          <w:tab w:val="clear" w:pos="567"/>
        </w:tabs>
        <w:spacing w:line="240" w:lineRule="auto"/>
        <w:ind w:left="567" w:hanging="567"/>
        <w:jc w:val="center"/>
        <w:rPr>
          <w:snapToGrid/>
          <w:szCs w:val="22"/>
          <w:lang w:val="lt-LT"/>
        </w:rPr>
      </w:pPr>
      <w:r>
        <w:rPr>
          <w:snapToGrid/>
          <w:szCs w:val="22"/>
          <w:lang w:val="lt-LT"/>
        </w:rPr>
        <w:t>sitagliptinas/metformino hidrochloridas</w:t>
      </w:r>
    </w:p>
    <w:p w:rsidR="004C3D3C" w:rsidRDefault="004C3D3C" w:rsidP="004C3D3C">
      <w:pPr>
        <w:widowControl w:val="0"/>
        <w:tabs>
          <w:tab w:val="clear" w:pos="567"/>
        </w:tabs>
        <w:spacing w:line="240" w:lineRule="auto"/>
        <w:ind w:left="567" w:hanging="567"/>
        <w:jc w:val="center"/>
        <w:rPr>
          <w:snapToGrid/>
          <w:szCs w:val="22"/>
          <w:lang w:val="lt-LT"/>
        </w:rPr>
      </w:pPr>
    </w:p>
    <w:p w:rsidR="004C3D3C" w:rsidRDefault="004C3D3C" w:rsidP="004C3D3C">
      <w:pPr>
        <w:widowControl w:val="0"/>
        <w:tabs>
          <w:tab w:val="clear" w:pos="567"/>
        </w:tabs>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rsidR="004C3D3C" w:rsidRDefault="004C3D3C" w:rsidP="004C3D3C">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rsidR="004C3D3C" w:rsidRDefault="004C3D3C" w:rsidP="004C3D3C">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vaistininką.</w:t>
      </w:r>
    </w:p>
    <w:p w:rsidR="004C3D3C" w:rsidRDefault="004C3D3C" w:rsidP="004C3D3C">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Šis vaistas skirtas tik Jums, todėl kitiems žmonėms jo duoti negalima. Vaistas gali jiems pakenkti (net tiems, kurių ligos požymiai yra tokie patys kaip Jūsų).</w:t>
      </w:r>
    </w:p>
    <w:p w:rsidR="004C3D3C" w:rsidRDefault="004C3D3C" w:rsidP="004C3D3C">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vaistininką. Žr. 4 skyrių.</w:t>
      </w:r>
    </w:p>
    <w:p w:rsidR="004C3D3C" w:rsidRDefault="004C3D3C" w:rsidP="004C3D3C">
      <w:pPr>
        <w:widowControl w:val="0"/>
        <w:autoSpaceDE w:val="0"/>
        <w:autoSpaceDN w:val="0"/>
        <w:adjustRightInd w:val="0"/>
        <w:spacing w:line="240" w:lineRule="auto"/>
        <w:ind w:left="567" w:hanging="567"/>
        <w:rPr>
          <w:bCs/>
          <w:snapToGrid/>
          <w:szCs w:val="22"/>
          <w:lang w:val="lt-LT"/>
        </w:rPr>
      </w:pPr>
    </w:p>
    <w:p w:rsidR="004C3D3C" w:rsidRDefault="004C3D3C" w:rsidP="004C3D3C">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rsidR="004C3D3C" w:rsidRDefault="004C3D3C" w:rsidP="004C3D3C">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Kas yra Asigefort ir kam jis vartojamas</w:t>
      </w:r>
    </w:p>
    <w:p w:rsidR="004C3D3C" w:rsidRDefault="004C3D3C" w:rsidP="004C3D3C">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Kas žinotina prieš vartojant Asigefort</w:t>
      </w:r>
    </w:p>
    <w:p w:rsidR="004C3D3C" w:rsidRDefault="004C3D3C" w:rsidP="004C3D3C">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Kaip vartoti Asigefort</w:t>
      </w:r>
    </w:p>
    <w:p w:rsidR="004C3D3C" w:rsidRDefault="004C3D3C" w:rsidP="004C3D3C">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rsidR="004C3D3C" w:rsidRDefault="004C3D3C" w:rsidP="004C3D3C">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Kaip laikyti Asigefort</w:t>
      </w:r>
    </w:p>
    <w:p w:rsidR="004C3D3C" w:rsidRDefault="004C3D3C" w:rsidP="004C3D3C">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rsidR="004C3D3C" w:rsidRDefault="004C3D3C" w:rsidP="004C3D3C">
      <w:pPr>
        <w:widowControl w:val="0"/>
        <w:numPr>
          <w:ilvl w:val="12"/>
          <w:numId w:val="0"/>
        </w:numPr>
        <w:tabs>
          <w:tab w:val="clear" w:pos="567"/>
        </w:tabs>
        <w:spacing w:line="240" w:lineRule="auto"/>
        <w:rPr>
          <w:snapToGrid/>
          <w:szCs w:val="22"/>
          <w:lang w:val="lt-LT"/>
        </w:rPr>
      </w:pPr>
    </w:p>
    <w:p w:rsidR="004C3D3C" w:rsidRDefault="004C3D3C" w:rsidP="004C3D3C">
      <w:pPr>
        <w:widowControl w:val="0"/>
        <w:numPr>
          <w:ilvl w:val="12"/>
          <w:numId w:val="0"/>
        </w:numPr>
        <w:tabs>
          <w:tab w:val="clear" w:pos="567"/>
        </w:tabs>
        <w:spacing w:line="240" w:lineRule="auto"/>
        <w:rPr>
          <w:snapToGrid/>
          <w:szCs w:val="22"/>
          <w:lang w:val="lt-LT"/>
        </w:rPr>
      </w:pPr>
    </w:p>
    <w:p w:rsidR="004C3D3C" w:rsidRDefault="004C3D3C" w:rsidP="004C3D3C">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r>
        <w:rPr>
          <w:b/>
          <w:bCs/>
          <w:snapToGrid/>
          <w:szCs w:val="22"/>
          <w:lang w:val="lt-LT"/>
        </w:rPr>
        <w:t xml:space="preserve">Asigefort </w:t>
      </w:r>
      <w:r>
        <w:rPr>
          <w:b/>
          <w:snapToGrid/>
          <w:szCs w:val="22"/>
          <w:lang w:val="lt-LT"/>
        </w:rPr>
        <w:t>ir kam jis vartojamas</w:t>
      </w:r>
    </w:p>
    <w:p w:rsidR="004C3D3C" w:rsidRDefault="004C3D3C" w:rsidP="004C3D3C">
      <w:pPr>
        <w:widowControl w:val="0"/>
        <w:tabs>
          <w:tab w:val="clear" w:pos="567"/>
        </w:tabs>
        <w:spacing w:line="240" w:lineRule="auto"/>
        <w:ind w:left="567" w:hanging="567"/>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Asigefort sudėtyje yra du skirtingi vaistai, vadinami sitagliptinu ir metforminu.</w:t>
      </w:r>
    </w:p>
    <w:p w:rsidR="004C3D3C" w:rsidRDefault="004C3D3C" w:rsidP="004C3D3C">
      <w:pPr>
        <w:widowControl w:val="0"/>
        <w:numPr>
          <w:ilvl w:val="0"/>
          <w:numId w:val="4"/>
        </w:numPr>
        <w:tabs>
          <w:tab w:val="clear" w:pos="567"/>
        </w:tabs>
        <w:autoSpaceDE w:val="0"/>
        <w:autoSpaceDN w:val="0"/>
        <w:adjustRightInd w:val="0"/>
        <w:spacing w:line="240" w:lineRule="auto"/>
        <w:ind w:left="567" w:hanging="567"/>
        <w:rPr>
          <w:snapToGrid/>
          <w:szCs w:val="22"/>
          <w:lang w:val="lt-LT"/>
        </w:rPr>
      </w:pPr>
      <w:r>
        <w:rPr>
          <w:snapToGrid/>
          <w:szCs w:val="22"/>
          <w:lang w:val="lt-LT"/>
        </w:rPr>
        <w:t>Sitagliptinas priklauso vaistų, vadinamų DPP-4 inhibitoriais (dipeptidilpeptidazės-4 inhibitoriais), klasei.</w:t>
      </w:r>
    </w:p>
    <w:p w:rsidR="004C3D3C" w:rsidRDefault="004C3D3C" w:rsidP="004C3D3C">
      <w:pPr>
        <w:widowControl w:val="0"/>
        <w:numPr>
          <w:ilvl w:val="0"/>
          <w:numId w:val="4"/>
        </w:numPr>
        <w:tabs>
          <w:tab w:val="clear" w:pos="567"/>
        </w:tabs>
        <w:autoSpaceDE w:val="0"/>
        <w:autoSpaceDN w:val="0"/>
        <w:adjustRightInd w:val="0"/>
        <w:spacing w:line="240" w:lineRule="auto"/>
        <w:ind w:left="567" w:hanging="567"/>
        <w:rPr>
          <w:snapToGrid/>
          <w:szCs w:val="22"/>
          <w:lang w:val="lt-LT"/>
        </w:rPr>
      </w:pPr>
      <w:r>
        <w:rPr>
          <w:snapToGrid/>
          <w:szCs w:val="22"/>
          <w:lang w:val="lt-LT"/>
        </w:rPr>
        <w:t>Metforminas priklauso vaistų, vadinamų biguanidais, klasei.</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Veikdami kartu, jie reguliuoja cukraus kiekį kraujyje suaugusiems pacientams, sergantiems cukrinio diabeto forma, vadinama 2 tipo cukriniu diabetu. Šis vaistas padeda padidinti po valgio išskiriamo insulino kiekį ir sumažina organizmo gaminamo cukraus kiekį.</w:t>
      </w:r>
      <w:r>
        <w:rPr>
          <w:snapToGrid/>
          <w:szCs w:val="22"/>
          <w:lang w:val="lt-LT"/>
        </w:rPr>
        <w:cr/>
      </w:r>
    </w:p>
    <w:p w:rsidR="004C3D3C" w:rsidRDefault="004C3D3C" w:rsidP="004C3D3C">
      <w:pPr>
        <w:widowControl w:val="0"/>
        <w:tabs>
          <w:tab w:val="clear" w:pos="567"/>
        </w:tabs>
        <w:autoSpaceDE w:val="0"/>
        <w:autoSpaceDN w:val="0"/>
        <w:adjustRightInd w:val="0"/>
        <w:spacing w:line="240" w:lineRule="auto"/>
        <w:rPr>
          <w:snapToGrid/>
          <w:szCs w:val="24"/>
          <w:lang w:val="lt-LT"/>
        </w:rPr>
      </w:pPr>
      <w:r>
        <w:rPr>
          <w:snapToGrid/>
          <w:szCs w:val="22"/>
          <w:lang w:val="lt-LT"/>
        </w:rPr>
        <w:t xml:space="preserve">Šis vaistas kartu su dieta ir fiziniu krūviu padeda mažinti cukraus kiekį kraujyje. </w:t>
      </w:r>
      <w:r>
        <w:rPr>
          <w:snapToGrid/>
          <w:szCs w:val="24"/>
          <w:lang w:val="lt-LT"/>
        </w:rPr>
        <w:t>Šis vaistas gali būti vartojamas vienas arba kartu su kitais cukraus kiekį kraujyje mažinančiais vaistais (insulinu, sulfonilurėjos dariniais ar glitazonais).</w:t>
      </w:r>
    </w:p>
    <w:p w:rsidR="004C3D3C" w:rsidRDefault="004C3D3C" w:rsidP="004C3D3C">
      <w:pPr>
        <w:widowControl w:val="0"/>
        <w:tabs>
          <w:tab w:val="clear" w:pos="567"/>
        </w:tabs>
        <w:autoSpaceDE w:val="0"/>
        <w:autoSpaceDN w:val="0"/>
        <w:adjustRightInd w:val="0"/>
        <w:spacing w:line="240" w:lineRule="auto"/>
        <w:rPr>
          <w:snapToGrid/>
          <w:szCs w:val="24"/>
          <w:lang w:val="lt-LT"/>
        </w:rPr>
      </w:pPr>
    </w:p>
    <w:p w:rsidR="004C3D3C" w:rsidRDefault="004C3D3C" w:rsidP="004C3D3C">
      <w:pPr>
        <w:widowControl w:val="0"/>
        <w:tabs>
          <w:tab w:val="clear" w:pos="567"/>
        </w:tabs>
        <w:autoSpaceDE w:val="0"/>
        <w:autoSpaceDN w:val="0"/>
        <w:adjustRightInd w:val="0"/>
        <w:spacing w:line="240" w:lineRule="auto"/>
        <w:rPr>
          <w:iCs/>
          <w:snapToGrid/>
          <w:szCs w:val="22"/>
          <w:lang w:val="lt-LT"/>
        </w:rPr>
      </w:pPr>
      <w:r>
        <w:rPr>
          <w:iCs/>
          <w:snapToGrid/>
          <w:szCs w:val="22"/>
          <w:lang w:val="lt-LT"/>
        </w:rPr>
        <w:t>Kas yra 2 tipo cukrinis diabetas?</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2 tipo cukrinis diabetas yra būklė, kai Jūsų organizmas gamina nepakankamai insulino, o tas insulinas, kurį organizmas pagamina, neveikia taip gerai, kaip turėtų veikti. Be to, Jūsų organizmas gali gaminti per daug cukraus. Kai taip atsitinka, kraujyje cukraus (gliukozės) kiekis padidėja. Tai gali sukelti sunkių sveikatos sutrikimų, įskaitant širdies ligas, inkstų ligas, aklumą ar galūnių amputaciją.</w:t>
      </w:r>
    </w:p>
    <w:p w:rsidR="004C3D3C" w:rsidRDefault="004C3D3C" w:rsidP="004C3D3C">
      <w:pPr>
        <w:widowControl w:val="0"/>
        <w:numPr>
          <w:ilvl w:val="12"/>
          <w:numId w:val="0"/>
        </w:numPr>
        <w:tabs>
          <w:tab w:val="clear" w:pos="567"/>
        </w:tabs>
        <w:spacing w:line="240" w:lineRule="auto"/>
        <w:rPr>
          <w:snapToGrid/>
          <w:szCs w:val="22"/>
          <w:lang w:val="lt-LT"/>
        </w:rPr>
      </w:pPr>
    </w:p>
    <w:p w:rsidR="004C3D3C" w:rsidRDefault="004C3D3C" w:rsidP="004C3D3C">
      <w:pPr>
        <w:widowControl w:val="0"/>
        <w:numPr>
          <w:ilvl w:val="12"/>
          <w:numId w:val="0"/>
        </w:numPr>
        <w:tabs>
          <w:tab w:val="clear" w:pos="567"/>
        </w:tabs>
        <w:spacing w:line="240" w:lineRule="auto"/>
        <w:rPr>
          <w:snapToGrid/>
          <w:szCs w:val="22"/>
          <w:lang w:val="lt-LT"/>
        </w:rPr>
      </w:pPr>
    </w:p>
    <w:p w:rsidR="004C3D3C" w:rsidRDefault="004C3D3C" w:rsidP="004C3D3C">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r>
        <w:rPr>
          <w:b/>
          <w:bCs/>
          <w:snapToGrid/>
          <w:szCs w:val="22"/>
          <w:lang w:val="lt-LT"/>
        </w:rPr>
        <w:t>Asigefort</w:t>
      </w:r>
    </w:p>
    <w:p w:rsidR="004C3D3C" w:rsidRDefault="004C3D3C" w:rsidP="004C3D3C">
      <w:pPr>
        <w:widowControl w:val="0"/>
        <w:tabs>
          <w:tab w:val="clear" w:pos="567"/>
        </w:tabs>
        <w:spacing w:line="240" w:lineRule="auto"/>
        <w:ind w:left="567" w:hanging="567"/>
        <w:rPr>
          <w:snapToGrid/>
          <w:szCs w:val="22"/>
          <w:lang w:val="lt-LT"/>
        </w:rPr>
      </w:pPr>
    </w:p>
    <w:p w:rsidR="004C3D3C" w:rsidRDefault="004C3D3C" w:rsidP="004C3D3C">
      <w:pPr>
        <w:widowControl w:val="0"/>
        <w:tabs>
          <w:tab w:val="clear" w:pos="567"/>
        </w:tabs>
        <w:spacing w:line="240" w:lineRule="auto"/>
        <w:ind w:left="567" w:hanging="567"/>
        <w:rPr>
          <w:b/>
          <w:bCs/>
          <w:caps/>
          <w:snapToGrid/>
          <w:szCs w:val="22"/>
          <w:lang w:val="lt-LT"/>
        </w:rPr>
      </w:pPr>
      <w:r>
        <w:rPr>
          <w:b/>
          <w:bCs/>
          <w:snapToGrid/>
          <w:szCs w:val="22"/>
          <w:lang w:val="lt-LT"/>
        </w:rPr>
        <w:t>Asigefort vartoti draudžiama:</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alergija veikliosioms medžiagoms arba bet kuriai pagalbinei šio vaisto medžiagai (jos išvardytos 6 skyriuje);</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labai susilpnėjusi inkstų funkcija;</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sergate nesureguliuotu cukriniu diabetu, pvz., yra sunki hiperglikemija (didelis gliukozės kiekis kraujyje), pasireiškia pykinimas, vėmimas, viduriavimas, greitas kūno svorio mažėjimas, pieno rūgšties acidozė (žr. „Pieno rūgšties acidozės rizika“ toliau) arba ketoacidozė. Ketoacidozė yra būklė, kai kraujyje kaupiasi medžiagos, vadinamos „ketoniniais kūnais“, ji gali </w:t>
      </w:r>
      <w:r>
        <w:rPr>
          <w:snapToGrid/>
          <w:szCs w:val="22"/>
          <w:lang w:val="lt-LT"/>
        </w:rPr>
        <w:lastRenderedPageBreak/>
        <w:t>sukelti diabetinę prieškominę būklę. Galimi simptomai yra pilvo skausmas, dažnas ir gilus kvėpavimas, mieguistumas arba neįprastas vaisių kvapas iš burnos;</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sunki infekcija arba skysčio trūkumas organizme;</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numatoma atlikti rentgenologinį tyrimą, kurio metu Jums bus sušvirkšta dažo. Jums reikės nutraukti Asigefort vartojimą rentgenologinio tyrimo metu ir 2 ar daugiau dienų po jo, kiek nurodys gydytojas, atsižvelgdamas į Jūsų inkstų funkciją;</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neseniai patyrėte širdies priepuolį arba buvo sunkių kraujotakos sutrikimų, tokių kaip šokas arba apsunkintas kvėpavimas;</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yra sutrikusi kepenų funkcija;</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nesaikingai vartojate alkoholio (arba kiekvieną dieną, arba tik kartais);</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maitinate krūtimi.</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Jeigu bet kuri paminėta būklė Jums tinka, Asigefort nevartokite ir pasitarkite su gydytoju apie kitus Jūsų cukrinio diabeto gydymo būdus. Jeigu abejojate, kreipkitės į gydytoją, vaistininką arba slaugytoją, prieš pradėdami vartoti Asigefort.</w:t>
      </w:r>
      <w:r>
        <w:rPr>
          <w:snapToGrid/>
          <w:szCs w:val="22"/>
          <w:lang w:val="lt-LT"/>
        </w:rPr>
        <w:cr/>
      </w:r>
    </w:p>
    <w:p w:rsidR="004C3D3C" w:rsidRDefault="004C3D3C" w:rsidP="004C3D3C">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rsidR="004C3D3C" w:rsidRDefault="004C3D3C" w:rsidP="004C3D3C">
      <w:pPr>
        <w:widowControl w:val="0"/>
        <w:numPr>
          <w:ilvl w:val="12"/>
          <w:numId w:val="0"/>
        </w:numPr>
        <w:tabs>
          <w:tab w:val="clear" w:pos="567"/>
        </w:tabs>
        <w:spacing w:line="240" w:lineRule="auto"/>
        <w:rPr>
          <w:snapToGrid/>
          <w:szCs w:val="22"/>
          <w:lang w:val="lt-LT"/>
        </w:rPr>
      </w:pPr>
      <w:r>
        <w:rPr>
          <w:snapToGrid/>
          <w:szCs w:val="22"/>
          <w:lang w:val="lt-LT"/>
        </w:rPr>
        <w:t>Pranešta apie kasos uždegimo (pankreatito) atvejus vartojusiems pacientams sitagliptino ir metformino derinį (žr. 4 skyrių).</w:t>
      </w:r>
    </w:p>
    <w:p w:rsidR="004C3D3C" w:rsidRDefault="004C3D3C" w:rsidP="004C3D3C">
      <w:pPr>
        <w:widowControl w:val="0"/>
        <w:numPr>
          <w:ilvl w:val="12"/>
          <w:numId w:val="0"/>
        </w:numPr>
        <w:tabs>
          <w:tab w:val="clear" w:pos="567"/>
        </w:tabs>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Jeigu ant odos atsiranda pūslių, tai gali būti pūsliniu pemfigoidu vadinamos būklės požymis. Gydytojas gali Jums nurodyti nutraukti Asigefort vartojimą.</w:t>
      </w:r>
    </w:p>
    <w:p w:rsidR="004C3D3C" w:rsidRDefault="004C3D3C" w:rsidP="004C3D3C">
      <w:pPr>
        <w:widowControl w:val="0"/>
        <w:numPr>
          <w:ilvl w:val="12"/>
          <w:numId w:val="0"/>
        </w:numPr>
        <w:tabs>
          <w:tab w:val="clear" w:pos="567"/>
        </w:tabs>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b/>
          <w:bCs/>
          <w:snapToGrid/>
          <w:szCs w:val="22"/>
          <w:u w:val="single"/>
          <w:lang w:val="lt-LT"/>
        </w:rPr>
      </w:pPr>
      <w:r>
        <w:rPr>
          <w:b/>
          <w:bCs/>
          <w:snapToGrid/>
          <w:szCs w:val="22"/>
          <w:u w:val="single"/>
          <w:lang w:val="lt-LT"/>
        </w:rPr>
        <w:t>Pieno rūgšties acidozės rizika</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Asigefort gali sukelti labai retą, bet labai sunkų šalutinį poveikį, vadinamą pieno rūgšties acidoze, ypač jei Jūsų inkstai neveikia tinkamai. Pieno rūgšties acidozės pasireiškimo rizika padidėja ir esant nesureguliuotam cukriniam diabetui, sunkioms infekcijoms, ilgalaikiam badavimui arba piktnaudžiavimui alkoholiu, dehidratacijai (žr. informaciją toliau), kepenų sutrikimams ir bet kurioms sveikatos būklėms, kai sumažėja organizmo dalies aprūpinimas deguonimi (pvz., ūminei sunkiai širdies ligai).</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Jeigu Jums tinka bent viena iš paminėtų būklių, kreipkitės į gydytoją dėl tolesnių nurodymų.</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b/>
          <w:bCs/>
          <w:snapToGrid/>
          <w:szCs w:val="22"/>
          <w:lang w:val="lt-LT"/>
        </w:rPr>
        <w:t>Trumpam nutraukite Asigefort vartojimą, jeigu Jums yra būklė, kuri gali būti susijusi su dehidratacija</w:t>
      </w:r>
      <w:r>
        <w:rPr>
          <w:snapToGrid/>
          <w:szCs w:val="22"/>
          <w:lang w:val="lt-LT"/>
        </w:rPr>
        <w:t xml:space="preserve"> (reikšmingu organizmo skysčių netekimu), pvz., sunkus vėmimas, viduriavimas, karščiavimas, karščio poveikis arba mažesnis nei įprastai skysčių suvartojimas. Kreipkitės į gydytoją dėl tolesnių nurodymų.</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b/>
          <w:bCs/>
          <w:snapToGrid/>
          <w:szCs w:val="22"/>
          <w:lang w:val="lt-LT"/>
        </w:rPr>
        <w:t>Nutraukite Asigefort vartojimą ir nedelsdami kreipkitės į gydytoją arba artimiausią ligoninę, jeigu Jums pasireiškė pieno rūgšties acidozės simptomų</w:t>
      </w:r>
      <w:r>
        <w:rPr>
          <w:snapToGrid/>
          <w:szCs w:val="22"/>
          <w:lang w:val="lt-LT"/>
        </w:rPr>
        <w:t>, nes ši būklė gali sukelti komą.</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Galimi pieno rūgšties acidozės simptomai yra:</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vėmimas;</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skrandžio skausmas (pilvo skausmas);</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raumenų mėšlungis;</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bendrasis blogos savijautos pojūtis su dideliu nuovargiu;</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pasunkėjęs kvėpavimas;</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sumažėjusi kūno temperatūra ir suretėjęs širdies plakimas.</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Pieno rūgšties acidozė yra pavojinga medicininė būklė, kuri turi būti gydoma ligoninėje.</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Pr="006F2394" w:rsidRDefault="004C3D3C" w:rsidP="004C3D3C">
      <w:pPr>
        <w:widowControl w:val="0"/>
        <w:tabs>
          <w:tab w:val="clear" w:pos="567"/>
        </w:tabs>
        <w:autoSpaceDE w:val="0"/>
        <w:autoSpaceDN w:val="0"/>
        <w:adjustRightInd w:val="0"/>
        <w:spacing w:line="240" w:lineRule="auto"/>
        <w:rPr>
          <w:lang w:val="lt-LT"/>
        </w:rPr>
      </w:pPr>
      <w:bookmarkStart w:id="0" w:name="_Hlk192247039"/>
      <w:r w:rsidRPr="006F2394">
        <w:rPr>
          <w:lang w:val="lt-LT"/>
        </w:rPr>
        <w:t>Nedelsdami kreipkitės į gydytoją dėl tolesnių nurodymų, jeigu:</w:t>
      </w:r>
    </w:p>
    <w:p w:rsidR="004C3D3C" w:rsidRPr="006F2394" w:rsidRDefault="004C3D3C" w:rsidP="004C3D3C">
      <w:pPr>
        <w:numPr>
          <w:ilvl w:val="0"/>
          <w:numId w:val="8"/>
        </w:numPr>
        <w:tabs>
          <w:tab w:val="clear" w:pos="567"/>
        </w:tabs>
        <w:spacing w:after="160" w:line="259" w:lineRule="auto"/>
        <w:ind w:left="567" w:hanging="567"/>
        <w:contextualSpacing/>
        <w:rPr>
          <w:rFonts w:eastAsia="Calibri"/>
          <w:b/>
          <w:bCs/>
          <w:snapToGrid/>
          <w:kern w:val="2"/>
          <w:szCs w:val="22"/>
          <w:lang w:val="lt-LT"/>
          <w14:ligatures w14:val="standardContextual"/>
        </w:rPr>
      </w:pPr>
      <w:r w:rsidRPr="006F2394">
        <w:rPr>
          <w:lang w:val="lt-LT"/>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p>
    <w:p w:rsidR="004C3D3C" w:rsidRPr="006F2394" w:rsidRDefault="004C3D3C" w:rsidP="004C3D3C">
      <w:pPr>
        <w:numPr>
          <w:ilvl w:val="0"/>
          <w:numId w:val="8"/>
        </w:numPr>
        <w:tabs>
          <w:tab w:val="clear" w:pos="567"/>
        </w:tabs>
        <w:spacing w:after="160" w:line="259" w:lineRule="auto"/>
        <w:ind w:left="567" w:hanging="567"/>
        <w:contextualSpacing/>
        <w:rPr>
          <w:rFonts w:eastAsia="Calibri"/>
          <w:b/>
          <w:bCs/>
          <w:snapToGrid/>
          <w:kern w:val="2"/>
          <w:szCs w:val="22"/>
          <w:lang w:val="lt-LT"/>
          <w14:ligatures w14:val="standardContextual"/>
        </w:rPr>
      </w:pPr>
      <w:r w:rsidRPr="006F2394">
        <w:rPr>
          <w:lang w:val="lt-LT"/>
        </w:rPr>
        <w:t>Pradėjus vartoti metforminą, Jums pasireiškė bet kuris iš šių simptomų: traukulių priepuolis, pablogėjo pažintiniai gebėjimai, sutriko kūno judesiai, atsirado simptomų, rodančių nervų pažeidimą (pvz., skausmas arba tirpimas), migrena ir kurtumas.</w:t>
      </w:r>
    </w:p>
    <w:bookmarkEnd w:id="0"/>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Pasitarkite su gydytoju arba vaistininku, jeigu:</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sergate arba anksčiau sirgote kasos liga (pavyzdžiui, pankreatitu);</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yra arba anksčiau buvo tulžies akmenų, priklausomybė nuo alkoholio ar labai didelis trigliceridų (tam tikros rūšies riebalų) kiekis kraujyje. Šie sutrikimai gali padidinti riziką susirgti pankreatitu (žr. 4 skyrių);</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sergate 1 tipo cukriniu diabetu (kartais vadinamu nuo insulino priklausomu cukriniu diabetu);</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yra arba anksčiau buvo alerginė reakcija į sitagliptiną, metforminą arba Asigefort (žr. 4 skyrių);</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kartu su Asigefort vartojate vaistų cukriniam diabetui gydyti sulfonilurėjos darinių arba insulino, kadangi cukraus kiekis kraujyje gali tapti mažas (pasireikšti hipoglikemija). Gydytojas gali sumažinti vartojamo sulfonilurėjos darinio arba insulino dozę.</w:t>
      </w:r>
    </w:p>
    <w:p w:rsidR="004C3D3C" w:rsidRDefault="004C3D3C" w:rsidP="004C3D3C">
      <w:pPr>
        <w:widowControl w:val="0"/>
        <w:autoSpaceDE w:val="0"/>
        <w:autoSpaceDN w:val="0"/>
        <w:adjustRightInd w:val="0"/>
        <w:spacing w:line="240" w:lineRule="auto"/>
        <w:ind w:left="567" w:hanging="567"/>
        <w:rPr>
          <w:snapToGrid/>
          <w:szCs w:val="22"/>
          <w:lang w:val="lt-LT"/>
        </w:rPr>
      </w:pPr>
    </w:p>
    <w:p w:rsidR="004C3D3C" w:rsidRDefault="004C3D3C" w:rsidP="004C3D3C">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Jeigu Jums reikia atlikti didelę operaciją, Asigefort vartojimą turite nutraukti procedūros metu ir tam tikrą laikotarpį po procedūros. Gydytojas nuspręs, kada turite nutraukti ir atnaujinti gydymą Asigefort.</w:t>
      </w:r>
    </w:p>
    <w:p w:rsidR="004C3D3C" w:rsidRDefault="004C3D3C" w:rsidP="004C3D3C">
      <w:pPr>
        <w:widowControl w:val="0"/>
        <w:tabs>
          <w:tab w:val="clear" w:pos="567"/>
          <w:tab w:val="left" w:pos="0"/>
        </w:tabs>
        <w:autoSpaceDE w:val="0"/>
        <w:autoSpaceDN w:val="0"/>
        <w:adjustRightInd w:val="0"/>
        <w:spacing w:line="240" w:lineRule="auto"/>
        <w:rPr>
          <w:snapToGrid/>
          <w:szCs w:val="22"/>
          <w:lang w:val="lt-LT"/>
        </w:rPr>
      </w:pPr>
    </w:p>
    <w:p w:rsidR="004C3D3C" w:rsidRDefault="004C3D3C" w:rsidP="004C3D3C">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Jeigu nesate tikri, ar kuri nors iš išvardytų būklių Jums tinka, pasitarkite su gydytoju ar vaistininku prieš pradėdami vartoti Asigefort.</w:t>
      </w:r>
    </w:p>
    <w:p w:rsidR="004C3D3C" w:rsidRDefault="004C3D3C" w:rsidP="004C3D3C">
      <w:pPr>
        <w:widowControl w:val="0"/>
        <w:tabs>
          <w:tab w:val="clear" w:pos="567"/>
          <w:tab w:val="left" w:pos="0"/>
        </w:tabs>
        <w:autoSpaceDE w:val="0"/>
        <w:autoSpaceDN w:val="0"/>
        <w:adjustRightInd w:val="0"/>
        <w:spacing w:line="240" w:lineRule="auto"/>
        <w:rPr>
          <w:snapToGrid/>
          <w:szCs w:val="22"/>
          <w:lang w:val="lt-LT"/>
        </w:rPr>
      </w:pPr>
    </w:p>
    <w:p w:rsidR="004C3D3C" w:rsidRDefault="004C3D3C" w:rsidP="004C3D3C">
      <w:pPr>
        <w:widowControl w:val="0"/>
        <w:tabs>
          <w:tab w:val="clear" w:pos="567"/>
          <w:tab w:val="left" w:pos="0"/>
        </w:tabs>
        <w:autoSpaceDE w:val="0"/>
        <w:autoSpaceDN w:val="0"/>
        <w:adjustRightInd w:val="0"/>
        <w:spacing w:line="240" w:lineRule="auto"/>
        <w:rPr>
          <w:snapToGrid/>
          <w:szCs w:val="22"/>
          <w:lang w:val="lt-LT"/>
        </w:rPr>
      </w:pPr>
      <w:r>
        <w:rPr>
          <w:snapToGrid/>
          <w:szCs w:val="22"/>
          <w:lang w:val="lt-LT"/>
        </w:rPr>
        <w:t>Jeigu esate senyvi ir (arba) Jūsų inkstų funkcija blogėja, gydymo Asigefort metu gydytojas tikrins Jūsų inkstų funkciją ne rečiau kaip kartą per metus arba dažniau.</w:t>
      </w:r>
    </w:p>
    <w:p w:rsidR="004C3D3C" w:rsidRDefault="004C3D3C" w:rsidP="004C3D3C">
      <w:pPr>
        <w:widowControl w:val="0"/>
        <w:tabs>
          <w:tab w:val="clear" w:pos="567"/>
          <w:tab w:val="left" w:pos="0"/>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Vaikams ir paaugliams</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Vaikams ir jaunesniems kaip 18 metų paaugliams šio vaisto vartoti </w:t>
      </w:r>
      <w:r>
        <w:rPr>
          <w:rFonts w:eastAsia="TimesNewRoman"/>
          <w:snapToGrid/>
          <w:szCs w:val="22"/>
          <w:lang w:val="lt-LT"/>
        </w:rPr>
        <w:t>negalima.</w:t>
      </w:r>
      <w:r>
        <w:rPr>
          <w:rFonts w:eastAsia="TimesNewRoman,Bold"/>
          <w:snapToGrid/>
          <w:szCs w:val="22"/>
          <w:lang w:val="lt-LT"/>
        </w:rPr>
        <w:t xml:space="preserve"> Jis nėra veiksmingas vaikams ir paaugliams nuo 10 iki 17 metų. Ar jaunesniems kaip 10 metų vaikams vaistą vartoti būtų saugu ir veiksminga, nėra žinoma.</w:t>
      </w:r>
    </w:p>
    <w:p w:rsidR="004C3D3C" w:rsidRDefault="004C3D3C" w:rsidP="004C3D3C">
      <w:pPr>
        <w:widowControl w:val="0"/>
        <w:numPr>
          <w:ilvl w:val="12"/>
          <w:numId w:val="0"/>
        </w:numPr>
        <w:tabs>
          <w:tab w:val="clear" w:pos="567"/>
        </w:tabs>
        <w:spacing w:line="240" w:lineRule="auto"/>
        <w:ind w:right="-2"/>
        <w:rPr>
          <w:bCs/>
          <w:snapToGrid/>
          <w:szCs w:val="22"/>
          <w:lang w:val="lt-LT"/>
        </w:rPr>
      </w:pPr>
    </w:p>
    <w:p w:rsidR="004C3D3C" w:rsidRDefault="004C3D3C" w:rsidP="004C3D3C">
      <w:pPr>
        <w:widowControl w:val="0"/>
        <w:numPr>
          <w:ilvl w:val="12"/>
          <w:numId w:val="0"/>
        </w:numPr>
        <w:tabs>
          <w:tab w:val="clear" w:pos="567"/>
        </w:tabs>
        <w:spacing w:line="240" w:lineRule="auto"/>
        <w:rPr>
          <w:snapToGrid/>
          <w:szCs w:val="22"/>
          <w:lang w:val="lt-LT"/>
        </w:rPr>
      </w:pPr>
      <w:r>
        <w:rPr>
          <w:b/>
          <w:snapToGrid/>
          <w:szCs w:val="22"/>
          <w:lang w:val="lt-LT"/>
        </w:rPr>
        <w:t>Kiti vaistai ir Asigefort</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Jeigu Jums reikia į kraują suleisti kontrastinės medžiagos, kurios sudėtyje yra jodo, pvz., atliekant rentgeno arba skenavimo tyrimą, prieš leidžiant arba leidimo metu turite nutraukti Asigefort vartojimą. Gydytojas nuspręs, kada turite nutraukti ir atnaujinti gydymą Asigefort.</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Jeigu vartojate ar neseniai vartojote kitų vaistų arba dėl to nesate tikri, apie tai pasakykite gydytojui arba vaistininkui. Jums gali reikėti dažniau tirti gliukozės kiekį kraujyje ir inkstų funkciją arba gydytojui gali reikėti koreguoti Asigefort dozavimą. Ypač svarbu paminėti:</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uždegiminėms ligoms, tokioms kaip astma ar artritas, gydyti vartojamus (geriamuosius, įkvepiamuosius ar leidžiamuosius) vaistus (kortikosteroidai);</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vaistus, kurie skatina šlapimo išsiskyrimą (diuretikai);</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vaistus, vartojamus skausmui ir uždegimui mažinti (nesteroidinius vaistus nuo uždegimo, NVNU ir COX-2 inhibitoriai, pvz., ibuprofenas ir celekoksibas);</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tam tikrus vaistus padidėjusiam kraujospūdžiui gydyti (angiotenziną konvertuojančio faktoriaus (AKF) inhibitoriai ir angiotenzino II receptorių antagonistai);</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specifinius vaistus bronchų astmai gydyti (beta simpatomimetikai);</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kontrastines medžiagas, kurių sudėtyje yra jodo, ir vaistus, kurių sudėtyje yra alkoholio;</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kai kuriuos skrandžio ligoms gydyti vartojamus vaistus, tokius kaip cimetidinas;</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ranolaziną (krūtinės anginai gydyti vartojamą vaistą);</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dolutegravirą (ŽIV infekcijai gydyti vartojamą vaistą);</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vandetanibą, t. y. tam tikram skydliaukės vėžiui (meduliniam skydliaukės vėžiui) gydyti vartojamą vaistą;</w:t>
      </w: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digoksiną (jo vartojama esant nereguliariam širdies plakimui ir kitiems širdies veiklos sutrikimams). Kol vartosite Asigefort, gali reikėti tikrinti digoksino kiekį kraujyje.</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Asigefort vartojimas su alkoholiu</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Vartodami Asigefort venkite piktnaudžiauti alkoholiu, nes tai gali padidinti pieno rūgšties acidozės pasireiškimo riziką (žr. skyrių „Įspėjimai ir atsargumo priemonės“).</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p>
    <w:p w:rsidR="004C3D3C" w:rsidRDefault="004C3D3C" w:rsidP="004C3D3C">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rsidR="004C3D3C" w:rsidRDefault="004C3D3C" w:rsidP="004C3D3C">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snapToGrid/>
          <w:szCs w:val="22"/>
          <w:lang w:val="lt-LT"/>
        </w:rPr>
        <w:lastRenderedPageBreak/>
        <w:t xml:space="preserve">Jeigu esate nėščia, žindote kūdikį, manote, kad galbūt esate nėščia, arba planuojate pastoti, tai prieš vartodama šį vaistą pasitarkite su gydytoju arba vaistininku. Nėštumo laikotarpiu šio vaisto vartoti negalima. </w:t>
      </w:r>
      <w:r>
        <w:rPr>
          <w:rFonts w:eastAsia="TimesNewRomanPSMT"/>
          <w:snapToGrid/>
          <w:szCs w:val="22"/>
          <w:lang w:val="lt-LT" w:eastAsia="lt-LT"/>
        </w:rPr>
        <w:t>Nevartokite šio vaisto žindymo laikotarpiu.</w:t>
      </w:r>
      <w:r>
        <w:rPr>
          <w:lang w:val="lt-LT"/>
        </w:rPr>
        <w:t xml:space="preserve"> </w:t>
      </w:r>
      <w:r>
        <w:rPr>
          <w:rFonts w:eastAsia="TimesNewRoman,Bold"/>
          <w:b/>
          <w:bCs/>
          <w:snapToGrid/>
          <w:szCs w:val="22"/>
          <w:lang w:val="lt-LT"/>
        </w:rPr>
        <w:t>Žr. 2 skyrių „</w:t>
      </w:r>
      <w:r>
        <w:rPr>
          <w:b/>
          <w:bCs/>
          <w:snapToGrid/>
          <w:szCs w:val="22"/>
          <w:lang w:val="lt-LT"/>
        </w:rPr>
        <w:t>Asigefort</w:t>
      </w:r>
      <w:r>
        <w:rPr>
          <w:rFonts w:eastAsia="TimesNewRoman,Bold"/>
          <w:b/>
          <w:bCs/>
          <w:snapToGrid/>
          <w:szCs w:val="22"/>
          <w:lang w:val="lt-LT"/>
        </w:rPr>
        <w:t xml:space="preserve"> vartoti draudžiama“.</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p>
    <w:p w:rsidR="004C3D3C" w:rsidRDefault="004C3D3C" w:rsidP="004C3D3C">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Vairavimas ir mechanizmų valdymas</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Asigefort gebėjimo vairuoti ir valdyti mechanizmus neveikia arba veikia nereikšmingai. Vis dėlto vartojant sitagliptino buvo pranešta apie svaigulio ir apsnūdimo atvejus, o tai gali paveikti Jūsų gebėjimą vairuoti ar valdyti mechanizmus.</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Šio vaisto vartojant kartu su vaistais, vadinamais sulfonilurėjos dariniais, arba kartu su insulinu gali pasireikšti hipoglikemija, kuri gali pakenkti gebėjimui vairuoti, valdyti mechanizmus arba dirbti, kai nėra saugios atramos kojoms.</w:t>
      </w:r>
    </w:p>
    <w:p w:rsidR="004C3D3C" w:rsidRDefault="004C3D3C" w:rsidP="004C3D3C">
      <w:pPr>
        <w:widowControl w:val="0"/>
        <w:numPr>
          <w:ilvl w:val="12"/>
          <w:numId w:val="0"/>
        </w:numPr>
        <w:tabs>
          <w:tab w:val="clear" w:pos="567"/>
        </w:tabs>
        <w:spacing w:line="240" w:lineRule="auto"/>
        <w:ind w:right="-2"/>
        <w:rPr>
          <w:bCs/>
          <w:snapToGrid/>
          <w:szCs w:val="22"/>
          <w:lang w:val="lt-LT"/>
        </w:rPr>
      </w:pPr>
    </w:p>
    <w:p w:rsidR="004C3D3C" w:rsidRDefault="004C3D3C" w:rsidP="004C3D3C">
      <w:pPr>
        <w:widowControl w:val="0"/>
        <w:numPr>
          <w:ilvl w:val="12"/>
          <w:numId w:val="0"/>
        </w:numPr>
        <w:tabs>
          <w:tab w:val="clear" w:pos="567"/>
        </w:tabs>
        <w:spacing w:line="240" w:lineRule="auto"/>
        <w:rPr>
          <w:snapToGrid/>
          <w:szCs w:val="22"/>
          <w:lang w:val="lt-LT"/>
        </w:rPr>
      </w:pPr>
      <w:r>
        <w:rPr>
          <w:b/>
          <w:snapToGrid/>
          <w:szCs w:val="22"/>
          <w:lang w:val="lt-LT"/>
        </w:rPr>
        <w:t>Asigefort sudėtyje yra natrio</w:t>
      </w:r>
    </w:p>
    <w:p w:rsidR="004C3D3C" w:rsidRDefault="004C3D3C" w:rsidP="004C3D3C">
      <w:pPr>
        <w:widowControl w:val="0"/>
        <w:tabs>
          <w:tab w:val="clear" w:pos="567"/>
        </w:tabs>
        <w:spacing w:line="240" w:lineRule="auto"/>
        <w:rPr>
          <w:snapToGrid/>
          <w:szCs w:val="22"/>
          <w:lang w:val="lt-LT"/>
        </w:rPr>
      </w:pPr>
      <w:r>
        <w:rPr>
          <w:snapToGrid/>
          <w:szCs w:val="22"/>
          <w:lang w:val="lt-LT"/>
        </w:rPr>
        <w:t>Šio vaisto tabletėje yra mažiau kaip 1</w:t>
      </w:r>
      <w:r>
        <w:rPr>
          <w:rFonts w:eastAsia="Calibri"/>
          <w:snapToGrid/>
          <w:szCs w:val="22"/>
          <w:lang w:val="lt-LT"/>
        </w:rPr>
        <w:t> </w:t>
      </w:r>
      <w:r>
        <w:rPr>
          <w:snapToGrid/>
          <w:szCs w:val="22"/>
          <w:lang w:val="lt-LT"/>
        </w:rPr>
        <w:t>mmol (23</w:t>
      </w:r>
      <w:r>
        <w:rPr>
          <w:rFonts w:eastAsia="Calibri"/>
          <w:snapToGrid/>
          <w:szCs w:val="22"/>
          <w:lang w:val="lt-LT"/>
        </w:rPr>
        <w:t> mg</w:t>
      </w:r>
      <w:r>
        <w:rPr>
          <w:snapToGrid/>
          <w:szCs w:val="22"/>
          <w:lang w:val="lt-LT"/>
        </w:rPr>
        <w:t>) natrio, t. y. jis beveik neturi reikšmės.</w:t>
      </w: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Kaip vartoti Asigefort</w:t>
      </w:r>
    </w:p>
    <w:p w:rsidR="004C3D3C" w:rsidRDefault="004C3D3C" w:rsidP="004C3D3C">
      <w:pPr>
        <w:widowControl w:val="0"/>
        <w:tabs>
          <w:tab w:val="clear" w:pos="567"/>
        </w:tabs>
        <w:spacing w:line="240" w:lineRule="auto"/>
        <w:ind w:left="567" w:hanging="567"/>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Visada vartokite šį vaistą tiksliai, kaip nurodė gydytojas. Jeigu abejojate, kreipkitės į gydytoją arba vaistininką.</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Gerkite vieną tabletę:</w:t>
      </w:r>
    </w:p>
    <w:p w:rsidR="004C3D3C" w:rsidRDefault="004C3D3C" w:rsidP="004C3D3C">
      <w:pPr>
        <w:widowControl w:val="0"/>
        <w:numPr>
          <w:ilvl w:val="0"/>
          <w:numId w:val="2"/>
        </w:numPr>
        <w:tabs>
          <w:tab w:val="clear" w:pos="567"/>
        </w:tabs>
        <w:autoSpaceDE w:val="0"/>
        <w:autoSpaceDN w:val="0"/>
        <w:adjustRightInd w:val="0"/>
        <w:spacing w:line="240" w:lineRule="auto"/>
        <w:ind w:left="567" w:firstLine="0"/>
        <w:rPr>
          <w:snapToGrid/>
          <w:szCs w:val="22"/>
          <w:lang w:val="lt-LT"/>
        </w:rPr>
      </w:pPr>
      <w:r>
        <w:rPr>
          <w:snapToGrid/>
          <w:szCs w:val="22"/>
          <w:lang w:val="lt-LT"/>
        </w:rPr>
        <w:t>du kartus per parą;</w:t>
      </w:r>
    </w:p>
    <w:p w:rsidR="004C3D3C" w:rsidRDefault="004C3D3C" w:rsidP="004C3D3C">
      <w:pPr>
        <w:widowControl w:val="0"/>
        <w:numPr>
          <w:ilvl w:val="0"/>
          <w:numId w:val="2"/>
        </w:numPr>
        <w:tabs>
          <w:tab w:val="clear" w:pos="567"/>
        </w:tabs>
        <w:autoSpaceDE w:val="0"/>
        <w:autoSpaceDN w:val="0"/>
        <w:adjustRightInd w:val="0"/>
        <w:spacing w:line="240" w:lineRule="auto"/>
        <w:ind w:left="567" w:firstLine="0"/>
        <w:rPr>
          <w:snapToGrid/>
          <w:szCs w:val="22"/>
          <w:lang w:val="lt-LT"/>
        </w:rPr>
      </w:pPr>
      <w:r>
        <w:rPr>
          <w:snapToGrid/>
          <w:szCs w:val="22"/>
          <w:lang w:val="lt-LT"/>
        </w:rPr>
        <w:t>valgio metu, kad sumažėtų skrandžio sutrikimo tikimybė.</w:t>
      </w:r>
    </w:p>
    <w:p w:rsidR="004C3D3C" w:rsidRDefault="004C3D3C" w:rsidP="004C3D3C">
      <w:pPr>
        <w:widowControl w:val="0"/>
        <w:tabs>
          <w:tab w:val="clear" w:pos="567"/>
          <w:tab w:val="left" w:pos="5267"/>
        </w:tabs>
        <w:autoSpaceDE w:val="0"/>
        <w:autoSpaceDN w:val="0"/>
        <w:adjustRightInd w:val="0"/>
        <w:spacing w:line="240" w:lineRule="auto"/>
        <w:rPr>
          <w:snapToGrid/>
          <w:szCs w:val="22"/>
          <w:lang w:val="lt-LT"/>
        </w:rPr>
      </w:pP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Gydytojui gali tekti padidinti dozę, kad būtų galima sureguliuoti cukraus kiekį kraujyje.</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numPr>
          <w:ilvl w:val="0"/>
          <w:numId w:val="2"/>
        </w:numPr>
        <w:tabs>
          <w:tab w:val="clear" w:pos="567"/>
        </w:tabs>
        <w:autoSpaceDE w:val="0"/>
        <w:autoSpaceDN w:val="0"/>
        <w:adjustRightInd w:val="0"/>
        <w:spacing w:line="240" w:lineRule="auto"/>
        <w:ind w:left="567" w:hanging="567"/>
        <w:rPr>
          <w:snapToGrid/>
          <w:szCs w:val="22"/>
          <w:lang w:val="lt-LT"/>
        </w:rPr>
      </w:pPr>
      <w:r>
        <w:rPr>
          <w:snapToGrid/>
          <w:szCs w:val="22"/>
          <w:lang w:val="lt-LT"/>
        </w:rPr>
        <w:t>Jeigu Jūsų inkstų funkcija yra susilpnėjusi, gydytojas gali skirti mažesnę dozę.</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Gydymo šiuo vaistu metu turite ir toliau laikytis dietos, kurią Jums rekomendavo gydytojas, ir pasirūpinti, kad suvartojamų angliavandenių kiekis per parą būtų tolygiai paskirstytas.</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Nėra tikėtina, kad vien tik šis vaistas pernelyg sumažintų cukraus kiekį kraujyje (sukeltų hipoglikemiją). Šį vaistą vartojant kartu su sulfonilurėjos dariniu arba kartu su insulinu, cukraus kiekis kraujyje gali tapti mažas, todėl gydytojas gali sumažinti vartojamo sulfonilkarbamido arba insulino dozę.</w:t>
      </w:r>
      <w:r>
        <w:rPr>
          <w:snapToGrid/>
          <w:szCs w:val="22"/>
          <w:lang w:val="lt-LT"/>
        </w:rPr>
        <w:cr/>
      </w:r>
    </w:p>
    <w:p w:rsidR="004C3D3C" w:rsidRDefault="004C3D3C" w:rsidP="004C3D3C">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Ką daryti pavartojus per didelę Asigefort dozę</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pavartojote didesnę šio vaisto dozę nei skirta, nedelsdami susisiekite su savo gydytoju.</w:t>
      </w:r>
      <w:r>
        <w:rPr>
          <w:lang w:val="lt-LT"/>
        </w:rPr>
        <w:t xml:space="preserve"> </w:t>
      </w:r>
      <w:r>
        <w:rPr>
          <w:rFonts w:eastAsia="TimesNewRoman,Bold"/>
          <w:snapToGrid/>
          <w:szCs w:val="22"/>
          <w:lang w:val="lt-LT"/>
        </w:rPr>
        <w:t>Pasireiškus pieno rūgšties acidozės simptomams, tokiems kaip peršalimo pojūtis ar bloga savijauta, sunkus pykinimas ar vėmimas, skrandžio skausmas, nepaaiškinamas kūno svorio mažėjimas, mėšlungis ar dažnas kvėpavimas, nedelsdami vykite į ligoninę (žr. skyrių „Įspėjimai ir atsargumo priemonės“).</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p>
    <w:p w:rsidR="004C3D3C" w:rsidRDefault="004C3D3C" w:rsidP="004C3D3C">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Pamiršus pavartoti Asigefort</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pamiršote išgerti vaisto dozę, gerkite ją tuoj pat, kai tik prisiminsite. Jei neprisiminsite iki tol, kol bus atėjęs kitos dozės vartojimo laikas, pamirštą dozę praleiskite, o kitas dozes gerkite įprastiniu laiku. Negalima vartoti dvigubos šio vaisto dozės.</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p>
    <w:p w:rsidR="004C3D3C" w:rsidRDefault="004C3D3C" w:rsidP="004C3D3C">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Nustojus vartoti Asigefort</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Vartokite šio vaisto tiek laiko, kiek skyrė Jūsų gydytojas, kad galėtumėte toliau kontroliuoti cukraus kiekį kraujyje. Nenustokite vartoję šio vaisto prieš tai nepasitarę su savo gydytoju. Nustojus vartoti</w:t>
      </w:r>
    </w:p>
    <w:p w:rsidR="004C3D3C" w:rsidRDefault="004C3D3C" w:rsidP="004C3D3C">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Asigefort, cukraus kiekis kraujyje vėl gali padidėti.</w:t>
      </w:r>
    </w:p>
    <w:p w:rsidR="004C3D3C" w:rsidRDefault="004C3D3C" w:rsidP="004C3D3C">
      <w:pPr>
        <w:widowControl w:val="0"/>
        <w:numPr>
          <w:ilvl w:val="12"/>
          <w:numId w:val="0"/>
        </w:numPr>
        <w:tabs>
          <w:tab w:val="clear" w:pos="567"/>
        </w:tabs>
        <w:spacing w:line="240" w:lineRule="auto"/>
        <w:ind w:right="-2"/>
        <w:rPr>
          <w:rFonts w:eastAsia="TimesNewRoman,Bold"/>
          <w:snapToGrid/>
          <w:szCs w:val="22"/>
          <w:lang w:val="lt-LT"/>
        </w:rPr>
      </w:pPr>
    </w:p>
    <w:p w:rsidR="004C3D3C" w:rsidRDefault="004C3D3C" w:rsidP="004C3D3C">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Jeigu kiltų daugiau klausimų dėl šio vaisto vartojimo, kreipkitės į gydytoją arba vaistininką.</w:t>
      </w: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lastRenderedPageBreak/>
        <w:t>4.</w:t>
      </w:r>
      <w:r>
        <w:rPr>
          <w:b/>
          <w:caps/>
          <w:snapToGrid/>
          <w:szCs w:val="22"/>
          <w:lang w:val="lt-LT"/>
        </w:rPr>
        <w:tab/>
      </w:r>
      <w:r>
        <w:rPr>
          <w:b/>
          <w:snapToGrid/>
          <w:szCs w:val="22"/>
          <w:lang w:val="lt-LT"/>
        </w:rPr>
        <w:t>Galimas šalutinis poveikis</w:t>
      </w:r>
    </w:p>
    <w:p w:rsidR="004C3D3C" w:rsidRDefault="004C3D3C" w:rsidP="004C3D3C">
      <w:pPr>
        <w:widowControl w:val="0"/>
        <w:tabs>
          <w:tab w:val="clear" w:pos="567"/>
        </w:tabs>
        <w:spacing w:line="240" w:lineRule="auto"/>
        <w:ind w:left="567" w:hanging="567"/>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Pastebėję bet kurį toliau išvardytą sunkų šalutinį poveikį, NUTRAUKITE Asigefort vartojimą ir nedelsdami kreipkitės į savo gydytoją:</w:t>
      </w:r>
    </w:p>
    <w:p w:rsidR="004C3D3C" w:rsidRDefault="004C3D3C" w:rsidP="004C3D3C">
      <w:pPr>
        <w:widowControl w:val="0"/>
        <w:numPr>
          <w:ilvl w:val="0"/>
          <w:numId w:val="3"/>
        </w:numPr>
        <w:tabs>
          <w:tab w:val="clear" w:pos="567"/>
        </w:tabs>
        <w:autoSpaceDE w:val="0"/>
        <w:autoSpaceDN w:val="0"/>
        <w:adjustRightInd w:val="0"/>
        <w:spacing w:line="240" w:lineRule="auto"/>
        <w:ind w:left="567" w:hanging="567"/>
        <w:rPr>
          <w:snapToGrid/>
          <w:szCs w:val="22"/>
          <w:lang w:val="lt-LT"/>
        </w:rPr>
      </w:pPr>
      <w:r>
        <w:rPr>
          <w:snapToGrid/>
          <w:szCs w:val="22"/>
          <w:lang w:val="lt-LT"/>
        </w:rPr>
        <w:t>stiprus neišnykstantis pilvo skausmas (skrandžio srityje), kuris gali plisti į nugarą (kartu gali pasireikšti ar nepasireikšti pykinimas ar vėmimas), nes tai gali būti kasos uždegimo (pankreatito) požymiai.</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Asigefort gali sukelti labai retą (gali pasireikšti rečiau kaip 1 iš 10 000 asmenų), tačiau labai sunkų šalutinį poveikį, vadinamą pieno rūgšties acidoze (žr. skyrių „Įspėjimai ir atsargumo priemonės“). Tokiu atveju turite </w:t>
      </w:r>
      <w:r>
        <w:rPr>
          <w:b/>
          <w:bCs/>
          <w:snapToGrid/>
          <w:szCs w:val="22"/>
          <w:lang w:val="lt-LT"/>
        </w:rPr>
        <w:t>nutraukti Asigefort vartojimą ir nedelsdami kreiptis į gydytoją arba artimiausią ligoninę</w:t>
      </w:r>
      <w:r>
        <w:rPr>
          <w:snapToGrid/>
          <w:szCs w:val="22"/>
          <w:lang w:val="lt-LT"/>
        </w:rPr>
        <w:t xml:space="preserve">, nes pieno rūgšties acidozė gali sukelti komą. </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Jeigu Jums pasireiškė sunki alerginė reakcija (dažnis nežinomas), įskaitant išbėrimą, dilgėlinę, pūsles ant odos ar odos lupimąsi bei veido, lūpų, liežuvio ir gerklės patinimą, kuris gali pasunkinti kvėpavimą arba rijimą, nutraukite šio vaisto vartojimą ir nedelsdami kreipkitės į gydytoją. Gydytojas gali Jums paskirti vaistą alerginei reakcijai gydyti ir kitą vaistą nuo cukrinio diabeto.</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Kai kuriems pacientams, kurių gydymas metforminu buvo papildytas sitagliptinu, pasireiškė toliau išvardytas šalutinis poveikis.</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bCs/>
          <w:snapToGrid/>
          <w:szCs w:val="22"/>
          <w:lang w:val="lt-LT"/>
        </w:rPr>
        <w:t>Dažni šalutinio poveikio reiškiniai (gali pasireikšti rečiau kaip 1 iš 10 </w:t>
      </w:r>
      <w:r>
        <w:rPr>
          <w:snapToGrid/>
          <w:szCs w:val="22"/>
          <w:lang w:val="lt-LT"/>
        </w:rPr>
        <w:t>asmenų</w:t>
      </w:r>
      <w:r>
        <w:rPr>
          <w:bCs/>
          <w:snapToGrid/>
          <w:szCs w:val="22"/>
          <w:lang w:val="lt-LT"/>
        </w:rPr>
        <w:t>): m</w:t>
      </w:r>
      <w:r>
        <w:rPr>
          <w:snapToGrid/>
          <w:szCs w:val="22"/>
          <w:lang w:val="lt-LT"/>
        </w:rPr>
        <w:t>ažas cukraus kiekis kraujyje, pykinimas, pilvo pūtimas, vėmimas.</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Nedažni šalutinio poveikio reiškiniai </w:t>
      </w:r>
      <w:r>
        <w:rPr>
          <w:bCs/>
          <w:snapToGrid/>
          <w:szCs w:val="22"/>
          <w:lang w:val="lt-LT"/>
        </w:rPr>
        <w:t>(gali pasireikšti rečiau kaip 1 iš 100 </w:t>
      </w:r>
      <w:r>
        <w:rPr>
          <w:snapToGrid/>
          <w:szCs w:val="22"/>
          <w:lang w:val="lt-LT"/>
        </w:rPr>
        <w:t>asmenų</w:t>
      </w:r>
      <w:r>
        <w:rPr>
          <w:bCs/>
          <w:snapToGrid/>
          <w:szCs w:val="22"/>
          <w:lang w:val="lt-LT"/>
        </w:rPr>
        <w:t>): skrandžio</w:t>
      </w:r>
      <w:r>
        <w:rPr>
          <w:snapToGrid/>
          <w:szCs w:val="22"/>
          <w:lang w:val="lt-LT"/>
        </w:rPr>
        <w:t xml:space="preserve"> maudimas, viduriavimas, vidurių užkietėjimas, apsnūdimas.</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Kai kuriems sitagliptino ir metformino derinio vartoti pradėjusiems pacientams pasireiškė viduriavimas, pykinimas, pilvo pūtimas, vidurių užkietėjimas, </w:t>
      </w:r>
      <w:r>
        <w:rPr>
          <w:bCs/>
          <w:snapToGrid/>
          <w:szCs w:val="22"/>
          <w:lang w:val="lt-LT"/>
        </w:rPr>
        <w:t>skrandžio</w:t>
      </w:r>
      <w:r>
        <w:rPr>
          <w:snapToGrid/>
          <w:szCs w:val="22"/>
          <w:lang w:val="lt-LT"/>
        </w:rPr>
        <w:t xml:space="preserve"> maudimas ar vėmimas (tokie sutrikimai yra dažni).</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Kai kuriems pacientams, kurie šio vaisto vartojo kartu su sulfonilurėjos dariniu, pvz., glimepiridu, pasireiškė toliau išvardytas šalutinis poveikis.</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Labai dažni šalutinio poveikio reiškiniai (gali pasireikšti ne rečiau kaip 1 iš 10 asmenų): mažas cukraus kiekis kraujyje.</w:t>
      </w:r>
    </w:p>
    <w:p w:rsidR="004C3D3C" w:rsidRDefault="004C3D3C" w:rsidP="004C3D3C">
      <w:pPr>
        <w:widowControl w:val="0"/>
        <w:tabs>
          <w:tab w:val="clear" w:pos="567"/>
        </w:tabs>
        <w:spacing w:line="240" w:lineRule="auto"/>
        <w:ind w:left="567" w:hanging="567"/>
        <w:rPr>
          <w:snapToGrid/>
          <w:szCs w:val="22"/>
          <w:lang w:val="lt-LT"/>
        </w:rPr>
      </w:pPr>
      <w:bookmarkStart w:id="1" w:name="_Hlk85650477"/>
      <w:r>
        <w:rPr>
          <w:snapToGrid/>
          <w:szCs w:val="22"/>
          <w:lang w:val="lt-LT"/>
        </w:rPr>
        <w:t>Dažni šalutinio poveikio reiškiniai</w:t>
      </w:r>
      <w:bookmarkEnd w:id="1"/>
      <w:r>
        <w:rPr>
          <w:snapToGrid/>
          <w:szCs w:val="22"/>
          <w:lang w:val="lt-LT"/>
        </w:rPr>
        <w:t>: vidurių užkietėjimas.</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Kai kuriems pacientams, kurie šio vaisto vartojo kartu su pioglitazonu, pasireiškė toliau išvardytas šalutinis poveikis.</w:t>
      </w:r>
    </w:p>
    <w:p w:rsidR="004C3D3C" w:rsidRDefault="004C3D3C" w:rsidP="004C3D3C">
      <w:pPr>
        <w:widowControl w:val="0"/>
        <w:tabs>
          <w:tab w:val="clear" w:pos="567"/>
        </w:tabs>
        <w:autoSpaceDE w:val="0"/>
        <w:autoSpaceDN w:val="0"/>
        <w:adjustRightInd w:val="0"/>
        <w:spacing w:line="240" w:lineRule="auto"/>
        <w:rPr>
          <w:bCs/>
          <w:snapToGrid/>
          <w:szCs w:val="22"/>
          <w:lang w:val="lt-LT"/>
        </w:rPr>
      </w:pPr>
      <w:r>
        <w:rPr>
          <w:bCs/>
          <w:snapToGrid/>
          <w:szCs w:val="22"/>
          <w:lang w:val="lt-LT"/>
        </w:rPr>
        <w:t>Dažni šalutinio poveikio reiškiniai: plaštakų ar kojų pabrinkimas.</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Kai kuriems pacientams, kurie šio vaisto vartojo su insulinu, pasireiškė toliau išvardytas šalutinis poveikis.</w:t>
      </w:r>
    </w:p>
    <w:p w:rsidR="004C3D3C" w:rsidRDefault="004C3D3C" w:rsidP="004C3D3C">
      <w:pPr>
        <w:widowControl w:val="0"/>
        <w:tabs>
          <w:tab w:val="clear" w:pos="567"/>
        </w:tabs>
        <w:autoSpaceDE w:val="0"/>
        <w:autoSpaceDN w:val="0"/>
        <w:adjustRightInd w:val="0"/>
        <w:spacing w:line="240" w:lineRule="auto"/>
        <w:rPr>
          <w:bCs/>
          <w:snapToGrid/>
          <w:szCs w:val="22"/>
          <w:lang w:val="lt-LT"/>
        </w:rPr>
      </w:pPr>
      <w:r>
        <w:rPr>
          <w:bCs/>
          <w:snapToGrid/>
          <w:szCs w:val="22"/>
          <w:lang w:val="lt-LT"/>
        </w:rPr>
        <w:t xml:space="preserve">Dažni šalutinio poveikio reiškiniai: </w:t>
      </w:r>
      <w:r>
        <w:rPr>
          <w:snapToGrid/>
          <w:szCs w:val="22"/>
          <w:lang w:val="lt-LT"/>
        </w:rPr>
        <w:t>mažas cukraus kiekis kraujyje</w:t>
      </w:r>
      <w:r>
        <w:rPr>
          <w:bCs/>
          <w:snapToGrid/>
          <w:szCs w:val="22"/>
          <w:lang w:val="lt-LT"/>
        </w:rPr>
        <w:t>.</w:t>
      </w:r>
    </w:p>
    <w:p w:rsidR="004C3D3C" w:rsidRDefault="004C3D3C" w:rsidP="004C3D3C">
      <w:pPr>
        <w:widowControl w:val="0"/>
        <w:tabs>
          <w:tab w:val="clear" w:pos="567"/>
        </w:tabs>
        <w:autoSpaceDE w:val="0"/>
        <w:autoSpaceDN w:val="0"/>
        <w:adjustRightInd w:val="0"/>
        <w:spacing w:line="240" w:lineRule="auto"/>
        <w:rPr>
          <w:bCs/>
          <w:snapToGrid/>
          <w:szCs w:val="22"/>
          <w:lang w:val="lt-LT"/>
        </w:rPr>
      </w:pPr>
      <w:r>
        <w:rPr>
          <w:bCs/>
          <w:snapToGrid/>
          <w:szCs w:val="22"/>
          <w:lang w:val="lt-LT"/>
        </w:rPr>
        <w:t>Nedažni šalutinio poveikio reiškiniai: burnos džiūvimas, galvos skausmas.</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Toliau išvardytas šalutinis poveikis, kai kuriems pacientams pasireiškęs klinikinių tyrimų metu vartojant vien sitagliptino (vieno iš Asigefort sudėtyje esančių vaistų) arba po vaisto registracijos vartojant sitagliptino ir metformino derinio arba sitagliptino (vien jų ar kartu su kitais vaistais nuo cukrinio diabeto).</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Dažni šalutinio poveikio reiškiniai: mažas cukraus kiekis kraujyje, galvos skausmas, viršutinių kvėpavimo takų infekcija, nosies užsikimšimas ar išskyros ir ryklės skausmas, osteoartritas, rankos ar kojos skausmas.</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Nedažni šalutinio poveikio reiškiniai: svaigulys, vidurių užkietėjimas, niežulys.</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Reti šalutinio poveikio reiškiniai: sumažėjęs trombocitų skaičius.</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Šalutinio poveikio reiškiniai, kurių dažnis nežinomas: inkstų sutrikimai (kartais prireikia dializės), vėmimas, sąnarių skausmas, raumenų skausmas, nugaros skausmas, intersticinė plaučių liga, pūslinis </w:t>
      </w:r>
      <w:r>
        <w:rPr>
          <w:snapToGrid/>
          <w:szCs w:val="22"/>
          <w:lang w:val="lt-LT"/>
        </w:rPr>
        <w:lastRenderedPageBreak/>
        <w:t>pemfigoidas (tam tikro tipo pūslių susidarymas ant odos).</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Toliau išvardytas šalutinis poveikis, pasireiškęs kai kuriems pacientams, vartojusiems vien metformino.</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Labai dažni šalutinio poveikio reiškiniai: pykinimas, vėmimas, viduriavimas, </w:t>
      </w:r>
      <w:r>
        <w:rPr>
          <w:bCs/>
          <w:snapToGrid/>
          <w:szCs w:val="22"/>
          <w:lang w:val="lt-LT"/>
        </w:rPr>
        <w:t>skrandžio</w:t>
      </w:r>
      <w:r>
        <w:rPr>
          <w:snapToGrid/>
          <w:szCs w:val="22"/>
          <w:lang w:val="lt-LT"/>
        </w:rPr>
        <w:t xml:space="preserve"> maudimas ir apetito sumažėjimas. Šie simptomai gali pasireikšti pradėjus vartoti metformino ir vėliau paprastai išnyksta.</w:t>
      </w: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Dažni šalutinio poveikio reiškiniai: metalo skonis burnoje, sumažėjusi arba žema vitamino B12 koncentracija kraujyje (kurios simptomai gali būti ypatingai ryškus nuovargis, skaudantis ir paraudęs liežuvis (glositas), dilgčiojimo pojūtis galūnėse (parestezijos) arba blyški ar pageltusi oda). Gydytojas gali nurodyti atlikti tam tikrus tyrimus, kad galėtų išsiaiškinti šių Jūsų patiriamų simptomų priežastis, kadangi kai kurie iš šių simptomų taip pat gali būti nulemti diabeto ar kitų nesusijusių sveikatos sutrikimų.</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szCs w:val="22"/>
          <w:lang w:val="lt-LT"/>
        </w:rPr>
        <w:t>Labai reti šalutinio poveikio reiškiniai: hepatitas (kepenų sutrikimas), dilgėlinė, odos paraudimas (išbėrimas) arba niežulys.</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rsidR="004C3D3C" w:rsidRDefault="004C3D3C" w:rsidP="004C3D3C">
      <w:pPr>
        <w:widowControl w:val="0"/>
        <w:tabs>
          <w:tab w:val="clear" w:pos="567"/>
          <w:tab w:val="left" w:pos="540"/>
        </w:tabs>
        <w:spacing w:line="240" w:lineRule="auto"/>
        <w:rPr>
          <w:rFonts w:eastAsia="Calibri"/>
          <w:snapToGrid/>
          <w:szCs w:val="22"/>
          <w:lang w:val="lt-LT"/>
        </w:rPr>
      </w:pPr>
      <w:r>
        <w:rPr>
          <w:rFonts w:eastAsia="Calibri"/>
          <w:snapToGrid/>
          <w:szCs w:val="22"/>
          <w:lang w:val="lt-LT"/>
        </w:rPr>
        <w:t xml:space="preserve">Jeigu pasireiškė šalutinis poveikis, įskaitant šiame lapelyje nenurodytą, pasakykite gydytojui arba vaistininkui. </w:t>
      </w:r>
      <w:bookmarkStart w:id="2" w:name="_Hlk85559581"/>
      <w:r>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color w:val="0000FF"/>
            <w:u w:val="single"/>
            <w:lang w:val="lt-LT"/>
          </w:rPr>
          <w:t>https://vapris.vvkt.lt/vvkt-web/public/nrv</w:t>
        </w:r>
      </w:hyperlink>
      <w:r>
        <w:rPr>
          <w:lang w:val="lt-LT"/>
        </w:rPr>
        <w:t xml:space="preserve"> arba užpildant Sveikatos priežiūros ar farmacijos specialisto pranešimo apie įtariamą nepageidaujamą reakciją formą, kuri skelbiama </w:t>
      </w:r>
      <w:hyperlink r:id="rId6" w:history="1">
        <w:r>
          <w:rPr>
            <w:color w:val="0000FF"/>
            <w:u w:val="single"/>
            <w:lang w:val="lt-LT"/>
          </w:rPr>
          <w:t>https://www.vvkt.lt/index.php?4004286486</w:t>
        </w:r>
      </w:hyperlink>
      <w:r>
        <w:rPr>
          <w:lang w:val="lt-LT"/>
        </w:rPr>
        <w:t xml:space="preserve">, ir atsiunčiant elektroniniu paštu (adresu </w:t>
      </w:r>
      <w:hyperlink r:id="rId7" w:history="1">
        <w:r>
          <w:rPr>
            <w:color w:val="0000FF"/>
            <w:u w:val="single"/>
            <w:lang w:val="lt-LT"/>
          </w:rPr>
          <w:t>NepageidaujamaR@vvkt.lt</w:t>
        </w:r>
      </w:hyperlink>
      <w:r>
        <w:rPr>
          <w:lang w:val="lt-LT"/>
        </w:rPr>
        <w:t>) arba nemokamu telefonu 8 800 73 568.</w:t>
      </w:r>
      <w:bookmarkEnd w:id="2"/>
    </w:p>
    <w:p w:rsidR="004C3D3C" w:rsidRDefault="004C3D3C" w:rsidP="004C3D3C">
      <w:pPr>
        <w:widowControl w:val="0"/>
        <w:numPr>
          <w:ilvl w:val="12"/>
          <w:numId w:val="0"/>
        </w:numPr>
        <w:tabs>
          <w:tab w:val="clear" w:pos="567"/>
        </w:tabs>
        <w:spacing w:line="240" w:lineRule="auto"/>
        <w:ind w:right="-2"/>
        <w:rPr>
          <w:snapToGrid/>
          <w:szCs w:val="24"/>
          <w:lang w:val="lt-LT"/>
        </w:rPr>
      </w:pP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Kaip laikyti Asigefort</w:t>
      </w:r>
    </w:p>
    <w:p w:rsidR="004C3D3C" w:rsidRDefault="004C3D3C" w:rsidP="004C3D3C">
      <w:pPr>
        <w:widowControl w:val="0"/>
        <w:tabs>
          <w:tab w:val="clear" w:pos="567"/>
        </w:tabs>
        <w:spacing w:line="240" w:lineRule="auto"/>
        <w:rPr>
          <w:i/>
          <w:snapToGrid/>
          <w:szCs w:val="22"/>
          <w:lang w:val="lt-LT"/>
        </w:rPr>
      </w:pPr>
    </w:p>
    <w:p w:rsidR="004C3D3C" w:rsidRDefault="004C3D3C" w:rsidP="004C3D3C">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tabs>
          <w:tab w:val="clear" w:pos="567"/>
        </w:tabs>
        <w:spacing w:line="240" w:lineRule="auto"/>
        <w:rPr>
          <w:iCs/>
          <w:snapToGrid/>
          <w:szCs w:val="22"/>
          <w:lang w:val="lt-LT"/>
        </w:rPr>
      </w:pPr>
      <w:r>
        <w:rPr>
          <w:iCs/>
          <w:snapToGrid/>
          <w:szCs w:val="22"/>
          <w:lang w:val="lt-LT"/>
        </w:rPr>
        <w:t>Ant dėžutės ir lizdinės plokštelės po „EXP“ nurodytam tinkamumo laikui pasibaigus, šio vaisto vartoti negalima. Vaistas tinkamas vartoti iki paskutinės nurodyto mėnesio dienos.</w:t>
      </w: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tabs>
          <w:tab w:val="clear" w:pos="567"/>
        </w:tabs>
        <w:spacing w:line="240" w:lineRule="auto"/>
        <w:rPr>
          <w:i/>
          <w:iCs/>
          <w:lang w:val="lt-LT"/>
        </w:rPr>
      </w:pPr>
      <w:r>
        <w:rPr>
          <w:i/>
          <w:iCs/>
          <w:lang w:val="lt-LT"/>
        </w:rPr>
        <w:t>OPA/</w:t>
      </w:r>
      <w:r>
        <w:rPr>
          <w:i/>
          <w:iCs/>
          <w:snapToGrid/>
          <w:szCs w:val="22"/>
          <w:lang w:val="lt-LT"/>
        </w:rPr>
        <w:t>aliuminio</w:t>
      </w:r>
      <w:r>
        <w:rPr>
          <w:i/>
          <w:iCs/>
          <w:lang w:val="lt-LT"/>
        </w:rPr>
        <w:t>/PVC//</w:t>
      </w:r>
      <w:r>
        <w:rPr>
          <w:i/>
          <w:iCs/>
          <w:snapToGrid/>
          <w:szCs w:val="22"/>
          <w:lang w:val="lt-LT"/>
        </w:rPr>
        <w:t>aliuminio</w:t>
      </w:r>
      <w:r>
        <w:rPr>
          <w:i/>
          <w:iCs/>
          <w:lang w:val="lt-LT"/>
        </w:rPr>
        <w:t xml:space="preserve"> lizdinės plokštelės</w:t>
      </w:r>
    </w:p>
    <w:p w:rsidR="004C3D3C" w:rsidRDefault="004C3D3C" w:rsidP="004C3D3C">
      <w:pPr>
        <w:widowControl w:val="0"/>
        <w:tabs>
          <w:tab w:val="clear" w:pos="567"/>
        </w:tabs>
        <w:spacing w:line="240" w:lineRule="auto"/>
        <w:rPr>
          <w:rFonts w:eastAsia="TimesNewRoman"/>
          <w:snapToGrid/>
          <w:szCs w:val="22"/>
          <w:lang w:val="lt-LT"/>
        </w:rPr>
      </w:pPr>
      <w:r>
        <w:rPr>
          <w:lang w:val="lt-LT"/>
        </w:rPr>
        <w:t>Šio vaisto laikymui specialių temperatūros sąlygų nereikalaujama.</w:t>
      </w:r>
    </w:p>
    <w:p w:rsidR="004C3D3C" w:rsidRDefault="004C3D3C" w:rsidP="004C3D3C">
      <w:pPr>
        <w:widowControl w:val="0"/>
        <w:tabs>
          <w:tab w:val="clear" w:pos="567"/>
        </w:tabs>
        <w:spacing w:line="240" w:lineRule="auto"/>
        <w:rPr>
          <w:rFonts w:eastAsia="TimesNewRoman"/>
          <w:snapToGrid/>
          <w:szCs w:val="22"/>
          <w:lang w:val="lt-LT"/>
        </w:rPr>
      </w:pPr>
      <w:r>
        <w:rPr>
          <w:rFonts w:eastAsia="TimesNewRoman"/>
          <w:snapToGrid/>
          <w:szCs w:val="22"/>
          <w:lang w:val="lt-LT"/>
        </w:rPr>
        <w:t>Laikyti gamintojo pakuotėje, kad vaistas būtų apsaugotas nuo drėgmės.</w:t>
      </w:r>
    </w:p>
    <w:p w:rsidR="004C3D3C" w:rsidRDefault="004C3D3C" w:rsidP="004C3D3C">
      <w:pPr>
        <w:widowControl w:val="0"/>
        <w:tabs>
          <w:tab w:val="clear" w:pos="567"/>
        </w:tabs>
        <w:spacing w:line="240" w:lineRule="auto"/>
        <w:rPr>
          <w:i/>
          <w:iCs/>
          <w:snapToGrid/>
          <w:szCs w:val="22"/>
          <w:highlight w:val="lightGray"/>
          <w:lang w:val="lt-LT"/>
        </w:rPr>
      </w:pPr>
      <w:r>
        <w:rPr>
          <w:i/>
          <w:iCs/>
          <w:snapToGrid/>
          <w:szCs w:val="22"/>
          <w:highlight w:val="lightGray"/>
          <w:lang w:val="lt-LT"/>
        </w:rPr>
        <w:t>PVC/PE/PVDC/PE/PVC//aliuminio</w:t>
      </w:r>
      <w:r>
        <w:rPr>
          <w:i/>
          <w:iCs/>
          <w:highlight w:val="lightGray"/>
          <w:lang w:val="lt-LT"/>
        </w:rPr>
        <w:t xml:space="preserve"> lizdinės plokštelės</w:t>
      </w:r>
    </w:p>
    <w:p w:rsidR="004C3D3C" w:rsidRDefault="004C3D3C" w:rsidP="004C3D3C">
      <w:pPr>
        <w:widowControl w:val="0"/>
        <w:tabs>
          <w:tab w:val="clear" w:pos="567"/>
        </w:tabs>
        <w:spacing w:line="240" w:lineRule="auto"/>
        <w:rPr>
          <w:snapToGrid/>
          <w:szCs w:val="22"/>
          <w:lang w:val="lt-LT"/>
        </w:rPr>
      </w:pPr>
      <w:r>
        <w:rPr>
          <w:snapToGrid/>
          <w:szCs w:val="22"/>
          <w:highlight w:val="lightGray"/>
          <w:lang w:val="lt-LT"/>
        </w:rPr>
        <w:t xml:space="preserve">Laikyti ne aukštesnėje kaip 30 °C temperatūroje. </w:t>
      </w:r>
      <w:r>
        <w:rPr>
          <w:rFonts w:eastAsia="TimesNewRoman"/>
          <w:snapToGrid/>
          <w:szCs w:val="22"/>
          <w:highlight w:val="lightGray"/>
          <w:lang w:val="lt-LT"/>
        </w:rPr>
        <w:t>Laikyti gamintojo pakuotėje, kad vaistas būtų apsaugotas nuo drėgmės</w:t>
      </w:r>
      <w:r>
        <w:rPr>
          <w:snapToGrid/>
          <w:szCs w:val="22"/>
          <w:highlight w:val="lightGray"/>
          <w:lang w:val="lt-LT"/>
        </w:rPr>
        <w:t>.</w:t>
      </w:r>
    </w:p>
    <w:p w:rsidR="004C3D3C" w:rsidRDefault="004C3D3C" w:rsidP="004C3D3C">
      <w:pPr>
        <w:widowControl w:val="0"/>
        <w:tabs>
          <w:tab w:val="clear" w:pos="567"/>
        </w:tabs>
        <w:spacing w:line="240" w:lineRule="auto"/>
        <w:rPr>
          <w:rFonts w:eastAsia="TimesNewRoman"/>
          <w:snapToGrid/>
          <w:szCs w:val="22"/>
          <w:lang w:val="lt-LT"/>
        </w:rPr>
      </w:pPr>
    </w:p>
    <w:p w:rsidR="004C3D3C" w:rsidRDefault="004C3D3C" w:rsidP="004C3D3C">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rsidR="004C3D3C" w:rsidRDefault="004C3D3C" w:rsidP="004C3D3C">
      <w:pPr>
        <w:widowControl w:val="0"/>
        <w:numPr>
          <w:ilvl w:val="12"/>
          <w:numId w:val="0"/>
        </w:numPr>
        <w:tabs>
          <w:tab w:val="clear" w:pos="567"/>
        </w:tabs>
        <w:spacing w:line="240" w:lineRule="auto"/>
        <w:rPr>
          <w:snapToGrid/>
          <w:szCs w:val="22"/>
          <w:lang w:val="lt-LT"/>
        </w:rPr>
      </w:pPr>
    </w:p>
    <w:p w:rsidR="004C3D3C" w:rsidRDefault="004C3D3C" w:rsidP="004C3D3C">
      <w:pPr>
        <w:widowControl w:val="0"/>
        <w:numPr>
          <w:ilvl w:val="12"/>
          <w:numId w:val="0"/>
        </w:numPr>
        <w:tabs>
          <w:tab w:val="clear" w:pos="567"/>
        </w:tabs>
        <w:spacing w:line="240" w:lineRule="auto"/>
        <w:rPr>
          <w:snapToGrid/>
          <w:szCs w:val="22"/>
          <w:u w:val="single"/>
          <w:lang w:val="lt-LT"/>
        </w:rPr>
      </w:pPr>
      <w:r>
        <w:rPr>
          <w:b/>
          <w:bCs/>
          <w:snapToGrid/>
          <w:szCs w:val="22"/>
          <w:lang w:val="lt-LT"/>
        </w:rPr>
        <w:t>Asigefort sudėtis</w:t>
      </w:r>
    </w:p>
    <w:p w:rsidR="004C3D3C" w:rsidRDefault="004C3D3C" w:rsidP="004C3D3C">
      <w:pPr>
        <w:widowControl w:val="0"/>
        <w:tabs>
          <w:tab w:val="clear" w:pos="567"/>
        </w:tabs>
        <w:autoSpaceDE w:val="0"/>
        <w:autoSpaceDN w:val="0"/>
        <w:adjustRightInd w:val="0"/>
        <w:spacing w:line="240" w:lineRule="auto"/>
        <w:rPr>
          <w:rFonts w:eastAsia="TimesNewRoman"/>
          <w:snapToGrid/>
          <w:szCs w:val="22"/>
          <w:lang w:val="lt-LT"/>
        </w:rPr>
      </w:pPr>
      <w:r>
        <w:rPr>
          <w:snapToGrid/>
          <w:szCs w:val="22"/>
          <w:lang w:val="lt-LT"/>
        </w:rPr>
        <w:t xml:space="preserve">Veikliosios medžiagos </w:t>
      </w:r>
      <w:r>
        <w:rPr>
          <w:rFonts w:eastAsia="TimesNewRoman"/>
          <w:snapToGrid/>
          <w:szCs w:val="22"/>
          <w:lang w:val="lt-LT"/>
        </w:rPr>
        <w:t>yra sitagliptinas ir metformino hidrochloridas.</w:t>
      </w:r>
    </w:p>
    <w:p w:rsidR="004C3D3C" w:rsidRDefault="004C3D3C" w:rsidP="004C3D3C">
      <w:pPr>
        <w:widowControl w:val="0"/>
        <w:numPr>
          <w:ilvl w:val="0"/>
          <w:numId w:val="1"/>
        </w:numPr>
        <w:tabs>
          <w:tab w:val="clear" w:pos="567"/>
        </w:tabs>
        <w:autoSpaceDE w:val="0"/>
        <w:autoSpaceDN w:val="0"/>
        <w:adjustRightInd w:val="0"/>
        <w:spacing w:line="240" w:lineRule="auto"/>
        <w:ind w:left="567" w:hanging="567"/>
        <w:rPr>
          <w:snapToGrid/>
          <w:szCs w:val="22"/>
          <w:u w:val="single"/>
          <w:lang w:val="lt-LT"/>
        </w:rPr>
      </w:pPr>
      <w:r>
        <w:rPr>
          <w:snapToGrid/>
          <w:szCs w:val="22"/>
          <w:u w:val="single"/>
          <w:lang w:val="lt-LT"/>
        </w:rPr>
        <w:t>Asigefort 50 mg/850 mg plėvele dengtos tabletės</w:t>
      </w:r>
    </w:p>
    <w:p w:rsidR="004C3D3C" w:rsidRDefault="004C3D3C" w:rsidP="004C3D3C">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50 mg sitagliptino ir 850 mg </w:t>
      </w:r>
      <w:r>
        <w:rPr>
          <w:lang w:val="lt-LT"/>
        </w:rPr>
        <w:t>metformino hidrochlorido</w:t>
      </w:r>
      <w:r>
        <w:rPr>
          <w:rFonts w:eastAsia="TimesNewRoman"/>
          <w:snapToGrid/>
          <w:szCs w:val="22"/>
          <w:lang w:val="lt-LT"/>
        </w:rPr>
        <w:t>.</w:t>
      </w:r>
    </w:p>
    <w:p w:rsidR="004C3D3C" w:rsidRDefault="004C3D3C" w:rsidP="004C3D3C">
      <w:pPr>
        <w:widowControl w:val="0"/>
        <w:tabs>
          <w:tab w:val="clear" w:pos="567"/>
        </w:tabs>
        <w:autoSpaceDE w:val="0"/>
        <w:autoSpaceDN w:val="0"/>
        <w:adjustRightInd w:val="0"/>
        <w:spacing w:line="240" w:lineRule="auto"/>
        <w:ind w:left="567"/>
        <w:rPr>
          <w:snapToGrid/>
          <w:szCs w:val="22"/>
          <w:u w:val="single"/>
          <w:lang w:val="lt-LT"/>
        </w:rPr>
      </w:pPr>
      <w:r>
        <w:rPr>
          <w:snapToGrid/>
          <w:szCs w:val="22"/>
          <w:u w:val="single"/>
          <w:lang w:val="lt-LT"/>
        </w:rPr>
        <w:t>Asigefort 50 mg/1000 mg plėvele dengtos tabletės</w:t>
      </w:r>
    </w:p>
    <w:p w:rsidR="004C3D3C" w:rsidRDefault="004C3D3C" w:rsidP="004C3D3C">
      <w:pPr>
        <w:widowControl w:val="0"/>
        <w:tabs>
          <w:tab w:val="clear" w:pos="567"/>
        </w:tabs>
        <w:autoSpaceDE w:val="0"/>
        <w:autoSpaceDN w:val="0"/>
        <w:adjustRightInd w:val="0"/>
        <w:spacing w:line="240" w:lineRule="auto"/>
        <w:ind w:left="567"/>
        <w:rPr>
          <w:rFonts w:eastAsia="TimesNewRoman"/>
          <w:snapToGrid/>
          <w:szCs w:val="22"/>
          <w:lang w:val="lt-LT"/>
        </w:rPr>
      </w:pPr>
      <w:r>
        <w:rPr>
          <w:rFonts w:eastAsia="TimesNewRoman"/>
          <w:snapToGrid/>
          <w:szCs w:val="22"/>
          <w:lang w:val="lt-LT"/>
        </w:rPr>
        <w:t xml:space="preserve">Kiekvienoje plėvele dengtoje tabletėje yra 50 mg sitagliptino ir 1000 mg </w:t>
      </w:r>
      <w:r>
        <w:rPr>
          <w:lang w:val="lt-LT"/>
        </w:rPr>
        <w:t>metformino hidrochlorido</w:t>
      </w:r>
      <w:r>
        <w:rPr>
          <w:rFonts w:eastAsia="TimesNewRoman"/>
          <w:snapToGrid/>
          <w:szCs w:val="22"/>
          <w:lang w:val="lt-LT"/>
        </w:rPr>
        <w:t>.</w:t>
      </w:r>
    </w:p>
    <w:p w:rsidR="004C3D3C" w:rsidRDefault="004C3D3C" w:rsidP="004C3D3C">
      <w:pPr>
        <w:widowControl w:val="0"/>
        <w:numPr>
          <w:ilvl w:val="0"/>
          <w:numId w:val="7"/>
        </w:numPr>
        <w:tabs>
          <w:tab w:val="clear" w:pos="567"/>
        </w:tabs>
        <w:spacing w:line="240" w:lineRule="auto"/>
        <w:ind w:left="567" w:hanging="567"/>
        <w:rPr>
          <w:rFonts w:eastAsia="TimesNewRoman"/>
          <w:snapToGrid/>
          <w:szCs w:val="22"/>
          <w:lang w:val="lt-LT"/>
        </w:rPr>
      </w:pPr>
      <w:r>
        <w:rPr>
          <w:snapToGrid/>
          <w:szCs w:val="22"/>
          <w:lang w:val="lt-LT"/>
        </w:rPr>
        <w:t>Kitos (pagalbinės) medžiagos yra</w:t>
      </w:r>
      <w:r>
        <w:rPr>
          <w:rFonts w:eastAsia="TimesNewRoman"/>
          <w:snapToGrid/>
          <w:szCs w:val="22"/>
          <w:lang w:val="lt-LT"/>
        </w:rPr>
        <w:t xml:space="preserve"> povidonas, mikrokristalinė celiuliozė, manitolis, natrio laurilsulfatas ir magnio stearatas (tabletės branduolys) bei hipromeliozė, titano dioksidas </w:t>
      </w:r>
      <w:r>
        <w:rPr>
          <w:rFonts w:eastAsia="TimesNewRoman"/>
          <w:snapToGrid/>
          <w:szCs w:val="22"/>
          <w:lang w:val="lt-LT"/>
        </w:rPr>
        <w:lastRenderedPageBreak/>
        <w:t>(E171), talkas, propilenglikolis ir raudonasis geležies oksidas (E172) (tabletės plėvelė). Žr. 2 skyrių „Asigefort sudėtyje yra natrio“.</w:t>
      </w:r>
    </w:p>
    <w:p w:rsidR="004C3D3C" w:rsidRDefault="004C3D3C" w:rsidP="004C3D3C">
      <w:pPr>
        <w:widowControl w:val="0"/>
        <w:tabs>
          <w:tab w:val="clear" w:pos="567"/>
        </w:tabs>
        <w:spacing w:line="240" w:lineRule="auto"/>
        <w:ind w:right="-2"/>
        <w:rPr>
          <w:snapToGrid/>
          <w:szCs w:val="22"/>
          <w:lang w:val="lt-LT"/>
        </w:rPr>
      </w:pPr>
    </w:p>
    <w:p w:rsidR="004C3D3C" w:rsidRDefault="004C3D3C" w:rsidP="004C3D3C">
      <w:pPr>
        <w:widowControl w:val="0"/>
        <w:numPr>
          <w:ilvl w:val="12"/>
          <w:numId w:val="0"/>
        </w:numPr>
        <w:tabs>
          <w:tab w:val="clear" w:pos="567"/>
        </w:tabs>
        <w:spacing w:line="240" w:lineRule="auto"/>
        <w:rPr>
          <w:b/>
          <w:bCs/>
          <w:snapToGrid/>
          <w:szCs w:val="22"/>
          <w:lang w:val="lt-LT"/>
        </w:rPr>
      </w:pPr>
      <w:r>
        <w:rPr>
          <w:b/>
          <w:bCs/>
          <w:snapToGrid/>
          <w:szCs w:val="22"/>
          <w:lang w:val="lt-LT"/>
        </w:rPr>
        <w:t>Asigefort išvaizda ir kiekis pakuotėje</w:t>
      </w:r>
    </w:p>
    <w:p w:rsidR="004C3D3C" w:rsidRDefault="004C3D3C" w:rsidP="004C3D3C">
      <w:pPr>
        <w:widowControl w:val="0"/>
        <w:numPr>
          <w:ilvl w:val="12"/>
          <w:numId w:val="0"/>
        </w:numPr>
        <w:tabs>
          <w:tab w:val="clear" w:pos="567"/>
        </w:tabs>
        <w:spacing w:line="240" w:lineRule="auto"/>
        <w:rPr>
          <w:b/>
          <w:bCs/>
          <w:snapToGrid/>
          <w:szCs w:val="22"/>
          <w:lang w:val="lt-LT"/>
        </w:rPr>
      </w:pPr>
    </w:p>
    <w:p w:rsidR="004C3D3C" w:rsidRDefault="004C3D3C" w:rsidP="004C3D3C">
      <w:pPr>
        <w:widowControl w:val="0"/>
        <w:tabs>
          <w:tab w:val="clear" w:pos="567"/>
        </w:tabs>
        <w:autoSpaceDE w:val="0"/>
        <w:autoSpaceDN w:val="0"/>
        <w:adjustRightInd w:val="0"/>
        <w:spacing w:line="240" w:lineRule="auto"/>
        <w:rPr>
          <w:snapToGrid/>
          <w:color w:val="000000"/>
          <w:szCs w:val="22"/>
          <w:lang w:val="lt-LT"/>
        </w:rPr>
      </w:pPr>
      <w:r>
        <w:rPr>
          <w:snapToGrid/>
          <w:color w:val="000000"/>
          <w:szCs w:val="22"/>
          <w:u w:val="single"/>
          <w:lang w:val="lt-LT"/>
        </w:rPr>
        <w:t>Asigefort 50 mg/850 mg plėvele dengtos tabletės</w:t>
      </w:r>
      <w:r>
        <w:rPr>
          <w:snapToGrid/>
          <w:color w:val="000000"/>
          <w:szCs w:val="22"/>
          <w:lang w:val="lt-LT"/>
        </w:rPr>
        <w:t>: rausvos, ovalios, abipus išgaubtos, plėvele dengtos tabletės, vienoje tabletės pusėje yra žyma „C4“ (matmenys − maždaug 20 x 11 mm).</w:t>
      </w:r>
    </w:p>
    <w:p w:rsidR="004C3D3C" w:rsidRDefault="004C3D3C" w:rsidP="004C3D3C">
      <w:pPr>
        <w:widowControl w:val="0"/>
        <w:tabs>
          <w:tab w:val="clear" w:pos="567"/>
        </w:tabs>
        <w:autoSpaceDE w:val="0"/>
        <w:autoSpaceDN w:val="0"/>
        <w:adjustRightInd w:val="0"/>
        <w:spacing w:line="240" w:lineRule="auto"/>
        <w:rPr>
          <w:snapToGrid/>
          <w:szCs w:val="22"/>
          <w:lang w:val="lt-LT"/>
        </w:rPr>
      </w:pPr>
    </w:p>
    <w:p w:rsidR="004C3D3C" w:rsidRDefault="004C3D3C" w:rsidP="004C3D3C">
      <w:pPr>
        <w:widowControl w:val="0"/>
        <w:tabs>
          <w:tab w:val="clear" w:pos="567"/>
        </w:tabs>
        <w:autoSpaceDE w:val="0"/>
        <w:autoSpaceDN w:val="0"/>
        <w:adjustRightInd w:val="0"/>
        <w:spacing w:line="240" w:lineRule="auto"/>
        <w:rPr>
          <w:snapToGrid/>
          <w:szCs w:val="22"/>
          <w:lang w:val="lt-LT"/>
        </w:rPr>
      </w:pPr>
      <w:r>
        <w:rPr>
          <w:snapToGrid/>
          <w:color w:val="000000"/>
          <w:szCs w:val="22"/>
          <w:u w:val="single"/>
          <w:lang w:val="lt-LT"/>
        </w:rPr>
        <w:t>Asigefort 50 mg/1000 mg plėvele dengtos tabletės</w:t>
      </w:r>
      <w:r>
        <w:rPr>
          <w:snapToGrid/>
          <w:color w:val="000000"/>
          <w:szCs w:val="22"/>
          <w:lang w:val="lt-LT"/>
        </w:rPr>
        <w:t>: tamsiai rausvos, ovalios, abipus išgaubtos, plėvele dengtos tabletės, vienoje tabletės pusėje yra žyma „C3“ (matmenys − maždaug 21 x 11 mm).</w:t>
      </w:r>
    </w:p>
    <w:p w:rsidR="004C3D3C" w:rsidRDefault="004C3D3C" w:rsidP="004C3D3C">
      <w:pPr>
        <w:widowControl w:val="0"/>
        <w:numPr>
          <w:ilvl w:val="12"/>
          <w:numId w:val="0"/>
        </w:numPr>
        <w:tabs>
          <w:tab w:val="clear" w:pos="567"/>
        </w:tabs>
        <w:spacing w:line="240" w:lineRule="auto"/>
        <w:ind w:right="-2"/>
        <w:rPr>
          <w:snapToGrid/>
          <w:szCs w:val="22"/>
          <w:u w:val="single"/>
          <w:lang w:val="lt-LT"/>
        </w:rPr>
      </w:pPr>
    </w:p>
    <w:p w:rsidR="004C3D3C" w:rsidRDefault="004C3D3C" w:rsidP="004C3D3C">
      <w:pPr>
        <w:widowControl w:val="0"/>
        <w:tabs>
          <w:tab w:val="clear" w:pos="567"/>
        </w:tabs>
        <w:spacing w:line="240" w:lineRule="auto"/>
        <w:ind w:right="-2"/>
        <w:rPr>
          <w:snapToGrid/>
          <w:szCs w:val="22"/>
          <w:lang w:val="lt-LT" w:eastAsia="sl-SI"/>
        </w:rPr>
      </w:pPr>
      <w:r>
        <w:rPr>
          <w:bCs/>
          <w:snapToGrid/>
          <w:szCs w:val="22"/>
          <w:lang w:val="lt-LT" w:eastAsia="sl-SI"/>
        </w:rPr>
        <w:t>Asigefort tiekiamas pakuotėmis, kuriose yra:</w:t>
      </w:r>
    </w:p>
    <w:p w:rsidR="004C3D3C" w:rsidRDefault="004C3D3C" w:rsidP="004C3D3C">
      <w:pPr>
        <w:widowControl w:val="0"/>
        <w:numPr>
          <w:ilvl w:val="0"/>
          <w:numId w:val="5"/>
        </w:numPr>
        <w:tabs>
          <w:tab w:val="clear" w:pos="567"/>
        </w:tabs>
        <w:spacing w:line="240" w:lineRule="auto"/>
        <w:ind w:left="567" w:right="-2" w:hanging="567"/>
        <w:rPr>
          <w:snapToGrid/>
          <w:szCs w:val="22"/>
          <w:lang w:val="lt-LT" w:eastAsia="sl-SI"/>
        </w:rPr>
      </w:pPr>
      <w:r>
        <w:rPr>
          <w:snapToGrid/>
          <w:szCs w:val="22"/>
          <w:lang w:val="lt-LT"/>
        </w:rPr>
        <w:t>10, 14, 28, 30, 56, 60, 90, 196 arba 200 plėvele dengtų tablečių lizdinėse plokštelėse;</w:t>
      </w:r>
    </w:p>
    <w:p w:rsidR="004C3D3C" w:rsidRDefault="004C3D3C" w:rsidP="004C3D3C">
      <w:pPr>
        <w:widowControl w:val="0"/>
        <w:numPr>
          <w:ilvl w:val="0"/>
          <w:numId w:val="6"/>
        </w:numPr>
        <w:tabs>
          <w:tab w:val="clear" w:pos="567"/>
        </w:tabs>
        <w:spacing w:line="240" w:lineRule="auto"/>
        <w:ind w:left="567" w:right="-2" w:hanging="567"/>
        <w:rPr>
          <w:snapToGrid/>
          <w:szCs w:val="22"/>
          <w:lang w:val="lt-LT" w:eastAsia="sl-SI"/>
        </w:rPr>
      </w:pPr>
      <w:r>
        <w:rPr>
          <w:snapToGrid/>
          <w:szCs w:val="22"/>
          <w:lang w:val="lt-LT"/>
        </w:rPr>
        <w:t>14, 28, 56 arba196 plėvele dengtų tablečių lizdinėse plokštelėse kalendorinėse pakuotėse.</w:t>
      </w:r>
    </w:p>
    <w:p w:rsidR="004C3D3C" w:rsidRDefault="004C3D3C" w:rsidP="004C3D3C">
      <w:pPr>
        <w:widowControl w:val="0"/>
        <w:tabs>
          <w:tab w:val="clear" w:pos="567"/>
        </w:tabs>
        <w:autoSpaceDE w:val="0"/>
        <w:autoSpaceDN w:val="0"/>
        <w:adjustRightInd w:val="0"/>
        <w:spacing w:line="240" w:lineRule="auto"/>
        <w:rPr>
          <w:rFonts w:eastAsia="TimesNewRoman"/>
          <w:snapToGrid/>
          <w:szCs w:val="22"/>
          <w:lang w:val="lt-LT"/>
        </w:rPr>
      </w:pPr>
    </w:p>
    <w:p w:rsidR="004C3D3C" w:rsidRDefault="004C3D3C" w:rsidP="004C3D3C">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rsidR="004C3D3C" w:rsidRDefault="004C3D3C" w:rsidP="004C3D3C">
      <w:pPr>
        <w:widowControl w:val="0"/>
        <w:numPr>
          <w:ilvl w:val="12"/>
          <w:numId w:val="0"/>
        </w:numPr>
        <w:tabs>
          <w:tab w:val="clear" w:pos="567"/>
        </w:tabs>
        <w:spacing w:line="240" w:lineRule="auto"/>
        <w:rPr>
          <w:b/>
          <w:bCs/>
          <w:snapToGrid/>
          <w:szCs w:val="22"/>
          <w:lang w:val="lt-LT"/>
        </w:rPr>
      </w:pPr>
    </w:p>
    <w:p w:rsidR="004C3D3C" w:rsidRDefault="004C3D3C" w:rsidP="004C3D3C">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rsidR="004C3D3C" w:rsidRDefault="004C3D3C" w:rsidP="004C3D3C">
      <w:pPr>
        <w:widowControl w:val="0"/>
        <w:rPr>
          <w:snapToGrid/>
          <w:szCs w:val="24"/>
          <w:lang w:val="lt-LT"/>
        </w:rPr>
      </w:pPr>
      <w:r>
        <w:rPr>
          <w:snapToGrid/>
          <w:szCs w:val="24"/>
          <w:lang w:val="lt-LT"/>
        </w:rPr>
        <w:t>TAD Pharma GmbH</w:t>
      </w:r>
    </w:p>
    <w:p w:rsidR="004C3D3C" w:rsidRDefault="004C3D3C" w:rsidP="004C3D3C">
      <w:pPr>
        <w:widowControl w:val="0"/>
        <w:rPr>
          <w:noProof/>
          <w:szCs w:val="22"/>
          <w:lang w:val="de-DE"/>
        </w:rPr>
      </w:pPr>
      <w:r>
        <w:rPr>
          <w:noProof/>
          <w:szCs w:val="22"/>
          <w:lang w:val="de-DE"/>
        </w:rPr>
        <w:t>Heinz-Lohmann-Straße 5</w:t>
      </w:r>
    </w:p>
    <w:p w:rsidR="004C3D3C" w:rsidRDefault="004C3D3C" w:rsidP="004C3D3C">
      <w:pPr>
        <w:widowControl w:val="0"/>
        <w:rPr>
          <w:noProof/>
          <w:szCs w:val="22"/>
          <w:lang w:val="es-ES"/>
        </w:rPr>
      </w:pPr>
      <w:r>
        <w:rPr>
          <w:noProof/>
          <w:szCs w:val="22"/>
          <w:lang w:val="es-ES"/>
        </w:rPr>
        <w:t>27472 Cuxhaven</w:t>
      </w:r>
    </w:p>
    <w:p w:rsidR="004C3D3C" w:rsidRDefault="004C3D3C" w:rsidP="004C3D3C">
      <w:pPr>
        <w:widowControl w:val="0"/>
        <w:rPr>
          <w:noProof/>
          <w:szCs w:val="22"/>
          <w:lang w:val="es-ES"/>
        </w:rPr>
      </w:pPr>
      <w:r>
        <w:rPr>
          <w:noProof/>
          <w:szCs w:val="22"/>
          <w:lang w:val="es-ES"/>
        </w:rPr>
        <w:t>Vokietija</w:t>
      </w: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numPr>
          <w:ilvl w:val="12"/>
          <w:numId w:val="0"/>
        </w:numPr>
        <w:tabs>
          <w:tab w:val="clear" w:pos="567"/>
        </w:tabs>
        <w:spacing w:line="240" w:lineRule="auto"/>
        <w:ind w:right="-2"/>
        <w:rPr>
          <w:i/>
          <w:snapToGrid/>
          <w:szCs w:val="22"/>
          <w:lang w:val="lt-LT"/>
        </w:rPr>
      </w:pPr>
      <w:r>
        <w:rPr>
          <w:i/>
          <w:snapToGrid/>
          <w:szCs w:val="22"/>
          <w:lang w:val="lt-LT"/>
        </w:rPr>
        <w:t>Gamintojai</w:t>
      </w:r>
    </w:p>
    <w:p w:rsidR="004C3D3C" w:rsidRDefault="004C3D3C" w:rsidP="004C3D3C">
      <w:pPr>
        <w:widowControl w:val="0"/>
        <w:tabs>
          <w:tab w:val="clear" w:pos="567"/>
          <w:tab w:val="left" w:pos="540"/>
        </w:tabs>
        <w:spacing w:line="240" w:lineRule="auto"/>
        <w:rPr>
          <w:rFonts w:eastAsia="Calibri"/>
          <w:snapToGrid/>
          <w:szCs w:val="22"/>
          <w:lang w:val="lt-LT"/>
        </w:rPr>
      </w:pPr>
      <w:r>
        <w:rPr>
          <w:rFonts w:eastAsia="Calibri"/>
          <w:snapToGrid/>
          <w:szCs w:val="22"/>
          <w:lang w:val="lt-LT"/>
        </w:rPr>
        <w:t>KRKA d.d. Novo mesto</w:t>
      </w:r>
    </w:p>
    <w:p w:rsidR="004C3D3C" w:rsidRDefault="004C3D3C" w:rsidP="004C3D3C">
      <w:pPr>
        <w:widowControl w:val="0"/>
        <w:tabs>
          <w:tab w:val="clear" w:pos="567"/>
          <w:tab w:val="left" w:pos="540"/>
        </w:tabs>
        <w:spacing w:line="240" w:lineRule="auto"/>
        <w:rPr>
          <w:rFonts w:eastAsia="Calibri"/>
          <w:snapToGrid/>
          <w:szCs w:val="22"/>
          <w:lang w:val="lt-LT"/>
        </w:rPr>
      </w:pPr>
      <w:r>
        <w:rPr>
          <w:rFonts w:eastAsia="Calibri"/>
          <w:snapToGrid/>
          <w:szCs w:val="22"/>
          <w:lang w:val="lt-LT"/>
        </w:rPr>
        <w:t>Šmarješka cesta 6</w:t>
      </w:r>
    </w:p>
    <w:p w:rsidR="004C3D3C" w:rsidRDefault="004C3D3C" w:rsidP="004C3D3C">
      <w:pPr>
        <w:widowControl w:val="0"/>
        <w:tabs>
          <w:tab w:val="clear" w:pos="567"/>
          <w:tab w:val="left" w:pos="540"/>
        </w:tabs>
        <w:spacing w:line="240" w:lineRule="auto"/>
        <w:rPr>
          <w:rFonts w:eastAsia="Calibri"/>
          <w:snapToGrid/>
          <w:szCs w:val="22"/>
          <w:lang w:val="lt-LT"/>
        </w:rPr>
      </w:pPr>
      <w:r>
        <w:rPr>
          <w:rFonts w:eastAsia="Calibri"/>
          <w:snapToGrid/>
          <w:szCs w:val="22"/>
          <w:lang w:val="lt-LT"/>
        </w:rPr>
        <w:t>8501 Novo mesto</w:t>
      </w:r>
    </w:p>
    <w:p w:rsidR="004C3D3C" w:rsidRDefault="004C3D3C" w:rsidP="004C3D3C">
      <w:pPr>
        <w:widowControl w:val="0"/>
        <w:tabs>
          <w:tab w:val="clear" w:pos="567"/>
          <w:tab w:val="left" w:pos="540"/>
        </w:tabs>
        <w:spacing w:line="240" w:lineRule="auto"/>
        <w:rPr>
          <w:rFonts w:eastAsia="Calibri"/>
          <w:snapToGrid/>
          <w:szCs w:val="22"/>
          <w:lang w:val="lt-LT"/>
        </w:rPr>
      </w:pPr>
      <w:r>
        <w:rPr>
          <w:rFonts w:eastAsia="Calibri"/>
          <w:snapToGrid/>
          <w:szCs w:val="22"/>
          <w:lang w:val="lt-LT"/>
        </w:rPr>
        <w:t>Slovėnija</w:t>
      </w:r>
    </w:p>
    <w:p w:rsidR="004C3D3C" w:rsidRDefault="004C3D3C" w:rsidP="004C3D3C">
      <w:pPr>
        <w:widowControl w:val="0"/>
        <w:tabs>
          <w:tab w:val="clear" w:pos="567"/>
          <w:tab w:val="left" w:pos="540"/>
        </w:tabs>
        <w:spacing w:line="240" w:lineRule="auto"/>
        <w:rPr>
          <w:rFonts w:eastAsia="Calibri"/>
          <w:snapToGrid/>
          <w:szCs w:val="22"/>
          <w:lang w:val="lt-LT"/>
        </w:rPr>
      </w:pPr>
    </w:p>
    <w:p w:rsidR="004C3D3C" w:rsidRDefault="004C3D3C" w:rsidP="004C3D3C">
      <w:pPr>
        <w:widowControl w:val="0"/>
        <w:numPr>
          <w:ilvl w:val="12"/>
          <w:numId w:val="0"/>
        </w:numPr>
        <w:tabs>
          <w:tab w:val="clear" w:pos="567"/>
        </w:tabs>
        <w:spacing w:line="240" w:lineRule="auto"/>
        <w:ind w:right="-2"/>
        <w:rPr>
          <w:snapToGrid/>
          <w:szCs w:val="22"/>
          <w:lang w:val="lt-LT"/>
        </w:rPr>
      </w:pPr>
      <w:r>
        <w:rPr>
          <w:snapToGrid/>
          <w:szCs w:val="22"/>
          <w:lang w:val="lt-LT"/>
        </w:rPr>
        <w:t>arba</w:t>
      </w: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rPr>
          <w:snapToGrid/>
          <w:szCs w:val="24"/>
          <w:lang w:val="lt-LT"/>
        </w:rPr>
      </w:pPr>
      <w:r>
        <w:rPr>
          <w:snapToGrid/>
          <w:szCs w:val="24"/>
          <w:lang w:val="lt-LT"/>
        </w:rPr>
        <w:t>TAD Pharma GmbH</w:t>
      </w:r>
    </w:p>
    <w:p w:rsidR="004C3D3C" w:rsidRDefault="004C3D3C" w:rsidP="004C3D3C">
      <w:pPr>
        <w:widowControl w:val="0"/>
        <w:rPr>
          <w:noProof/>
          <w:szCs w:val="22"/>
          <w:lang w:val="de-DE"/>
        </w:rPr>
      </w:pPr>
      <w:r>
        <w:rPr>
          <w:noProof/>
          <w:szCs w:val="22"/>
          <w:lang w:val="de-DE"/>
        </w:rPr>
        <w:t>Heinz-Lohmann-Straße 5</w:t>
      </w:r>
    </w:p>
    <w:p w:rsidR="004C3D3C" w:rsidRDefault="004C3D3C" w:rsidP="004C3D3C">
      <w:pPr>
        <w:widowControl w:val="0"/>
        <w:rPr>
          <w:noProof/>
          <w:szCs w:val="22"/>
          <w:lang w:val="es-ES"/>
        </w:rPr>
      </w:pPr>
      <w:r>
        <w:rPr>
          <w:noProof/>
          <w:szCs w:val="22"/>
          <w:lang w:val="es-ES"/>
        </w:rPr>
        <w:t>27472 Cuxhaven</w:t>
      </w:r>
    </w:p>
    <w:p w:rsidR="004C3D3C" w:rsidRDefault="004C3D3C" w:rsidP="004C3D3C">
      <w:pPr>
        <w:widowControl w:val="0"/>
        <w:rPr>
          <w:noProof/>
          <w:szCs w:val="22"/>
          <w:lang w:val="es-ES"/>
        </w:rPr>
      </w:pPr>
      <w:r>
        <w:rPr>
          <w:noProof/>
          <w:szCs w:val="22"/>
          <w:lang w:val="es-ES"/>
        </w:rPr>
        <w:t>Vokietija</w:t>
      </w:r>
    </w:p>
    <w:p w:rsidR="004C3D3C" w:rsidRDefault="004C3D3C" w:rsidP="004C3D3C">
      <w:pPr>
        <w:widowControl w:val="0"/>
        <w:numPr>
          <w:ilvl w:val="12"/>
          <w:numId w:val="0"/>
        </w:numPr>
        <w:tabs>
          <w:tab w:val="clear" w:pos="567"/>
        </w:tabs>
        <w:spacing w:line="240" w:lineRule="auto"/>
        <w:ind w:right="-2"/>
        <w:rPr>
          <w:i/>
          <w:snapToGrid/>
          <w:szCs w:val="22"/>
          <w:lang w:val="lt-LT"/>
        </w:rPr>
      </w:pPr>
    </w:p>
    <w:p w:rsidR="004C3D3C" w:rsidRDefault="004C3D3C" w:rsidP="004C3D3C">
      <w:pPr>
        <w:widowControl w:val="0"/>
        <w:numPr>
          <w:ilvl w:val="12"/>
          <w:numId w:val="0"/>
        </w:numPr>
        <w:spacing w:line="240" w:lineRule="auto"/>
        <w:ind w:right="-2"/>
        <w:rPr>
          <w:szCs w:val="24"/>
          <w:lang w:val="lt-LT"/>
        </w:rPr>
      </w:pPr>
      <w:r>
        <w:rPr>
          <w:szCs w:val="24"/>
          <w:lang w:val="lt-LT"/>
        </w:rPr>
        <w:t>Jeigu apie šį vaistą norite sužinoti daugiau, kreipkitės į vietinį registruotojo atstovą.</w:t>
      </w:r>
    </w:p>
    <w:p w:rsidR="004C3D3C" w:rsidRDefault="004C3D3C" w:rsidP="004C3D3C">
      <w:pPr>
        <w:widowControl w:val="0"/>
        <w:numPr>
          <w:ilvl w:val="12"/>
          <w:numId w:val="0"/>
        </w:numPr>
        <w:spacing w:line="240" w:lineRule="auto"/>
        <w:ind w:right="-2"/>
        <w:rPr>
          <w:szCs w:val="24"/>
          <w:lang w:val="lt-LT"/>
        </w:rPr>
      </w:pPr>
    </w:p>
    <w:p w:rsidR="004C3D3C" w:rsidRDefault="004C3D3C" w:rsidP="004C3D3C">
      <w:pPr>
        <w:widowControl w:val="0"/>
        <w:tabs>
          <w:tab w:val="clear" w:pos="567"/>
          <w:tab w:val="left" w:pos="540"/>
        </w:tabs>
        <w:spacing w:line="240" w:lineRule="auto"/>
        <w:rPr>
          <w:snapToGrid/>
          <w:szCs w:val="22"/>
          <w:lang w:val="lt-LT"/>
        </w:rPr>
      </w:pPr>
      <w:r>
        <w:rPr>
          <w:snapToGrid/>
          <w:szCs w:val="22"/>
          <w:lang w:val="lt-LT"/>
        </w:rPr>
        <w:t>UAB KRKA Lietuva</w:t>
      </w:r>
    </w:p>
    <w:p w:rsidR="004C3D3C" w:rsidRDefault="004C3D3C" w:rsidP="004C3D3C">
      <w:pPr>
        <w:widowControl w:val="0"/>
        <w:tabs>
          <w:tab w:val="clear" w:pos="567"/>
          <w:tab w:val="left" w:pos="540"/>
        </w:tabs>
        <w:spacing w:line="240" w:lineRule="auto"/>
        <w:rPr>
          <w:snapToGrid/>
          <w:szCs w:val="22"/>
          <w:lang w:val="lt-LT"/>
        </w:rPr>
      </w:pPr>
      <w:r>
        <w:rPr>
          <w:snapToGrid/>
          <w:szCs w:val="22"/>
          <w:lang w:val="lt-LT"/>
        </w:rPr>
        <w:t>Senasis Ukmergės kelias 4</w:t>
      </w:r>
    </w:p>
    <w:p w:rsidR="004C3D3C" w:rsidRDefault="004C3D3C" w:rsidP="004C3D3C">
      <w:pPr>
        <w:widowControl w:val="0"/>
        <w:tabs>
          <w:tab w:val="clear" w:pos="567"/>
          <w:tab w:val="left" w:pos="540"/>
        </w:tabs>
        <w:spacing w:line="240" w:lineRule="auto"/>
        <w:rPr>
          <w:snapToGrid/>
          <w:szCs w:val="22"/>
          <w:lang w:val="lt-LT"/>
        </w:rPr>
      </w:pPr>
      <w:r>
        <w:rPr>
          <w:snapToGrid/>
          <w:szCs w:val="22"/>
          <w:lang w:val="lt-LT"/>
        </w:rPr>
        <w:t>Užubalių km., Vilniaus r.</w:t>
      </w:r>
    </w:p>
    <w:p w:rsidR="004C3D3C" w:rsidRDefault="004C3D3C" w:rsidP="004C3D3C">
      <w:pPr>
        <w:widowControl w:val="0"/>
        <w:tabs>
          <w:tab w:val="clear" w:pos="567"/>
          <w:tab w:val="left" w:pos="540"/>
        </w:tabs>
        <w:spacing w:line="240" w:lineRule="auto"/>
        <w:rPr>
          <w:snapToGrid/>
          <w:szCs w:val="22"/>
          <w:lang w:val="lt-LT"/>
        </w:rPr>
      </w:pPr>
      <w:r>
        <w:rPr>
          <w:snapToGrid/>
          <w:szCs w:val="22"/>
          <w:lang w:val="lt-LT"/>
        </w:rPr>
        <w:t>LT - 14013</w:t>
      </w:r>
    </w:p>
    <w:p w:rsidR="004C3D3C" w:rsidRDefault="004C3D3C" w:rsidP="004C3D3C">
      <w:pPr>
        <w:widowControl w:val="0"/>
        <w:tabs>
          <w:tab w:val="clear" w:pos="567"/>
          <w:tab w:val="left" w:pos="540"/>
        </w:tabs>
        <w:spacing w:line="240" w:lineRule="auto"/>
        <w:rPr>
          <w:rFonts w:eastAsia="Calibri"/>
          <w:snapToGrid/>
          <w:szCs w:val="22"/>
          <w:lang w:val="lt-LT"/>
        </w:rPr>
      </w:pPr>
      <w:r>
        <w:rPr>
          <w:snapToGrid/>
          <w:szCs w:val="22"/>
          <w:lang w:val="lt-LT"/>
        </w:rPr>
        <w:t>Tel. + 370 5 236 27 40</w:t>
      </w:r>
    </w:p>
    <w:p w:rsidR="004C3D3C" w:rsidRDefault="004C3D3C" w:rsidP="004C3D3C">
      <w:pPr>
        <w:widowControl w:val="0"/>
        <w:numPr>
          <w:ilvl w:val="12"/>
          <w:numId w:val="0"/>
        </w:numPr>
        <w:tabs>
          <w:tab w:val="clear" w:pos="567"/>
        </w:tabs>
        <w:spacing w:line="240" w:lineRule="auto"/>
        <w:ind w:right="-2"/>
        <w:rPr>
          <w:snapToGrid/>
          <w:szCs w:val="22"/>
          <w:lang w:val="lt-LT"/>
        </w:rPr>
      </w:pPr>
    </w:p>
    <w:p w:rsidR="004C3D3C" w:rsidRDefault="004C3D3C" w:rsidP="004C3D3C">
      <w:pPr>
        <w:widowControl w:val="0"/>
        <w:numPr>
          <w:ilvl w:val="12"/>
          <w:numId w:val="0"/>
        </w:numPr>
        <w:rPr>
          <w:lang w:val="lt-LT"/>
        </w:rPr>
      </w:pPr>
      <w:r>
        <w:rPr>
          <w:b/>
          <w:lang w:val="lt-LT"/>
        </w:rPr>
        <w:t>Šis vaistas Europos ekonominės erdvės valstybėse narėse registruotas tokiais pavadinimais:</w:t>
      </w:r>
    </w:p>
    <w:p w:rsidR="004C3D3C" w:rsidRDefault="004C3D3C" w:rsidP="004C3D3C">
      <w:pPr>
        <w:widowControl w:val="0"/>
        <w:tabs>
          <w:tab w:val="clear" w:pos="567"/>
        </w:tabs>
        <w:spacing w:line="240" w:lineRule="auto"/>
        <w:rPr>
          <w:snapToGrid/>
          <w:szCs w:val="24"/>
          <w:lang w:val="lt-LT" w:eastAsia="x-none"/>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2890"/>
      </w:tblGrid>
      <w:tr w:rsidR="004C3D3C" w:rsidTr="004C3D3C">
        <w:tc>
          <w:tcPr>
            <w:tcW w:w="3431" w:type="dxa"/>
          </w:tcPr>
          <w:p w:rsidR="004C3D3C" w:rsidRDefault="004C3D3C" w:rsidP="00C46686">
            <w:pPr>
              <w:widowControl w:val="0"/>
              <w:numPr>
                <w:ilvl w:val="12"/>
                <w:numId w:val="0"/>
              </w:numPr>
              <w:ind w:right="-2"/>
              <w:rPr>
                <w:szCs w:val="22"/>
              </w:rPr>
            </w:pPr>
            <w:r>
              <w:rPr>
                <w:lang w:eastAsia="sl-SI"/>
              </w:rPr>
              <w:t>Valstybės narės pavadinimas</w:t>
            </w:r>
          </w:p>
        </w:tc>
        <w:tc>
          <w:tcPr>
            <w:tcW w:w="2890" w:type="dxa"/>
          </w:tcPr>
          <w:p w:rsidR="004C3D3C" w:rsidRDefault="004C3D3C" w:rsidP="00C46686">
            <w:pPr>
              <w:widowControl w:val="0"/>
              <w:numPr>
                <w:ilvl w:val="12"/>
                <w:numId w:val="0"/>
              </w:numPr>
              <w:ind w:right="-2"/>
              <w:rPr>
                <w:szCs w:val="22"/>
              </w:rPr>
            </w:pPr>
            <w:r>
              <w:rPr>
                <w:szCs w:val="22"/>
              </w:rPr>
              <w:t>Vaisto pavadinimas</w:t>
            </w:r>
          </w:p>
        </w:tc>
      </w:tr>
      <w:tr w:rsidR="004C3D3C" w:rsidTr="004C3D3C">
        <w:tc>
          <w:tcPr>
            <w:tcW w:w="3431" w:type="dxa"/>
          </w:tcPr>
          <w:p w:rsidR="004C3D3C" w:rsidRDefault="004C3D3C" w:rsidP="00C46686">
            <w:pPr>
              <w:widowControl w:val="0"/>
              <w:numPr>
                <w:ilvl w:val="12"/>
                <w:numId w:val="0"/>
              </w:numPr>
              <w:ind w:right="-2"/>
              <w:rPr>
                <w:szCs w:val="22"/>
                <w:lang w:val="pt-PT"/>
              </w:rPr>
            </w:pPr>
            <w:r>
              <w:rPr>
                <w:szCs w:val="22"/>
                <w:lang w:val="pt-PT"/>
              </w:rPr>
              <w:t>Slovakija, Čekija, Estija, Vengrija, Lietuva, Latvija, Lenkija</w:t>
            </w:r>
          </w:p>
        </w:tc>
        <w:tc>
          <w:tcPr>
            <w:tcW w:w="2890" w:type="dxa"/>
          </w:tcPr>
          <w:p w:rsidR="004C3D3C" w:rsidRDefault="004C3D3C" w:rsidP="00C46686">
            <w:pPr>
              <w:widowControl w:val="0"/>
              <w:numPr>
                <w:ilvl w:val="12"/>
                <w:numId w:val="0"/>
              </w:numPr>
              <w:ind w:right="-2"/>
              <w:rPr>
                <w:szCs w:val="22"/>
              </w:rPr>
            </w:pPr>
            <w:r>
              <w:rPr>
                <w:szCs w:val="22"/>
              </w:rPr>
              <w:t>Asigefort</w:t>
            </w:r>
          </w:p>
        </w:tc>
      </w:tr>
    </w:tbl>
    <w:p w:rsidR="004C3D3C" w:rsidRDefault="004C3D3C" w:rsidP="004C3D3C">
      <w:pPr>
        <w:widowControl w:val="0"/>
        <w:tabs>
          <w:tab w:val="clear" w:pos="567"/>
        </w:tabs>
        <w:spacing w:line="240" w:lineRule="auto"/>
        <w:rPr>
          <w:snapToGrid/>
          <w:szCs w:val="24"/>
          <w:lang w:val="lt-LT" w:eastAsia="x-none"/>
        </w:rPr>
      </w:pPr>
    </w:p>
    <w:p w:rsidR="004C3D3C" w:rsidRDefault="004C3D3C" w:rsidP="004C3D3C">
      <w:pPr>
        <w:widowControl w:val="0"/>
        <w:tabs>
          <w:tab w:val="clear" w:pos="567"/>
        </w:tabs>
        <w:spacing w:line="240" w:lineRule="auto"/>
        <w:rPr>
          <w:snapToGrid/>
          <w:szCs w:val="24"/>
          <w:lang w:val="lt-LT"/>
        </w:rPr>
      </w:pPr>
      <w:r>
        <w:rPr>
          <w:b/>
          <w:bCs/>
          <w:snapToGrid/>
          <w:szCs w:val="24"/>
          <w:lang w:val="lt-LT" w:eastAsia="x-none"/>
        </w:rPr>
        <w:t>Šis pakuotės lapelis</w:t>
      </w:r>
      <w:r>
        <w:rPr>
          <w:b/>
          <w:snapToGrid/>
          <w:szCs w:val="24"/>
          <w:lang w:val="lt-LT" w:eastAsia="x-none"/>
        </w:rPr>
        <w:t xml:space="preserve"> paskutinį kartą peržiūrėtas </w:t>
      </w:r>
      <w:r>
        <w:rPr>
          <w:b/>
          <w:lang w:val="lt-LT"/>
        </w:rPr>
        <w:t>2025-03-26</w:t>
      </w:r>
      <w:r>
        <w:rPr>
          <w:b/>
          <w:snapToGrid/>
          <w:szCs w:val="24"/>
          <w:lang w:val="lt-LT" w:eastAsia="x-none"/>
        </w:rPr>
        <w:t>.</w:t>
      </w:r>
    </w:p>
    <w:p w:rsidR="004C3D3C" w:rsidRDefault="004C3D3C" w:rsidP="004C3D3C">
      <w:pPr>
        <w:widowControl w:val="0"/>
        <w:tabs>
          <w:tab w:val="clear" w:pos="567"/>
        </w:tabs>
        <w:spacing w:line="240" w:lineRule="auto"/>
        <w:rPr>
          <w:snapToGrid/>
          <w:szCs w:val="24"/>
          <w:lang w:val="lt-LT"/>
        </w:rPr>
      </w:pPr>
    </w:p>
    <w:p w:rsidR="004C3D3C" w:rsidRDefault="004C3D3C" w:rsidP="004C3D3C">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hyperlink r:id="rId8" w:history="1">
        <w:r>
          <w:rPr>
            <w:snapToGrid/>
            <w:color w:val="0000FF"/>
            <w:szCs w:val="24"/>
            <w:u w:val="single"/>
            <w:lang w:val="lt-LT"/>
          </w:rPr>
          <w:t>http://www.vvkt.lt/</w:t>
        </w:r>
      </w:hyperlink>
      <w:r>
        <w:rPr>
          <w:snapToGrid/>
          <w:szCs w:val="24"/>
          <w:lang w:val="lt-LT"/>
        </w:rPr>
        <w:t>.</w:t>
      </w:r>
    </w:p>
    <w:p w:rsidR="00BA6577" w:rsidRDefault="00BA6577">
      <w:bookmarkStart w:id="3" w:name="_GoBack"/>
      <w:bookmarkEnd w:id="3"/>
    </w:p>
    <w:sectPr w:rsidR="00BA6577">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877" w:rsidRDefault="004C3D3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8D6877" w:rsidRDefault="004C3D3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877" w:rsidRDefault="004C3D3C">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7</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877" w:rsidRDefault="004C3D3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877" w:rsidRDefault="004C3D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877" w:rsidRDefault="004C3D3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877" w:rsidRDefault="004C3D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F4533"/>
    <w:multiLevelType w:val="hybridMultilevel"/>
    <w:tmpl w:val="01C8B04C"/>
    <w:lvl w:ilvl="0" w:tplc="08C23D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7F4A94"/>
    <w:multiLevelType w:val="hybridMultilevel"/>
    <w:tmpl w:val="13EA4BF8"/>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24271"/>
    <w:multiLevelType w:val="hybridMultilevel"/>
    <w:tmpl w:val="5BA89B2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046359"/>
    <w:multiLevelType w:val="hybridMultilevel"/>
    <w:tmpl w:val="46F2342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9797041"/>
    <w:multiLevelType w:val="hybridMultilevel"/>
    <w:tmpl w:val="613C96DE"/>
    <w:lvl w:ilvl="0" w:tplc="19009AC0">
      <w:start w:val="2"/>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4"/>
  </w:num>
  <w:num w:numId="4">
    <w:abstractNumId w:val="2"/>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de-DE" w:vendorID="64" w:dllVersion="131078" w:nlCheck="1" w:checkStyle="0"/>
  <w:activeWritingStyle w:appName="MSWord" w:lang="en-GB" w:vendorID="64" w:dllVersion="131078" w:nlCheck="1" w:checkStyle="1"/>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3C"/>
    <w:rsid w:val="00070BFA"/>
    <w:rsid w:val="00072F85"/>
    <w:rsid w:val="000A5E72"/>
    <w:rsid w:val="000A7B60"/>
    <w:rsid w:val="00181364"/>
    <w:rsid w:val="002945D9"/>
    <w:rsid w:val="00305C48"/>
    <w:rsid w:val="003362C6"/>
    <w:rsid w:val="00497D4D"/>
    <w:rsid w:val="004C3D3C"/>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9754A-5A2C-4CC9-8DA6-80526BCE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3D3C"/>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4C3D3C"/>
    <w:pPr>
      <w:tabs>
        <w:tab w:val="center" w:pos="4536"/>
        <w:tab w:val="right" w:pos="8306"/>
      </w:tabs>
    </w:pPr>
    <w:rPr>
      <w:lang w:eastAsia="x-none"/>
    </w:rPr>
  </w:style>
  <w:style w:type="character" w:customStyle="1" w:styleId="PoratDiagrama">
    <w:name w:val="Poraštė Diagrama"/>
    <w:basedOn w:val="Numatytasispastraiposriftas"/>
    <w:link w:val="Porat"/>
    <w:rsid w:val="004C3D3C"/>
    <w:rPr>
      <w:rFonts w:ascii="Times New Roman" w:hAnsi="Times New Roman" w:cs="Times New Roman"/>
      <w:snapToGrid w:val="0"/>
      <w:szCs w:val="20"/>
      <w:lang w:val="en-GB" w:eastAsia="x-none"/>
    </w:rPr>
  </w:style>
  <w:style w:type="character" w:styleId="Puslapionumeris">
    <w:name w:val="page number"/>
    <w:rsid w:val="004C3D3C"/>
    <w:rPr>
      <w:rFonts w:cs="Times New Roman"/>
    </w:rPr>
  </w:style>
  <w:style w:type="paragraph" w:styleId="Antrats">
    <w:name w:val="header"/>
    <w:basedOn w:val="prastasis"/>
    <w:link w:val="AntratsDiagrama"/>
    <w:rsid w:val="004C3D3C"/>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4C3D3C"/>
    <w:rPr>
      <w:rFonts w:ascii="Times New Roman" w:eastAsia="SimSun" w:hAnsi="Times New Roman" w:cs="Times New Roman"/>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13542</Words>
  <Characters>7719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2025-06-27T05:55:00Z</dcterms:created>
  <dcterms:modified xsi:type="dcterms:W3CDTF">2025-06-27T05:56:00Z</dcterms:modified>
</cp:coreProperties>
</file>