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A3" w:rsidRPr="007256F4" w:rsidRDefault="006531A3" w:rsidP="006531A3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napToGrid w:val="0"/>
          <w:szCs w:val="24"/>
          <w:lang w:val="lt-LT" w:eastAsia="x-none"/>
        </w:rPr>
      </w:pPr>
      <w:r w:rsidRPr="007256F4">
        <w:rPr>
          <w:rFonts w:ascii="Times New Roman" w:eastAsia="Times New Roman" w:hAnsi="Times New Roman"/>
          <w:b/>
          <w:bCs/>
          <w:iCs/>
          <w:snapToGrid w:val="0"/>
          <w:szCs w:val="28"/>
          <w:lang w:val="lt-LT" w:eastAsia="x-none"/>
        </w:rPr>
        <w:t>Pakuotės lapelis:</w:t>
      </w:r>
      <w:r w:rsidRPr="007256F4">
        <w:rPr>
          <w:rFonts w:ascii="Times New Roman" w:eastAsia="Times New Roman" w:hAnsi="Times New Roman"/>
          <w:b/>
          <w:snapToGrid w:val="0"/>
          <w:szCs w:val="24"/>
          <w:lang w:val="lt-LT" w:eastAsia="x-none"/>
        </w:rPr>
        <w:t xml:space="preserve"> </w:t>
      </w:r>
      <w:r w:rsidRPr="007256F4">
        <w:rPr>
          <w:rFonts w:ascii="Times New Roman" w:eastAsia="Times New Roman" w:hAnsi="Times New Roman"/>
          <w:b/>
          <w:bCs/>
          <w:iCs/>
          <w:snapToGrid w:val="0"/>
          <w:szCs w:val="28"/>
          <w:lang w:val="lt-LT" w:eastAsia="x-none"/>
        </w:rPr>
        <w:t>informacija pacientui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lang w:val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610115">
        <w:rPr>
          <w:rFonts w:ascii="Times New Roman" w:eastAsia="Times New Roman" w:hAnsi="Times New Roman"/>
          <w:b/>
          <w:bCs/>
          <w:lang w:val="lt-LT"/>
        </w:rPr>
        <w:t>Infutraze</w:t>
      </w:r>
      <w:proofErr w:type="spellEnd"/>
      <w:r w:rsidRPr="007256F4">
        <w:rPr>
          <w:rFonts w:ascii="Times New Roman" w:eastAsia="Times New Roman" w:hAnsi="Times New Roman"/>
          <w:b/>
          <w:bCs/>
          <w:lang w:val="lt-LT"/>
        </w:rPr>
        <w:t xml:space="preserve"> koncentratas infuziniam tirpalui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m</w:t>
      </w:r>
      <w:r w:rsidRPr="007256F4">
        <w:rPr>
          <w:rFonts w:ascii="Times New Roman" w:eastAsia="Times New Roman" w:hAnsi="Times New Roman"/>
          <w:lang w:val="lt-LT"/>
        </w:rPr>
        <w:t>ikroelementai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lang w:val="lt-LT"/>
        </w:rPr>
      </w:pPr>
    </w:p>
    <w:p w:rsidR="006531A3" w:rsidRPr="007256F4" w:rsidRDefault="006531A3" w:rsidP="006531A3">
      <w:pPr>
        <w:suppressAutoHyphens/>
        <w:spacing w:after="0" w:line="240" w:lineRule="auto"/>
        <w:rPr>
          <w:rFonts w:ascii="Times New Roman" w:eastAsia="Times New Roman" w:hAnsi="Times New Roman"/>
          <w:snapToGrid w:val="0"/>
          <w:szCs w:val="24"/>
          <w:lang w:val="lt-LT"/>
        </w:rPr>
      </w:pPr>
      <w:r w:rsidRPr="007256F4"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  <w:t>Atidžiai perskaitykite visą šį lapelį, prieš pradėdami vartoti vaistą, nes jame pateikiama Jums svarbi informacija.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lang w:val="lt-LT"/>
        </w:rPr>
      </w:pPr>
      <w:r w:rsidRPr="007256F4">
        <w:rPr>
          <w:rFonts w:ascii="Times New Roman" w:eastAsia="Times New Roman" w:hAnsi="Times New Roman"/>
          <w:lang w:val="lt-LT"/>
        </w:rPr>
        <w:t>-</w:t>
      </w:r>
      <w:r w:rsidRPr="007256F4">
        <w:rPr>
          <w:rFonts w:ascii="Times New Roman" w:eastAsia="Times New Roman" w:hAnsi="Times New Roman"/>
          <w:lang w:val="lt-LT"/>
        </w:rPr>
        <w:tab/>
        <w:t>Neišmeskite šio lapelio, nes vėl gali prireikti jį perskaityti.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lang w:val="lt-LT"/>
        </w:rPr>
      </w:pPr>
      <w:r w:rsidRPr="007256F4">
        <w:rPr>
          <w:rFonts w:ascii="Times New Roman" w:eastAsia="Times New Roman" w:hAnsi="Times New Roman"/>
          <w:lang w:val="lt-LT"/>
        </w:rPr>
        <w:t>-</w:t>
      </w:r>
      <w:r w:rsidRPr="007256F4">
        <w:rPr>
          <w:rFonts w:ascii="Times New Roman" w:eastAsia="Times New Roman" w:hAnsi="Times New Roman"/>
          <w:lang w:val="lt-LT"/>
        </w:rPr>
        <w:tab/>
        <w:t>Jeigu kiltų daugiau klausimų, kreipkitės į gydytoją arba slaugytoją.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7256F4">
        <w:rPr>
          <w:rFonts w:ascii="Times New Roman" w:eastAsia="Times New Roman" w:hAnsi="Times New Roman"/>
          <w:lang w:val="lt-LT"/>
        </w:rPr>
        <w:t>-</w:t>
      </w:r>
      <w:r w:rsidRPr="007256F4">
        <w:rPr>
          <w:rFonts w:ascii="Times New Roman" w:eastAsia="Times New Roman" w:hAnsi="Times New Roman"/>
          <w:lang w:val="lt-LT"/>
        </w:rPr>
        <w:tab/>
        <w:t>Jeigu Jūsų vaikui pasireiškė šalutinis poveikis (net jeigu jis šiame lapelyje nenurodytas), kreipkitės į gydytoją arba slaugytoją. Žr. 4</w:t>
      </w:r>
      <w:r w:rsidRPr="007256F4">
        <w:rPr>
          <w:rFonts w:ascii="Times New Roman" w:eastAsia="Times New Roman" w:hAnsi="Times New Roman"/>
          <w:b/>
          <w:lang w:val="lt-LT"/>
        </w:rPr>
        <w:t> </w:t>
      </w:r>
      <w:r w:rsidRPr="007256F4">
        <w:rPr>
          <w:rFonts w:ascii="Times New Roman" w:eastAsia="Times New Roman" w:hAnsi="Times New Roman"/>
          <w:lang w:val="lt-LT"/>
        </w:rPr>
        <w:t>skyrių.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</w:p>
    <w:p w:rsidR="006531A3" w:rsidRPr="007256F4" w:rsidRDefault="006531A3" w:rsidP="006531A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val="lt-LT" w:eastAsia="x-none"/>
        </w:rPr>
      </w:pPr>
      <w:r w:rsidRPr="007256F4">
        <w:rPr>
          <w:rFonts w:ascii="Times New Roman" w:eastAsia="Times New Roman" w:hAnsi="Times New Roman"/>
          <w:b/>
          <w:bCs/>
          <w:snapToGrid w:val="0"/>
          <w:szCs w:val="28"/>
          <w:lang w:val="lt-LT" w:eastAsia="x-none"/>
        </w:rPr>
        <w:t>Apie ką rašoma šiame lapelyje?</w:t>
      </w:r>
    </w:p>
    <w:p w:rsidR="006531A3" w:rsidRPr="007256F4" w:rsidRDefault="006531A3" w:rsidP="006531A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val="lt-LT" w:eastAsia="x-none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7256F4">
        <w:rPr>
          <w:rFonts w:ascii="Times New Roman" w:eastAsia="Times New Roman" w:hAnsi="Times New Roman"/>
          <w:lang w:val="lt-LT"/>
        </w:rPr>
        <w:t>1.</w:t>
      </w:r>
      <w:r w:rsidRPr="007256F4">
        <w:rPr>
          <w:rFonts w:ascii="Times New Roman" w:eastAsia="Times New Roman" w:hAnsi="Times New Roman"/>
          <w:lang w:val="lt-LT"/>
        </w:rPr>
        <w:tab/>
        <w:t xml:space="preserve">Kas yra </w:t>
      </w:r>
      <w:proofErr w:type="spellStart"/>
      <w:r w:rsidRPr="00610115">
        <w:rPr>
          <w:rFonts w:ascii="Times New Roman" w:eastAsia="Times New Roman" w:hAnsi="Times New Roman"/>
          <w:lang w:val="lt-LT"/>
        </w:rPr>
        <w:t>Infutraze</w:t>
      </w:r>
      <w:proofErr w:type="spellEnd"/>
      <w:r w:rsidRPr="007256F4">
        <w:rPr>
          <w:rFonts w:ascii="Times New Roman" w:eastAsia="Times New Roman" w:hAnsi="Times New Roman"/>
          <w:lang w:val="lt-LT"/>
        </w:rPr>
        <w:t xml:space="preserve"> ir kam jis vartojamas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7256F4">
        <w:rPr>
          <w:rFonts w:ascii="Times New Roman" w:eastAsia="Times New Roman" w:hAnsi="Times New Roman"/>
          <w:lang w:val="lt-LT"/>
        </w:rPr>
        <w:t>2.</w:t>
      </w:r>
      <w:r w:rsidRPr="007256F4">
        <w:rPr>
          <w:rFonts w:ascii="Times New Roman" w:eastAsia="Times New Roman" w:hAnsi="Times New Roman"/>
          <w:lang w:val="lt-LT"/>
        </w:rPr>
        <w:tab/>
        <w:t xml:space="preserve">Kas žinotina prieš vartojant </w:t>
      </w:r>
      <w:proofErr w:type="spellStart"/>
      <w:r w:rsidRPr="00610115">
        <w:rPr>
          <w:rFonts w:ascii="Times New Roman" w:eastAsia="Times New Roman" w:hAnsi="Times New Roman"/>
          <w:lang w:val="lt-LT"/>
        </w:rPr>
        <w:t>Infutraze</w:t>
      </w:r>
      <w:proofErr w:type="spellEnd"/>
    </w:p>
    <w:p w:rsidR="006531A3" w:rsidRPr="007256F4" w:rsidRDefault="006531A3" w:rsidP="006531A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7256F4">
        <w:rPr>
          <w:rFonts w:ascii="Times New Roman" w:eastAsia="Times New Roman" w:hAnsi="Times New Roman"/>
          <w:lang w:val="lt-LT"/>
        </w:rPr>
        <w:t>3.</w:t>
      </w:r>
      <w:r w:rsidRPr="007256F4">
        <w:rPr>
          <w:rFonts w:ascii="Times New Roman" w:eastAsia="Times New Roman" w:hAnsi="Times New Roman"/>
          <w:lang w:val="lt-LT"/>
        </w:rPr>
        <w:tab/>
        <w:t xml:space="preserve">Kaip vartoti </w:t>
      </w:r>
      <w:proofErr w:type="spellStart"/>
      <w:r w:rsidRPr="00610115">
        <w:rPr>
          <w:rFonts w:ascii="Times New Roman" w:eastAsia="Times New Roman" w:hAnsi="Times New Roman"/>
          <w:lang w:val="lt-LT"/>
        </w:rPr>
        <w:t>Infutraze</w:t>
      </w:r>
      <w:proofErr w:type="spellEnd"/>
    </w:p>
    <w:p w:rsidR="006531A3" w:rsidRPr="007256F4" w:rsidRDefault="006531A3" w:rsidP="006531A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7256F4">
        <w:rPr>
          <w:rFonts w:ascii="Times New Roman" w:eastAsia="Times New Roman" w:hAnsi="Times New Roman"/>
          <w:lang w:val="lt-LT"/>
        </w:rPr>
        <w:t>4.</w:t>
      </w:r>
      <w:r w:rsidRPr="007256F4">
        <w:rPr>
          <w:rFonts w:ascii="Times New Roman" w:eastAsia="Times New Roman" w:hAnsi="Times New Roman"/>
          <w:lang w:val="lt-LT"/>
        </w:rPr>
        <w:tab/>
        <w:t>Galimas šalutinis poveikis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7256F4">
        <w:rPr>
          <w:rFonts w:ascii="Times New Roman" w:eastAsia="Times New Roman" w:hAnsi="Times New Roman"/>
          <w:lang w:val="lt-LT"/>
        </w:rPr>
        <w:t>5.</w:t>
      </w:r>
      <w:r w:rsidRPr="007256F4">
        <w:rPr>
          <w:rFonts w:ascii="Times New Roman" w:eastAsia="Times New Roman" w:hAnsi="Times New Roman"/>
          <w:lang w:val="lt-LT"/>
        </w:rPr>
        <w:tab/>
        <w:t xml:space="preserve">Kaip laikyti </w:t>
      </w:r>
      <w:proofErr w:type="spellStart"/>
      <w:r w:rsidRPr="00610115">
        <w:rPr>
          <w:rFonts w:ascii="Times New Roman" w:eastAsia="Times New Roman" w:hAnsi="Times New Roman"/>
          <w:lang w:val="lt-LT"/>
        </w:rPr>
        <w:t>Infutraze</w:t>
      </w:r>
      <w:proofErr w:type="spellEnd"/>
    </w:p>
    <w:p w:rsidR="006531A3" w:rsidRPr="007256F4" w:rsidRDefault="006531A3" w:rsidP="006531A3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/>
          <w:snapToGrid w:val="0"/>
          <w:szCs w:val="24"/>
          <w:lang w:val="lt-LT"/>
        </w:rPr>
      </w:pPr>
      <w:r w:rsidRPr="007256F4">
        <w:rPr>
          <w:rFonts w:ascii="Times New Roman" w:eastAsia="Times New Roman" w:hAnsi="Times New Roman"/>
          <w:snapToGrid w:val="0"/>
          <w:szCs w:val="24"/>
          <w:lang w:val="lt-LT"/>
        </w:rPr>
        <w:t>6.</w:t>
      </w:r>
      <w:r w:rsidRPr="007256F4">
        <w:rPr>
          <w:rFonts w:ascii="Times New Roman" w:eastAsia="Times New Roman" w:hAnsi="Times New Roman"/>
          <w:snapToGrid w:val="0"/>
          <w:szCs w:val="24"/>
          <w:lang w:val="lt-LT"/>
        </w:rPr>
        <w:tab/>
      </w:r>
      <w:r w:rsidRPr="007256F4">
        <w:rPr>
          <w:rFonts w:ascii="Times New Roman" w:eastAsia="Times New Roman" w:hAnsi="Times New Roman"/>
          <w:noProof/>
          <w:snapToGrid w:val="0"/>
          <w:szCs w:val="24"/>
          <w:lang w:val="lt-LT"/>
        </w:rPr>
        <w:t>Pakuotės turinys ir kita informacija</w:t>
      </w:r>
    </w:p>
    <w:p w:rsidR="006531A3" w:rsidRPr="007256F4" w:rsidRDefault="006531A3" w:rsidP="006531A3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lang w:val="lt-LT" w:eastAsia="lt-LT"/>
        </w:rPr>
      </w:pPr>
    </w:p>
    <w:p w:rsidR="006531A3" w:rsidRPr="007256F4" w:rsidRDefault="006531A3" w:rsidP="006531A3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7256F4" w:rsidRDefault="006531A3" w:rsidP="006531A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val="lt-LT" w:eastAsia="x-none"/>
        </w:rPr>
      </w:pPr>
      <w:r w:rsidRPr="007256F4">
        <w:rPr>
          <w:rFonts w:ascii="Times New Roman" w:eastAsia="Times New Roman" w:hAnsi="Times New Roman"/>
          <w:b/>
          <w:bCs/>
          <w:snapToGrid w:val="0"/>
          <w:szCs w:val="28"/>
          <w:lang w:val="lt-LT" w:eastAsia="x-none"/>
        </w:rPr>
        <w:t>1.</w:t>
      </w:r>
      <w:r w:rsidRPr="007256F4">
        <w:rPr>
          <w:rFonts w:ascii="Times New Roman" w:eastAsia="Times New Roman" w:hAnsi="Times New Roman"/>
          <w:b/>
          <w:bCs/>
          <w:snapToGrid w:val="0"/>
          <w:szCs w:val="28"/>
          <w:lang w:val="lt-LT" w:eastAsia="x-none"/>
        </w:rPr>
        <w:tab/>
        <w:t xml:space="preserve">Kas yra </w:t>
      </w:r>
      <w:proofErr w:type="spellStart"/>
      <w:r w:rsidRPr="00610115">
        <w:rPr>
          <w:rFonts w:ascii="Times New Roman" w:eastAsia="Times New Roman" w:hAnsi="Times New Roman"/>
          <w:b/>
          <w:bCs/>
          <w:snapToGrid w:val="0"/>
          <w:szCs w:val="28"/>
          <w:lang w:val="lt-LT" w:eastAsia="x-none"/>
        </w:rPr>
        <w:t>Infutraze</w:t>
      </w:r>
      <w:proofErr w:type="spellEnd"/>
      <w:r w:rsidRPr="007256F4">
        <w:rPr>
          <w:rFonts w:ascii="Times New Roman" w:eastAsia="Times New Roman" w:hAnsi="Times New Roman"/>
          <w:b/>
          <w:bCs/>
          <w:snapToGrid w:val="0"/>
          <w:szCs w:val="28"/>
          <w:lang w:val="lt-LT" w:eastAsia="x-none"/>
        </w:rPr>
        <w:t xml:space="preserve"> ir kam jis vartojamas</w:t>
      </w:r>
    </w:p>
    <w:p w:rsidR="006531A3" w:rsidRPr="007256F4" w:rsidRDefault="006531A3" w:rsidP="006531A3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752CF2" w:rsidRDefault="006531A3" w:rsidP="006531A3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610115">
        <w:rPr>
          <w:rFonts w:ascii="Times New Roman" w:eastAsia="Times New Roman" w:hAnsi="Times New Roman"/>
          <w:lang w:val="lt-LT"/>
        </w:rPr>
        <w:t>Infutraze</w:t>
      </w:r>
      <w:proofErr w:type="spellEnd"/>
      <w:r w:rsidRPr="00752CF2">
        <w:rPr>
          <w:rFonts w:ascii="Times New Roman" w:eastAsia="Times New Roman" w:hAnsi="Times New Roman"/>
          <w:lang w:val="lt-LT"/>
        </w:rPr>
        <w:t xml:space="preserve"> yra mikroelementų mišinys, lašinamas į kraują (intraveninės infuzijos būdu). </w:t>
      </w:r>
      <w:proofErr w:type="spellStart"/>
      <w:r w:rsidRPr="00610115">
        <w:rPr>
          <w:rFonts w:ascii="Times New Roman" w:eastAsia="Times New Roman" w:hAnsi="Times New Roman"/>
          <w:lang w:val="lt-LT"/>
        </w:rPr>
        <w:t>Infutraze</w:t>
      </w:r>
      <w:proofErr w:type="spellEnd"/>
      <w:r w:rsidRPr="00752CF2">
        <w:rPr>
          <w:rFonts w:ascii="Times New Roman" w:eastAsia="Times New Roman" w:hAnsi="Times New Roman"/>
          <w:lang w:val="lt-LT"/>
        </w:rPr>
        <w:t xml:space="preserve"> sudėtyje yra penki mikroelementai (cinkas, varis, manganas, selenas ir jodas) labai mažais kiekiais, kurie paprastai pasisavinami su maistu. Šie mikroelementai yra būtini normaliai organizmo veiklai.</w:t>
      </w:r>
    </w:p>
    <w:p w:rsidR="006531A3" w:rsidRPr="00752CF2" w:rsidRDefault="006531A3" w:rsidP="006531A3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6531A3" w:rsidRPr="007256F4" w:rsidRDefault="006531A3" w:rsidP="006531A3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610115">
        <w:rPr>
          <w:rFonts w:ascii="Times New Roman" w:eastAsia="Times New Roman" w:hAnsi="Times New Roman"/>
          <w:lang w:val="lt-LT"/>
        </w:rPr>
        <w:t>Infutraze</w:t>
      </w:r>
      <w:proofErr w:type="spellEnd"/>
      <w:r w:rsidRPr="00752CF2">
        <w:rPr>
          <w:rFonts w:ascii="Times New Roman" w:eastAsia="Times New Roman" w:hAnsi="Times New Roman"/>
          <w:lang w:val="lt-LT"/>
        </w:rPr>
        <w:t xml:space="preserve"> yra vartojamas baziniam mikroelementų poreikiui patenkinti neišnešiotiems ir išnešiotiems naujagimiams, kūdikiams, vaikams ir paaugliams, kurie negali valgyti ar pakankamai pasisavinti per zondą tiekiamo maisto, todėl jiems reikalingas į veną </w:t>
      </w:r>
      <w:proofErr w:type="spellStart"/>
      <w:r w:rsidRPr="00752CF2">
        <w:rPr>
          <w:rFonts w:ascii="Times New Roman" w:eastAsia="Times New Roman" w:hAnsi="Times New Roman"/>
          <w:lang w:val="lt-LT"/>
        </w:rPr>
        <w:t>infuzuojamas</w:t>
      </w:r>
      <w:proofErr w:type="spellEnd"/>
      <w:r w:rsidRPr="00752CF2">
        <w:rPr>
          <w:rFonts w:ascii="Times New Roman" w:eastAsia="Times New Roman" w:hAnsi="Times New Roman"/>
          <w:lang w:val="lt-LT"/>
        </w:rPr>
        <w:t xml:space="preserve"> maistas (tai vadinama intraveniniu maitinimu arba </w:t>
      </w:r>
      <w:proofErr w:type="spellStart"/>
      <w:r w:rsidRPr="00752CF2">
        <w:rPr>
          <w:rFonts w:ascii="Times New Roman" w:eastAsia="Times New Roman" w:hAnsi="Times New Roman"/>
          <w:lang w:val="lt-LT"/>
        </w:rPr>
        <w:t>parenteriniu</w:t>
      </w:r>
      <w:proofErr w:type="spellEnd"/>
      <w:r w:rsidRPr="00752CF2">
        <w:rPr>
          <w:rFonts w:ascii="Times New Roman" w:eastAsia="Times New Roman" w:hAnsi="Times New Roman"/>
          <w:lang w:val="lt-LT"/>
        </w:rPr>
        <w:t xml:space="preserve"> maitinimu). </w:t>
      </w:r>
      <w:proofErr w:type="spellStart"/>
      <w:r w:rsidRPr="00610115">
        <w:rPr>
          <w:rFonts w:ascii="Times New Roman" w:eastAsia="Times New Roman" w:hAnsi="Times New Roman"/>
          <w:lang w:val="lt-LT"/>
        </w:rPr>
        <w:t>Infutraze</w:t>
      </w:r>
      <w:proofErr w:type="spellEnd"/>
      <w:r w:rsidRPr="00752CF2">
        <w:rPr>
          <w:rFonts w:ascii="Times New Roman" w:eastAsia="Times New Roman" w:hAnsi="Times New Roman"/>
          <w:lang w:val="lt-LT"/>
        </w:rPr>
        <w:t xml:space="preserve"> yra papildomas </w:t>
      </w:r>
      <w:proofErr w:type="spellStart"/>
      <w:r w:rsidRPr="00752CF2">
        <w:rPr>
          <w:rFonts w:ascii="Times New Roman" w:eastAsia="Times New Roman" w:hAnsi="Times New Roman"/>
          <w:lang w:val="lt-LT"/>
        </w:rPr>
        <w:t>parenterinis</w:t>
      </w:r>
      <w:proofErr w:type="spellEnd"/>
      <w:r w:rsidRPr="00752CF2">
        <w:rPr>
          <w:rFonts w:ascii="Times New Roman" w:eastAsia="Times New Roman" w:hAnsi="Times New Roman"/>
          <w:lang w:val="lt-LT"/>
        </w:rPr>
        <w:t xml:space="preserve"> maitinimas, su kuriuo organizmas gauna visas reikalingas maistines medžiagas.</w:t>
      </w:r>
    </w:p>
    <w:p w:rsidR="006531A3" w:rsidRPr="007256F4" w:rsidRDefault="006531A3" w:rsidP="006531A3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7256F4" w:rsidRDefault="006531A3" w:rsidP="006531A3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7256F4" w:rsidRDefault="006531A3" w:rsidP="006531A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val="lt-LT" w:eastAsia="x-none"/>
        </w:rPr>
      </w:pPr>
      <w:r w:rsidRPr="007256F4">
        <w:rPr>
          <w:rFonts w:ascii="Times New Roman" w:eastAsia="Times New Roman" w:hAnsi="Times New Roman"/>
          <w:b/>
          <w:bCs/>
          <w:snapToGrid w:val="0"/>
          <w:szCs w:val="28"/>
          <w:lang w:val="lt-LT" w:eastAsia="x-none"/>
        </w:rPr>
        <w:t>2.</w:t>
      </w:r>
      <w:r w:rsidRPr="007256F4">
        <w:rPr>
          <w:rFonts w:ascii="Times New Roman" w:eastAsia="Times New Roman" w:hAnsi="Times New Roman"/>
          <w:b/>
          <w:bCs/>
          <w:snapToGrid w:val="0"/>
          <w:szCs w:val="28"/>
          <w:lang w:val="lt-LT" w:eastAsia="x-none"/>
        </w:rPr>
        <w:tab/>
        <w:t xml:space="preserve">Kas žinotina prieš vartojant </w:t>
      </w:r>
      <w:proofErr w:type="spellStart"/>
      <w:r w:rsidRPr="00610115">
        <w:rPr>
          <w:rFonts w:ascii="Times New Roman" w:eastAsia="Times New Roman" w:hAnsi="Times New Roman"/>
          <w:b/>
          <w:bCs/>
          <w:snapToGrid w:val="0"/>
          <w:szCs w:val="28"/>
          <w:lang w:val="lt-LT" w:eastAsia="x-none"/>
        </w:rPr>
        <w:t>Infutraze</w:t>
      </w:r>
      <w:proofErr w:type="spellEnd"/>
    </w:p>
    <w:p w:rsidR="006531A3" w:rsidRPr="007256F4" w:rsidRDefault="006531A3" w:rsidP="006531A3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610115">
        <w:rPr>
          <w:rFonts w:ascii="Times New Roman" w:eastAsia="Times New Roman" w:hAnsi="Times New Roman"/>
          <w:b/>
          <w:bCs/>
          <w:lang w:val="lt-LT"/>
        </w:rPr>
        <w:t>Infutraze</w:t>
      </w:r>
      <w:proofErr w:type="spellEnd"/>
      <w:r w:rsidRPr="007256F4">
        <w:rPr>
          <w:rFonts w:ascii="Times New Roman" w:eastAsia="Times New Roman" w:hAnsi="Times New Roman"/>
          <w:b/>
          <w:bCs/>
          <w:lang w:val="lt-LT"/>
        </w:rPr>
        <w:t xml:space="preserve"> vartoti draudžiama</w:t>
      </w:r>
      <w:r>
        <w:rPr>
          <w:rFonts w:ascii="Times New Roman" w:eastAsia="Times New Roman" w:hAnsi="Times New Roman"/>
          <w:b/>
          <w:bCs/>
          <w:lang w:val="lt-LT"/>
        </w:rPr>
        <w:t>:</w:t>
      </w:r>
    </w:p>
    <w:p w:rsidR="006531A3" w:rsidRPr="007256F4" w:rsidRDefault="006531A3" w:rsidP="006531A3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snapToGrid w:val="0"/>
          <w:szCs w:val="24"/>
          <w:lang w:val="lt-LT"/>
        </w:rPr>
      </w:pPr>
      <w:r w:rsidRPr="007256F4">
        <w:rPr>
          <w:rFonts w:ascii="Times New Roman" w:eastAsia="Times New Roman" w:hAnsi="Times New Roman"/>
          <w:snapToGrid w:val="0"/>
          <w:szCs w:val="24"/>
          <w:lang w:val="lt-LT"/>
        </w:rPr>
        <w:t>-</w:t>
      </w:r>
      <w:r w:rsidRPr="007256F4">
        <w:rPr>
          <w:rFonts w:ascii="Times New Roman" w:eastAsia="Times New Roman" w:hAnsi="Times New Roman"/>
          <w:snapToGrid w:val="0"/>
          <w:szCs w:val="24"/>
          <w:lang w:val="lt-LT"/>
        </w:rPr>
        <w:tab/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jeigu Jūsų vaikui </w:t>
      </w:r>
      <w:r w:rsidRPr="007256F4">
        <w:rPr>
          <w:rFonts w:ascii="Times New Roman" w:eastAsia="Times New Roman" w:hAnsi="Times New Roman"/>
          <w:noProof/>
          <w:snapToGrid w:val="0"/>
          <w:szCs w:val="24"/>
          <w:lang w:val="lt-LT"/>
        </w:rPr>
        <w:t>yra alergija (padidėjęs jautrumas) veikliosioms medžiagoms arba bet kuriai pagalbinei šio vaisto medžiagai (jos išvardytos 6 skyriuje);</w:t>
      </w:r>
    </w:p>
    <w:p w:rsidR="006531A3" w:rsidRPr="007256F4" w:rsidRDefault="006531A3" w:rsidP="006531A3">
      <w:pPr>
        <w:numPr>
          <w:ilvl w:val="0"/>
          <w:numId w:val="1"/>
        </w:numPr>
        <w:tabs>
          <w:tab w:val="left" w:pos="567"/>
        </w:tabs>
        <w:spacing w:after="0" w:line="240" w:lineRule="auto"/>
        <w:ind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 xml:space="preserve">jeigu Jūsų vaikui </w:t>
      </w:r>
      <w:r w:rsidRPr="007256F4">
        <w:rPr>
          <w:rFonts w:ascii="Times New Roman" w:eastAsia="Times New Roman" w:hAnsi="Times New Roman"/>
          <w:lang w:val="lt-LT"/>
        </w:rPr>
        <w:t>yra Vilsono liga.</w:t>
      </w:r>
    </w:p>
    <w:p w:rsidR="006531A3" w:rsidRPr="007256F4" w:rsidRDefault="006531A3" w:rsidP="006531A3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/>
          <w:lang w:val="lt-LT" w:eastAsia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/>
          <w:b/>
          <w:bCs/>
          <w:lang w:val="lt-LT" w:eastAsia="lt-LT"/>
        </w:rPr>
      </w:pPr>
      <w:r w:rsidRPr="007256F4">
        <w:rPr>
          <w:rFonts w:ascii="Times New Roman" w:eastAsia="Times New Roman" w:hAnsi="Times New Roman"/>
          <w:b/>
          <w:bCs/>
          <w:lang w:val="lt-LT" w:eastAsia="lt-LT"/>
        </w:rPr>
        <w:t>Įspėjimai ir atsargumo priemonės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/>
          <w:lang w:val="lt-LT" w:eastAsia="lt-LT"/>
        </w:rPr>
      </w:pPr>
      <w:r w:rsidRPr="007256F4">
        <w:rPr>
          <w:rFonts w:ascii="Times New Roman" w:eastAsia="Times New Roman" w:hAnsi="Times New Roman"/>
          <w:lang w:val="lt-LT" w:eastAsia="lt-LT"/>
        </w:rPr>
        <w:t xml:space="preserve">Pasitarkite su gydytoju, prieš pradėdami vartoti </w:t>
      </w:r>
      <w:proofErr w:type="spellStart"/>
      <w:r w:rsidRPr="00610115">
        <w:rPr>
          <w:rFonts w:ascii="Times New Roman" w:eastAsia="Times New Roman" w:hAnsi="Times New Roman"/>
          <w:lang w:val="lt-LT" w:eastAsia="lt-LT"/>
        </w:rPr>
        <w:t>Infutraze</w:t>
      </w:r>
      <w:proofErr w:type="spellEnd"/>
      <w:r w:rsidRPr="007256F4">
        <w:rPr>
          <w:rFonts w:ascii="Times New Roman" w:eastAsia="Times New Roman" w:hAnsi="Times New Roman"/>
          <w:lang w:val="lt-LT" w:eastAsia="lt-LT"/>
        </w:rPr>
        <w:t>, jeigu Jūsų vaikui:</w:t>
      </w:r>
    </w:p>
    <w:p w:rsidR="006531A3" w:rsidRPr="007256F4" w:rsidRDefault="006531A3" w:rsidP="006531A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outlineLvl w:val="3"/>
        <w:rPr>
          <w:rFonts w:ascii="Times New Roman" w:eastAsia="Times New Roman" w:hAnsi="Times New Roman"/>
          <w:lang w:val="lt-LT" w:eastAsia="lt-LT"/>
        </w:rPr>
      </w:pPr>
      <w:r w:rsidRPr="007256F4">
        <w:rPr>
          <w:rFonts w:ascii="Times New Roman" w:eastAsia="Times New Roman" w:hAnsi="Times New Roman"/>
          <w:lang w:val="lt-LT" w:eastAsia="lt-LT"/>
        </w:rPr>
        <w:t>yra inkstų sutrikimų;</w:t>
      </w:r>
    </w:p>
    <w:p w:rsidR="006531A3" w:rsidRPr="007256F4" w:rsidRDefault="006531A3" w:rsidP="006531A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outlineLvl w:val="3"/>
        <w:rPr>
          <w:rFonts w:ascii="Times New Roman" w:eastAsia="Times New Roman" w:hAnsi="Times New Roman"/>
          <w:lang w:val="lt-LT" w:eastAsia="lt-LT"/>
        </w:rPr>
      </w:pPr>
      <w:r w:rsidRPr="007256F4">
        <w:rPr>
          <w:rFonts w:ascii="Times New Roman" w:eastAsia="Times New Roman" w:hAnsi="Times New Roman"/>
          <w:lang w:val="lt-LT" w:eastAsia="lt-LT"/>
        </w:rPr>
        <w:t>yra kepenų sutrikimų;</w:t>
      </w:r>
    </w:p>
    <w:p w:rsidR="006531A3" w:rsidRPr="007256F4" w:rsidRDefault="006531A3" w:rsidP="006531A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outlineLvl w:val="3"/>
        <w:rPr>
          <w:rFonts w:ascii="Times New Roman" w:eastAsia="Times New Roman" w:hAnsi="Times New Roman"/>
          <w:lang w:val="lt-LT" w:eastAsia="lt-LT"/>
        </w:rPr>
      </w:pPr>
      <w:r w:rsidRPr="007256F4">
        <w:rPr>
          <w:rFonts w:ascii="Times New Roman" w:eastAsia="Times New Roman" w:hAnsi="Times New Roman"/>
          <w:lang w:val="lt-LT" w:eastAsia="lt-LT"/>
        </w:rPr>
        <w:t>sulėtėjęs tulžies išsiskyrimas;</w:t>
      </w:r>
    </w:p>
    <w:p w:rsidR="006531A3" w:rsidRPr="007256F4" w:rsidRDefault="006531A3" w:rsidP="006531A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outlineLvl w:val="3"/>
        <w:rPr>
          <w:rFonts w:ascii="Times New Roman" w:eastAsia="Times New Roman" w:hAnsi="Times New Roman"/>
          <w:lang w:val="lt-LT" w:eastAsia="lt-LT"/>
        </w:rPr>
      </w:pPr>
      <w:r w:rsidRPr="007256F4">
        <w:rPr>
          <w:rFonts w:ascii="Times New Roman" w:eastAsia="Times New Roman" w:hAnsi="Times New Roman"/>
          <w:lang w:val="lt-LT" w:eastAsia="lt-LT"/>
        </w:rPr>
        <w:t>yra skydliaukės sutrikimų (</w:t>
      </w:r>
      <w:proofErr w:type="spellStart"/>
      <w:r w:rsidRPr="007256F4">
        <w:rPr>
          <w:rFonts w:ascii="Times New Roman" w:eastAsia="Times New Roman" w:hAnsi="Times New Roman"/>
          <w:lang w:val="lt-LT" w:eastAsia="lt-LT"/>
        </w:rPr>
        <w:t>hipertirozė</w:t>
      </w:r>
      <w:proofErr w:type="spellEnd"/>
      <w:r w:rsidRPr="007256F4">
        <w:rPr>
          <w:rFonts w:ascii="Times New Roman" w:eastAsia="Times New Roman" w:hAnsi="Times New Roman"/>
          <w:lang w:val="lt-LT" w:eastAsia="lt-LT"/>
        </w:rPr>
        <w:t>).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/>
          <w:lang w:val="lt-LT" w:eastAsia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/>
          <w:lang w:val="lt-LT" w:eastAsia="lt-LT"/>
        </w:rPr>
      </w:pPr>
      <w:r w:rsidRPr="007256F4">
        <w:rPr>
          <w:rFonts w:ascii="Times New Roman" w:eastAsia="Times New Roman" w:hAnsi="Times New Roman"/>
          <w:lang w:val="lt-LT" w:eastAsia="lt-LT"/>
        </w:rPr>
        <w:t xml:space="preserve">Gydymo laikotarpiu gydytojas reguliariai tikrins mikroelementų kiekį kraujyje ir atitinkamai pritaikys </w:t>
      </w:r>
      <w:proofErr w:type="spellStart"/>
      <w:r w:rsidRPr="00610115">
        <w:rPr>
          <w:rFonts w:ascii="Times New Roman" w:eastAsia="Times New Roman" w:hAnsi="Times New Roman"/>
          <w:lang w:val="lt-LT" w:eastAsia="lt-LT"/>
        </w:rPr>
        <w:t>Infutraze</w:t>
      </w:r>
      <w:proofErr w:type="spellEnd"/>
      <w:r w:rsidRPr="007256F4">
        <w:rPr>
          <w:rFonts w:ascii="Times New Roman" w:eastAsia="Times New Roman" w:hAnsi="Times New Roman"/>
          <w:lang w:val="lt-LT" w:eastAsia="lt-LT"/>
        </w:rPr>
        <w:t xml:space="preserve"> dozę.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/>
          <w:lang w:val="lt-LT" w:eastAsia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/>
          <w:b/>
          <w:bCs/>
          <w:lang w:val="lt-LT" w:eastAsia="lt-LT"/>
        </w:rPr>
      </w:pPr>
      <w:r w:rsidRPr="007256F4">
        <w:rPr>
          <w:rFonts w:ascii="Times New Roman" w:eastAsia="Times New Roman" w:hAnsi="Times New Roman"/>
          <w:b/>
          <w:bCs/>
          <w:lang w:val="lt-LT" w:eastAsia="lt-LT"/>
        </w:rPr>
        <w:t>Vaikams ir paaugliams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/>
          <w:lang w:val="lt-LT" w:eastAsia="lt-LT"/>
        </w:rPr>
      </w:pPr>
      <w:proofErr w:type="spellStart"/>
      <w:r w:rsidRPr="00610115">
        <w:rPr>
          <w:rFonts w:ascii="Times New Roman" w:eastAsia="Times New Roman" w:hAnsi="Times New Roman"/>
          <w:lang w:val="lt-LT"/>
        </w:rPr>
        <w:lastRenderedPageBreak/>
        <w:t>Infutraze</w:t>
      </w:r>
      <w:proofErr w:type="spellEnd"/>
      <w:r w:rsidRPr="007256F4">
        <w:rPr>
          <w:rFonts w:ascii="Times New Roman" w:eastAsia="Times New Roman" w:hAnsi="Times New Roman"/>
          <w:lang w:val="lt-LT"/>
        </w:rPr>
        <w:t xml:space="preserve"> skirtas prieš laiką gimusiems ir išnešiotiems naujagimiams, kūdikiams, vaikams ir paaugliams.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/>
          <w:lang w:val="lt-LT" w:eastAsia="lt-LT"/>
        </w:rPr>
      </w:pPr>
    </w:p>
    <w:p w:rsidR="006531A3" w:rsidRPr="007256F4" w:rsidRDefault="006531A3" w:rsidP="006531A3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lang w:val="lt-LT" w:eastAsia="lt-LT"/>
        </w:rPr>
      </w:pPr>
      <w:r w:rsidRPr="007256F4">
        <w:rPr>
          <w:rFonts w:ascii="Times New Roman" w:eastAsia="Times New Roman" w:hAnsi="Times New Roman"/>
          <w:b/>
          <w:bCs/>
          <w:lang w:val="lt-LT" w:eastAsia="lt-LT"/>
        </w:rPr>
        <w:t xml:space="preserve">Kiti vaistai ir </w:t>
      </w:r>
      <w:proofErr w:type="spellStart"/>
      <w:r w:rsidRPr="00610115">
        <w:rPr>
          <w:rFonts w:ascii="Times New Roman" w:eastAsia="Times New Roman" w:hAnsi="Times New Roman"/>
          <w:b/>
          <w:bCs/>
          <w:lang w:val="lt-LT" w:eastAsia="lt-LT"/>
        </w:rPr>
        <w:t>Infutraze</w:t>
      </w:r>
      <w:proofErr w:type="spellEnd"/>
    </w:p>
    <w:p w:rsidR="006531A3" w:rsidRPr="007256F4" w:rsidRDefault="006531A3" w:rsidP="006531A3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7256F4">
        <w:rPr>
          <w:rFonts w:ascii="Times New Roman" w:eastAsia="Times New Roman" w:hAnsi="Times New Roman"/>
          <w:lang w:val="lt-LT" w:eastAsia="lt-LT"/>
        </w:rPr>
        <w:t>Jeigu Jūsų vaikas vartoja ar neseniai vartojo kitų vaistų arba dėl to nesate tikri, apie tai pasakykite gydytojui.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eastAsia="Times New Roman" w:hAnsi="Times New Roman"/>
          <w:b/>
          <w:lang w:val="lt-LT" w:eastAsia="lt-LT"/>
        </w:rPr>
      </w:pPr>
      <w:r w:rsidRPr="007256F4">
        <w:rPr>
          <w:rFonts w:ascii="Times New Roman" w:eastAsia="Times New Roman" w:hAnsi="Times New Roman"/>
          <w:b/>
          <w:lang w:val="lt-LT" w:eastAsia="lt-LT"/>
        </w:rPr>
        <w:t>Nėštumas ir žindymo laikotarpis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7256F4">
        <w:rPr>
          <w:rFonts w:ascii="Times New Roman" w:eastAsia="Times New Roman" w:hAnsi="Times New Roman"/>
          <w:lang w:val="lt-LT" w:eastAsia="lt-LT"/>
        </w:rPr>
        <w:t>Jeigu Jūsų dukra yra nėščia arba žindo kūdikį, tai prieš jai vartojant šį vaistą pasitarkite su gydytoju.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proofErr w:type="spellStart"/>
      <w:r w:rsidRPr="00610115">
        <w:rPr>
          <w:rFonts w:ascii="Times New Roman" w:eastAsia="Times New Roman" w:hAnsi="Times New Roman"/>
          <w:b/>
          <w:lang w:val="lt-LT" w:eastAsia="lt-LT"/>
        </w:rPr>
        <w:t>Infutraze</w:t>
      </w:r>
      <w:proofErr w:type="spellEnd"/>
      <w:r w:rsidRPr="007256F4">
        <w:rPr>
          <w:rFonts w:ascii="Times New Roman" w:eastAsia="Times New Roman" w:hAnsi="Times New Roman"/>
          <w:b/>
          <w:lang w:val="lt-LT" w:eastAsia="lt-LT"/>
        </w:rPr>
        <w:t xml:space="preserve"> sudėtyje yra natrio ir kalio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610115">
        <w:rPr>
          <w:rFonts w:ascii="Times New Roman" w:eastAsia="Times New Roman" w:hAnsi="Times New Roman"/>
          <w:lang w:val="lt-LT"/>
        </w:rPr>
        <w:t>Infutraze</w:t>
      </w:r>
      <w:proofErr w:type="spellEnd"/>
      <w:r w:rsidRPr="007256F4">
        <w:rPr>
          <w:rFonts w:ascii="Times New Roman" w:eastAsia="Times New Roman" w:hAnsi="Times New Roman"/>
          <w:lang w:val="lt-LT"/>
        </w:rPr>
        <w:t xml:space="preserve"> 10 ml ampulėje yra mažiau kaip 1 </w:t>
      </w:r>
      <w:proofErr w:type="spellStart"/>
      <w:r w:rsidRPr="007256F4">
        <w:rPr>
          <w:rFonts w:ascii="Times New Roman" w:eastAsia="Times New Roman" w:hAnsi="Times New Roman"/>
          <w:lang w:val="lt-LT"/>
        </w:rPr>
        <w:t>mmol</w:t>
      </w:r>
      <w:proofErr w:type="spellEnd"/>
      <w:r w:rsidRPr="007256F4">
        <w:rPr>
          <w:rFonts w:ascii="Times New Roman" w:eastAsia="Times New Roman" w:hAnsi="Times New Roman"/>
          <w:lang w:val="lt-LT"/>
        </w:rPr>
        <w:t xml:space="preserve"> (23 mg) natrio, t.</w:t>
      </w:r>
      <w:r>
        <w:rPr>
          <w:rFonts w:ascii="Times New Roman" w:eastAsia="Times New Roman" w:hAnsi="Times New Roman"/>
          <w:lang w:val="lt-LT"/>
        </w:rPr>
        <w:t> </w:t>
      </w:r>
      <w:r w:rsidRPr="007256F4">
        <w:rPr>
          <w:rFonts w:ascii="Times New Roman" w:eastAsia="Times New Roman" w:hAnsi="Times New Roman"/>
          <w:lang w:val="lt-LT"/>
        </w:rPr>
        <w:t>y. jis beveik neturi reikšmės.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610115">
        <w:rPr>
          <w:rFonts w:ascii="Times New Roman" w:eastAsia="Times New Roman" w:hAnsi="Times New Roman"/>
          <w:lang w:val="lt-LT"/>
        </w:rPr>
        <w:t>Infutraze</w:t>
      </w:r>
      <w:proofErr w:type="spellEnd"/>
      <w:r w:rsidRPr="007256F4">
        <w:rPr>
          <w:rFonts w:ascii="Times New Roman" w:eastAsia="Times New Roman" w:hAnsi="Times New Roman"/>
          <w:lang w:val="lt-LT"/>
        </w:rPr>
        <w:t xml:space="preserve"> 10 ml ampulėje yra mažiau kaip 1 </w:t>
      </w:r>
      <w:proofErr w:type="spellStart"/>
      <w:r w:rsidRPr="007256F4">
        <w:rPr>
          <w:rFonts w:ascii="Times New Roman" w:eastAsia="Times New Roman" w:hAnsi="Times New Roman"/>
          <w:lang w:val="lt-LT"/>
        </w:rPr>
        <w:t>mmol</w:t>
      </w:r>
      <w:proofErr w:type="spellEnd"/>
      <w:r w:rsidRPr="007256F4">
        <w:rPr>
          <w:rFonts w:ascii="Times New Roman" w:eastAsia="Times New Roman" w:hAnsi="Times New Roman"/>
          <w:lang w:val="lt-LT"/>
        </w:rPr>
        <w:t xml:space="preserve"> (39 mg) kalio, t.</w:t>
      </w:r>
      <w:r>
        <w:rPr>
          <w:rFonts w:ascii="Times New Roman" w:eastAsia="Times New Roman" w:hAnsi="Times New Roman"/>
          <w:lang w:val="lt-LT"/>
        </w:rPr>
        <w:t> </w:t>
      </w:r>
      <w:r w:rsidRPr="007256F4">
        <w:rPr>
          <w:rFonts w:ascii="Times New Roman" w:eastAsia="Times New Roman" w:hAnsi="Times New Roman"/>
          <w:lang w:val="lt-LT"/>
        </w:rPr>
        <w:t>y. jis beveik neturi reikšmės.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6531A3" w:rsidRPr="007256F4" w:rsidRDefault="006531A3" w:rsidP="006531A3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:rsidR="006531A3" w:rsidRPr="007256F4" w:rsidRDefault="006531A3" w:rsidP="006531A3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b/>
          <w:bCs/>
          <w:lang w:val="lt-LT" w:eastAsia="lt-LT"/>
        </w:rPr>
      </w:pPr>
      <w:r w:rsidRPr="007256F4">
        <w:rPr>
          <w:rFonts w:ascii="Times New Roman" w:eastAsia="Times New Roman" w:hAnsi="Times New Roman"/>
          <w:b/>
          <w:bCs/>
          <w:lang w:val="lt-LT" w:eastAsia="lt-LT"/>
        </w:rPr>
        <w:t>3.</w:t>
      </w:r>
      <w:r w:rsidRPr="007256F4">
        <w:rPr>
          <w:rFonts w:ascii="Times New Roman" w:eastAsia="Times New Roman" w:hAnsi="Times New Roman"/>
          <w:b/>
          <w:bCs/>
          <w:lang w:val="lt-LT" w:eastAsia="lt-LT"/>
        </w:rPr>
        <w:tab/>
        <w:t xml:space="preserve">Kaip vartoti </w:t>
      </w:r>
      <w:proofErr w:type="spellStart"/>
      <w:r w:rsidRPr="00610115">
        <w:rPr>
          <w:rFonts w:ascii="Times New Roman" w:eastAsia="Times New Roman" w:hAnsi="Times New Roman"/>
          <w:b/>
          <w:bCs/>
          <w:lang w:val="lt-LT" w:eastAsia="lt-LT"/>
        </w:rPr>
        <w:t>Infutraze</w:t>
      </w:r>
      <w:proofErr w:type="spellEnd"/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6531A3" w:rsidRPr="00752CF2" w:rsidRDefault="006531A3" w:rsidP="006531A3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  <w:lang w:val="lt-LT"/>
        </w:rPr>
      </w:pPr>
      <w:r w:rsidRPr="00610115">
        <w:rPr>
          <w:rFonts w:ascii="Times New Roman" w:hAnsi="Times New Roman"/>
          <w:noProof/>
          <w:lang w:val="lt-LT"/>
        </w:rPr>
        <w:t>Infutraze</w:t>
      </w:r>
      <w:r w:rsidRPr="007256F4">
        <w:rPr>
          <w:rFonts w:ascii="Times New Roman" w:hAnsi="Times New Roman"/>
          <w:noProof/>
          <w:lang w:val="lt-LT"/>
        </w:rPr>
        <w:t xml:space="preserve"> Jūsų vaikui bus skiriamas intraveninės infuzijos būdu (lašinant į kraują)</w:t>
      </w:r>
      <w:r>
        <w:rPr>
          <w:rFonts w:ascii="Times New Roman" w:hAnsi="Times New Roman"/>
          <w:noProof/>
          <w:lang w:val="lt-LT"/>
        </w:rPr>
        <w:t xml:space="preserve">, kurią atliks </w:t>
      </w:r>
      <w:r w:rsidRPr="007256F4">
        <w:rPr>
          <w:rFonts w:ascii="Times New Roman" w:hAnsi="Times New Roman"/>
          <w:noProof/>
          <w:lang w:val="lt-LT"/>
        </w:rPr>
        <w:t>sveikatos priežiūros specialist</w:t>
      </w:r>
      <w:r>
        <w:rPr>
          <w:rFonts w:ascii="Times New Roman" w:hAnsi="Times New Roman"/>
          <w:noProof/>
          <w:lang w:val="lt-LT"/>
        </w:rPr>
        <w:t xml:space="preserve">as. </w:t>
      </w:r>
      <w:r w:rsidRPr="00610115">
        <w:rPr>
          <w:rFonts w:ascii="Times New Roman" w:hAnsi="Times New Roman"/>
          <w:noProof/>
          <w:lang w:val="lt-LT"/>
        </w:rPr>
        <w:t>Infutraze</w:t>
      </w:r>
      <w:r w:rsidRPr="00752CF2">
        <w:rPr>
          <w:rFonts w:ascii="Times New Roman" w:hAnsi="Times New Roman"/>
          <w:noProof/>
          <w:lang w:val="lt-LT"/>
        </w:rPr>
        <w:t xml:space="preserve"> visada bus skiriamas praskiestas kitu parenterinio maitinimo tirpalu.</w:t>
      </w:r>
    </w:p>
    <w:p w:rsidR="006531A3" w:rsidRPr="00752CF2" w:rsidRDefault="006531A3" w:rsidP="006531A3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  <w:lang w:val="lt-LT"/>
        </w:rPr>
      </w:pPr>
    </w:p>
    <w:p w:rsidR="006531A3" w:rsidRPr="00752CF2" w:rsidRDefault="006531A3" w:rsidP="006531A3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  <w:lang w:val="lt-LT"/>
        </w:rPr>
      </w:pPr>
      <w:r w:rsidRPr="00752CF2">
        <w:rPr>
          <w:rFonts w:ascii="Times New Roman" w:hAnsi="Times New Roman"/>
          <w:noProof/>
          <w:lang w:val="lt-LT"/>
        </w:rPr>
        <w:t>Gydytojas dozę Jūsų vaikui parinks individualiai, atsižvelgdamas į jo kūno svorį ir būklę.</w:t>
      </w:r>
    </w:p>
    <w:p w:rsidR="006531A3" w:rsidRPr="00752CF2" w:rsidRDefault="006531A3" w:rsidP="006531A3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lt-LT"/>
        </w:rPr>
      </w:pPr>
    </w:p>
    <w:p w:rsidR="006531A3" w:rsidRPr="00752CF2" w:rsidRDefault="006531A3" w:rsidP="006531A3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lt-LT"/>
        </w:rPr>
      </w:pPr>
      <w:r w:rsidRPr="00752CF2">
        <w:rPr>
          <w:rFonts w:ascii="Times New Roman" w:hAnsi="Times New Roman"/>
          <w:noProof/>
          <w:lang w:val="lt-LT"/>
        </w:rPr>
        <w:t>Jei parenterinis maitinimas skiriamas ilgiau nei 3 savaites, rekomenduojama kasdien infuzuoti ir geležies, o kai parenterinis maitinimas skiriamas ilgiau nei 4 savaites, papildomai reikia infuzuoti molibdeno.</w:t>
      </w:r>
    </w:p>
    <w:p w:rsidR="006531A3" w:rsidRPr="00752CF2" w:rsidRDefault="006531A3" w:rsidP="006531A3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lt-LT"/>
        </w:rPr>
      </w:pPr>
    </w:p>
    <w:p w:rsidR="006531A3" w:rsidRPr="00752CF2" w:rsidRDefault="006531A3" w:rsidP="006531A3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  <w:noProof/>
          <w:lang w:val="lt-LT"/>
        </w:rPr>
      </w:pPr>
      <w:r w:rsidRPr="00752CF2">
        <w:rPr>
          <w:rFonts w:ascii="Times New Roman" w:hAnsi="Times New Roman"/>
          <w:b/>
          <w:noProof/>
          <w:lang w:val="lt-LT"/>
        </w:rPr>
        <w:t xml:space="preserve">Ką daryti pavartojus per didelę </w:t>
      </w:r>
      <w:r w:rsidRPr="00610115">
        <w:rPr>
          <w:rFonts w:ascii="Times New Roman" w:hAnsi="Times New Roman"/>
          <w:b/>
          <w:noProof/>
          <w:lang w:val="lt-LT"/>
        </w:rPr>
        <w:t>Infutraze</w:t>
      </w:r>
      <w:r w:rsidRPr="00752CF2">
        <w:rPr>
          <w:rFonts w:ascii="Times New Roman" w:hAnsi="Times New Roman"/>
          <w:b/>
          <w:noProof/>
          <w:lang w:val="lt-LT"/>
        </w:rPr>
        <w:t xml:space="preserve"> dozę</w:t>
      </w:r>
    </w:p>
    <w:p w:rsidR="006531A3" w:rsidRPr="007256F4" w:rsidRDefault="006531A3" w:rsidP="006531A3">
      <w:pPr>
        <w:pStyle w:val="Pagrindinistekstas"/>
        <w:tabs>
          <w:tab w:val="left" w:pos="567"/>
        </w:tabs>
        <w:spacing w:line="240" w:lineRule="auto"/>
        <w:rPr>
          <w:noProof/>
          <w:sz w:val="22"/>
          <w:szCs w:val="22"/>
        </w:rPr>
      </w:pPr>
      <w:r w:rsidRPr="007256F4">
        <w:rPr>
          <w:noProof/>
          <w:sz w:val="22"/>
          <w:szCs w:val="22"/>
        </w:rPr>
        <w:t xml:space="preserve">Nesitikima, kad Jūsų vaikui bus sulašinta per didelė </w:t>
      </w:r>
      <w:r w:rsidRPr="00610115">
        <w:rPr>
          <w:noProof/>
          <w:sz w:val="22"/>
          <w:szCs w:val="22"/>
        </w:rPr>
        <w:t>Infutraze</w:t>
      </w:r>
      <w:r w:rsidRPr="007256F4">
        <w:rPr>
          <w:noProof/>
          <w:sz w:val="22"/>
          <w:szCs w:val="22"/>
        </w:rPr>
        <w:t xml:space="preserve"> dozė, nes infuziją stebės sveikatos priežiūros specialistas. Jei manote, kad Jūsų vaikui buvo sulašinta per daug </w:t>
      </w:r>
      <w:r w:rsidRPr="00610115">
        <w:rPr>
          <w:noProof/>
          <w:sz w:val="22"/>
          <w:szCs w:val="22"/>
        </w:rPr>
        <w:t>Infutraze</w:t>
      </w:r>
      <w:r w:rsidRPr="007256F4">
        <w:rPr>
          <w:noProof/>
          <w:sz w:val="22"/>
          <w:szCs w:val="22"/>
        </w:rPr>
        <w:t>, pasakykite gydytojui.</w:t>
      </w:r>
    </w:p>
    <w:p w:rsidR="006531A3" w:rsidRPr="007256F4" w:rsidRDefault="006531A3" w:rsidP="006531A3">
      <w:pPr>
        <w:pStyle w:val="Pagrindinistekstas"/>
        <w:tabs>
          <w:tab w:val="left" w:pos="567"/>
        </w:tabs>
        <w:spacing w:line="240" w:lineRule="auto"/>
        <w:rPr>
          <w:noProof/>
        </w:rPr>
      </w:pPr>
    </w:p>
    <w:p w:rsidR="006531A3" w:rsidRPr="007256F4" w:rsidRDefault="006531A3" w:rsidP="006531A3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lt-LT"/>
        </w:rPr>
      </w:pPr>
      <w:r w:rsidRPr="007256F4">
        <w:rPr>
          <w:rFonts w:ascii="Times New Roman" w:hAnsi="Times New Roman"/>
          <w:noProof/>
          <w:lang w:val="lt-LT"/>
        </w:rPr>
        <w:t>Jeigu kiltų daugiau klausimų dėl šio vaisto vartojimo, kreipkitės į gydytoją arba slaugytoją.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6531A3" w:rsidRPr="007256F4" w:rsidRDefault="006531A3" w:rsidP="006531A3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snapToGrid w:val="0"/>
          <w:szCs w:val="26"/>
          <w:lang w:val="lt-LT" w:eastAsia="x-none"/>
        </w:rPr>
      </w:pPr>
      <w:r w:rsidRPr="007256F4">
        <w:rPr>
          <w:rFonts w:ascii="Times New Roman" w:eastAsia="Times New Roman" w:hAnsi="Times New Roman"/>
          <w:b/>
          <w:bCs/>
          <w:snapToGrid w:val="0"/>
          <w:szCs w:val="26"/>
          <w:lang w:val="lt-LT" w:eastAsia="x-none"/>
        </w:rPr>
        <w:t>4.</w:t>
      </w:r>
      <w:r w:rsidRPr="007256F4">
        <w:rPr>
          <w:rFonts w:ascii="Times New Roman" w:eastAsia="Times New Roman" w:hAnsi="Times New Roman"/>
          <w:b/>
          <w:bCs/>
          <w:snapToGrid w:val="0"/>
          <w:szCs w:val="26"/>
          <w:lang w:val="lt-LT" w:eastAsia="x-none"/>
        </w:rPr>
        <w:tab/>
        <w:t>Galimas šalutinis poveikis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7256F4">
        <w:rPr>
          <w:rFonts w:ascii="Times New Roman" w:eastAsia="Times New Roman" w:hAnsi="Times New Roman"/>
          <w:lang w:val="lt-LT" w:eastAsia="lt-LT"/>
        </w:rPr>
        <w:t>Apie šalutinį poveikį nebuvo pranešta.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  <w:szCs w:val="24"/>
          <w:lang w:val="lt-LT"/>
        </w:rPr>
      </w:pPr>
      <w:r w:rsidRPr="007256F4"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  <w:t>Pranešimas apie šalutinį poveikį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ind w:right="-449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7256F4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Jeigu Jūsų vaikui pasireiškė šalutinis poveikis,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EC1F91">
          <w:rPr>
            <w:rStyle w:val="Hipersaitas"/>
            <w:rFonts w:ascii="Times New Roman" w:eastAsia="Times New Roman" w:hAnsi="Times New Roman"/>
            <w:noProof/>
            <w:snapToGrid w:val="0"/>
            <w:szCs w:val="24"/>
            <w:lang w:val="lt-LT"/>
          </w:rPr>
          <w:t>https://vapris.vvkt.lt/vvkt-web/public/nrv</w:t>
        </w:r>
      </w:hyperlink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 w:rsidRPr="007256F4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arba užpildant Paciento pranešimo apie įtariamą nepageidaujamą reakciją (ĮNR) formą, kuri skelbiama </w:t>
      </w:r>
      <w:hyperlink r:id="rId6" w:history="1">
        <w:r w:rsidRPr="00EC1F91">
          <w:rPr>
            <w:rStyle w:val="Hipersaitas"/>
            <w:rFonts w:ascii="Times New Roman" w:eastAsia="Times New Roman" w:hAnsi="Times New Roman"/>
            <w:noProof/>
            <w:snapToGrid w:val="0"/>
            <w:szCs w:val="24"/>
            <w:lang w:val="lt-LT"/>
          </w:rPr>
          <w:t>https://www.vvkt.lt/index.php?4004286486</w:t>
        </w:r>
      </w:hyperlink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>,</w:t>
      </w:r>
      <w:r w:rsidRPr="007256F4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ir atsiunčiant elektroniniu paštu (adresu </w:t>
      </w:r>
      <w:hyperlink r:id="rId7" w:history="1">
        <w:r w:rsidRPr="00EC1F91">
          <w:rPr>
            <w:rStyle w:val="Hipersaitas"/>
            <w:rFonts w:ascii="Times New Roman" w:eastAsia="Times New Roman" w:hAnsi="Times New Roman"/>
            <w:noProof/>
            <w:snapToGrid w:val="0"/>
            <w:szCs w:val="24"/>
            <w:lang w:val="lt-LT"/>
          </w:rPr>
          <w:t>NepageidaujamaR@vvkt.lt</w:t>
        </w:r>
      </w:hyperlink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>)</w:t>
      </w:r>
      <w:r w:rsidRPr="007256F4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arba nemokamu telefonu 8 800 73 568. Pranešdami apie šalutinį poveikį galite mums padėti gauti daugiau informacijos apie šio vaisto saugumą.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ind w:right="-449"/>
        <w:rPr>
          <w:rFonts w:ascii="Times New Roman" w:eastAsia="Times New Roman" w:hAnsi="Times New Roman"/>
          <w:lang w:val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6531A3" w:rsidRPr="007256F4" w:rsidRDefault="006531A3" w:rsidP="006531A3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snapToGrid w:val="0"/>
          <w:szCs w:val="26"/>
          <w:lang w:val="lt-LT" w:eastAsia="x-none"/>
        </w:rPr>
      </w:pPr>
      <w:r w:rsidRPr="007256F4">
        <w:rPr>
          <w:rFonts w:ascii="Times New Roman" w:eastAsia="Times New Roman" w:hAnsi="Times New Roman"/>
          <w:b/>
          <w:bCs/>
          <w:snapToGrid w:val="0"/>
          <w:szCs w:val="26"/>
          <w:lang w:val="lt-LT" w:eastAsia="x-none"/>
        </w:rPr>
        <w:t>5.</w:t>
      </w:r>
      <w:r w:rsidRPr="007256F4">
        <w:rPr>
          <w:rFonts w:ascii="Times New Roman" w:eastAsia="Times New Roman" w:hAnsi="Times New Roman"/>
          <w:b/>
          <w:bCs/>
          <w:snapToGrid w:val="0"/>
          <w:szCs w:val="26"/>
          <w:lang w:val="lt-LT" w:eastAsia="x-none"/>
        </w:rPr>
        <w:tab/>
        <w:t xml:space="preserve">Kaip laikyti </w:t>
      </w:r>
      <w:proofErr w:type="spellStart"/>
      <w:r w:rsidRPr="00610115">
        <w:rPr>
          <w:rFonts w:ascii="Times New Roman" w:eastAsia="Times New Roman" w:hAnsi="Times New Roman"/>
          <w:b/>
          <w:bCs/>
          <w:snapToGrid w:val="0"/>
          <w:szCs w:val="26"/>
          <w:lang w:val="lt-LT" w:eastAsia="x-none"/>
        </w:rPr>
        <w:t>Infutraze</w:t>
      </w:r>
      <w:proofErr w:type="spellEnd"/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6531A3" w:rsidRPr="007256F4" w:rsidRDefault="006531A3" w:rsidP="006531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  <w:lang w:val="lt-LT"/>
        </w:rPr>
      </w:pPr>
      <w:r w:rsidRPr="007256F4">
        <w:rPr>
          <w:rFonts w:ascii="Times New Roman" w:eastAsia="Times New Roman" w:hAnsi="Times New Roman"/>
          <w:noProof/>
          <w:snapToGrid w:val="0"/>
          <w:szCs w:val="24"/>
          <w:lang w:val="lt-LT"/>
        </w:rPr>
        <w:t>Šį vaistą laikykite vaikams nepastebimoje ir nepasiekiamoje vietoje.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7256F4">
        <w:rPr>
          <w:rFonts w:ascii="Times New Roman" w:eastAsia="Times New Roman" w:hAnsi="Times New Roman"/>
          <w:lang w:val="lt-LT" w:eastAsia="lt-LT"/>
        </w:rPr>
        <w:t>Laikyti ne aukštesnėje kaip 25 ºC temperatūroje. Negalima užšaldyti.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lang w:val="lt-LT"/>
        </w:rPr>
      </w:pPr>
      <w:r w:rsidRPr="007256F4">
        <w:rPr>
          <w:rFonts w:ascii="Times New Roman" w:hAnsi="Times New Roman"/>
          <w:noProof/>
          <w:lang w:val="lt-LT"/>
        </w:rPr>
        <w:t>Pastebėjus matomų gedimo požymių, šio vaisto vartoti negalima.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7256F4">
        <w:rPr>
          <w:rFonts w:ascii="Times New Roman" w:eastAsia="Times New Roman" w:hAnsi="Times New Roman"/>
          <w:lang w:val="lt-LT" w:eastAsia="lt-LT"/>
        </w:rPr>
        <w:t xml:space="preserve">Ant dėžutės ir ampulės etiketės po „EXP“ nurodytam tinkamumo laikui pasibaigus, šio vaisto vartoti negalima. </w:t>
      </w:r>
      <w:r w:rsidRPr="007256F4">
        <w:rPr>
          <w:rFonts w:ascii="Times New Roman" w:hAnsi="Times New Roman"/>
          <w:lang w:val="lt-LT"/>
        </w:rPr>
        <w:t>Vaistas tinkamas vartoti iki paskutinės nurodyto mėnesio dienos.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7256F4" w:rsidRDefault="006531A3" w:rsidP="006531A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lang w:val="lt-LT"/>
        </w:rPr>
      </w:pPr>
      <w:r w:rsidRPr="007256F4">
        <w:rPr>
          <w:rFonts w:ascii="Times New Roman" w:eastAsia="Times New Roman" w:hAnsi="Times New Roman"/>
          <w:i/>
          <w:lang w:val="lt-LT"/>
        </w:rPr>
        <w:t>Tinkamumo laikas po sumaišymo</w:t>
      </w:r>
    </w:p>
    <w:p w:rsidR="006531A3" w:rsidRPr="007256F4" w:rsidRDefault="006531A3" w:rsidP="006531A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  <w:lang w:val="lt-LT"/>
        </w:rPr>
      </w:pPr>
      <w:r w:rsidRPr="007256F4">
        <w:rPr>
          <w:rFonts w:ascii="Times New Roman" w:eastAsia="Times New Roman" w:hAnsi="Times New Roman"/>
          <w:iCs/>
          <w:lang w:val="lt-LT"/>
        </w:rPr>
        <w:t xml:space="preserve">Įrodyta, kad po sumaišymo vaistas 2–8 °C temperatūroje išlieka stabilus </w:t>
      </w:r>
      <w:r>
        <w:rPr>
          <w:rFonts w:ascii="Times New Roman" w:eastAsia="Times New Roman" w:hAnsi="Times New Roman"/>
          <w:iCs/>
          <w:lang w:val="lt-LT"/>
        </w:rPr>
        <w:t xml:space="preserve">iki </w:t>
      </w:r>
      <w:r w:rsidRPr="007256F4">
        <w:rPr>
          <w:rFonts w:ascii="Times New Roman" w:eastAsia="Times New Roman" w:hAnsi="Times New Roman"/>
          <w:iCs/>
          <w:lang w:val="lt-LT"/>
        </w:rPr>
        <w:t>7 dien</w:t>
      </w:r>
      <w:r>
        <w:rPr>
          <w:rFonts w:ascii="Times New Roman" w:eastAsia="Times New Roman" w:hAnsi="Times New Roman"/>
          <w:iCs/>
          <w:lang w:val="lt-LT"/>
        </w:rPr>
        <w:t>ų</w:t>
      </w:r>
      <w:r w:rsidRPr="007256F4">
        <w:rPr>
          <w:rFonts w:ascii="Times New Roman" w:eastAsia="Times New Roman" w:hAnsi="Times New Roman"/>
          <w:iCs/>
          <w:lang w:val="lt-LT"/>
        </w:rPr>
        <w:t>, po to dar 48 valandas jį laikant 20–25 °C temperatūroje, įskaitant vartojimo trukmę. Mikrobiologiniu požiūriu vaistą reikia suvartoti nedelsiant. Nesuvartojus nedelsiant, už laikymo iki vartojimo trukmę ir sąlygas atsako vartotojas. Paprastai laikymo trukmė neturėtų viršyti 24 valandų 2–8 °C temperatūroje.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7256F4" w:rsidRDefault="006531A3" w:rsidP="006531A3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snapToGrid w:val="0"/>
          <w:szCs w:val="26"/>
          <w:lang w:val="lt-LT" w:eastAsia="x-none"/>
        </w:rPr>
      </w:pPr>
      <w:r w:rsidRPr="007256F4">
        <w:rPr>
          <w:rFonts w:ascii="Times New Roman" w:eastAsia="Times New Roman" w:hAnsi="Times New Roman"/>
          <w:b/>
          <w:bCs/>
          <w:snapToGrid w:val="0"/>
          <w:szCs w:val="26"/>
          <w:lang w:val="lt-LT" w:eastAsia="x-none"/>
        </w:rPr>
        <w:t>6.</w:t>
      </w:r>
      <w:r w:rsidRPr="007256F4">
        <w:rPr>
          <w:rFonts w:ascii="Times New Roman" w:eastAsia="Times New Roman" w:hAnsi="Times New Roman"/>
          <w:bCs/>
          <w:snapToGrid w:val="0"/>
          <w:szCs w:val="26"/>
          <w:lang w:val="lt-LT" w:eastAsia="x-none"/>
        </w:rPr>
        <w:tab/>
      </w:r>
      <w:r w:rsidRPr="007256F4">
        <w:rPr>
          <w:rFonts w:ascii="Times New Roman" w:eastAsia="Times New Roman" w:hAnsi="Times New Roman"/>
          <w:b/>
          <w:bCs/>
          <w:snapToGrid w:val="0"/>
          <w:szCs w:val="26"/>
          <w:lang w:val="lt-LT" w:eastAsia="x-none"/>
        </w:rPr>
        <w:t>Pakuotės turinys ir kita informacija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/>
        </w:rPr>
      </w:pPr>
      <w:proofErr w:type="spellStart"/>
      <w:r w:rsidRPr="00610115">
        <w:rPr>
          <w:rFonts w:ascii="Times New Roman" w:eastAsia="Times New Roman" w:hAnsi="Times New Roman"/>
          <w:b/>
          <w:lang w:val="lt-LT"/>
        </w:rPr>
        <w:t>Infutraze</w:t>
      </w:r>
      <w:proofErr w:type="spellEnd"/>
      <w:r w:rsidRPr="007256F4">
        <w:rPr>
          <w:rFonts w:ascii="Times New Roman" w:eastAsia="Times New Roman" w:hAnsi="Times New Roman"/>
          <w:b/>
          <w:lang w:val="lt-LT"/>
        </w:rPr>
        <w:t xml:space="preserve"> sudėtis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6531A3" w:rsidRPr="00FE7835" w:rsidRDefault="006531A3" w:rsidP="006531A3">
      <w:pPr>
        <w:pStyle w:val="Sraopastraipa"/>
        <w:numPr>
          <w:ilvl w:val="0"/>
          <w:numId w:val="1"/>
        </w:numPr>
        <w:spacing w:after="0" w:line="240" w:lineRule="auto"/>
        <w:ind w:hanging="567"/>
        <w:rPr>
          <w:rFonts w:ascii="Times New Roman" w:eastAsia="Times New Roman" w:hAnsi="Times New Roman"/>
          <w:i/>
          <w:iCs/>
          <w:lang w:val="lt-LT"/>
        </w:rPr>
      </w:pPr>
      <w:r w:rsidRPr="007256F4">
        <w:rPr>
          <w:rFonts w:ascii="Times New Roman" w:eastAsia="Times New Roman" w:hAnsi="Times New Roman"/>
          <w:i/>
          <w:iCs/>
          <w:lang w:val="lt-LT"/>
        </w:rPr>
        <w:t>Veikliosios medžiagos yra:</w:t>
      </w:r>
    </w:p>
    <w:tbl>
      <w:tblPr>
        <w:tblpPr w:leftFromText="180" w:rightFromText="180" w:vertAnchor="text" w:tblpX="70" w:tblpY="131"/>
        <w:tblW w:w="7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2060"/>
        <w:gridCol w:w="2361"/>
      </w:tblGrid>
      <w:tr w:rsidR="006531A3" w:rsidRPr="00752CF2" w:rsidTr="00442DDE">
        <w:trPr>
          <w:trHeight w:val="274"/>
        </w:trPr>
        <w:tc>
          <w:tcPr>
            <w:tcW w:w="3473" w:type="dxa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b/>
                <w:bCs/>
                <w:lang w:val="lt-LT"/>
              </w:rPr>
            </w:pPr>
            <w:proofErr w:type="spellStart"/>
            <w:r w:rsidRPr="00610115">
              <w:rPr>
                <w:rFonts w:ascii="Times New Roman" w:hAnsi="Times New Roman"/>
                <w:b/>
                <w:bCs/>
                <w:lang w:val="lt-LT"/>
              </w:rPr>
              <w:t>Infutraze</w:t>
            </w:r>
            <w:proofErr w:type="spellEnd"/>
          </w:p>
        </w:tc>
        <w:tc>
          <w:tcPr>
            <w:tcW w:w="2060" w:type="dxa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752CF2">
              <w:rPr>
                <w:rFonts w:ascii="Times New Roman" w:hAnsi="Times New Roman"/>
                <w:lang w:val="lt-LT"/>
              </w:rPr>
              <w:t>1 ml</w:t>
            </w:r>
          </w:p>
        </w:tc>
        <w:tc>
          <w:tcPr>
            <w:tcW w:w="2361" w:type="dxa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752CF2">
              <w:rPr>
                <w:rFonts w:ascii="Times New Roman" w:hAnsi="Times New Roman"/>
                <w:lang w:val="lt-LT"/>
              </w:rPr>
              <w:t>1 ampulė (10 ml)</w:t>
            </w:r>
          </w:p>
        </w:tc>
      </w:tr>
      <w:tr w:rsidR="006531A3" w:rsidRPr="00752CF2" w:rsidTr="00442DDE">
        <w:trPr>
          <w:trHeight w:val="272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752CF2">
              <w:rPr>
                <w:rFonts w:ascii="Times New Roman" w:hAnsi="Times New Roman"/>
                <w:lang w:val="lt-LT"/>
              </w:rPr>
              <w:t>Cinko chloridas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752CF2">
              <w:rPr>
                <w:rFonts w:ascii="Times New Roman" w:hAnsi="Times New Roman"/>
                <w:lang w:val="lt-LT"/>
              </w:rPr>
              <w:t>1042</w:t>
            </w:r>
            <w:r w:rsidRPr="007256F4">
              <w:rPr>
                <w:rFonts w:ascii="Times New Roman" w:eastAsia="Times New Roman" w:hAnsi="Times New Roman"/>
                <w:lang w:val="lt-LT"/>
              </w:rPr>
              <w:t> </w:t>
            </w:r>
            <w:proofErr w:type="spellStart"/>
            <w:r w:rsidRPr="007256F4">
              <w:rPr>
                <w:rFonts w:ascii="Times New Roman" w:eastAsia="Times New Roman" w:hAnsi="Times New Roman"/>
                <w:lang w:val="lt-LT"/>
              </w:rPr>
              <w:t>mikrogramai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752CF2">
              <w:rPr>
                <w:rFonts w:ascii="Times New Roman" w:hAnsi="Times New Roman"/>
                <w:lang w:val="lt-LT"/>
              </w:rPr>
              <w:t>10420</w:t>
            </w:r>
            <w:r w:rsidRPr="007256F4">
              <w:rPr>
                <w:rFonts w:ascii="Times New Roman" w:eastAsia="Times New Roman" w:hAnsi="Times New Roman"/>
                <w:lang w:val="lt-LT"/>
              </w:rPr>
              <w:t> </w:t>
            </w:r>
            <w:proofErr w:type="spellStart"/>
            <w:r w:rsidRPr="007256F4">
              <w:rPr>
                <w:rFonts w:ascii="Times New Roman" w:eastAsia="Times New Roman" w:hAnsi="Times New Roman"/>
                <w:lang w:val="lt-LT"/>
              </w:rPr>
              <w:t>mikrogramų</w:t>
            </w:r>
            <w:proofErr w:type="spellEnd"/>
          </w:p>
        </w:tc>
      </w:tr>
      <w:tr w:rsidR="006531A3" w:rsidRPr="00752CF2" w:rsidTr="00442DDE">
        <w:trPr>
          <w:trHeight w:val="287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752CF2">
              <w:rPr>
                <w:rFonts w:ascii="Times New Roman" w:hAnsi="Times New Roman"/>
                <w:lang w:val="lt-LT"/>
              </w:rPr>
              <w:t xml:space="preserve">Vario chloridas </w:t>
            </w:r>
            <w:proofErr w:type="spellStart"/>
            <w:r w:rsidRPr="00752CF2">
              <w:rPr>
                <w:rFonts w:ascii="Times New Roman" w:hAnsi="Times New Roman"/>
                <w:lang w:val="lt-LT"/>
              </w:rPr>
              <w:t>dihidratas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752CF2">
              <w:rPr>
                <w:rFonts w:ascii="Times New Roman" w:hAnsi="Times New Roman"/>
                <w:lang w:val="lt-LT"/>
              </w:rPr>
              <w:t>107,4 </w:t>
            </w:r>
            <w:proofErr w:type="spellStart"/>
            <w:r w:rsidRPr="007256F4">
              <w:rPr>
                <w:rFonts w:ascii="Times New Roman" w:eastAsia="Times New Roman" w:hAnsi="Times New Roman"/>
                <w:lang w:val="lt-LT"/>
              </w:rPr>
              <w:t>mikrogramo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752CF2">
              <w:rPr>
                <w:rFonts w:ascii="Times New Roman" w:hAnsi="Times New Roman"/>
                <w:lang w:val="lt-LT"/>
              </w:rPr>
              <w:t>1074</w:t>
            </w:r>
            <w:r w:rsidRPr="007256F4">
              <w:rPr>
                <w:rFonts w:ascii="Times New Roman" w:eastAsia="Times New Roman" w:hAnsi="Times New Roman"/>
                <w:lang w:val="lt-LT"/>
              </w:rPr>
              <w:t> </w:t>
            </w:r>
            <w:proofErr w:type="spellStart"/>
            <w:r w:rsidRPr="007256F4">
              <w:rPr>
                <w:rFonts w:ascii="Times New Roman" w:eastAsia="Times New Roman" w:hAnsi="Times New Roman"/>
                <w:lang w:val="lt-LT"/>
              </w:rPr>
              <w:t>mikrogramai</w:t>
            </w:r>
            <w:proofErr w:type="spellEnd"/>
          </w:p>
        </w:tc>
      </w:tr>
      <w:tr w:rsidR="006531A3" w:rsidRPr="00752CF2" w:rsidTr="00442DDE">
        <w:trPr>
          <w:trHeight w:val="272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752CF2">
              <w:rPr>
                <w:rFonts w:ascii="Times New Roman" w:hAnsi="Times New Roman"/>
                <w:lang w:val="lt-LT"/>
              </w:rPr>
              <w:t xml:space="preserve">Mangano chloridas </w:t>
            </w:r>
            <w:proofErr w:type="spellStart"/>
            <w:r w:rsidRPr="00752CF2">
              <w:rPr>
                <w:rFonts w:ascii="Times New Roman" w:hAnsi="Times New Roman"/>
                <w:lang w:val="lt-LT"/>
              </w:rPr>
              <w:t>tetrahidratas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752CF2">
              <w:rPr>
                <w:rFonts w:ascii="Times New Roman" w:hAnsi="Times New Roman"/>
                <w:lang w:val="lt-LT"/>
              </w:rPr>
              <w:t>3,600</w:t>
            </w:r>
            <w:r w:rsidRPr="007256F4">
              <w:rPr>
                <w:rFonts w:ascii="Times New Roman" w:eastAsia="Times New Roman" w:hAnsi="Times New Roman"/>
                <w:lang w:val="lt-LT"/>
              </w:rPr>
              <w:t> </w:t>
            </w:r>
            <w:proofErr w:type="spellStart"/>
            <w:r w:rsidRPr="007256F4">
              <w:rPr>
                <w:rFonts w:ascii="Times New Roman" w:eastAsia="Times New Roman" w:hAnsi="Times New Roman"/>
                <w:lang w:val="lt-LT"/>
              </w:rPr>
              <w:t>mikrogramo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752CF2">
              <w:rPr>
                <w:rFonts w:ascii="Times New Roman" w:hAnsi="Times New Roman"/>
                <w:lang w:val="lt-LT"/>
              </w:rPr>
              <w:t>36,00</w:t>
            </w:r>
            <w:r w:rsidRPr="007256F4">
              <w:rPr>
                <w:rFonts w:ascii="Times New Roman" w:eastAsia="Times New Roman" w:hAnsi="Times New Roman"/>
                <w:lang w:val="lt-LT"/>
              </w:rPr>
              <w:t> </w:t>
            </w:r>
            <w:proofErr w:type="spellStart"/>
            <w:r w:rsidRPr="007256F4">
              <w:rPr>
                <w:rFonts w:ascii="Times New Roman" w:eastAsia="Times New Roman" w:hAnsi="Times New Roman"/>
                <w:lang w:val="lt-LT"/>
              </w:rPr>
              <w:t>mikrogramai</w:t>
            </w:r>
            <w:proofErr w:type="spellEnd"/>
          </w:p>
        </w:tc>
      </w:tr>
      <w:tr w:rsidR="006531A3" w:rsidRPr="00752CF2" w:rsidTr="00442DDE">
        <w:trPr>
          <w:trHeight w:val="272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752CF2">
              <w:rPr>
                <w:rFonts w:ascii="Times New Roman" w:hAnsi="Times New Roman"/>
                <w:lang w:val="lt-LT"/>
              </w:rPr>
              <w:t>Natrio selenitas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752CF2">
              <w:rPr>
                <w:rFonts w:ascii="Times New Roman" w:hAnsi="Times New Roman"/>
                <w:lang w:val="lt-LT"/>
              </w:rPr>
              <w:t>15,33</w:t>
            </w:r>
            <w:r w:rsidRPr="007256F4">
              <w:rPr>
                <w:rFonts w:ascii="Times New Roman" w:eastAsia="Times New Roman" w:hAnsi="Times New Roman"/>
                <w:lang w:val="lt-LT"/>
              </w:rPr>
              <w:t> </w:t>
            </w:r>
            <w:proofErr w:type="spellStart"/>
            <w:r w:rsidRPr="007256F4">
              <w:rPr>
                <w:rFonts w:ascii="Times New Roman" w:eastAsia="Times New Roman" w:hAnsi="Times New Roman"/>
                <w:lang w:val="lt-LT"/>
              </w:rPr>
              <w:t>mikrogramo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752CF2">
              <w:rPr>
                <w:rFonts w:ascii="Times New Roman" w:hAnsi="Times New Roman"/>
                <w:lang w:val="lt-LT"/>
              </w:rPr>
              <w:t>153,3 </w:t>
            </w:r>
            <w:proofErr w:type="spellStart"/>
            <w:r w:rsidRPr="00752CF2">
              <w:rPr>
                <w:rFonts w:ascii="Times New Roman" w:hAnsi="Times New Roman"/>
                <w:lang w:val="lt-LT"/>
              </w:rPr>
              <w:t>mikrogramo</w:t>
            </w:r>
            <w:proofErr w:type="spellEnd"/>
          </w:p>
        </w:tc>
      </w:tr>
      <w:tr w:rsidR="006531A3" w:rsidRPr="00752CF2" w:rsidTr="00442DDE">
        <w:trPr>
          <w:trHeight w:val="257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752CF2">
              <w:rPr>
                <w:rFonts w:ascii="Times New Roman" w:hAnsi="Times New Roman"/>
                <w:lang w:val="lt-LT"/>
              </w:rPr>
              <w:t>Kalio jodidas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752CF2">
              <w:rPr>
                <w:rFonts w:ascii="Times New Roman" w:hAnsi="Times New Roman"/>
                <w:lang w:val="lt-LT"/>
              </w:rPr>
              <w:t>2,567</w:t>
            </w:r>
            <w:r w:rsidRPr="007256F4">
              <w:rPr>
                <w:rFonts w:ascii="Times New Roman" w:eastAsia="Times New Roman" w:hAnsi="Times New Roman"/>
                <w:lang w:val="lt-LT"/>
              </w:rPr>
              <w:t> </w:t>
            </w:r>
            <w:proofErr w:type="spellStart"/>
            <w:r w:rsidRPr="007256F4">
              <w:rPr>
                <w:rFonts w:ascii="Times New Roman" w:eastAsia="Times New Roman" w:hAnsi="Times New Roman"/>
                <w:lang w:val="lt-LT"/>
              </w:rPr>
              <w:t>mikrogramo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752CF2">
              <w:rPr>
                <w:rFonts w:ascii="Times New Roman" w:hAnsi="Times New Roman"/>
                <w:lang w:val="lt-LT"/>
              </w:rPr>
              <w:t>25,67</w:t>
            </w:r>
            <w:r w:rsidRPr="007256F4">
              <w:rPr>
                <w:rFonts w:ascii="Times New Roman" w:eastAsia="Times New Roman" w:hAnsi="Times New Roman"/>
                <w:lang w:val="lt-LT"/>
              </w:rPr>
              <w:t> </w:t>
            </w:r>
            <w:proofErr w:type="spellStart"/>
            <w:r w:rsidRPr="007256F4">
              <w:rPr>
                <w:rFonts w:ascii="Times New Roman" w:eastAsia="Times New Roman" w:hAnsi="Times New Roman"/>
                <w:lang w:val="lt-LT"/>
              </w:rPr>
              <w:t>mikrogramo</w:t>
            </w:r>
            <w:proofErr w:type="spellEnd"/>
          </w:p>
        </w:tc>
      </w:tr>
    </w:tbl>
    <w:p w:rsidR="006531A3" w:rsidRPr="007256F4" w:rsidRDefault="006531A3" w:rsidP="006531A3">
      <w:pPr>
        <w:tabs>
          <w:tab w:val="left" w:pos="567"/>
        </w:tabs>
        <w:spacing w:after="0" w:line="240" w:lineRule="auto"/>
        <w:ind w:left="60"/>
        <w:rPr>
          <w:rFonts w:ascii="Times New Roman" w:eastAsia="Times New Roman" w:hAnsi="Times New Roman"/>
          <w:bCs/>
          <w:lang w:val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ind w:left="60"/>
        <w:rPr>
          <w:rFonts w:ascii="Times New Roman" w:eastAsia="Times New Roman" w:hAnsi="Times New Roman"/>
          <w:bCs/>
          <w:lang w:val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ind w:left="60"/>
        <w:rPr>
          <w:rFonts w:ascii="Times New Roman" w:eastAsia="Times New Roman" w:hAnsi="Times New Roman"/>
          <w:bCs/>
          <w:lang w:val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ind w:left="60"/>
        <w:rPr>
          <w:rFonts w:ascii="Times New Roman" w:eastAsia="Times New Roman" w:hAnsi="Times New Roman"/>
          <w:bCs/>
          <w:lang w:val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ind w:left="60"/>
        <w:rPr>
          <w:rFonts w:ascii="Times New Roman" w:eastAsia="Times New Roman" w:hAnsi="Times New Roman"/>
          <w:bCs/>
          <w:lang w:val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ind w:left="60"/>
        <w:rPr>
          <w:rFonts w:ascii="Times New Roman" w:eastAsia="Times New Roman" w:hAnsi="Times New Roman"/>
          <w:bCs/>
          <w:lang w:val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ind w:left="60"/>
        <w:rPr>
          <w:rFonts w:ascii="Times New Roman" w:eastAsia="Times New Roman" w:hAnsi="Times New Roman"/>
          <w:bCs/>
          <w:lang w:val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ind w:left="60"/>
        <w:rPr>
          <w:rFonts w:ascii="Times New Roman" w:eastAsia="Times New Roman" w:hAnsi="Times New Roman"/>
          <w:bCs/>
          <w:lang w:val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ind w:left="60"/>
        <w:rPr>
          <w:rFonts w:ascii="Times New Roman" w:eastAsia="Times New Roman" w:hAnsi="Times New Roman"/>
          <w:bCs/>
          <w:lang w:val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ind w:left="60"/>
        <w:rPr>
          <w:rFonts w:ascii="Times New Roman" w:eastAsia="Times New Roman" w:hAnsi="Times New Roman"/>
          <w:bCs/>
          <w:lang w:val="lt-LT"/>
        </w:rPr>
      </w:pPr>
      <w:r w:rsidRPr="007256F4">
        <w:rPr>
          <w:rFonts w:ascii="Times New Roman" w:eastAsia="Times New Roman" w:hAnsi="Times New Roman"/>
          <w:bCs/>
          <w:lang w:val="lt-LT"/>
        </w:rPr>
        <w:t xml:space="preserve">1 ml </w:t>
      </w:r>
      <w:proofErr w:type="spellStart"/>
      <w:r w:rsidRPr="00610115">
        <w:rPr>
          <w:rFonts w:ascii="Times New Roman" w:eastAsia="Times New Roman" w:hAnsi="Times New Roman"/>
          <w:bCs/>
          <w:lang w:val="lt-LT"/>
        </w:rPr>
        <w:t>Infutraze</w:t>
      </w:r>
      <w:proofErr w:type="spellEnd"/>
      <w:r w:rsidRPr="007256F4">
        <w:rPr>
          <w:rFonts w:ascii="Times New Roman" w:eastAsia="Times New Roman" w:hAnsi="Times New Roman"/>
          <w:bCs/>
          <w:lang w:val="lt-LT"/>
        </w:rPr>
        <w:t xml:space="preserve"> esančios veikliosios medžiagos atitinka: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ind w:left="60"/>
        <w:rPr>
          <w:rFonts w:ascii="Times New Roman" w:eastAsia="Times New Roman" w:hAnsi="Times New Roman"/>
          <w:bCs/>
          <w:lang w:val="lt-LT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40"/>
        <w:gridCol w:w="2552"/>
        <w:gridCol w:w="3080"/>
      </w:tblGrid>
      <w:tr w:rsidR="006531A3" w:rsidRPr="00752CF2" w:rsidTr="00442DDE">
        <w:trPr>
          <w:trHeight w:val="149"/>
        </w:trPr>
        <w:tc>
          <w:tcPr>
            <w:tcW w:w="2040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ind w:left="-227" w:firstLine="142"/>
              <w:rPr>
                <w:rFonts w:ascii="Times New Roman" w:hAnsi="Times New Roman"/>
                <w:lang w:val="lt-LT"/>
              </w:rPr>
            </w:pPr>
            <w:r w:rsidRPr="007256F4">
              <w:rPr>
                <w:rFonts w:ascii="Times New Roman" w:eastAsia="Times New Roman" w:hAnsi="Times New Roman"/>
                <w:bCs/>
                <w:lang w:val="lt-LT"/>
              </w:rPr>
              <w:t>Cinko (</w:t>
            </w:r>
            <w:proofErr w:type="spellStart"/>
            <w:r w:rsidRPr="007256F4">
              <w:rPr>
                <w:rFonts w:ascii="Times New Roman" w:eastAsia="Times New Roman" w:hAnsi="Times New Roman"/>
                <w:bCs/>
                <w:lang w:val="lt-LT"/>
              </w:rPr>
              <w:t>Zn</w:t>
            </w:r>
            <w:proofErr w:type="spellEnd"/>
            <w:r w:rsidRPr="007256F4">
              <w:rPr>
                <w:rFonts w:ascii="Times New Roman" w:eastAsia="Times New Roman" w:hAnsi="Times New Roman"/>
                <w:bCs/>
                <w:lang w:val="lt-LT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ind w:left="-227" w:firstLine="142"/>
              <w:rPr>
                <w:rFonts w:ascii="Times New Roman" w:hAnsi="Times New Roman"/>
                <w:lang w:val="lt-LT"/>
              </w:rPr>
            </w:pPr>
            <w:r w:rsidRPr="007256F4">
              <w:rPr>
                <w:rFonts w:ascii="Times New Roman" w:eastAsia="Times New Roman" w:hAnsi="Times New Roman"/>
                <w:bCs/>
                <w:lang w:val="lt-LT"/>
              </w:rPr>
              <w:t>7,64 </w:t>
            </w:r>
            <w:proofErr w:type="spellStart"/>
            <w:r w:rsidRPr="007256F4">
              <w:rPr>
                <w:rFonts w:ascii="Times New Roman" w:eastAsia="Times New Roman" w:hAnsi="Times New Roman"/>
                <w:bCs/>
                <w:lang w:val="lt-LT"/>
              </w:rPr>
              <w:t>mikromolio</w:t>
            </w:r>
            <w:proofErr w:type="spellEnd"/>
          </w:p>
        </w:tc>
        <w:tc>
          <w:tcPr>
            <w:tcW w:w="3080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ind w:left="-227" w:firstLine="142"/>
              <w:rPr>
                <w:rFonts w:ascii="Times New Roman" w:hAnsi="Times New Roman"/>
                <w:lang w:val="lt-LT"/>
              </w:rPr>
            </w:pPr>
            <w:r w:rsidRPr="007256F4">
              <w:rPr>
                <w:rFonts w:ascii="Times New Roman" w:eastAsia="Times New Roman" w:hAnsi="Times New Roman"/>
                <w:bCs/>
                <w:lang w:val="lt-LT"/>
              </w:rPr>
              <w:t>500</w:t>
            </w:r>
            <w:r w:rsidRPr="007256F4">
              <w:rPr>
                <w:rFonts w:ascii="Times New Roman" w:eastAsia="Times New Roman" w:hAnsi="Times New Roman"/>
                <w:lang w:val="lt-LT"/>
              </w:rPr>
              <w:t> </w:t>
            </w:r>
            <w:proofErr w:type="spellStart"/>
            <w:r w:rsidRPr="007256F4">
              <w:rPr>
                <w:rFonts w:ascii="Times New Roman" w:eastAsia="Times New Roman" w:hAnsi="Times New Roman"/>
                <w:lang w:val="lt-LT"/>
              </w:rPr>
              <w:t>mikrogramų</w:t>
            </w:r>
            <w:proofErr w:type="spellEnd"/>
          </w:p>
        </w:tc>
      </w:tr>
      <w:tr w:rsidR="006531A3" w:rsidRPr="00752CF2" w:rsidTr="00442DDE">
        <w:tc>
          <w:tcPr>
            <w:tcW w:w="2040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ind w:left="-227" w:firstLine="142"/>
              <w:rPr>
                <w:rFonts w:ascii="Times New Roman" w:hAnsi="Times New Roman"/>
                <w:lang w:val="lt-LT"/>
              </w:rPr>
            </w:pPr>
            <w:r w:rsidRPr="007256F4">
              <w:rPr>
                <w:rFonts w:ascii="Times New Roman" w:eastAsia="Times New Roman" w:hAnsi="Times New Roman"/>
                <w:bCs/>
                <w:lang w:val="lt-LT"/>
              </w:rPr>
              <w:t>Vario (</w:t>
            </w:r>
            <w:proofErr w:type="spellStart"/>
            <w:r w:rsidRPr="007256F4">
              <w:rPr>
                <w:rFonts w:ascii="Times New Roman" w:eastAsia="Times New Roman" w:hAnsi="Times New Roman"/>
                <w:bCs/>
                <w:lang w:val="lt-LT"/>
              </w:rPr>
              <w:t>Cu</w:t>
            </w:r>
            <w:proofErr w:type="spellEnd"/>
            <w:r w:rsidRPr="007256F4">
              <w:rPr>
                <w:rFonts w:ascii="Times New Roman" w:eastAsia="Times New Roman" w:hAnsi="Times New Roman"/>
                <w:bCs/>
                <w:lang w:val="lt-LT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ind w:left="-227" w:firstLine="142"/>
              <w:rPr>
                <w:rFonts w:ascii="Times New Roman" w:hAnsi="Times New Roman"/>
                <w:lang w:val="lt-LT"/>
              </w:rPr>
            </w:pPr>
            <w:r w:rsidRPr="007256F4">
              <w:rPr>
                <w:rFonts w:ascii="Times New Roman" w:eastAsia="Times New Roman" w:hAnsi="Times New Roman"/>
                <w:bCs/>
                <w:lang w:val="lt-LT"/>
              </w:rPr>
              <w:t>0,630</w:t>
            </w:r>
            <w:r w:rsidRPr="007256F4">
              <w:rPr>
                <w:rFonts w:ascii="Times New Roman" w:eastAsia="Times New Roman" w:hAnsi="Times New Roman"/>
                <w:lang w:val="lt-LT"/>
              </w:rPr>
              <w:t> </w:t>
            </w:r>
            <w:proofErr w:type="spellStart"/>
            <w:r w:rsidRPr="007256F4">
              <w:rPr>
                <w:rFonts w:ascii="Times New Roman" w:eastAsia="Times New Roman" w:hAnsi="Times New Roman"/>
                <w:lang w:val="lt-LT"/>
              </w:rPr>
              <w:t>mikromolio</w:t>
            </w:r>
            <w:proofErr w:type="spellEnd"/>
          </w:p>
        </w:tc>
        <w:tc>
          <w:tcPr>
            <w:tcW w:w="3080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ind w:left="-227" w:firstLine="142"/>
              <w:rPr>
                <w:rFonts w:ascii="Times New Roman" w:hAnsi="Times New Roman"/>
                <w:lang w:val="lt-LT"/>
              </w:rPr>
            </w:pPr>
            <w:r w:rsidRPr="007256F4">
              <w:rPr>
                <w:rFonts w:ascii="Times New Roman" w:eastAsia="Times New Roman" w:hAnsi="Times New Roman"/>
                <w:bCs/>
                <w:lang w:val="lt-LT"/>
              </w:rPr>
              <w:t>40,0 </w:t>
            </w:r>
            <w:proofErr w:type="spellStart"/>
            <w:r w:rsidRPr="007256F4">
              <w:rPr>
                <w:rFonts w:ascii="Times New Roman" w:eastAsia="Times New Roman" w:hAnsi="Times New Roman"/>
                <w:bCs/>
                <w:lang w:val="lt-LT"/>
              </w:rPr>
              <w:t>mikrogramų</w:t>
            </w:r>
            <w:proofErr w:type="spellEnd"/>
          </w:p>
        </w:tc>
      </w:tr>
      <w:tr w:rsidR="006531A3" w:rsidRPr="00752CF2" w:rsidTr="00442DDE">
        <w:tc>
          <w:tcPr>
            <w:tcW w:w="2040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ind w:left="-227" w:firstLine="142"/>
              <w:rPr>
                <w:rFonts w:ascii="Times New Roman" w:hAnsi="Times New Roman"/>
                <w:lang w:val="lt-LT"/>
              </w:rPr>
            </w:pPr>
            <w:r w:rsidRPr="007256F4">
              <w:rPr>
                <w:rFonts w:ascii="Times New Roman" w:eastAsia="Times New Roman" w:hAnsi="Times New Roman"/>
                <w:bCs/>
                <w:lang w:val="lt-LT"/>
              </w:rPr>
              <w:t>Mangano (</w:t>
            </w:r>
            <w:proofErr w:type="spellStart"/>
            <w:r w:rsidRPr="007256F4">
              <w:rPr>
                <w:rFonts w:ascii="Times New Roman" w:eastAsia="Times New Roman" w:hAnsi="Times New Roman"/>
                <w:bCs/>
                <w:lang w:val="lt-LT"/>
              </w:rPr>
              <w:t>Mn</w:t>
            </w:r>
            <w:proofErr w:type="spellEnd"/>
            <w:r w:rsidRPr="007256F4">
              <w:rPr>
                <w:rFonts w:ascii="Times New Roman" w:eastAsia="Times New Roman" w:hAnsi="Times New Roman"/>
                <w:bCs/>
                <w:lang w:val="lt-LT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ind w:left="-227" w:firstLine="142"/>
              <w:rPr>
                <w:rFonts w:ascii="Times New Roman" w:hAnsi="Times New Roman"/>
                <w:lang w:val="lt-LT"/>
              </w:rPr>
            </w:pPr>
            <w:r w:rsidRPr="007256F4">
              <w:rPr>
                <w:rFonts w:ascii="Times New Roman" w:eastAsia="Times New Roman" w:hAnsi="Times New Roman"/>
                <w:bCs/>
                <w:lang w:val="lt-LT"/>
              </w:rPr>
              <w:t>0,0182</w:t>
            </w:r>
            <w:r w:rsidRPr="007256F4">
              <w:rPr>
                <w:rFonts w:ascii="Times New Roman" w:eastAsia="Times New Roman" w:hAnsi="Times New Roman"/>
                <w:lang w:val="lt-LT"/>
              </w:rPr>
              <w:t> </w:t>
            </w:r>
            <w:proofErr w:type="spellStart"/>
            <w:r w:rsidRPr="007256F4">
              <w:rPr>
                <w:rFonts w:ascii="Times New Roman" w:eastAsia="Times New Roman" w:hAnsi="Times New Roman"/>
                <w:lang w:val="lt-LT"/>
              </w:rPr>
              <w:t>mikromolio</w:t>
            </w:r>
            <w:proofErr w:type="spellEnd"/>
          </w:p>
        </w:tc>
        <w:tc>
          <w:tcPr>
            <w:tcW w:w="3080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ind w:left="-227" w:firstLine="142"/>
              <w:rPr>
                <w:rFonts w:ascii="Times New Roman" w:hAnsi="Times New Roman"/>
                <w:lang w:val="lt-LT"/>
              </w:rPr>
            </w:pPr>
            <w:r w:rsidRPr="007256F4">
              <w:rPr>
                <w:rFonts w:ascii="Times New Roman" w:eastAsia="Times New Roman" w:hAnsi="Times New Roman"/>
                <w:bCs/>
                <w:lang w:val="lt-LT"/>
              </w:rPr>
              <w:t>1,00 </w:t>
            </w:r>
            <w:proofErr w:type="spellStart"/>
            <w:r w:rsidRPr="007256F4">
              <w:rPr>
                <w:rFonts w:ascii="Times New Roman" w:eastAsia="Times New Roman" w:hAnsi="Times New Roman"/>
                <w:bCs/>
                <w:lang w:val="lt-LT"/>
              </w:rPr>
              <w:t>mikrogramą</w:t>
            </w:r>
            <w:proofErr w:type="spellEnd"/>
          </w:p>
        </w:tc>
      </w:tr>
      <w:tr w:rsidR="006531A3" w:rsidRPr="00752CF2" w:rsidTr="00442DDE">
        <w:tc>
          <w:tcPr>
            <w:tcW w:w="2040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ind w:left="-227" w:firstLine="142"/>
              <w:rPr>
                <w:rFonts w:ascii="Times New Roman" w:hAnsi="Times New Roman"/>
                <w:lang w:val="lt-LT"/>
              </w:rPr>
            </w:pPr>
            <w:r w:rsidRPr="007256F4">
              <w:rPr>
                <w:rFonts w:ascii="Times New Roman" w:eastAsia="Times New Roman" w:hAnsi="Times New Roman"/>
                <w:bCs/>
                <w:lang w:val="lt-LT"/>
              </w:rPr>
              <w:t>Seleno (</w:t>
            </w:r>
            <w:proofErr w:type="spellStart"/>
            <w:r w:rsidRPr="007256F4">
              <w:rPr>
                <w:rFonts w:ascii="Times New Roman" w:eastAsia="Times New Roman" w:hAnsi="Times New Roman"/>
                <w:bCs/>
                <w:lang w:val="lt-LT"/>
              </w:rPr>
              <w:t>Se</w:t>
            </w:r>
            <w:proofErr w:type="spellEnd"/>
            <w:r w:rsidRPr="007256F4">
              <w:rPr>
                <w:rFonts w:ascii="Times New Roman" w:eastAsia="Times New Roman" w:hAnsi="Times New Roman"/>
                <w:bCs/>
                <w:lang w:val="lt-LT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ind w:left="-227" w:firstLine="142"/>
              <w:rPr>
                <w:rFonts w:ascii="Times New Roman" w:hAnsi="Times New Roman"/>
                <w:lang w:val="lt-LT"/>
              </w:rPr>
            </w:pPr>
            <w:r w:rsidRPr="007256F4">
              <w:rPr>
                <w:rFonts w:ascii="Times New Roman" w:eastAsia="Times New Roman" w:hAnsi="Times New Roman"/>
                <w:bCs/>
                <w:lang w:val="lt-LT"/>
              </w:rPr>
              <w:t>0,0887</w:t>
            </w:r>
            <w:r w:rsidRPr="007256F4">
              <w:rPr>
                <w:rFonts w:ascii="Times New Roman" w:eastAsia="Times New Roman" w:hAnsi="Times New Roman"/>
                <w:lang w:val="lt-LT"/>
              </w:rPr>
              <w:t> </w:t>
            </w:r>
            <w:proofErr w:type="spellStart"/>
            <w:r w:rsidRPr="007256F4">
              <w:rPr>
                <w:rFonts w:ascii="Times New Roman" w:eastAsia="Times New Roman" w:hAnsi="Times New Roman"/>
                <w:lang w:val="lt-LT"/>
              </w:rPr>
              <w:t>mikromolio</w:t>
            </w:r>
            <w:proofErr w:type="spellEnd"/>
          </w:p>
        </w:tc>
        <w:tc>
          <w:tcPr>
            <w:tcW w:w="3080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ind w:left="-227" w:firstLine="142"/>
              <w:rPr>
                <w:rFonts w:ascii="Times New Roman" w:hAnsi="Times New Roman"/>
                <w:lang w:val="lt-LT"/>
              </w:rPr>
            </w:pPr>
            <w:r w:rsidRPr="007256F4">
              <w:rPr>
                <w:rFonts w:ascii="Times New Roman" w:eastAsia="Times New Roman" w:hAnsi="Times New Roman"/>
                <w:bCs/>
                <w:lang w:val="lt-LT"/>
              </w:rPr>
              <w:t>7,00</w:t>
            </w:r>
            <w:r w:rsidRPr="007256F4">
              <w:rPr>
                <w:rFonts w:ascii="Times New Roman" w:eastAsia="Times New Roman" w:hAnsi="Times New Roman"/>
                <w:lang w:val="lt-LT"/>
              </w:rPr>
              <w:t> </w:t>
            </w:r>
            <w:proofErr w:type="spellStart"/>
            <w:r w:rsidRPr="007256F4">
              <w:rPr>
                <w:rFonts w:ascii="Times New Roman" w:eastAsia="Times New Roman" w:hAnsi="Times New Roman"/>
                <w:lang w:val="lt-LT"/>
              </w:rPr>
              <w:t>mikrogramus</w:t>
            </w:r>
            <w:proofErr w:type="spellEnd"/>
          </w:p>
        </w:tc>
      </w:tr>
      <w:tr w:rsidR="006531A3" w:rsidRPr="00752CF2" w:rsidTr="00442DDE">
        <w:tc>
          <w:tcPr>
            <w:tcW w:w="2040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ind w:left="-227" w:firstLine="142"/>
              <w:rPr>
                <w:rFonts w:ascii="Times New Roman" w:hAnsi="Times New Roman"/>
                <w:lang w:val="lt-LT"/>
              </w:rPr>
            </w:pPr>
            <w:r w:rsidRPr="007256F4">
              <w:rPr>
                <w:rFonts w:ascii="Times New Roman" w:eastAsia="Times New Roman" w:hAnsi="Times New Roman"/>
                <w:bCs/>
                <w:lang w:val="lt-LT"/>
              </w:rPr>
              <w:t>Jodo (I)</w:t>
            </w:r>
          </w:p>
        </w:tc>
        <w:tc>
          <w:tcPr>
            <w:tcW w:w="2552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ind w:left="-227" w:firstLine="142"/>
              <w:rPr>
                <w:rFonts w:ascii="Times New Roman" w:hAnsi="Times New Roman"/>
                <w:lang w:val="lt-LT"/>
              </w:rPr>
            </w:pPr>
            <w:r w:rsidRPr="007256F4">
              <w:rPr>
                <w:rFonts w:ascii="Times New Roman" w:eastAsia="Times New Roman" w:hAnsi="Times New Roman"/>
                <w:bCs/>
                <w:lang w:val="lt-LT"/>
              </w:rPr>
              <w:t>0,0155</w:t>
            </w:r>
            <w:r w:rsidRPr="007256F4">
              <w:rPr>
                <w:rFonts w:ascii="Times New Roman" w:eastAsia="Times New Roman" w:hAnsi="Times New Roman"/>
                <w:lang w:val="lt-LT"/>
              </w:rPr>
              <w:t> </w:t>
            </w:r>
            <w:proofErr w:type="spellStart"/>
            <w:r w:rsidRPr="007256F4">
              <w:rPr>
                <w:rFonts w:ascii="Times New Roman" w:eastAsia="Times New Roman" w:hAnsi="Times New Roman"/>
                <w:lang w:val="lt-LT"/>
              </w:rPr>
              <w:t>mikromolio</w:t>
            </w:r>
            <w:proofErr w:type="spellEnd"/>
          </w:p>
        </w:tc>
        <w:tc>
          <w:tcPr>
            <w:tcW w:w="3080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ind w:left="-227" w:firstLine="142"/>
              <w:rPr>
                <w:rFonts w:ascii="Times New Roman" w:hAnsi="Times New Roman"/>
                <w:lang w:val="lt-LT"/>
              </w:rPr>
            </w:pPr>
            <w:r w:rsidRPr="007256F4">
              <w:rPr>
                <w:rFonts w:ascii="Times New Roman" w:eastAsia="Times New Roman" w:hAnsi="Times New Roman"/>
                <w:bCs/>
                <w:lang w:val="lt-LT"/>
              </w:rPr>
              <w:t>1,96</w:t>
            </w:r>
            <w:r w:rsidRPr="007256F4">
              <w:rPr>
                <w:rFonts w:ascii="Times New Roman" w:eastAsia="Times New Roman" w:hAnsi="Times New Roman"/>
                <w:lang w:val="lt-LT"/>
              </w:rPr>
              <w:t> </w:t>
            </w:r>
            <w:proofErr w:type="spellStart"/>
            <w:r w:rsidRPr="007256F4">
              <w:rPr>
                <w:rFonts w:ascii="Times New Roman" w:eastAsia="Times New Roman" w:hAnsi="Times New Roman"/>
                <w:lang w:val="lt-LT"/>
              </w:rPr>
              <w:t>mikrogramo</w:t>
            </w:r>
            <w:proofErr w:type="spellEnd"/>
          </w:p>
        </w:tc>
      </w:tr>
    </w:tbl>
    <w:p w:rsidR="006531A3" w:rsidRPr="007256F4" w:rsidRDefault="006531A3" w:rsidP="006531A3">
      <w:pPr>
        <w:tabs>
          <w:tab w:val="left" w:pos="567"/>
        </w:tabs>
        <w:spacing w:after="0" w:line="240" w:lineRule="auto"/>
        <w:ind w:left="60"/>
        <w:rPr>
          <w:rFonts w:ascii="Times New Roman" w:eastAsia="Times New Roman" w:hAnsi="Times New Roman"/>
          <w:bCs/>
          <w:lang w:val="lt-LT"/>
        </w:rPr>
      </w:pPr>
    </w:p>
    <w:p w:rsidR="006531A3" w:rsidRPr="007256F4" w:rsidRDefault="006531A3" w:rsidP="006531A3">
      <w:pPr>
        <w:pStyle w:val="Sraopastraipa"/>
        <w:numPr>
          <w:ilvl w:val="0"/>
          <w:numId w:val="1"/>
        </w:numPr>
        <w:spacing w:after="0" w:line="240" w:lineRule="auto"/>
        <w:ind w:hanging="567"/>
        <w:rPr>
          <w:rFonts w:ascii="Times New Roman" w:eastAsia="Times New Roman" w:hAnsi="Times New Roman"/>
          <w:i/>
          <w:iCs/>
          <w:lang w:val="lt-LT"/>
        </w:rPr>
      </w:pPr>
      <w:r w:rsidRPr="007256F4">
        <w:rPr>
          <w:rFonts w:ascii="Times New Roman" w:eastAsia="Times New Roman" w:hAnsi="Times New Roman"/>
          <w:i/>
          <w:iCs/>
          <w:lang w:val="lt-LT"/>
        </w:rPr>
        <w:t>Pagalbinės medžiagos yra:</w:t>
      </w:r>
    </w:p>
    <w:p w:rsidR="006531A3" w:rsidRPr="007256F4" w:rsidRDefault="006531A3" w:rsidP="006531A3">
      <w:pPr>
        <w:pStyle w:val="Sraopastraipa"/>
        <w:spacing w:after="0" w:line="240" w:lineRule="auto"/>
        <w:ind w:left="0"/>
        <w:rPr>
          <w:rFonts w:ascii="Times New Roman" w:eastAsia="Times New Roman" w:hAnsi="Times New Roman"/>
          <w:lang w:val="lt-LT"/>
        </w:rPr>
      </w:pPr>
      <w:r w:rsidRPr="007256F4">
        <w:rPr>
          <w:rFonts w:ascii="Times New Roman" w:eastAsia="Times New Roman" w:hAnsi="Times New Roman"/>
          <w:lang w:val="lt-LT"/>
        </w:rPr>
        <w:t>vandenilio chlorido rūgštis (pH koreguoti), injekcinis vanduo.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6531A3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/>
        </w:rPr>
      </w:pPr>
      <w:proofErr w:type="spellStart"/>
      <w:r w:rsidRPr="00610115">
        <w:rPr>
          <w:rFonts w:ascii="Times New Roman" w:eastAsia="Times New Roman" w:hAnsi="Times New Roman"/>
          <w:b/>
          <w:lang w:val="lt-LT"/>
        </w:rPr>
        <w:t>Infutraze</w:t>
      </w:r>
      <w:proofErr w:type="spellEnd"/>
      <w:r w:rsidRPr="007256F4">
        <w:rPr>
          <w:rFonts w:ascii="Times New Roman" w:eastAsia="Times New Roman" w:hAnsi="Times New Roman"/>
          <w:b/>
          <w:lang w:val="lt-LT"/>
        </w:rPr>
        <w:t xml:space="preserve"> išvaizda ir kiekis pakuotėje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610115">
        <w:rPr>
          <w:rFonts w:ascii="Times New Roman" w:eastAsia="Times New Roman" w:hAnsi="Times New Roman"/>
          <w:lang w:val="lt-LT"/>
        </w:rPr>
        <w:t>Infutraze</w:t>
      </w:r>
      <w:proofErr w:type="spellEnd"/>
      <w:r w:rsidRPr="007256F4">
        <w:rPr>
          <w:rFonts w:ascii="Times New Roman" w:eastAsia="Times New Roman" w:hAnsi="Times New Roman"/>
          <w:lang w:val="lt-LT"/>
        </w:rPr>
        <w:t xml:space="preserve"> koncentratas infuziniam tirpalui yra </w:t>
      </w:r>
      <w:r w:rsidRPr="007256F4">
        <w:rPr>
          <w:rFonts w:ascii="Times New Roman" w:eastAsia="Times New Roman" w:hAnsi="Times New Roman"/>
          <w:lang w:val="lt-LT" w:eastAsia="lt-LT"/>
        </w:rPr>
        <w:t>skaidrus ir beveik bespalvis</w:t>
      </w:r>
      <w:r w:rsidRPr="007256F4">
        <w:rPr>
          <w:rFonts w:ascii="Times New Roman" w:eastAsia="Times New Roman" w:hAnsi="Times New Roman"/>
          <w:lang w:val="lt-LT"/>
        </w:rPr>
        <w:t>. Jis tiekiamas 10 ml skaidriose polipropileno ampulėse</w:t>
      </w:r>
      <w:r w:rsidRPr="007256F4">
        <w:rPr>
          <w:rFonts w:ascii="Times New Roman" w:eastAsia="Times New Roman" w:hAnsi="Times New Roman"/>
          <w:lang w:val="lt-LT" w:eastAsia="lt-LT"/>
        </w:rPr>
        <w:t>.</w:t>
      </w:r>
    </w:p>
    <w:p w:rsidR="006531A3" w:rsidRPr="007256F4" w:rsidRDefault="006531A3" w:rsidP="006531A3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7256F4" w:rsidRDefault="006531A3" w:rsidP="006531A3">
      <w:pPr>
        <w:keepNext/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i/>
          <w:iCs/>
          <w:lang w:val="lt-LT" w:eastAsia="lt-LT"/>
        </w:rPr>
      </w:pPr>
      <w:r w:rsidRPr="007256F4">
        <w:rPr>
          <w:rFonts w:ascii="Times New Roman" w:eastAsia="Times New Roman" w:hAnsi="Times New Roman"/>
          <w:i/>
          <w:iCs/>
          <w:lang w:val="lt-LT" w:eastAsia="lt-LT"/>
        </w:rPr>
        <w:t>Pakuotės dydžiai:</w:t>
      </w:r>
    </w:p>
    <w:p w:rsidR="006531A3" w:rsidRPr="007256F4" w:rsidRDefault="006531A3" w:rsidP="006531A3">
      <w:pPr>
        <w:keepNext/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7256F4">
        <w:rPr>
          <w:rFonts w:ascii="Times New Roman" w:eastAsia="Times New Roman" w:hAnsi="Times New Roman"/>
          <w:lang w:val="lt-LT" w:eastAsia="lt-LT"/>
        </w:rPr>
        <w:t>20 x 10 ml ampulių kartono dėžutėje</w:t>
      </w:r>
    </w:p>
    <w:p w:rsidR="006531A3" w:rsidRPr="007256F4" w:rsidRDefault="006531A3" w:rsidP="006531A3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7256F4" w:rsidRDefault="006531A3" w:rsidP="006531A3">
      <w:pPr>
        <w:keepNext/>
        <w:keepLines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val="lt-LT" w:eastAsia="x-none"/>
        </w:rPr>
      </w:pPr>
      <w:r w:rsidRPr="007256F4">
        <w:rPr>
          <w:rFonts w:ascii="Times New Roman" w:eastAsia="Times New Roman" w:hAnsi="Times New Roman"/>
          <w:b/>
          <w:bCs/>
          <w:snapToGrid w:val="0"/>
          <w:szCs w:val="28"/>
          <w:lang w:val="lt-LT" w:eastAsia="x-none"/>
        </w:rPr>
        <w:t>Registruotojas ir gamintojas</w:t>
      </w:r>
    </w:p>
    <w:p w:rsidR="006531A3" w:rsidRPr="007256F4" w:rsidRDefault="006531A3" w:rsidP="006531A3">
      <w:pPr>
        <w:keepNext/>
        <w:keepLines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lang w:val="lt-LT"/>
        </w:rPr>
      </w:pPr>
    </w:p>
    <w:p w:rsidR="006531A3" w:rsidRPr="007256F4" w:rsidRDefault="006531A3" w:rsidP="006531A3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i/>
          <w:lang w:val="lt-LT"/>
        </w:rPr>
      </w:pPr>
      <w:r w:rsidRPr="007256F4">
        <w:rPr>
          <w:rFonts w:ascii="Times New Roman" w:eastAsia="Times New Roman" w:hAnsi="Times New Roman"/>
          <w:bCs/>
          <w:i/>
          <w:lang w:val="lt-LT"/>
        </w:rPr>
        <w:t>Registruotojas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lang w:val="lt-LT"/>
        </w:rPr>
      </w:pPr>
      <w:proofErr w:type="spellStart"/>
      <w:r w:rsidRPr="007256F4">
        <w:rPr>
          <w:rFonts w:ascii="Times New Roman" w:eastAsia="Times New Roman" w:hAnsi="Times New Roman"/>
          <w:bCs/>
          <w:lang w:val="lt-LT"/>
        </w:rPr>
        <w:t>Fresenius</w:t>
      </w:r>
      <w:proofErr w:type="spellEnd"/>
      <w:r w:rsidRPr="007256F4">
        <w:rPr>
          <w:rFonts w:ascii="Times New Roman" w:eastAsia="Times New Roman" w:hAnsi="Times New Roman"/>
          <w:bCs/>
          <w:lang w:val="lt-LT"/>
        </w:rPr>
        <w:t xml:space="preserve"> Kabi AB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7256F4">
        <w:rPr>
          <w:rFonts w:ascii="Times New Roman" w:eastAsia="Times New Roman" w:hAnsi="Times New Roman"/>
          <w:bCs/>
          <w:lang w:val="lt-LT"/>
        </w:rPr>
        <w:t xml:space="preserve">SE-751 74 </w:t>
      </w:r>
      <w:proofErr w:type="spellStart"/>
      <w:r w:rsidRPr="007256F4">
        <w:rPr>
          <w:rFonts w:ascii="Times New Roman" w:eastAsia="Times New Roman" w:hAnsi="Times New Roman"/>
          <w:bCs/>
          <w:lang w:val="lt-LT"/>
        </w:rPr>
        <w:t>Uppsala</w:t>
      </w:r>
      <w:proofErr w:type="spellEnd"/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7256F4">
        <w:rPr>
          <w:rFonts w:ascii="Times New Roman" w:eastAsia="Times New Roman" w:hAnsi="Times New Roman"/>
          <w:bCs/>
          <w:lang w:val="lt-LT"/>
        </w:rPr>
        <w:t>Švedija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lang w:val="lt-LT"/>
        </w:rPr>
      </w:pPr>
      <w:r w:rsidRPr="007256F4">
        <w:rPr>
          <w:rFonts w:ascii="Times New Roman" w:eastAsia="Times New Roman" w:hAnsi="Times New Roman"/>
          <w:i/>
          <w:lang w:val="lt-LT"/>
        </w:rPr>
        <w:t>Gamintojas</w:t>
      </w:r>
    </w:p>
    <w:p w:rsidR="006531A3" w:rsidRPr="007256F4" w:rsidRDefault="006531A3" w:rsidP="006531A3">
      <w:pPr>
        <w:keepNext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lang w:val="lt-LT" w:eastAsia="lt-LT"/>
        </w:rPr>
      </w:pPr>
      <w:r w:rsidRPr="001F0EAC">
        <w:rPr>
          <w:rFonts w:ascii="Times New Roman" w:eastAsia="Times New Roman" w:hAnsi="Times New Roman"/>
          <w:lang w:val="lt-LT" w:eastAsia="lt-LT"/>
        </w:rPr>
        <w:t xml:space="preserve">HP </w:t>
      </w:r>
      <w:proofErr w:type="spellStart"/>
      <w:r w:rsidRPr="001F0EAC">
        <w:rPr>
          <w:rFonts w:ascii="Times New Roman" w:eastAsia="Times New Roman" w:hAnsi="Times New Roman"/>
          <w:lang w:val="lt-LT" w:eastAsia="lt-LT"/>
        </w:rPr>
        <w:t>Halden</w:t>
      </w:r>
      <w:proofErr w:type="spellEnd"/>
      <w:r w:rsidRPr="001F0EAC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F0EAC">
        <w:rPr>
          <w:rFonts w:ascii="Times New Roman" w:eastAsia="Times New Roman" w:hAnsi="Times New Roman"/>
          <w:lang w:val="lt-LT" w:eastAsia="lt-LT"/>
        </w:rPr>
        <w:t>Pharma</w:t>
      </w:r>
      <w:proofErr w:type="spellEnd"/>
      <w:r w:rsidRPr="001F0EAC">
        <w:rPr>
          <w:rFonts w:ascii="Times New Roman" w:eastAsia="Times New Roman" w:hAnsi="Times New Roman"/>
          <w:lang w:val="lt-LT" w:eastAsia="lt-LT"/>
        </w:rPr>
        <w:t xml:space="preserve"> AS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7256F4">
        <w:rPr>
          <w:rFonts w:ascii="Times New Roman" w:eastAsia="Times New Roman" w:hAnsi="Times New Roman"/>
          <w:lang w:val="lt-LT"/>
        </w:rPr>
        <w:t>Svinesundsveien</w:t>
      </w:r>
      <w:proofErr w:type="spellEnd"/>
      <w:r w:rsidRPr="007256F4">
        <w:rPr>
          <w:rFonts w:ascii="Times New Roman" w:eastAsia="Times New Roman" w:hAnsi="Times New Roman"/>
          <w:lang w:val="lt-LT"/>
        </w:rPr>
        <w:t xml:space="preserve"> 80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7256F4">
        <w:rPr>
          <w:rFonts w:ascii="Times New Roman" w:eastAsia="Times New Roman" w:hAnsi="Times New Roman"/>
          <w:lang w:val="lt-LT"/>
        </w:rPr>
        <w:t xml:space="preserve">NO-1788 </w:t>
      </w:r>
      <w:proofErr w:type="spellStart"/>
      <w:r w:rsidRPr="007256F4">
        <w:rPr>
          <w:rFonts w:ascii="Times New Roman" w:eastAsia="Times New Roman" w:hAnsi="Times New Roman"/>
          <w:lang w:val="lt-LT"/>
        </w:rPr>
        <w:t>Halden</w:t>
      </w:r>
      <w:proofErr w:type="spellEnd"/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7256F4">
        <w:rPr>
          <w:rFonts w:ascii="Times New Roman" w:eastAsia="Times New Roman" w:hAnsi="Times New Roman"/>
          <w:lang w:val="lt-LT"/>
        </w:rPr>
        <w:t>Norvegija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6531A3" w:rsidRPr="007256F4" w:rsidRDefault="006531A3" w:rsidP="006531A3">
      <w:pPr>
        <w:keepNext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7256F4">
        <w:rPr>
          <w:rFonts w:ascii="Times New Roman" w:eastAsia="Times New Roman" w:hAnsi="Times New Roman"/>
          <w:noProof/>
          <w:snapToGrid w:val="0"/>
          <w:szCs w:val="24"/>
          <w:lang w:val="lt-LT"/>
        </w:rPr>
        <w:t>Jeigu apie šį vaistą norite sužinoti daugiau, kreipkitės į vietinį registruotojo atstovą:</w:t>
      </w:r>
    </w:p>
    <w:p w:rsidR="006531A3" w:rsidRPr="007256F4" w:rsidRDefault="006531A3" w:rsidP="006531A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yellow"/>
          <w:lang w:val="lt-LT"/>
        </w:rPr>
      </w:pPr>
    </w:p>
    <w:p w:rsidR="006531A3" w:rsidRPr="007256F4" w:rsidRDefault="006531A3" w:rsidP="006531A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7256F4">
        <w:rPr>
          <w:rFonts w:ascii="Times New Roman" w:eastAsia="Times New Roman" w:hAnsi="Times New Roman"/>
          <w:lang w:val="lt-LT" w:eastAsia="lt-LT"/>
        </w:rPr>
        <w:t>UAB „</w:t>
      </w:r>
      <w:proofErr w:type="spellStart"/>
      <w:r w:rsidRPr="007256F4">
        <w:rPr>
          <w:rFonts w:ascii="Times New Roman" w:eastAsia="Times New Roman" w:hAnsi="Times New Roman"/>
          <w:lang w:val="lt-LT" w:eastAsia="lt-LT"/>
        </w:rPr>
        <w:t>Fresenius</w:t>
      </w:r>
      <w:proofErr w:type="spellEnd"/>
      <w:r w:rsidRPr="007256F4">
        <w:rPr>
          <w:rFonts w:ascii="Times New Roman" w:eastAsia="Times New Roman" w:hAnsi="Times New Roman"/>
          <w:lang w:val="lt-LT" w:eastAsia="lt-LT"/>
        </w:rPr>
        <w:t xml:space="preserve"> Kabi </w:t>
      </w:r>
      <w:proofErr w:type="spellStart"/>
      <w:r w:rsidRPr="007256F4">
        <w:rPr>
          <w:rFonts w:ascii="Times New Roman" w:eastAsia="Times New Roman" w:hAnsi="Times New Roman"/>
          <w:lang w:val="lt-LT" w:eastAsia="lt-LT"/>
        </w:rPr>
        <w:t>Baltics</w:t>
      </w:r>
      <w:proofErr w:type="spellEnd"/>
      <w:r w:rsidRPr="007256F4">
        <w:rPr>
          <w:rFonts w:ascii="Times New Roman" w:eastAsia="Times New Roman" w:hAnsi="Times New Roman"/>
          <w:lang w:val="lt-LT" w:eastAsia="lt-LT"/>
        </w:rPr>
        <w:t>“</w:t>
      </w:r>
    </w:p>
    <w:p w:rsidR="006531A3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7256F4">
        <w:rPr>
          <w:rFonts w:ascii="Times New Roman" w:eastAsia="Times New Roman" w:hAnsi="Times New Roman"/>
          <w:lang w:val="lt-LT" w:eastAsia="lt-LT"/>
        </w:rPr>
        <w:t xml:space="preserve">Tel. </w:t>
      </w:r>
      <w:r>
        <w:rPr>
          <w:rFonts w:ascii="Times New Roman" w:eastAsia="Times New Roman" w:hAnsi="Times New Roman"/>
          <w:lang w:val="lt-LT" w:eastAsia="lt-LT"/>
        </w:rPr>
        <w:t>+ 370</w:t>
      </w:r>
      <w:r w:rsidRPr="007256F4">
        <w:rPr>
          <w:rFonts w:ascii="Times New Roman" w:eastAsia="Times New Roman" w:hAnsi="Times New Roman"/>
          <w:lang w:val="lt-LT" w:eastAsia="lt-LT"/>
        </w:rPr>
        <w:t xml:space="preserve"> 5 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7256F4">
        <w:rPr>
          <w:rFonts w:ascii="Times New Roman" w:eastAsia="Times New Roman" w:hAnsi="Times New Roman"/>
          <w:lang w:val="lt-LT" w:eastAsia="lt-LT"/>
        </w:rPr>
        <w:t>252 3213</w:t>
      </w:r>
    </w:p>
    <w:p w:rsidR="006531A3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AF5CAE" w:rsidRDefault="006531A3" w:rsidP="006531A3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F5CAE">
        <w:rPr>
          <w:rFonts w:ascii="Times New Roman" w:hAnsi="Times New Roman"/>
          <w:b/>
          <w:lang w:val="lt-LT"/>
        </w:rPr>
        <w:t>Šis vaistas Europos ekonominės erdvės valstybėse narėse ir Jungtinėje Karalystėje (Šiaurės Airijoje) registruotas tokiais pavadinimais: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6531A3" w:rsidRPr="001F0EAC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Austri</w:t>
            </w:r>
            <w:r w:rsidRPr="00251D00">
              <w:rPr>
                <w:rFonts w:ascii="Times New Roman" w:hAnsi="Times New Roman"/>
                <w:noProof/>
              </w:rPr>
              <w:t>j</w:t>
            </w:r>
            <w:r w:rsidRPr="007A5946">
              <w:rPr>
                <w:rFonts w:ascii="Times New Roman" w:hAnsi="Times New Roman"/>
                <w:noProof/>
              </w:rPr>
              <w:t>a</w:t>
            </w:r>
          </w:p>
        </w:tc>
        <w:tc>
          <w:tcPr>
            <w:tcW w:w="6095" w:type="dxa"/>
            <w:shd w:val="clear" w:color="auto" w:fill="auto"/>
          </w:tcPr>
          <w:p w:rsidR="006531A3" w:rsidRPr="00DB3C07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lang w:val="de-DE"/>
              </w:rPr>
            </w:pPr>
            <w:proofErr w:type="spellStart"/>
            <w:r w:rsidRPr="00DB3C07">
              <w:rPr>
                <w:rFonts w:ascii="Times New Roman" w:hAnsi="Times New Roman"/>
                <w:lang w:val="de-DE"/>
              </w:rPr>
              <w:t>Kidtrayze</w:t>
            </w:r>
            <w:proofErr w:type="spellEnd"/>
            <w:r w:rsidRPr="00DB3C07">
              <w:rPr>
                <w:rFonts w:ascii="Times New Roman" w:hAnsi="Times New Roman"/>
                <w:lang w:val="de-DE"/>
              </w:rPr>
              <w:t xml:space="preserve"> </w:t>
            </w:r>
            <w:r w:rsidRPr="007A5946">
              <w:rPr>
                <w:rFonts w:ascii="Times New Roman" w:hAnsi="Times New Roman"/>
                <w:noProof/>
                <w:lang w:val="de-AT"/>
              </w:rPr>
              <w:t>Konzentrat zur Herstellung einer Infusionslösung</w:t>
            </w:r>
          </w:p>
        </w:tc>
      </w:tr>
      <w:tr w:rsidR="006531A3" w:rsidRPr="001F0EAC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Belgi</w:t>
            </w:r>
            <w:r w:rsidRPr="00251D00">
              <w:rPr>
                <w:rFonts w:ascii="Times New Roman" w:hAnsi="Times New Roman"/>
                <w:noProof/>
              </w:rPr>
              <w:t>ja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  <w:lang w:val="nl-NL"/>
              </w:rPr>
            </w:pPr>
            <w:r w:rsidRPr="007A5946">
              <w:rPr>
                <w:rFonts w:ascii="Times New Roman" w:hAnsi="Times New Roman"/>
                <w:noProof/>
                <w:lang w:val="en-US"/>
              </w:rPr>
              <w:t xml:space="preserve">Kidtrayze </w:t>
            </w:r>
            <w:r w:rsidRPr="007A5946">
              <w:rPr>
                <w:rFonts w:ascii="Times New Roman" w:hAnsi="Times New Roman"/>
                <w:noProof/>
                <w:lang w:val="nl-NL"/>
              </w:rPr>
              <w:t>concentraat voor oplossing voor infusie</w:t>
            </w:r>
          </w:p>
          <w:p w:rsidR="006531A3" w:rsidRPr="00DB3C07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lang w:val="de-DE"/>
              </w:rPr>
            </w:pPr>
            <w:proofErr w:type="spellStart"/>
            <w:r w:rsidRPr="00DB3C07">
              <w:rPr>
                <w:rFonts w:ascii="Times New Roman" w:hAnsi="Times New Roman"/>
                <w:lang w:val="de-DE"/>
              </w:rPr>
              <w:t>Kidtrayze</w:t>
            </w:r>
            <w:proofErr w:type="spellEnd"/>
            <w:r w:rsidRPr="00DB3C07">
              <w:rPr>
                <w:rFonts w:ascii="Times New Roman" w:hAnsi="Times New Roman"/>
                <w:lang w:val="de-DE"/>
              </w:rPr>
              <w:t xml:space="preserve"> </w:t>
            </w:r>
            <w:r w:rsidRPr="007A5946">
              <w:rPr>
                <w:rFonts w:ascii="Times New Roman" w:hAnsi="Times New Roman"/>
                <w:noProof/>
                <w:lang w:val="fr-FR"/>
              </w:rPr>
              <w:t>solution à diluer pour perfusion</w:t>
            </w:r>
          </w:p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  <w:lang w:val="nl-NL"/>
              </w:rPr>
            </w:pPr>
            <w:r w:rsidRPr="007A5946">
              <w:rPr>
                <w:rFonts w:ascii="Times New Roman" w:hAnsi="Times New Roman"/>
                <w:noProof/>
                <w:lang w:val="de-DE"/>
              </w:rPr>
              <w:t xml:space="preserve">Kidtrayze </w:t>
            </w:r>
            <w:r w:rsidRPr="007A5946">
              <w:rPr>
                <w:rFonts w:ascii="Times New Roman" w:hAnsi="Times New Roman"/>
                <w:noProof/>
                <w:lang w:val="nl-NL"/>
              </w:rPr>
              <w:t>Konzentrat zur Herstellung einer Infusionslösung</w:t>
            </w:r>
          </w:p>
        </w:tc>
      </w:tr>
      <w:tr w:rsidR="006531A3" w:rsidRPr="00251D00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Bulgari</w:t>
            </w:r>
            <w:r w:rsidRPr="00251D00">
              <w:rPr>
                <w:rFonts w:ascii="Times New Roman" w:hAnsi="Times New Roman"/>
                <w:noProof/>
              </w:rPr>
              <w:t>j</w:t>
            </w:r>
            <w:r w:rsidRPr="007A5946">
              <w:rPr>
                <w:rFonts w:ascii="Times New Roman" w:hAnsi="Times New Roman"/>
                <w:noProof/>
              </w:rPr>
              <w:t>a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  <w:lang w:val="bg-BG"/>
              </w:rPr>
            </w:pPr>
            <w:r w:rsidRPr="007A5946">
              <w:rPr>
                <w:rFonts w:ascii="Times New Roman" w:hAnsi="Times New Roman"/>
                <w:noProof/>
                <w:lang w:val="bg-BG"/>
              </w:rPr>
              <w:t>Педитрейс Новум концентрат за инфузионен разтвор</w:t>
            </w:r>
          </w:p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 xml:space="preserve">Peditrace Novum </w:t>
            </w:r>
            <w:r w:rsidRPr="007A5946">
              <w:rPr>
                <w:rFonts w:ascii="Times New Roman" w:hAnsi="Times New Roman"/>
                <w:noProof/>
                <w:lang w:val="en-US"/>
              </w:rPr>
              <w:t>c</w:t>
            </w:r>
            <w:r w:rsidRPr="007A5946">
              <w:rPr>
                <w:rFonts w:ascii="Times New Roman" w:hAnsi="Times New Roman"/>
                <w:noProof/>
              </w:rPr>
              <w:t>oncentrate for solution for infusion</w:t>
            </w:r>
          </w:p>
        </w:tc>
      </w:tr>
      <w:tr w:rsidR="006531A3" w:rsidRPr="00251D00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251D00">
              <w:rPr>
                <w:rFonts w:ascii="Times New Roman" w:hAnsi="Times New Roman"/>
                <w:noProof/>
              </w:rPr>
              <w:t>Kroatija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  <w:lang w:val="pl-PL"/>
              </w:rPr>
            </w:pPr>
            <w:r w:rsidRPr="007A5946">
              <w:rPr>
                <w:rFonts w:ascii="Times New Roman" w:hAnsi="Times New Roman"/>
                <w:noProof/>
                <w:lang w:val="pl-PL"/>
              </w:rPr>
              <w:t>Peditrace Novum koncentrat za otopinu za infuziju</w:t>
            </w:r>
          </w:p>
        </w:tc>
      </w:tr>
      <w:tr w:rsidR="006531A3" w:rsidRPr="00251D00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251D00">
              <w:rPr>
                <w:rFonts w:ascii="Times New Roman" w:hAnsi="Times New Roman"/>
                <w:noProof/>
              </w:rPr>
              <w:t>Kipras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  <w:lang w:val="el-GR"/>
              </w:rPr>
            </w:pPr>
            <w:r w:rsidRPr="007A5946">
              <w:rPr>
                <w:rFonts w:ascii="Times New Roman" w:hAnsi="Times New Roman"/>
                <w:noProof/>
              </w:rPr>
              <w:t>Kidtrayze</w:t>
            </w:r>
            <w:r w:rsidRPr="007A5946">
              <w:rPr>
                <w:rFonts w:ascii="Times New Roman" w:hAnsi="Times New Roman"/>
                <w:noProof/>
                <w:lang w:val="el-GR"/>
              </w:rPr>
              <w:t xml:space="preserve"> πυκνό διάλυμα για παρασκευή διαλύματος προς έγχυση</w:t>
            </w:r>
          </w:p>
        </w:tc>
      </w:tr>
      <w:tr w:rsidR="006531A3" w:rsidRPr="00251D00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251D00">
              <w:rPr>
                <w:rFonts w:ascii="Times New Roman" w:hAnsi="Times New Roman"/>
                <w:noProof/>
              </w:rPr>
              <w:t>Čekija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proofErr w:type="spellStart"/>
            <w:r w:rsidRPr="007A5946">
              <w:rPr>
                <w:rFonts w:ascii="Times New Roman" w:hAnsi="Times New Roman"/>
                <w:lang w:val="en-US"/>
              </w:rPr>
              <w:t>Peditrace</w:t>
            </w:r>
            <w:proofErr w:type="spellEnd"/>
            <w:r w:rsidRPr="007A594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A5946">
              <w:rPr>
                <w:rFonts w:ascii="Times New Roman" w:hAnsi="Times New Roman"/>
                <w:lang w:val="en-US"/>
              </w:rPr>
              <w:t>Novum</w:t>
            </w:r>
            <w:proofErr w:type="spellEnd"/>
          </w:p>
        </w:tc>
      </w:tr>
      <w:tr w:rsidR="006531A3" w:rsidRPr="00251D00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251D00">
              <w:rPr>
                <w:rFonts w:ascii="Times New Roman" w:hAnsi="Times New Roman"/>
                <w:noProof/>
              </w:rPr>
              <w:t>Danija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  <w:lang w:val="en-US"/>
              </w:rPr>
              <w:t>Peditrace Novum</w:t>
            </w:r>
          </w:p>
        </w:tc>
      </w:tr>
      <w:tr w:rsidR="006531A3" w:rsidRPr="00251D00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Est</w:t>
            </w:r>
            <w:r w:rsidRPr="00251D00">
              <w:rPr>
                <w:rFonts w:ascii="Times New Roman" w:hAnsi="Times New Roman"/>
                <w:noProof/>
              </w:rPr>
              <w:t>ija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Infutraze</w:t>
            </w:r>
          </w:p>
        </w:tc>
      </w:tr>
      <w:tr w:rsidR="006531A3" w:rsidRPr="00251D00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251D00">
              <w:rPr>
                <w:rFonts w:ascii="Times New Roman" w:hAnsi="Times New Roman"/>
                <w:noProof/>
              </w:rPr>
              <w:t>Suomija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Kidtrayze</w:t>
            </w:r>
          </w:p>
        </w:tc>
      </w:tr>
      <w:tr w:rsidR="006531A3" w:rsidRPr="00251D00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251D00">
              <w:rPr>
                <w:rFonts w:ascii="Times New Roman" w:hAnsi="Times New Roman"/>
                <w:noProof/>
              </w:rPr>
              <w:t>Prancūzija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  <w:lang w:val="en-US"/>
              </w:rPr>
              <w:t>Peditrace solution à diluer pour perfusion</w:t>
            </w:r>
          </w:p>
        </w:tc>
      </w:tr>
      <w:tr w:rsidR="006531A3" w:rsidRPr="001F0EAC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251D00">
              <w:rPr>
                <w:rFonts w:ascii="Times New Roman" w:hAnsi="Times New Roman"/>
                <w:noProof/>
              </w:rPr>
              <w:t>Vokietija</w:t>
            </w:r>
          </w:p>
        </w:tc>
        <w:tc>
          <w:tcPr>
            <w:tcW w:w="6095" w:type="dxa"/>
            <w:shd w:val="clear" w:color="auto" w:fill="auto"/>
          </w:tcPr>
          <w:p w:rsidR="006531A3" w:rsidRPr="00DB3C07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lang w:val="de-DE"/>
              </w:rPr>
            </w:pPr>
            <w:proofErr w:type="spellStart"/>
            <w:r w:rsidRPr="00DB3C07">
              <w:rPr>
                <w:rFonts w:ascii="Times New Roman" w:hAnsi="Times New Roman"/>
                <w:lang w:val="de-DE"/>
              </w:rPr>
              <w:t>Kidtrayze</w:t>
            </w:r>
            <w:proofErr w:type="spellEnd"/>
            <w:r w:rsidRPr="00DB3C07">
              <w:rPr>
                <w:rFonts w:ascii="Times New Roman" w:hAnsi="Times New Roman"/>
                <w:lang w:val="de-DE"/>
              </w:rPr>
              <w:t xml:space="preserve"> </w:t>
            </w:r>
            <w:r w:rsidRPr="007A5946">
              <w:rPr>
                <w:rFonts w:ascii="Times New Roman" w:hAnsi="Times New Roman"/>
                <w:noProof/>
                <w:lang w:val="de-AT"/>
              </w:rPr>
              <w:t>Konzentrat zur Herstellung einer Infusionslösung</w:t>
            </w:r>
          </w:p>
        </w:tc>
      </w:tr>
      <w:tr w:rsidR="006531A3" w:rsidRPr="00251D00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251D00">
              <w:rPr>
                <w:rFonts w:ascii="Times New Roman" w:hAnsi="Times New Roman"/>
                <w:noProof/>
              </w:rPr>
              <w:t>Graikija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  <w:lang w:val="el-GR"/>
              </w:rPr>
            </w:pPr>
            <w:r w:rsidRPr="007A5946">
              <w:rPr>
                <w:rFonts w:ascii="Times New Roman" w:hAnsi="Times New Roman"/>
                <w:noProof/>
              </w:rPr>
              <w:t>Kidtrayze</w:t>
            </w:r>
            <w:r w:rsidRPr="007A5946">
              <w:rPr>
                <w:rFonts w:ascii="Times New Roman" w:hAnsi="Times New Roman"/>
                <w:noProof/>
                <w:lang w:val="el-GR"/>
              </w:rPr>
              <w:t xml:space="preserve"> πυκνό διάλυμα για παρασκευή διαλύματος προς έγχυση</w:t>
            </w:r>
          </w:p>
        </w:tc>
      </w:tr>
      <w:tr w:rsidR="006531A3" w:rsidRPr="00251D00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251D00">
              <w:rPr>
                <w:rFonts w:ascii="Times New Roman" w:hAnsi="Times New Roman"/>
                <w:noProof/>
              </w:rPr>
              <w:t>Vengrija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 xml:space="preserve">Infutraze </w:t>
            </w:r>
            <w:r w:rsidRPr="007A5946">
              <w:rPr>
                <w:rFonts w:ascii="Times New Roman" w:hAnsi="Times New Roman"/>
                <w:noProof/>
                <w:lang w:val="en-US"/>
              </w:rPr>
              <w:t>koncentrátum oldatos infúzióhoz</w:t>
            </w:r>
          </w:p>
        </w:tc>
      </w:tr>
      <w:tr w:rsidR="006531A3" w:rsidRPr="00251D00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I</w:t>
            </w:r>
            <w:r w:rsidRPr="00251D00">
              <w:rPr>
                <w:rFonts w:ascii="Times New Roman" w:hAnsi="Times New Roman"/>
                <w:noProof/>
              </w:rPr>
              <w:t>slandija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Peditrace Novum</w:t>
            </w:r>
          </w:p>
        </w:tc>
      </w:tr>
      <w:tr w:rsidR="006531A3" w:rsidRPr="00251D00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Ital</w:t>
            </w:r>
            <w:r w:rsidRPr="00251D00">
              <w:rPr>
                <w:rFonts w:ascii="Times New Roman" w:hAnsi="Times New Roman"/>
                <w:noProof/>
              </w:rPr>
              <w:t>ija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Kidtrayze</w:t>
            </w:r>
          </w:p>
        </w:tc>
      </w:tr>
      <w:tr w:rsidR="006531A3" w:rsidRPr="00251D00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251D00">
              <w:rPr>
                <w:rFonts w:ascii="Times New Roman" w:hAnsi="Times New Roman"/>
                <w:noProof/>
              </w:rPr>
              <w:t>Airija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  <w:lang w:val="en-US"/>
              </w:rPr>
            </w:pPr>
            <w:r w:rsidRPr="007A5946">
              <w:rPr>
                <w:rFonts w:ascii="Times New Roman" w:hAnsi="Times New Roman"/>
                <w:noProof/>
                <w:lang w:val="en-US"/>
              </w:rPr>
              <w:t xml:space="preserve">Infutraze </w:t>
            </w:r>
            <w:r w:rsidRPr="007A5946">
              <w:rPr>
                <w:rFonts w:ascii="Times New Roman" w:hAnsi="Times New Roman"/>
                <w:noProof/>
                <w:lang w:val="en-IE"/>
              </w:rPr>
              <w:t>concentrate for solution for infusion</w:t>
            </w:r>
          </w:p>
        </w:tc>
      </w:tr>
      <w:tr w:rsidR="006531A3" w:rsidRPr="00251D00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Latvi</w:t>
            </w:r>
            <w:r w:rsidRPr="00251D00">
              <w:rPr>
                <w:rFonts w:ascii="Times New Roman" w:hAnsi="Times New Roman"/>
                <w:noProof/>
              </w:rPr>
              <w:t>j</w:t>
            </w:r>
            <w:r w:rsidRPr="007A5946">
              <w:rPr>
                <w:rFonts w:ascii="Times New Roman" w:hAnsi="Times New Roman"/>
                <w:noProof/>
              </w:rPr>
              <w:t>a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  <w:lang w:val="en-US"/>
              </w:rPr>
            </w:pPr>
            <w:r w:rsidRPr="007A5946">
              <w:rPr>
                <w:rFonts w:ascii="Times New Roman" w:hAnsi="Times New Roman"/>
                <w:noProof/>
                <w:lang w:val="en-US"/>
              </w:rPr>
              <w:t>Infutraze koncentrāts infūziju šķīduma pagatavošanai</w:t>
            </w:r>
          </w:p>
        </w:tc>
      </w:tr>
      <w:tr w:rsidR="006531A3" w:rsidRPr="00251D00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Li</w:t>
            </w:r>
            <w:r w:rsidRPr="00251D00">
              <w:rPr>
                <w:rFonts w:ascii="Times New Roman" w:hAnsi="Times New Roman"/>
                <w:noProof/>
              </w:rPr>
              <w:t>etuva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  <w:lang w:val="en-US"/>
              </w:rPr>
            </w:pPr>
            <w:r w:rsidRPr="007A5946">
              <w:rPr>
                <w:rFonts w:ascii="Times New Roman" w:hAnsi="Times New Roman"/>
                <w:noProof/>
                <w:lang w:val="en-US"/>
              </w:rPr>
              <w:t>Infutraze koncentratas infuziniam tirpalui</w:t>
            </w:r>
          </w:p>
        </w:tc>
      </w:tr>
      <w:tr w:rsidR="006531A3" w:rsidRPr="00251D00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L</w:t>
            </w:r>
            <w:r w:rsidRPr="00251D00">
              <w:rPr>
                <w:rFonts w:ascii="Times New Roman" w:hAnsi="Times New Roman"/>
                <w:noProof/>
              </w:rPr>
              <w:t>iuksemburgas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Kidtrayze</w:t>
            </w:r>
          </w:p>
        </w:tc>
      </w:tr>
      <w:tr w:rsidR="006531A3" w:rsidRPr="00251D00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Malta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 xml:space="preserve">Kidtrayze </w:t>
            </w:r>
            <w:r w:rsidRPr="007A5946">
              <w:rPr>
                <w:rFonts w:ascii="Times New Roman" w:hAnsi="Times New Roman"/>
                <w:noProof/>
                <w:lang w:val="en-IE"/>
              </w:rPr>
              <w:t>concentrate for solution for infusion</w:t>
            </w:r>
          </w:p>
        </w:tc>
      </w:tr>
      <w:tr w:rsidR="006531A3" w:rsidRPr="00251D00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N</w:t>
            </w:r>
            <w:r w:rsidRPr="00251D00">
              <w:rPr>
                <w:rFonts w:ascii="Times New Roman" w:hAnsi="Times New Roman"/>
                <w:noProof/>
              </w:rPr>
              <w:t>yderlandai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  <w:lang w:val="nl-NL"/>
              </w:rPr>
            </w:pPr>
            <w:r w:rsidRPr="007A5946">
              <w:rPr>
                <w:rFonts w:ascii="Times New Roman" w:hAnsi="Times New Roman"/>
                <w:noProof/>
                <w:lang w:val="en-US"/>
              </w:rPr>
              <w:t xml:space="preserve">Kidtrayze </w:t>
            </w:r>
            <w:r w:rsidRPr="007A5946">
              <w:rPr>
                <w:rFonts w:ascii="Times New Roman" w:hAnsi="Times New Roman"/>
                <w:noProof/>
                <w:lang w:val="nl-NL"/>
              </w:rPr>
              <w:t>concentraat voor oplossing voor infusie</w:t>
            </w:r>
          </w:p>
        </w:tc>
      </w:tr>
      <w:tr w:rsidR="006531A3" w:rsidRPr="00251D00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Nor</w:t>
            </w:r>
            <w:r w:rsidRPr="00251D00">
              <w:rPr>
                <w:rFonts w:ascii="Times New Roman" w:hAnsi="Times New Roman"/>
                <w:noProof/>
              </w:rPr>
              <w:t>vegija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Kidtrayze</w:t>
            </w:r>
          </w:p>
        </w:tc>
      </w:tr>
      <w:tr w:rsidR="006531A3" w:rsidRPr="00251D00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251D00">
              <w:rPr>
                <w:rFonts w:ascii="Times New Roman" w:hAnsi="Times New Roman"/>
                <w:noProof/>
              </w:rPr>
              <w:t>Lenkija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Peditrace Novum</w:t>
            </w:r>
          </w:p>
        </w:tc>
      </w:tr>
      <w:tr w:rsidR="006531A3" w:rsidRPr="007A5946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Portugal</w:t>
            </w:r>
            <w:r w:rsidRPr="00251D00">
              <w:rPr>
                <w:rFonts w:ascii="Times New Roman" w:hAnsi="Times New Roman"/>
                <w:noProof/>
              </w:rPr>
              <w:t>ija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Kidtrayze</w:t>
            </w:r>
          </w:p>
        </w:tc>
      </w:tr>
      <w:tr w:rsidR="006531A3" w:rsidRPr="007A5946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R</w:t>
            </w:r>
            <w:r w:rsidRPr="00251D00">
              <w:rPr>
                <w:rFonts w:ascii="Times New Roman" w:hAnsi="Times New Roman"/>
                <w:noProof/>
              </w:rPr>
              <w:t>umunija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  <w:lang w:val="en-US"/>
              </w:rPr>
            </w:pPr>
            <w:r w:rsidRPr="007A5946">
              <w:rPr>
                <w:rFonts w:ascii="Times New Roman" w:hAnsi="Times New Roman"/>
                <w:noProof/>
                <w:lang w:val="en-US"/>
              </w:rPr>
              <w:t xml:space="preserve">Kidtrayze </w:t>
            </w:r>
            <w:r w:rsidRPr="007A5946">
              <w:rPr>
                <w:rFonts w:ascii="Times New Roman" w:hAnsi="Times New Roman"/>
                <w:noProof/>
                <w:lang w:val="fr-FR"/>
              </w:rPr>
              <w:t>concentrat pentru solu</w:t>
            </w:r>
            <w:r w:rsidRPr="007A5946">
              <w:rPr>
                <w:rFonts w:ascii="Times New Roman" w:hAnsi="Times New Roman"/>
                <w:noProof/>
                <w:lang w:val="ro-RO"/>
              </w:rPr>
              <w:t>ţie</w:t>
            </w:r>
            <w:r w:rsidRPr="007A5946">
              <w:rPr>
                <w:rFonts w:ascii="Times New Roman" w:hAnsi="Times New Roman"/>
                <w:noProof/>
                <w:lang w:val="fr-FR"/>
              </w:rPr>
              <w:t xml:space="preserve"> perfuzabilă</w:t>
            </w:r>
          </w:p>
        </w:tc>
      </w:tr>
      <w:tr w:rsidR="006531A3" w:rsidRPr="007A5946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Slovaki</w:t>
            </w:r>
            <w:r w:rsidRPr="00251D00">
              <w:rPr>
                <w:rFonts w:ascii="Times New Roman" w:hAnsi="Times New Roman"/>
                <w:noProof/>
              </w:rPr>
              <w:t>j</w:t>
            </w:r>
            <w:r w:rsidRPr="007A5946">
              <w:rPr>
                <w:rFonts w:ascii="Times New Roman" w:hAnsi="Times New Roman"/>
                <w:noProof/>
              </w:rPr>
              <w:t>a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Peditrace</w:t>
            </w:r>
          </w:p>
        </w:tc>
      </w:tr>
      <w:tr w:rsidR="006531A3" w:rsidRPr="00251D00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Slov</w:t>
            </w:r>
            <w:r w:rsidRPr="00251D00">
              <w:rPr>
                <w:rFonts w:ascii="Times New Roman" w:hAnsi="Times New Roman"/>
                <w:noProof/>
              </w:rPr>
              <w:t>ėnija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  <w:lang w:val="sv-SE"/>
              </w:rPr>
            </w:pPr>
            <w:r w:rsidRPr="007A5946">
              <w:rPr>
                <w:rFonts w:ascii="Times New Roman" w:hAnsi="Times New Roman"/>
                <w:noProof/>
                <w:lang w:val="sv-SE"/>
              </w:rPr>
              <w:t xml:space="preserve">Kidtrayze </w:t>
            </w:r>
            <w:r w:rsidRPr="007A5946">
              <w:rPr>
                <w:rFonts w:ascii="Times New Roman" w:hAnsi="Times New Roman"/>
                <w:noProof/>
                <w:lang w:val="sl-SI"/>
              </w:rPr>
              <w:t>koncentrat za raztopino za infundiranje</w:t>
            </w:r>
          </w:p>
        </w:tc>
      </w:tr>
      <w:tr w:rsidR="006531A3" w:rsidRPr="007A5946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251D00">
              <w:rPr>
                <w:rFonts w:ascii="Times New Roman" w:hAnsi="Times New Roman"/>
                <w:noProof/>
              </w:rPr>
              <w:t>Ispanija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Infutraze</w:t>
            </w:r>
          </w:p>
        </w:tc>
      </w:tr>
      <w:tr w:rsidR="006531A3" w:rsidRPr="007A5946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251D00">
              <w:rPr>
                <w:rFonts w:ascii="Times New Roman" w:hAnsi="Times New Roman"/>
                <w:noProof/>
              </w:rPr>
              <w:t>Švedija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>Peditrace Novum</w:t>
            </w:r>
          </w:p>
        </w:tc>
      </w:tr>
      <w:tr w:rsidR="006531A3" w:rsidRPr="007A5946" w:rsidTr="00442DDE">
        <w:tc>
          <w:tcPr>
            <w:tcW w:w="3114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251D00">
              <w:rPr>
                <w:rFonts w:ascii="Times New Roman" w:hAnsi="Times New Roman"/>
                <w:noProof/>
              </w:rPr>
              <w:t>Jungtinė Karalystė</w:t>
            </w:r>
            <w:r w:rsidRPr="007A5946">
              <w:rPr>
                <w:rFonts w:ascii="Times New Roman" w:hAnsi="Times New Roman"/>
                <w:noProof/>
              </w:rPr>
              <w:t xml:space="preserve"> (</w:t>
            </w:r>
            <w:r w:rsidRPr="00251D00">
              <w:rPr>
                <w:rFonts w:ascii="Times New Roman" w:hAnsi="Times New Roman"/>
                <w:noProof/>
              </w:rPr>
              <w:t>Šiaurės Airija</w:t>
            </w:r>
            <w:r w:rsidRPr="007A5946">
              <w:rPr>
                <w:rFonts w:ascii="Times New Roman" w:hAnsi="Times New Roman"/>
                <w:noProof/>
              </w:rPr>
              <w:t>)</w:t>
            </w:r>
          </w:p>
        </w:tc>
        <w:tc>
          <w:tcPr>
            <w:tcW w:w="6095" w:type="dxa"/>
            <w:shd w:val="clear" w:color="auto" w:fill="auto"/>
          </w:tcPr>
          <w:p w:rsidR="006531A3" w:rsidRPr="007A5946" w:rsidRDefault="006531A3" w:rsidP="00442DDE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7A5946">
              <w:rPr>
                <w:rFonts w:ascii="Times New Roman" w:hAnsi="Times New Roman"/>
                <w:noProof/>
              </w:rPr>
              <w:t xml:space="preserve">Infutraze </w:t>
            </w:r>
            <w:r w:rsidRPr="007A5946">
              <w:rPr>
                <w:rFonts w:ascii="Times New Roman" w:hAnsi="Times New Roman"/>
                <w:noProof/>
                <w:lang w:val="en-IE"/>
              </w:rPr>
              <w:t>concentrate for solution for infusion</w:t>
            </w:r>
          </w:p>
        </w:tc>
      </w:tr>
    </w:tbl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752CF2">
        <w:rPr>
          <w:rFonts w:ascii="Times New Roman" w:hAnsi="Times New Roman"/>
          <w:b/>
          <w:lang w:val="lt-LT"/>
        </w:rPr>
        <w:t>Šis pakuotės lapelis paskutinį kartą peržiūrėtas</w:t>
      </w:r>
      <w:r>
        <w:rPr>
          <w:rFonts w:ascii="Times New Roman" w:hAnsi="Times New Roman"/>
          <w:b/>
          <w:lang w:val="lt-LT"/>
        </w:rPr>
        <w:t xml:space="preserve"> 2024-03-01.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:rsidR="006531A3" w:rsidRPr="007256F4" w:rsidRDefault="006531A3" w:rsidP="006531A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0"/>
          <w:lang w:val="lt-LT"/>
        </w:rPr>
      </w:pPr>
      <w:r w:rsidRPr="007256F4">
        <w:rPr>
          <w:rFonts w:ascii="Times New Roman" w:eastAsia="Times New Roman" w:hAnsi="Times New Roman"/>
          <w:snapToGrid w:val="0"/>
          <w:szCs w:val="20"/>
          <w:lang w:val="lt-LT"/>
        </w:rPr>
        <w:t xml:space="preserve">Išsami informacija apie šį </w:t>
      </w:r>
      <w:r w:rsidRPr="007256F4">
        <w:rPr>
          <w:rFonts w:ascii="Times New Roman" w:eastAsia="Times New Roman" w:hAnsi="Times New Roman"/>
          <w:snapToGrid w:val="0"/>
          <w:szCs w:val="24"/>
          <w:lang w:val="lt-LT"/>
        </w:rPr>
        <w:t>vaistą</w:t>
      </w:r>
      <w:r w:rsidRPr="007256F4">
        <w:rPr>
          <w:rFonts w:ascii="Times New Roman" w:eastAsia="Times New Roman" w:hAnsi="Times New Roman"/>
          <w:snapToGrid w:val="0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7256F4">
        <w:rPr>
          <w:rFonts w:ascii="Times New Roman" w:eastAsia="Times New Roman" w:hAnsi="Times New Roman"/>
          <w:i/>
          <w:snapToGrid w:val="0"/>
          <w:szCs w:val="24"/>
          <w:lang w:val="lt-LT"/>
        </w:rPr>
        <w:t xml:space="preserve"> </w:t>
      </w:r>
      <w:hyperlink r:id="rId8" w:history="1">
        <w:r w:rsidRPr="007256F4">
          <w:rPr>
            <w:rFonts w:ascii="Times New Roman" w:eastAsia="SimSun" w:hAnsi="Times New Roman"/>
            <w:snapToGrid w:val="0"/>
            <w:color w:val="0000FF"/>
            <w:szCs w:val="20"/>
            <w:u w:val="single"/>
            <w:lang w:val="lt-LT"/>
          </w:rPr>
          <w:t>http://www.vvkt.lt/</w:t>
        </w:r>
      </w:hyperlink>
      <w:r w:rsidRPr="007256F4">
        <w:rPr>
          <w:rFonts w:ascii="Times New Roman" w:eastAsia="Times New Roman" w:hAnsi="Times New Roman"/>
          <w:snapToGrid w:val="0"/>
          <w:szCs w:val="20"/>
          <w:lang w:val="lt-LT"/>
        </w:rPr>
        <w:t>.</w:t>
      </w:r>
    </w:p>
    <w:p w:rsidR="006531A3" w:rsidRPr="007256F4" w:rsidRDefault="006531A3" w:rsidP="006531A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0"/>
          <w:lang w:val="lt-LT"/>
        </w:rPr>
      </w:pPr>
    </w:p>
    <w:p w:rsidR="006531A3" w:rsidRPr="00752CF2" w:rsidRDefault="006531A3" w:rsidP="006531A3">
      <w:pPr>
        <w:numPr>
          <w:ilvl w:val="12"/>
          <w:numId w:val="0"/>
        </w:numPr>
        <w:spacing w:after="0" w:line="240" w:lineRule="auto"/>
        <w:rPr>
          <w:noProof/>
          <w:lang w:val="lt-LT"/>
        </w:rPr>
      </w:pPr>
      <w:r w:rsidRPr="00752CF2">
        <w:rPr>
          <w:noProof/>
          <w:lang w:val="lt-LT"/>
        </w:rPr>
        <w:t>-----------------------------------------------------------------------------------------------------------------------------</w:t>
      </w:r>
    </w:p>
    <w:p w:rsidR="006531A3" w:rsidRPr="007256F4" w:rsidRDefault="006531A3" w:rsidP="006531A3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szCs w:val="24"/>
          <w:lang w:val="lt-LT"/>
        </w:rPr>
      </w:pPr>
    </w:p>
    <w:p w:rsidR="006531A3" w:rsidRPr="00752CF2" w:rsidRDefault="006531A3" w:rsidP="006531A3">
      <w:pPr>
        <w:spacing w:after="0" w:line="240" w:lineRule="auto"/>
        <w:rPr>
          <w:rFonts w:ascii="Times New Roman" w:hAnsi="Times New Roman"/>
          <w:lang w:val="lt-LT"/>
        </w:rPr>
      </w:pPr>
      <w:r w:rsidRPr="00752CF2">
        <w:rPr>
          <w:rFonts w:ascii="Times New Roman" w:hAnsi="Times New Roman"/>
          <w:lang w:val="lt-LT"/>
        </w:rPr>
        <w:t>Toliau pateikta informacija skirta tik sveikatos priežiūros specialistams.</w:t>
      </w:r>
    </w:p>
    <w:p w:rsidR="006531A3" w:rsidRPr="00752CF2" w:rsidRDefault="006531A3" w:rsidP="006531A3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szCs w:val="24"/>
          <w:lang w:val="lt-LT"/>
        </w:rPr>
      </w:pPr>
    </w:p>
    <w:p w:rsidR="006531A3" w:rsidRPr="007256F4" w:rsidRDefault="006531A3" w:rsidP="006531A3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/>
        </w:rPr>
      </w:pPr>
      <w:r w:rsidRPr="007256F4">
        <w:rPr>
          <w:rFonts w:ascii="Times New Roman" w:eastAsia="Times New Roman" w:hAnsi="Times New Roman"/>
          <w:b/>
          <w:lang w:val="lt-LT"/>
        </w:rPr>
        <w:t>Specialūs įspėjimai ir atsargumo priemonės</w:t>
      </w:r>
    </w:p>
    <w:p w:rsidR="006531A3" w:rsidRPr="007256F4" w:rsidRDefault="006531A3" w:rsidP="006531A3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610115">
        <w:rPr>
          <w:rFonts w:ascii="Times New Roman" w:eastAsia="Times New Roman" w:hAnsi="Times New Roman"/>
          <w:lang w:val="lt-LT" w:eastAsia="lt-LT"/>
        </w:rPr>
        <w:t>Infutraze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reikia atsargiai vartoti pacientams, kurių inkstų funkcija sutrikusi, nes jiems gali labai sulėtėti seleno, cinko ir jodo šalinimas. Tokiems pacientams yra padidėjusi mikroelementų kaupimosi rizika.</w:t>
      </w: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610115">
        <w:rPr>
          <w:rFonts w:ascii="Times New Roman" w:eastAsia="Times New Roman" w:hAnsi="Times New Roman"/>
          <w:lang w:val="lt-LT" w:eastAsia="lt-LT"/>
        </w:rPr>
        <w:t>Infutraze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reikia atsargiai vartoti pacientams, kurių kepenų funkcija sutrikusi (ypač jei yra </w:t>
      </w:r>
      <w:proofErr w:type="spellStart"/>
      <w:r w:rsidRPr="00752CF2">
        <w:rPr>
          <w:rFonts w:ascii="Times New Roman" w:eastAsia="Times New Roman" w:hAnsi="Times New Roman"/>
          <w:lang w:val="lt-LT" w:eastAsia="lt-LT"/>
        </w:rPr>
        <w:t>cholestazė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>), nes jiems gali labai sulėtėti vario ir mangano šalinimas.</w:t>
      </w: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752CF2">
        <w:rPr>
          <w:rFonts w:ascii="Times New Roman" w:eastAsia="Times New Roman" w:hAnsi="Times New Roman"/>
          <w:lang w:val="lt-LT" w:eastAsia="lt-LT"/>
        </w:rPr>
        <w:t xml:space="preserve">Pacientams, kuriems yra sutrikęs tulžies šalinimas, gali sulėtėti mangano, vario ir cinko eliminacija. Jeigu atsiranda klinikinių mikroelementų kaupimosi požymių, tokiems pacientams gali prireikti sumažinti dozę arba sustabdyti </w:t>
      </w:r>
      <w:proofErr w:type="spellStart"/>
      <w:r w:rsidRPr="00610115">
        <w:rPr>
          <w:rFonts w:ascii="Times New Roman" w:eastAsia="Times New Roman" w:hAnsi="Times New Roman"/>
          <w:lang w:val="lt-LT" w:eastAsia="lt-LT"/>
        </w:rPr>
        <w:t>Infutraze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vartojimą.</w:t>
      </w: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752CF2">
        <w:rPr>
          <w:rFonts w:ascii="Times New Roman" w:eastAsia="Times New Roman" w:hAnsi="Times New Roman"/>
          <w:lang w:val="lt-LT" w:eastAsia="lt-LT"/>
        </w:rPr>
        <w:t xml:space="preserve">Pacientams, kuriems yra inkstų funkcijos sutrikimas, kepenų funkcijos sutrikimas arba lengva </w:t>
      </w:r>
      <w:proofErr w:type="spellStart"/>
      <w:r w:rsidRPr="00752CF2">
        <w:rPr>
          <w:rFonts w:ascii="Times New Roman" w:eastAsia="Times New Roman" w:hAnsi="Times New Roman"/>
          <w:lang w:val="lt-LT" w:eastAsia="lt-LT"/>
        </w:rPr>
        <w:t>cholestazė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>, gali prireikti koreguoti dozę.</w:t>
      </w: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610115">
        <w:rPr>
          <w:rFonts w:ascii="Times New Roman" w:eastAsia="Times New Roman" w:hAnsi="Times New Roman"/>
          <w:lang w:val="lt-LT" w:eastAsia="lt-LT"/>
        </w:rPr>
        <w:t>Infutraze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reikia atsargiai vartoti pacientams, sergantiems </w:t>
      </w:r>
      <w:proofErr w:type="spellStart"/>
      <w:r w:rsidRPr="00752CF2">
        <w:rPr>
          <w:rFonts w:ascii="Times New Roman" w:eastAsia="Times New Roman" w:hAnsi="Times New Roman"/>
          <w:lang w:val="lt-LT" w:eastAsia="lt-LT"/>
        </w:rPr>
        <w:t>hipertiroze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. Tokiems pacientams jodas gali sustiprinti </w:t>
      </w:r>
      <w:proofErr w:type="spellStart"/>
      <w:r w:rsidRPr="00752CF2">
        <w:rPr>
          <w:rFonts w:ascii="Times New Roman" w:eastAsia="Times New Roman" w:hAnsi="Times New Roman"/>
          <w:lang w:val="lt-LT" w:eastAsia="lt-LT"/>
        </w:rPr>
        <w:t>hipertirozės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simptomus (pvz., gūžį).</w:t>
      </w: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752CF2">
        <w:rPr>
          <w:rFonts w:ascii="Times New Roman" w:eastAsia="Times New Roman" w:hAnsi="Times New Roman"/>
          <w:lang w:val="lt-LT" w:eastAsia="lt-LT"/>
        </w:rPr>
        <w:t>Jeigu jodo į organizmą papildomai patenka su antiseptikais,</w:t>
      </w:r>
      <w:r>
        <w:rPr>
          <w:rFonts w:ascii="Times New Roman" w:eastAsia="Times New Roman" w:hAnsi="Times New Roman"/>
          <w:lang w:val="lt-LT" w:eastAsia="lt-LT"/>
        </w:rPr>
        <w:t xml:space="preserve"> kurių sudėtyje yra jodo,</w:t>
      </w:r>
      <w:r w:rsidRPr="00752CF2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610115">
        <w:rPr>
          <w:rFonts w:ascii="Times New Roman" w:eastAsia="Times New Roman" w:hAnsi="Times New Roman"/>
          <w:lang w:val="lt-LT" w:eastAsia="lt-LT"/>
        </w:rPr>
        <w:t>Infutraze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vartojimo koreguoti nereikia.</w:t>
      </w: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  <w:lang w:val="lt-LT" w:eastAsia="lt-LT"/>
        </w:rPr>
      </w:pPr>
      <w:r w:rsidRPr="00752CF2">
        <w:rPr>
          <w:rFonts w:ascii="Times New Roman" w:eastAsia="Times New Roman" w:hAnsi="Times New Roman"/>
          <w:i/>
          <w:iCs/>
          <w:lang w:val="lt-LT" w:eastAsia="lt-LT"/>
        </w:rPr>
        <w:t xml:space="preserve">Ilgalaikis </w:t>
      </w:r>
      <w:proofErr w:type="spellStart"/>
      <w:r w:rsidRPr="00752CF2">
        <w:rPr>
          <w:rFonts w:ascii="Times New Roman" w:eastAsia="Times New Roman" w:hAnsi="Times New Roman"/>
          <w:i/>
          <w:iCs/>
          <w:lang w:val="lt-LT" w:eastAsia="lt-LT"/>
        </w:rPr>
        <w:t>parenterinis</w:t>
      </w:r>
      <w:proofErr w:type="spellEnd"/>
      <w:r w:rsidRPr="00752CF2">
        <w:rPr>
          <w:rFonts w:ascii="Times New Roman" w:eastAsia="Times New Roman" w:hAnsi="Times New Roman"/>
          <w:i/>
          <w:iCs/>
          <w:lang w:val="lt-LT" w:eastAsia="lt-LT"/>
        </w:rPr>
        <w:t xml:space="preserve"> maitinimas</w:t>
      </w: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752CF2">
        <w:rPr>
          <w:rFonts w:ascii="Times New Roman" w:eastAsia="Times New Roman" w:hAnsi="Times New Roman"/>
          <w:lang w:val="lt-LT" w:eastAsia="lt-LT"/>
        </w:rPr>
        <w:t xml:space="preserve">Pacientų, kuriems taikomas ilgalaikis </w:t>
      </w:r>
      <w:proofErr w:type="spellStart"/>
      <w:r w:rsidRPr="00752CF2">
        <w:rPr>
          <w:rFonts w:ascii="Times New Roman" w:eastAsia="Times New Roman" w:hAnsi="Times New Roman"/>
          <w:lang w:val="lt-LT" w:eastAsia="lt-LT"/>
        </w:rPr>
        <w:t>parenterinis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maitinimas, organizme gali kauptis mikroelementai, ypač manganas. Jei gydymas tęsiamas ilgiau nei 4 savaites, reikia stebėti mangano kiekį. Neurologinių požymių (pvz., nerimo, greitų akių judesių) atsiradimas gali rodyti galimą mangano perteklių organizme, kuris taip pat gali atsirasti dėl tam tikrų medicininių būklių ir </w:t>
      </w:r>
      <w:proofErr w:type="spellStart"/>
      <w:r w:rsidRPr="00752CF2">
        <w:rPr>
          <w:rFonts w:ascii="Times New Roman" w:eastAsia="Times New Roman" w:hAnsi="Times New Roman"/>
          <w:lang w:val="lt-LT" w:eastAsia="lt-LT"/>
        </w:rPr>
        <w:t>parenterinio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maitinimo. Dėl mangano pertekliaus organizme gali prireikti sumažinti </w:t>
      </w:r>
      <w:proofErr w:type="spellStart"/>
      <w:r w:rsidRPr="00610115">
        <w:rPr>
          <w:rFonts w:ascii="Times New Roman" w:eastAsia="Times New Roman" w:hAnsi="Times New Roman"/>
          <w:lang w:val="lt-LT" w:eastAsia="lt-LT"/>
        </w:rPr>
        <w:t>Infutraze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dozę arba sustabdyti jo vartojimą.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752CF2">
        <w:rPr>
          <w:rFonts w:ascii="Times New Roman" w:eastAsia="Times New Roman" w:hAnsi="Times New Roman"/>
          <w:lang w:val="lt-LT" w:eastAsia="lt-LT"/>
        </w:rPr>
        <w:t xml:space="preserve">Pacientams, kuriems taikomas ilgalaikis </w:t>
      </w:r>
      <w:proofErr w:type="spellStart"/>
      <w:r w:rsidRPr="00752CF2">
        <w:rPr>
          <w:rFonts w:ascii="Times New Roman" w:eastAsia="Times New Roman" w:hAnsi="Times New Roman"/>
          <w:lang w:val="lt-LT" w:eastAsia="lt-LT"/>
        </w:rPr>
        <w:t>parenterinis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maitinimas, gali pasireikšti mikroelementų, ypač vario, cinko ir seleno, trūkumas. Esant trūkumui, šių atskirų mikroelementų būtina papildomai vartoti atskirai.</w:t>
      </w:r>
    </w:p>
    <w:p w:rsidR="006531A3" w:rsidRPr="00752CF2" w:rsidRDefault="006531A3" w:rsidP="006531A3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szCs w:val="24"/>
          <w:lang w:val="lt-LT"/>
        </w:rPr>
      </w:pPr>
    </w:p>
    <w:p w:rsidR="006531A3" w:rsidRPr="00325D8B" w:rsidRDefault="006531A3" w:rsidP="006531A3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snapToGrid w:val="0"/>
          <w:szCs w:val="24"/>
          <w:lang w:val="lt-LT"/>
        </w:rPr>
      </w:pPr>
      <w:r w:rsidRPr="00325D8B">
        <w:rPr>
          <w:rFonts w:ascii="Times New Roman" w:eastAsia="Times New Roman" w:hAnsi="Times New Roman"/>
          <w:b/>
          <w:bCs/>
          <w:snapToGrid w:val="0"/>
          <w:szCs w:val="24"/>
          <w:lang w:val="lt-LT"/>
        </w:rPr>
        <w:t>Dozavimas</w:t>
      </w:r>
    </w:p>
    <w:p w:rsidR="006531A3" w:rsidRPr="00752CF2" w:rsidRDefault="006531A3" w:rsidP="006531A3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snapToGrid w:val="0"/>
          <w:szCs w:val="24"/>
          <w:lang w:val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  <w:lang w:val="lt-LT"/>
        </w:rPr>
      </w:pPr>
      <w:r w:rsidRPr="007256F4">
        <w:rPr>
          <w:rFonts w:ascii="Times New Roman" w:eastAsia="Times New Roman" w:hAnsi="Times New Roman"/>
          <w:i/>
          <w:iCs/>
          <w:lang w:val="lt-LT"/>
        </w:rPr>
        <w:t>Prieš laiką gimusiems naujagimiams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7256F4">
        <w:rPr>
          <w:rFonts w:ascii="Times New Roman" w:eastAsia="Times New Roman" w:hAnsi="Times New Roman"/>
          <w:lang w:val="lt-LT"/>
        </w:rPr>
        <w:t xml:space="preserve">Rekomenduojama didžiausia </w:t>
      </w:r>
      <w:proofErr w:type="spellStart"/>
      <w:r w:rsidRPr="00610115">
        <w:rPr>
          <w:rFonts w:ascii="Times New Roman" w:eastAsia="Times New Roman" w:hAnsi="Times New Roman"/>
          <w:lang w:val="lt-LT"/>
        </w:rPr>
        <w:t>Infutraze</w:t>
      </w:r>
      <w:proofErr w:type="spellEnd"/>
      <w:r w:rsidRPr="005F400C">
        <w:rPr>
          <w:rFonts w:ascii="Times New Roman" w:eastAsia="Times New Roman" w:hAnsi="Times New Roman"/>
          <w:lang w:val="lt-LT"/>
        </w:rPr>
        <w:t xml:space="preserve"> </w:t>
      </w:r>
      <w:r w:rsidRPr="007256F4">
        <w:rPr>
          <w:rFonts w:ascii="Times New Roman" w:eastAsia="Times New Roman" w:hAnsi="Times New Roman"/>
          <w:lang w:val="lt-LT"/>
        </w:rPr>
        <w:t>paros dozė</w:t>
      </w:r>
      <w:r>
        <w:rPr>
          <w:rFonts w:ascii="Times New Roman" w:eastAsia="Times New Roman" w:hAnsi="Times New Roman"/>
          <w:lang w:val="lt-LT"/>
        </w:rPr>
        <w:t xml:space="preserve">, kuri tenkina bazinius sudėtyje esančių mikroelementų poreikius, yra </w:t>
      </w:r>
      <w:r w:rsidRPr="007256F4">
        <w:rPr>
          <w:rFonts w:ascii="Times New Roman" w:eastAsia="Times New Roman" w:hAnsi="Times New Roman"/>
          <w:lang w:val="lt-LT"/>
        </w:rPr>
        <w:t>1,0 ml/kg kūno svorio</w:t>
      </w:r>
      <w:r>
        <w:rPr>
          <w:rFonts w:ascii="Times New Roman" w:eastAsia="Times New Roman" w:hAnsi="Times New Roman"/>
          <w:lang w:val="lt-LT"/>
        </w:rPr>
        <w:t>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6531A3" w:rsidRPr="007256F4" w:rsidRDefault="006531A3" w:rsidP="006531A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  <w:lang w:val="lt-LT"/>
        </w:rPr>
      </w:pPr>
      <w:r w:rsidRPr="007256F4">
        <w:rPr>
          <w:rFonts w:ascii="Times New Roman" w:eastAsia="Times New Roman" w:hAnsi="Times New Roman"/>
          <w:i/>
          <w:iCs/>
          <w:lang w:val="lt-LT"/>
        </w:rPr>
        <w:t>Išnešiotiems naujagimiams, kūdikiams ir vaikams, sveriantiems mažiau kaip 20 kg</w:t>
      </w:r>
    </w:p>
    <w:p w:rsidR="006531A3" w:rsidRPr="007256F4" w:rsidRDefault="006531A3" w:rsidP="006531A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7256F4">
        <w:rPr>
          <w:rFonts w:ascii="Times New Roman" w:eastAsia="Times New Roman" w:hAnsi="Times New Roman"/>
          <w:lang w:val="lt-LT"/>
        </w:rPr>
        <w:t xml:space="preserve">Rekomenduojama didžiausia </w:t>
      </w:r>
      <w:proofErr w:type="spellStart"/>
      <w:r w:rsidRPr="00610115">
        <w:rPr>
          <w:rFonts w:ascii="Times New Roman" w:eastAsia="Times New Roman" w:hAnsi="Times New Roman"/>
          <w:lang w:val="lt-LT"/>
        </w:rPr>
        <w:t>Infutraze</w:t>
      </w:r>
      <w:proofErr w:type="spellEnd"/>
      <w:r w:rsidRPr="005F400C">
        <w:rPr>
          <w:rFonts w:ascii="Times New Roman" w:eastAsia="Times New Roman" w:hAnsi="Times New Roman"/>
          <w:lang w:val="lt-LT"/>
        </w:rPr>
        <w:t xml:space="preserve"> paros dozė, kuri tenkina bazinius sudėtyje esančių mikroelementų poreikius, yra</w:t>
      </w:r>
      <w:r w:rsidRPr="007256F4">
        <w:rPr>
          <w:rFonts w:ascii="Times New Roman" w:eastAsia="Times New Roman" w:hAnsi="Times New Roman"/>
          <w:lang w:val="lt-LT"/>
        </w:rPr>
        <w:t xml:space="preserve"> 0,5 ml/kg kūno svorio.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  <w:lang w:val="lt-LT"/>
        </w:rPr>
      </w:pPr>
      <w:r w:rsidRPr="007256F4">
        <w:rPr>
          <w:rFonts w:ascii="Times New Roman" w:eastAsia="Times New Roman" w:hAnsi="Times New Roman"/>
          <w:i/>
          <w:iCs/>
          <w:lang w:val="lt-LT"/>
        </w:rPr>
        <w:t>Daugiau kaip 20 kg sveriantiems vaikams ir paaugliams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7256F4">
        <w:rPr>
          <w:rFonts w:ascii="Times New Roman" w:eastAsia="Times New Roman" w:hAnsi="Times New Roman"/>
          <w:lang w:val="lt-LT"/>
        </w:rPr>
        <w:t xml:space="preserve">Rekomenduojama didžiausia </w:t>
      </w:r>
      <w:proofErr w:type="spellStart"/>
      <w:r w:rsidRPr="00610115">
        <w:rPr>
          <w:rFonts w:ascii="Times New Roman" w:eastAsia="Times New Roman" w:hAnsi="Times New Roman"/>
          <w:lang w:val="lt-LT"/>
        </w:rPr>
        <w:t>Infutraze</w:t>
      </w:r>
      <w:proofErr w:type="spellEnd"/>
      <w:r w:rsidRPr="005F400C">
        <w:rPr>
          <w:rFonts w:ascii="Times New Roman" w:eastAsia="Times New Roman" w:hAnsi="Times New Roman"/>
          <w:lang w:val="lt-LT"/>
        </w:rPr>
        <w:t xml:space="preserve"> paros dozė, kuri tenkina bazinius sudėtyje esančių mikroelementų poreikius, </w:t>
      </w:r>
      <w:r w:rsidRPr="007256F4">
        <w:rPr>
          <w:rFonts w:ascii="Times New Roman" w:eastAsia="Times New Roman" w:hAnsi="Times New Roman"/>
          <w:lang w:val="lt-LT"/>
        </w:rPr>
        <w:t>yra 10 ml.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7256F4">
        <w:rPr>
          <w:rFonts w:ascii="Times New Roman" w:eastAsia="Times New Roman" w:hAnsi="Times New Roman"/>
          <w:lang w:val="lt-LT"/>
        </w:rPr>
        <w:t xml:space="preserve">0,5 ml, 1,0 ml ir 10 ml </w:t>
      </w:r>
      <w:proofErr w:type="spellStart"/>
      <w:r w:rsidRPr="00610115">
        <w:rPr>
          <w:rFonts w:ascii="Times New Roman" w:eastAsia="Times New Roman" w:hAnsi="Times New Roman"/>
          <w:lang w:val="lt-LT"/>
        </w:rPr>
        <w:t>Infutraze</w:t>
      </w:r>
      <w:proofErr w:type="spellEnd"/>
      <w:r w:rsidRPr="007256F4">
        <w:rPr>
          <w:rFonts w:ascii="Times New Roman" w:eastAsia="Times New Roman" w:hAnsi="Times New Roman"/>
          <w:lang w:val="lt-LT"/>
        </w:rPr>
        <w:t xml:space="preserve"> sudėtyje yra toliau nurodyti mikroelementų kiekiai: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1985"/>
        <w:gridCol w:w="1984"/>
      </w:tblGrid>
      <w:tr w:rsidR="006531A3" w:rsidRPr="00752CF2" w:rsidTr="00442DDE">
        <w:tc>
          <w:tcPr>
            <w:tcW w:w="738" w:type="dxa"/>
            <w:shd w:val="clear" w:color="auto" w:fill="auto"/>
          </w:tcPr>
          <w:p w:rsidR="006531A3" w:rsidRPr="007256F4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 w:eastAsia="de-DE"/>
              </w:rPr>
            </w:pPr>
          </w:p>
        </w:tc>
        <w:tc>
          <w:tcPr>
            <w:tcW w:w="2126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 w:eastAsia="de-DE"/>
              </w:rPr>
            </w:pPr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0,5 ml</w:t>
            </w:r>
          </w:p>
        </w:tc>
        <w:tc>
          <w:tcPr>
            <w:tcW w:w="1985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 w:eastAsia="de-DE"/>
              </w:rPr>
            </w:pPr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1,0 ml</w:t>
            </w:r>
          </w:p>
        </w:tc>
        <w:tc>
          <w:tcPr>
            <w:tcW w:w="1984" w:type="dxa"/>
            <w:shd w:val="clear" w:color="auto" w:fill="auto"/>
          </w:tcPr>
          <w:p w:rsidR="006531A3" w:rsidRPr="00752CF2" w:rsidRDefault="006531A3" w:rsidP="00442DDE">
            <w:pPr>
              <w:tabs>
                <w:tab w:val="left" w:pos="1560"/>
                <w:tab w:val="left" w:pos="3402"/>
                <w:tab w:val="decimal" w:pos="4780"/>
              </w:tabs>
              <w:spacing w:after="0" w:line="240" w:lineRule="auto"/>
              <w:rPr>
                <w:rFonts w:ascii="Times New Roman" w:hAnsi="Times New Roman"/>
                <w:szCs w:val="24"/>
                <w:lang w:val="lt-LT"/>
              </w:rPr>
            </w:pPr>
            <w:r w:rsidRPr="00752CF2">
              <w:rPr>
                <w:rFonts w:ascii="Times New Roman" w:hAnsi="Times New Roman"/>
                <w:szCs w:val="24"/>
                <w:lang w:val="lt-LT"/>
              </w:rPr>
              <w:t>10 ml</w:t>
            </w:r>
          </w:p>
        </w:tc>
      </w:tr>
      <w:tr w:rsidR="006531A3" w:rsidRPr="00752CF2" w:rsidTr="00442DDE">
        <w:tc>
          <w:tcPr>
            <w:tcW w:w="738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 w:eastAsia="de-DE"/>
              </w:rPr>
            </w:pPr>
            <w:proofErr w:type="spellStart"/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Zn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 w:eastAsia="de-DE"/>
              </w:rPr>
            </w:pPr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250 </w:t>
            </w:r>
            <w:proofErr w:type="spellStart"/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mikrogramų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 w:eastAsia="de-DE"/>
              </w:rPr>
            </w:pPr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500 </w:t>
            </w:r>
            <w:proofErr w:type="spellStart"/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mikrogramų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531A3" w:rsidRPr="00752CF2" w:rsidRDefault="006531A3" w:rsidP="00442DDE">
            <w:pPr>
              <w:tabs>
                <w:tab w:val="left" w:pos="1560"/>
                <w:tab w:val="left" w:pos="3402"/>
                <w:tab w:val="decimal" w:pos="4780"/>
              </w:tabs>
              <w:spacing w:after="0" w:line="240" w:lineRule="auto"/>
              <w:rPr>
                <w:rFonts w:ascii="Times New Roman" w:hAnsi="Times New Roman"/>
                <w:szCs w:val="24"/>
                <w:lang w:val="lt-LT" w:eastAsia="de-DE"/>
              </w:rPr>
            </w:pPr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5000 </w:t>
            </w:r>
            <w:proofErr w:type="spellStart"/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mikrogramų</w:t>
            </w:r>
            <w:proofErr w:type="spellEnd"/>
          </w:p>
        </w:tc>
      </w:tr>
      <w:tr w:rsidR="006531A3" w:rsidRPr="00752CF2" w:rsidTr="00442DDE">
        <w:tc>
          <w:tcPr>
            <w:tcW w:w="738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 w:eastAsia="de-DE"/>
              </w:rPr>
            </w:pPr>
            <w:proofErr w:type="spellStart"/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Cu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 w:eastAsia="de-DE"/>
              </w:rPr>
            </w:pPr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20,0 </w:t>
            </w:r>
            <w:proofErr w:type="spellStart"/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mikrogramų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 w:eastAsia="de-DE"/>
              </w:rPr>
            </w:pPr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40,0 </w:t>
            </w:r>
            <w:proofErr w:type="spellStart"/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mikrogramų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 w:eastAsia="de-DE"/>
              </w:rPr>
            </w:pPr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400 </w:t>
            </w:r>
            <w:proofErr w:type="spellStart"/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mikrogramų</w:t>
            </w:r>
            <w:proofErr w:type="spellEnd"/>
          </w:p>
        </w:tc>
      </w:tr>
      <w:tr w:rsidR="006531A3" w:rsidRPr="00752CF2" w:rsidTr="00442DDE">
        <w:tc>
          <w:tcPr>
            <w:tcW w:w="738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 w:eastAsia="de-DE"/>
              </w:rPr>
            </w:pPr>
            <w:proofErr w:type="spellStart"/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Mn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 w:eastAsia="de-DE"/>
              </w:rPr>
            </w:pPr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0,50 </w:t>
            </w:r>
            <w:proofErr w:type="spellStart"/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mikrogramo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 w:eastAsia="de-DE"/>
              </w:rPr>
            </w:pPr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1,00 </w:t>
            </w:r>
            <w:proofErr w:type="spellStart"/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mikrogramas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 w:eastAsia="de-DE"/>
              </w:rPr>
            </w:pPr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10,0 </w:t>
            </w:r>
            <w:proofErr w:type="spellStart"/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mikrogramų</w:t>
            </w:r>
            <w:proofErr w:type="spellEnd"/>
          </w:p>
        </w:tc>
      </w:tr>
      <w:tr w:rsidR="006531A3" w:rsidRPr="00752CF2" w:rsidTr="00442DDE">
        <w:tc>
          <w:tcPr>
            <w:tcW w:w="738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 w:eastAsia="de-DE"/>
              </w:rPr>
            </w:pPr>
            <w:proofErr w:type="spellStart"/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Se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 w:eastAsia="de-DE"/>
              </w:rPr>
            </w:pPr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3,50 </w:t>
            </w:r>
            <w:proofErr w:type="spellStart"/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mikrogramo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 w:eastAsia="de-DE"/>
              </w:rPr>
            </w:pPr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7,00 </w:t>
            </w:r>
            <w:proofErr w:type="spellStart"/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mikrogramai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 w:eastAsia="de-DE"/>
              </w:rPr>
            </w:pPr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70,0 </w:t>
            </w:r>
            <w:proofErr w:type="spellStart"/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mikrogramų</w:t>
            </w:r>
            <w:proofErr w:type="spellEnd"/>
          </w:p>
        </w:tc>
      </w:tr>
      <w:tr w:rsidR="006531A3" w:rsidRPr="00752CF2" w:rsidTr="00442DDE">
        <w:tc>
          <w:tcPr>
            <w:tcW w:w="738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 w:eastAsia="de-DE"/>
              </w:rPr>
            </w:pPr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I</w:t>
            </w:r>
          </w:p>
        </w:tc>
        <w:tc>
          <w:tcPr>
            <w:tcW w:w="2126" w:type="dxa"/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 w:eastAsia="de-DE"/>
              </w:rPr>
            </w:pPr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0,98 </w:t>
            </w:r>
            <w:proofErr w:type="spellStart"/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mikrogramo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531A3" w:rsidRPr="00752CF2" w:rsidRDefault="006531A3" w:rsidP="00442DDE">
            <w:pPr>
              <w:tabs>
                <w:tab w:val="left" w:pos="1560"/>
                <w:tab w:val="left" w:pos="3402"/>
                <w:tab w:val="decimal" w:pos="4780"/>
              </w:tabs>
              <w:spacing w:after="0" w:line="240" w:lineRule="auto"/>
              <w:rPr>
                <w:rFonts w:ascii="Times New Roman" w:hAnsi="Times New Roman"/>
                <w:szCs w:val="24"/>
                <w:lang w:val="lt-LT" w:eastAsia="de-DE"/>
              </w:rPr>
            </w:pPr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1,96 </w:t>
            </w:r>
            <w:proofErr w:type="spellStart"/>
            <w:r w:rsidRPr="00752CF2">
              <w:rPr>
                <w:rFonts w:ascii="Times New Roman" w:hAnsi="Times New Roman"/>
                <w:szCs w:val="24"/>
                <w:lang w:val="lt-LT" w:eastAsia="de-DE"/>
              </w:rPr>
              <w:t>mikrogramo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531A3" w:rsidRPr="00752CF2" w:rsidRDefault="006531A3" w:rsidP="00442DDE">
            <w:pPr>
              <w:tabs>
                <w:tab w:val="left" w:pos="1560"/>
                <w:tab w:val="left" w:pos="3402"/>
                <w:tab w:val="decimal" w:pos="4780"/>
              </w:tabs>
              <w:spacing w:after="0" w:line="240" w:lineRule="auto"/>
              <w:rPr>
                <w:rFonts w:ascii="Times New Roman" w:hAnsi="Times New Roman"/>
                <w:szCs w:val="24"/>
                <w:lang w:val="lt-LT"/>
              </w:rPr>
            </w:pPr>
            <w:r w:rsidRPr="00752CF2">
              <w:rPr>
                <w:rFonts w:ascii="Times New Roman" w:hAnsi="Times New Roman"/>
                <w:szCs w:val="24"/>
                <w:lang w:val="lt-LT"/>
              </w:rPr>
              <w:t>19,6 </w:t>
            </w:r>
            <w:proofErr w:type="spellStart"/>
            <w:r w:rsidRPr="00752CF2">
              <w:rPr>
                <w:rFonts w:ascii="Times New Roman" w:hAnsi="Times New Roman"/>
                <w:szCs w:val="24"/>
                <w:lang w:val="lt-LT"/>
              </w:rPr>
              <w:t>mikrogramo</w:t>
            </w:r>
            <w:proofErr w:type="spellEnd"/>
          </w:p>
        </w:tc>
      </w:tr>
    </w:tbl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752CF2">
        <w:rPr>
          <w:rFonts w:ascii="Times New Roman" w:eastAsia="Times New Roman" w:hAnsi="Times New Roman"/>
          <w:lang w:val="lt-LT"/>
        </w:rPr>
        <w:t xml:space="preserve">Jei pacientams </w:t>
      </w:r>
      <w:proofErr w:type="spellStart"/>
      <w:r w:rsidRPr="00752CF2">
        <w:rPr>
          <w:rFonts w:ascii="Times New Roman" w:eastAsia="Times New Roman" w:hAnsi="Times New Roman"/>
          <w:lang w:val="lt-LT"/>
        </w:rPr>
        <w:t>parenterinis</w:t>
      </w:r>
      <w:proofErr w:type="spellEnd"/>
      <w:r w:rsidRPr="00752CF2">
        <w:rPr>
          <w:rFonts w:ascii="Times New Roman" w:eastAsia="Times New Roman" w:hAnsi="Times New Roman"/>
          <w:lang w:val="lt-LT"/>
        </w:rPr>
        <w:t xml:space="preserve"> maitinimas skiriamas ilgiau nei 3 savaites, be </w:t>
      </w:r>
      <w:proofErr w:type="spellStart"/>
      <w:r w:rsidRPr="00610115">
        <w:rPr>
          <w:rFonts w:ascii="Times New Roman" w:eastAsia="Times New Roman" w:hAnsi="Times New Roman"/>
          <w:lang w:val="lt-LT"/>
        </w:rPr>
        <w:t>Infutraze</w:t>
      </w:r>
      <w:proofErr w:type="spellEnd"/>
      <w:r w:rsidRPr="00752CF2">
        <w:rPr>
          <w:rFonts w:ascii="Times New Roman" w:eastAsia="Times New Roman" w:hAnsi="Times New Roman"/>
          <w:lang w:val="lt-LT"/>
        </w:rPr>
        <w:t xml:space="preserve"> sudėtyje esančių mikroelementų, rekomenduojama kasdien </w:t>
      </w:r>
      <w:proofErr w:type="spellStart"/>
      <w:r w:rsidRPr="00752CF2">
        <w:rPr>
          <w:rFonts w:ascii="Times New Roman" w:eastAsia="Times New Roman" w:hAnsi="Times New Roman"/>
          <w:lang w:val="lt-LT"/>
        </w:rPr>
        <w:t>infuzuoti</w:t>
      </w:r>
      <w:proofErr w:type="spellEnd"/>
      <w:r w:rsidRPr="00752CF2">
        <w:rPr>
          <w:rFonts w:ascii="Times New Roman" w:eastAsia="Times New Roman" w:hAnsi="Times New Roman"/>
          <w:lang w:val="lt-LT"/>
        </w:rPr>
        <w:t xml:space="preserve"> ir geležies. </w:t>
      </w:r>
      <w:proofErr w:type="spellStart"/>
      <w:r w:rsidRPr="00752CF2">
        <w:rPr>
          <w:rFonts w:ascii="Times New Roman" w:eastAsia="Times New Roman" w:hAnsi="Times New Roman"/>
          <w:lang w:val="lt-LT"/>
        </w:rPr>
        <w:t>Parenterinį</w:t>
      </w:r>
      <w:proofErr w:type="spellEnd"/>
      <w:r w:rsidRPr="00752CF2">
        <w:rPr>
          <w:rFonts w:ascii="Times New Roman" w:eastAsia="Times New Roman" w:hAnsi="Times New Roman"/>
          <w:lang w:val="lt-LT"/>
        </w:rPr>
        <w:t xml:space="preserve"> maitinimą rekomenduojama papildyti molibdenu, jei pacientams </w:t>
      </w:r>
      <w:proofErr w:type="spellStart"/>
      <w:r w:rsidRPr="00752CF2">
        <w:rPr>
          <w:rFonts w:ascii="Times New Roman" w:eastAsia="Times New Roman" w:hAnsi="Times New Roman"/>
          <w:lang w:val="lt-LT"/>
        </w:rPr>
        <w:t>parenterinis</w:t>
      </w:r>
      <w:proofErr w:type="spellEnd"/>
      <w:r w:rsidRPr="00752CF2">
        <w:rPr>
          <w:rFonts w:ascii="Times New Roman" w:eastAsia="Times New Roman" w:hAnsi="Times New Roman"/>
          <w:lang w:val="lt-LT"/>
        </w:rPr>
        <w:t xml:space="preserve"> maitinimas skiriamas ilgiau nei 4 savaites.</w:t>
      </w: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6531A3" w:rsidRPr="00325D8B" w:rsidRDefault="006531A3" w:rsidP="006531A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325D8B">
        <w:rPr>
          <w:rFonts w:ascii="Times New Roman" w:eastAsia="Times New Roman" w:hAnsi="Times New Roman"/>
          <w:b/>
          <w:bCs/>
          <w:lang w:val="lt-LT"/>
        </w:rPr>
        <w:t>Vartojimo metodas</w:t>
      </w:r>
    </w:p>
    <w:p w:rsidR="006531A3" w:rsidRPr="00752CF2" w:rsidRDefault="006531A3" w:rsidP="006531A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val="lt-LT"/>
        </w:rPr>
      </w:pPr>
    </w:p>
    <w:p w:rsidR="006531A3" w:rsidRPr="00752CF2" w:rsidRDefault="006531A3" w:rsidP="006531A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610115">
        <w:rPr>
          <w:rFonts w:ascii="Times New Roman" w:eastAsia="Times New Roman" w:hAnsi="Times New Roman"/>
          <w:lang w:val="lt-LT"/>
        </w:rPr>
        <w:t>Infutraze</w:t>
      </w:r>
      <w:proofErr w:type="spellEnd"/>
      <w:r w:rsidRPr="00752CF2">
        <w:rPr>
          <w:rFonts w:ascii="Times New Roman" w:eastAsia="Times New Roman" w:hAnsi="Times New Roman"/>
          <w:lang w:val="lt-LT"/>
        </w:rPr>
        <w:t xml:space="preserve"> negalima skirti neskiesto. </w:t>
      </w:r>
      <w:proofErr w:type="spellStart"/>
      <w:r w:rsidRPr="00610115">
        <w:rPr>
          <w:rFonts w:ascii="Times New Roman" w:eastAsia="Times New Roman" w:hAnsi="Times New Roman"/>
          <w:lang w:val="lt-LT"/>
        </w:rPr>
        <w:t>Infutraze</w:t>
      </w:r>
      <w:proofErr w:type="spellEnd"/>
      <w:r w:rsidRPr="00752CF2">
        <w:rPr>
          <w:rFonts w:ascii="Times New Roman" w:eastAsia="Times New Roman" w:hAnsi="Times New Roman"/>
          <w:lang w:val="lt-LT"/>
        </w:rPr>
        <w:t xml:space="preserve"> turi būti skiriamas intraveninės infuzijos būdu, praskiestas </w:t>
      </w:r>
      <w:proofErr w:type="spellStart"/>
      <w:r w:rsidRPr="00752CF2">
        <w:rPr>
          <w:rFonts w:ascii="Times New Roman" w:eastAsia="Times New Roman" w:hAnsi="Times New Roman"/>
          <w:lang w:val="lt-LT"/>
        </w:rPr>
        <w:t>parenterinio</w:t>
      </w:r>
      <w:proofErr w:type="spellEnd"/>
      <w:r w:rsidRPr="00752CF2">
        <w:rPr>
          <w:rFonts w:ascii="Times New Roman" w:eastAsia="Times New Roman" w:hAnsi="Times New Roman"/>
          <w:lang w:val="lt-LT"/>
        </w:rPr>
        <w:t xml:space="preserve"> maitinimo tirpalu / emulsija. Infuzijos greitį ir trukmę lemia </w:t>
      </w:r>
      <w:proofErr w:type="spellStart"/>
      <w:r w:rsidRPr="00752CF2">
        <w:rPr>
          <w:rFonts w:ascii="Times New Roman" w:eastAsia="Times New Roman" w:hAnsi="Times New Roman"/>
          <w:lang w:val="lt-LT"/>
        </w:rPr>
        <w:t>parenterinio</w:t>
      </w:r>
      <w:proofErr w:type="spellEnd"/>
      <w:r w:rsidRPr="00752CF2">
        <w:rPr>
          <w:rFonts w:ascii="Times New Roman" w:eastAsia="Times New Roman" w:hAnsi="Times New Roman"/>
          <w:lang w:val="lt-LT"/>
        </w:rPr>
        <w:t xml:space="preserve"> maitinimo tirpalo infuzijos greitis ir trukmė.</w:t>
      </w:r>
    </w:p>
    <w:p w:rsidR="006531A3" w:rsidRPr="00752CF2" w:rsidRDefault="006531A3" w:rsidP="006531A3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snapToGrid w:val="0"/>
          <w:szCs w:val="24"/>
          <w:lang w:val="lt-LT"/>
        </w:rPr>
      </w:pP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610115">
        <w:rPr>
          <w:rFonts w:ascii="Times New Roman" w:eastAsia="Times New Roman" w:hAnsi="Times New Roman"/>
          <w:lang w:val="lt-LT"/>
        </w:rPr>
        <w:t>Infutraze</w:t>
      </w:r>
      <w:proofErr w:type="spellEnd"/>
      <w:r w:rsidRPr="00752CF2">
        <w:rPr>
          <w:rFonts w:ascii="Times New Roman" w:eastAsia="Times New Roman" w:hAnsi="Times New Roman"/>
          <w:lang w:val="lt-LT"/>
        </w:rPr>
        <w:t xml:space="preserve"> maišyti galima tik su tais </w:t>
      </w:r>
      <w:proofErr w:type="spellStart"/>
      <w:r>
        <w:rPr>
          <w:rFonts w:ascii="Times New Roman" w:eastAsia="Times New Roman" w:hAnsi="Times New Roman"/>
          <w:lang w:val="lt-LT"/>
        </w:rPr>
        <w:t>parenterinio</w:t>
      </w:r>
      <w:proofErr w:type="spellEnd"/>
      <w:r>
        <w:rPr>
          <w:rFonts w:ascii="Times New Roman" w:eastAsia="Times New Roman" w:hAnsi="Times New Roman"/>
          <w:lang w:val="lt-LT"/>
        </w:rPr>
        <w:t xml:space="preserve"> maitinimo </w:t>
      </w:r>
      <w:r w:rsidRPr="00752CF2">
        <w:rPr>
          <w:rFonts w:ascii="Times New Roman" w:eastAsia="Times New Roman" w:hAnsi="Times New Roman"/>
          <w:lang w:val="lt-LT"/>
        </w:rPr>
        <w:t>produktais, kurių suderinamumas patvirtintas dokumentais (žr. tolesnį skyrių „Suderinamumas“).</w:t>
      </w:r>
    </w:p>
    <w:p w:rsidR="006531A3" w:rsidRPr="00752CF2" w:rsidRDefault="006531A3" w:rsidP="006531A3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snapToGrid w:val="0"/>
          <w:szCs w:val="24"/>
          <w:lang w:val="lt-LT"/>
        </w:rPr>
      </w:pP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/>
        </w:rPr>
      </w:pPr>
      <w:r w:rsidRPr="00752CF2">
        <w:rPr>
          <w:rFonts w:ascii="Times New Roman" w:eastAsia="Times New Roman" w:hAnsi="Times New Roman"/>
          <w:b/>
          <w:lang w:val="lt-LT"/>
        </w:rPr>
        <w:t>Specialūs reikalavimai atliekoms tvarkyti ir vaistiniam preparatui ruošti</w:t>
      </w: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/>
        </w:rPr>
      </w:pP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752CF2">
        <w:rPr>
          <w:rFonts w:ascii="Times New Roman" w:eastAsia="Times New Roman" w:hAnsi="Times New Roman"/>
          <w:lang w:val="lt-LT" w:eastAsia="lt-LT"/>
        </w:rPr>
        <w:t>Prieš vartojimą vizualiai patikrinkite, ar koncentratas infuziniam tirpalui yra skaidrus ir be dalelių.</w:t>
      </w: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  <w:lang w:val="lt-LT" w:eastAsia="lt-LT"/>
        </w:rPr>
      </w:pPr>
      <w:r w:rsidRPr="00752CF2">
        <w:rPr>
          <w:rFonts w:ascii="Times New Roman" w:eastAsia="Times New Roman" w:hAnsi="Times New Roman"/>
          <w:i/>
          <w:iCs/>
          <w:lang w:val="lt-LT" w:eastAsia="lt-LT"/>
        </w:rPr>
        <w:t>Suderinamumas</w:t>
      </w: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752CF2">
        <w:rPr>
          <w:rFonts w:ascii="Times New Roman" w:eastAsia="Times New Roman" w:hAnsi="Times New Roman"/>
          <w:lang w:val="lt-LT" w:eastAsia="lt-LT"/>
        </w:rPr>
        <w:t>Prieš vartojimą praskieskite.</w:t>
      </w: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610115">
        <w:rPr>
          <w:rFonts w:ascii="Times New Roman" w:eastAsia="Times New Roman" w:hAnsi="Times New Roman"/>
          <w:lang w:val="lt-LT" w:eastAsia="lt-LT"/>
        </w:rPr>
        <w:t>Infutraze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vartojamas kaip </w:t>
      </w:r>
      <w:proofErr w:type="spellStart"/>
      <w:r w:rsidRPr="00752CF2">
        <w:rPr>
          <w:rFonts w:ascii="Times New Roman" w:eastAsia="Times New Roman" w:hAnsi="Times New Roman"/>
          <w:lang w:val="lt-LT" w:eastAsia="lt-LT"/>
        </w:rPr>
        <w:t>parenterinio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maitinimo mišinių priedas, jei yra suderinamumo duomenų.</w:t>
      </w: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752CF2">
        <w:rPr>
          <w:rFonts w:ascii="Times New Roman" w:eastAsia="Times New Roman" w:hAnsi="Times New Roman"/>
          <w:lang w:val="lt-LT" w:eastAsia="lt-LT"/>
        </w:rPr>
        <w:t xml:space="preserve">Turima suderinamumo duomenų su šių prekių ženklų produktais: </w:t>
      </w:r>
      <w:proofErr w:type="spellStart"/>
      <w:r w:rsidRPr="00752CF2">
        <w:rPr>
          <w:rFonts w:ascii="Times New Roman" w:eastAsia="Times New Roman" w:hAnsi="Times New Roman"/>
          <w:lang w:val="lt-LT" w:eastAsia="lt-LT"/>
        </w:rPr>
        <w:t>Aminoven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752CF2">
        <w:rPr>
          <w:rFonts w:ascii="Times New Roman" w:eastAsia="Times New Roman" w:hAnsi="Times New Roman"/>
          <w:lang w:val="lt-LT" w:eastAsia="lt-LT"/>
        </w:rPr>
        <w:t>Infant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752CF2">
        <w:rPr>
          <w:rFonts w:ascii="Times New Roman" w:eastAsia="Times New Roman" w:hAnsi="Times New Roman"/>
          <w:lang w:val="lt-LT" w:eastAsia="lt-LT"/>
        </w:rPr>
        <w:t>Vaminolact</w:t>
      </w:r>
      <w:proofErr w:type="spellEnd"/>
      <w:r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AF5CAE">
        <w:rPr>
          <w:rFonts w:ascii="Times New Roman" w:hAnsi="Times New Roman"/>
          <w:szCs w:val="24"/>
          <w:lang w:val="lt-LT"/>
        </w:rPr>
        <w:t>Vamin</w:t>
      </w:r>
      <w:proofErr w:type="spellEnd"/>
      <w:r w:rsidRPr="00AF5CAE">
        <w:rPr>
          <w:rFonts w:ascii="Times New Roman" w:hAnsi="Times New Roman"/>
          <w:szCs w:val="24"/>
          <w:lang w:val="lt-LT"/>
        </w:rPr>
        <w:t xml:space="preserve"> 14 EF, </w:t>
      </w:r>
      <w:proofErr w:type="spellStart"/>
      <w:r w:rsidRPr="00AF5CAE">
        <w:rPr>
          <w:rFonts w:ascii="Times New Roman" w:hAnsi="Times New Roman"/>
          <w:szCs w:val="24"/>
          <w:lang w:val="lt-LT"/>
        </w:rPr>
        <w:t>Vamin</w:t>
      </w:r>
      <w:proofErr w:type="spellEnd"/>
      <w:r w:rsidRPr="00AF5CAE">
        <w:rPr>
          <w:rFonts w:ascii="Times New Roman" w:hAnsi="Times New Roman"/>
          <w:szCs w:val="24"/>
          <w:lang w:val="lt-LT"/>
        </w:rPr>
        <w:t xml:space="preserve"> 18 EF, </w:t>
      </w:r>
      <w:proofErr w:type="spellStart"/>
      <w:r w:rsidRPr="00AF5CAE">
        <w:rPr>
          <w:rFonts w:ascii="Times New Roman" w:hAnsi="Times New Roman"/>
          <w:szCs w:val="24"/>
          <w:lang w:val="lt-LT"/>
        </w:rPr>
        <w:t>SMOFlipid</w:t>
      </w:r>
      <w:proofErr w:type="spellEnd"/>
      <w:r w:rsidRPr="00AF5CAE">
        <w:rPr>
          <w:rFonts w:ascii="Times New Roman" w:hAnsi="Times New Roman"/>
          <w:szCs w:val="24"/>
          <w:lang w:val="lt-LT"/>
        </w:rPr>
        <w:t xml:space="preserve">, </w:t>
      </w:r>
      <w:proofErr w:type="spellStart"/>
      <w:r w:rsidRPr="00AF5CAE">
        <w:rPr>
          <w:rFonts w:ascii="Times New Roman" w:hAnsi="Times New Roman"/>
          <w:szCs w:val="24"/>
          <w:lang w:val="lt-LT"/>
        </w:rPr>
        <w:t>Intralipid</w:t>
      </w:r>
      <w:proofErr w:type="spellEnd"/>
      <w:r w:rsidRPr="00AF5CAE">
        <w:rPr>
          <w:rFonts w:ascii="Times New Roman" w:hAnsi="Times New Roman"/>
          <w:szCs w:val="24"/>
          <w:lang w:val="lt-LT"/>
        </w:rPr>
        <w:t xml:space="preserve">, </w:t>
      </w:r>
      <w:proofErr w:type="spellStart"/>
      <w:r w:rsidRPr="00AF5CAE">
        <w:rPr>
          <w:rFonts w:ascii="Times New Roman" w:hAnsi="Times New Roman"/>
          <w:szCs w:val="24"/>
          <w:lang w:val="lt-LT"/>
        </w:rPr>
        <w:t>Vitalipid</w:t>
      </w:r>
      <w:proofErr w:type="spellEnd"/>
      <w:r>
        <w:rPr>
          <w:rFonts w:ascii="Times New Roman" w:hAnsi="Times New Roman"/>
          <w:szCs w:val="24"/>
          <w:lang w:val="lt-LT"/>
        </w:rPr>
        <w:t> </w:t>
      </w:r>
      <w:r w:rsidRPr="00AF5CAE">
        <w:rPr>
          <w:rFonts w:ascii="Times New Roman" w:hAnsi="Times New Roman"/>
          <w:szCs w:val="24"/>
          <w:lang w:val="lt-LT"/>
        </w:rPr>
        <w:t xml:space="preserve">N </w:t>
      </w:r>
      <w:r>
        <w:rPr>
          <w:rFonts w:ascii="Times New Roman" w:hAnsi="Times New Roman"/>
          <w:szCs w:val="24"/>
          <w:lang w:val="lt-LT"/>
        </w:rPr>
        <w:t>suaugusiems</w:t>
      </w:r>
      <w:r w:rsidRPr="00AF5CAE">
        <w:rPr>
          <w:rFonts w:ascii="Times New Roman" w:hAnsi="Times New Roman"/>
          <w:szCs w:val="24"/>
          <w:lang w:val="lt-LT"/>
        </w:rPr>
        <w:t xml:space="preserve">, </w:t>
      </w:r>
      <w:proofErr w:type="spellStart"/>
      <w:r w:rsidRPr="00AF5CAE">
        <w:rPr>
          <w:rFonts w:ascii="Times New Roman" w:hAnsi="Times New Roman"/>
          <w:szCs w:val="24"/>
          <w:lang w:val="lt-LT"/>
        </w:rPr>
        <w:t>Vitalipid</w:t>
      </w:r>
      <w:proofErr w:type="spellEnd"/>
      <w:r>
        <w:rPr>
          <w:rFonts w:ascii="Times New Roman" w:hAnsi="Times New Roman"/>
          <w:szCs w:val="24"/>
          <w:lang w:val="lt-LT"/>
        </w:rPr>
        <w:t> </w:t>
      </w:r>
      <w:r w:rsidRPr="00AF5CAE">
        <w:rPr>
          <w:rFonts w:ascii="Times New Roman" w:hAnsi="Times New Roman"/>
          <w:szCs w:val="24"/>
          <w:lang w:val="lt-LT"/>
        </w:rPr>
        <w:t xml:space="preserve">N </w:t>
      </w:r>
      <w:r>
        <w:rPr>
          <w:rFonts w:ascii="Times New Roman" w:hAnsi="Times New Roman"/>
          <w:szCs w:val="24"/>
          <w:lang w:val="lt-LT"/>
        </w:rPr>
        <w:t>kūdikiams</w:t>
      </w:r>
      <w:r w:rsidRPr="00AF5CAE">
        <w:rPr>
          <w:rFonts w:ascii="Times New Roman" w:hAnsi="Times New Roman"/>
          <w:szCs w:val="24"/>
          <w:lang w:val="lt-LT"/>
        </w:rPr>
        <w:t>,</w:t>
      </w:r>
      <w:r w:rsidRPr="00752CF2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752CF2">
        <w:rPr>
          <w:rFonts w:ascii="Times New Roman" w:eastAsia="Times New Roman" w:hAnsi="Times New Roman"/>
          <w:lang w:val="lt-LT" w:eastAsia="lt-LT"/>
        </w:rPr>
        <w:t>Soluvit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N</w:t>
      </w:r>
      <w:r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192C1F">
        <w:rPr>
          <w:rFonts w:ascii="Times New Roman" w:eastAsia="Times New Roman" w:hAnsi="Times New Roman"/>
          <w:lang w:val="lt-LT" w:eastAsia="lt-LT"/>
        </w:rPr>
        <w:t>Addiphos</w:t>
      </w:r>
      <w:proofErr w:type="spellEnd"/>
      <w:r w:rsidRPr="00192C1F">
        <w:rPr>
          <w:rFonts w:ascii="Times New Roman" w:eastAsia="Times New Roman" w:hAnsi="Times New Roman"/>
          <w:lang w:val="lt-LT" w:eastAsia="lt-LT"/>
        </w:rPr>
        <w:t xml:space="preserve"> </w:t>
      </w:r>
      <w:r>
        <w:rPr>
          <w:rFonts w:ascii="Times New Roman" w:eastAsia="Times New Roman" w:hAnsi="Times New Roman"/>
          <w:lang w:val="lt-LT" w:eastAsia="lt-LT"/>
        </w:rPr>
        <w:t>ir</w:t>
      </w:r>
      <w:r w:rsidRPr="00192C1F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92C1F">
        <w:rPr>
          <w:rFonts w:ascii="Times New Roman" w:eastAsia="Times New Roman" w:hAnsi="Times New Roman"/>
          <w:lang w:val="lt-LT" w:eastAsia="lt-LT"/>
        </w:rPr>
        <w:t>Glycophos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</w:t>
      </w:r>
      <w:r>
        <w:rPr>
          <w:rFonts w:ascii="Times New Roman" w:eastAsia="Times New Roman" w:hAnsi="Times New Roman"/>
          <w:lang w:val="lt-LT" w:eastAsia="lt-LT"/>
        </w:rPr>
        <w:t>(nurodytais kiekiais)</w:t>
      </w:r>
      <w:r w:rsidRPr="00752CF2">
        <w:rPr>
          <w:rFonts w:ascii="Times New Roman" w:eastAsia="Times New Roman" w:hAnsi="Times New Roman"/>
          <w:lang w:val="lt-LT" w:eastAsia="lt-LT"/>
        </w:rPr>
        <w:t xml:space="preserve"> kartu su </w:t>
      </w:r>
      <w:proofErr w:type="spellStart"/>
      <w:r>
        <w:rPr>
          <w:rFonts w:ascii="Times New Roman" w:eastAsia="Times New Roman" w:hAnsi="Times New Roman"/>
          <w:lang w:val="lt-LT" w:eastAsia="lt-LT"/>
        </w:rPr>
        <w:t>generiniais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</w:t>
      </w:r>
      <w:r w:rsidRPr="00BB5360">
        <w:rPr>
          <w:rFonts w:ascii="Times New Roman" w:eastAsia="Times New Roman" w:hAnsi="Times New Roman"/>
          <w:lang w:val="lt-LT" w:eastAsia="lt-LT"/>
        </w:rPr>
        <w:t>preparatais, kurių sudėtyje yra</w:t>
      </w:r>
      <w:r w:rsidRPr="00BB5360" w:rsidDel="00C13C16">
        <w:rPr>
          <w:rFonts w:ascii="Times New Roman" w:eastAsia="Times New Roman" w:hAnsi="Times New Roman"/>
          <w:lang w:val="lt-LT" w:eastAsia="lt-LT"/>
        </w:rPr>
        <w:t xml:space="preserve"> </w:t>
      </w:r>
      <w:r w:rsidRPr="00752CF2">
        <w:rPr>
          <w:rFonts w:ascii="Times New Roman" w:eastAsia="Times New Roman" w:hAnsi="Times New Roman"/>
          <w:lang w:val="lt-LT" w:eastAsia="lt-LT"/>
        </w:rPr>
        <w:t xml:space="preserve">gliukozės </w:t>
      </w:r>
      <w:r>
        <w:rPr>
          <w:rFonts w:ascii="Times New Roman" w:eastAsia="Times New Roman" w:hAnsi="Times New Roman"/>
          <w:lang w:val="lt-LT" w:eastAsia="lt-LT"/>
        </w:rPr>
        <w:t>ir elektrolitų</w:t>
      </w:r>
      <w:r w:rsidRPr="004B2F8E">
        <w:rPr>
          <w:rFonts w:ascii="Times New Roman" w:eastAsia="Times New Roman" w:hAnsi="Times New Roman"/>
          <w:lang w:val="lt-LT" w:eastAsia="lt-LT"/>
        </w:rPr>
        <w:t xml:space="preserve"> </w:t>
      </w:r>
      <w:r>
        <w:rPr>
          <w:rFonts w:ascii="Times New Roman" w:eastAsia="Times New Roman" w:hAnsi="Times New Roman"/>
          <w:lang w:val="lt-LT" w:eastAsia="lt-LT"/>
        </w:rPr>
        <w:t>(nurodytomis koncentracijomis)</w:t>
      </w:r>
      <w:r w:rsidRPr="00752CF2">
        <w:rPr>
          <w:rFonts w:ascii="Times New Roman" w:eastAsia="Times New Roman" w:hAnsi="Times New Roman"/>
          <w:lang w:val="lt-LT" w:eastAsia="lt-LT"/>
        </w:rPr>
        <w:t xml:space="preserve">. </w:t>
      </w:r>
      <w:proofErr w:type="spellStart"/>
      <w:r w:rsidRPr="00610115">
        <w:rPr>
          <w:rFonts w:ascii="Times New Roman" w:eastAsia="Times New Roman" w:hAnsi="Times New Roman"/>
          <w:lang w:val="lt-LT" w:eastAsia="lt-LT"/>
        </w:rPr>
        <w:t>Infutraze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taip pat galima dėti į </w:t>
      </w:r>
      <w:proofErr w:type="spellStart"/>
      <w:r w:rsidRPr="00752CF2">
        <w:rPr>
          <w:rFonts w:ascii="Times New Roman" w:eastAsia="Times New Roman" w:hAnsi="Times New Roman"/>
          <w:lang w:val="lt-LT" w:eastAsia="lt-LT"/>
        </w:rPr>
        <w:t>SmofKabiven</w:t>
      </w:r>
      <w:proofErr w:type="spellEnd"/>
      <w:r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>
        <w:rPr>
          <w:rFonts w:ascii="Times New Roman" w:eastAsia="Times New Roman" w:hAnsi="Times New Roman"/>
          <w:lang w:val="lt-LT" w:eastAsia="lt-LT"/>
        </w:rPr>
        <w:t>Central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ir </w:t>
      </w:r>
      <w:proofErr w:type="spellStart"/>
      <w:r w:rsidRPr="00752CF2">
        <w:rPr>
          <w:rFonts w:ascii="Times New Roman" w:eastAsia="Times New Roman" w:hAnsi="Times New Roman"/>
          <w:lang w:val="lt-LT" w:eastAsia="lt-LT"/>
        </w:rPr>
        <w:t>SmofKabiven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DA4B79">
        <w:rPr>
          <w:rFonts w:ascii="Times New Roman" w:eastAsia="Times New Roman" w:hAnsi="Times New Roman"/>
          <w:lang w:val="lt-LT" w:eastAsia="lt-LT"/>
        </w:rPr>
        <w:t>Electrolyte</w:t>
      </w:r>
      <w:proofErr w:type="spellEnd"/>
      <w:r w:rsidRPr="00DA4B79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DA4B79">
        <w:rPr>
          <w:rFonts w:ascii="Times New Roman" w:eastAsia="Times New Roman" w:hAnsi="Times New Roman"/>
          <w:lang w:val="lt-LT" w:eastAsia="lt-LT"/>
        </w:rPr>
        <w:t>Free</w:t>
      </w:r>
      <w:proofErr w:type="spellEnd"/>
      <w:r w:rsidRPr="00DA4B79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DA4B79">
        <w:rPr>
          <w:rFonts w:ascii="Times New Roman" w:eastAsia="Times New Roman" w:hAnsi="Times New Roman"/>
          <w:lang w:val="lt-LT" w:eastAsia="lt-LT"/>
        </w:rPr>
        <w:t>Central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su </w:t>
      </w:r>
      <w:proofErr w:type="spellStart"/>
      <w:r w:rsidRPr="00752CF2">
        <w:rPr>
          <w:rFonts w:ascii="Times New Roman" w:eastAsia="Times New Roman" w:hAnsi="Times New Roman"/>
          <w:lang w:val="lt-LT" w:eastAsia="lt-LT"/>
        </w:rPr>
        <w:t>Vitalipid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N </w:t>
      </w:r>
      <w:r>
        <w:rPr>
          <w:rFonts w:ascii="Times New Roman" w:eastAsia="Times New Roman" w:hAnsi="Times New Roman"/>
          <w:lang w:val="lt-LT" w:eastAsia="lt-LT"/>
        </w:rPr>
        <w:t>kūdikiams / suaugusiems,</w:t>
      </w:r>
      <w:r w:rsidRPr="00752CF2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752CF2">
        <w:rPr>
          <w:rFonts w:ascii="Times New Roman" w:eastAsia="Times New Roman" w:hAnsi="Times New Roman"/>
          <w:lang w:val="lt-LT" w:eastAsia="lt-LT"/>
        </w:rPr>
        <w:t>Soluvit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N </w:t>
      </w:r>
      <w:r>
        <w:rPr>
          <w:rFonts w:ascii="Times New Roman" w:eastAsia="Times New Roman" w:hAnsi="Times New Roman"/>
          <w:lang w:val="lt-LT" w:eastAsia="lt-LT"/>
        </w:rPr>
        <w:t>ir elektrolitais</w:t>
      </w:r>
      <w:r w:rsidRPr="00752CF2">
        <w:rPr>
          <w:rFonts w:ascii="Times New Roman" w:eastAsia="Times New Roman" w:hAnsi="Times New Roman"/>
          <w:lang w:val="lt-LT" w:eastAsia="lt-LT"/>
        </w:rPr>
        <w:t xml:space="preserve"> arba be jų.</w:t>
      </w:r>
    </w:p>
    <w:p w:rsidR="006531A3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752CF2">
        <w:rPr>
          <w:rFonts w:ascii="Times New Roman" w:eastAsia="Times New Roman" w:hAnsi="Times New Roman"/>
          <w:lang w:val="lt-LT" w:eastAsia="lt-LT"/>
        </w:rPr>
        <w:t>Pridėjimas patvirtintas gautais duomenimis, kaip nurodyta toliau pateiktoje suvestinėje lentelėje.</w:t>
      </w: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688"/>
      </w:tblGrid>
      <w:tr w:rsidR="006531A3" w:rsidRPr="00752CF2" w:rsidTr="00442D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lt-LT"/>
              </w:rPr>
            </w:pPr>
            <w:proofErr w:type="spellStart"/>
            <w:r w:rsidRPr="00610115">
              <w:rPr>
                <w:rFonts w:ascii="Times New Roman" w:hAnsi="Times New Roman"/>
                <w:b/>
                <w:bCs/>
                <w:szCs w:val="24"/>
                <w:lang w:val="lt-LT"/>
              </w:rPr>
              <w:t>Infutraze</w:t>
            </w:r>
            <w:proofErr w:type="spellEnd"/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lt-LT"/>
              </w:rPr>
            </w:pPr>
            <w:r w:rsidRPr="00752CF2">
              <w:rPr>
                <w:rFonts w:ascii="Times New Roman" w:hAnsi="Times New Roman"/>
                <w:b/>
                <w:bCs/>
                <w:szCs w:val="24"/>
                <w:lang w:val="lt-LT"/>
              </w:rPr>
              <w:t>Mišinys</w:t>
            </w:r>
          </w:p>
        </w:tc>
      </w:tr>
      <w:tr w:rsidR="006531A3" w:rsidRPr="001F0EAC" w:rsidTr="00442D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/>
              </w:rPr>
            </w:pPr>
            <w:r w:rsidRPr="00752CF2">
              <w:rPr>
                <w:rFonts w:ascii="Times New Roman" w:hAnsi="Times New Roman"/>
                <w:szCs w:val="24"/>
                <w:lang w:val="lt-LT"/>
              </w:rPr>
              <w:t>0–10 ml/l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/>
              </w:rPr>
            </w:pPr>
            <w:r w:rsidRPr="00752CF2">
              <w:rPr>
                <w:rFonts w:ascii="Times New Roman" w:hAnsi="Times New Roman"/>
                <w:szCs w:val="24"/>
                <w:lang w:val="lt-LT"/>
              </w:rPr>
              <w:t xml:space="preserve">Vandeniniai </w:t>
            </w:r>
            <w:proofErr w:type="spellStart"/>
            <w:r w:rsidRPr="00752CF2">
              <w:rPr>
                <w:rFonts w:ascii="Times New Roman" w:hAnsi="Times New Roman"/>
                <w:szCs w:val="24"/>
                <w:lang w:val="lt-LT"/>
              </w:rPr>
              <w:t>parenterinio</w:t>
            </w:r>
            <w:proofErr w:type="spellEnd"/>
            <w:r w:rsidRPr="00752CF2">
              <w:rPr>
                <w:rFonts w:ascii="Times New Roman" w:hAnsi="Times New Roman"/>
                <w:szCs w:val="24"/>
                <w:lang w:val="lt-LT"/>
              </w:rPr>
              <w:t xml:space="preserve"> maitinimo mišiniai su </w:t>
            </w:r>
            <w:r>
              <w:rPr>
                <w:rFonts w:ascii="Times New Roman" w:hAnsi="Times New Roman"/>
                <w:szCs w:val="24"/>
                <w:lang w:val="lt-LT"/>
              </w:rPr>
              <w:t>anksč</w:t>
            </w:r>
            <w:r w:rsidRPr="00752CF2">
              <w:rPr>
                <w:rFonts w:ascii="Times New Roman" w:hAnsi="Times New Roman"/>
                <w:szCs w:val="24"/>
                <w:lang w:val="lt-LT"/>
              </w:rPr>
              <w:t>iau išvardytais komponentais</w:t>
            </w:r>
          </w:p>
        </w:tc>
      </w:tr>
      <w:tr w:rsidR="006531A3" w:rsidRPr="001F0EAC" w:rsidTr="00442D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/>
              </w:rPr>
            </w:pPr>
            <w:r w:rsidRPr="00752CF2">
              <w:rPr>
                <w:rFonts w:ascii="Times New Roman" w:hAnsi="Times New Roman"/>
                <w:szCs w:val="24"/>
                <w:lang w:val="lt-LT"/>
              </w:rPr>
              <w:t>0–10 ml/l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P</w:t>
            </w:r>
            <w:r w:rsidRPr="00752CF2">
              <w:rPr>
                <w:rFonts w:ascii="Times New Roman" w:hAnsi="Times New Roman"/>
                <w:szCs w:val="24"/>
                <w:lang w:val="lt-LT"/>
              </w:rPr>
              <w:t>arenterinio</w:t>
            </w:r>
            <w:proofErr w:type="spellEnd"/>
            <w:r w:rsidRPr="00752CF2">
              <w:rPr>
                <w:rFonts w:ascii="Times New Roman" w:hAnsi="Times New Roman"/>
                <w:szCs w:val="24"/>
                <w:lang w:val="lt-LT"/>
              </w:rPr>
              <w:t xml:space="preserve"> maitinimo mišiniai</w:t>
            </w:r>
            <w:r>
              <w:rPr>
                <w:rFonts w:ascii="Times New Roman" w:hAnsi="Times New Roman"/>
                <w:szCs w:val="24"/>
                <w:lang w:val="lt-LT"/>
              </w:rPr>
              <w:t>, kurių sudėtyje yra lipidų,</w:t>
            </w:r>
            <w:r w:rsidRPr="00752CF2">
              <w:rPr>
                <w:rFonts w:ascii="Times New Roman" w:hAnsi="Times New Roman"/>
                <w:szCs w:val="24"/>
                <w:lang w:val="lt-LT"/>
              </w:rPr>
              <w:t xml:space="preserve"> su </w:t>
            </w:r>
            <w:r>
              <w:rPr>
                <w:rFonts w:ascii="Times New Roman" w:hAnsi="Times New Roman"/>
                <w:szCs w:val="24"/>
                <w:lang w:val="lt-LT"/>
              </w:rPr>
              <w:t>anksč</w:t>
            </w:r>
            <w:r w:rsidRPr="00752CF2">
              <w:rPr>
                <w:rFonts w:ascii="Times New Roman" w:hAnsi="Times New Roman"/>
                <w:szCs w:val="24"/>
                <w:lang w:val="lt-LT"/>
              </w:rPr>
              <w:t>iau išvardytais komponentais</w:t>
            </w:r>
          </w:p>
        </w:tc>
      </w:tr>
      <w:tr w:rsidR="006531A3" w:rsidRPr="00AF5CAE" w:rsidTr="00442D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/>
              </w:rPr>
            </w:pPr>
            <w:r w:rsidRPr="00752CF2">
              <w:rPr>
                <w:rFonts w:ascii="Times New Roman" w:hAnsi="Times New Roman"/>
                <w:szCs w:val="24"/>
                <w:lang w:val="lt-LT"/>
              </w:rPr>
              <w:t>0–10 ml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 w:rsidRPr="00752CF2">
              <w:rPr>
                <w:rFonts w:ascii="Times New Roman" w:hAnsi="Times New Roman"/>
                <w:szCs w:val="24"/>
                <w:lang w:val="lt-LT"/>
              </w:rPr>
              <w:t>SmofKabiven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Central</w:t>
            </w:r>
            <w:proofErr w:type="spellEnd"/>
            <w:r w:rsidRPr="00752CF2">
              <w:rPr>
                <w:rFonts w:ascii="Times New Roman" w:hAnsi="Times New Roman"/>
                <w:szCs w:val="24"/>
                <w:lang w:val="lt-LT"/>
              </w:rPr>
              <w:t xml:space="preserve"> ir </w:t>
            </w:r>
            <w:proofErr w:type="spellStart"/>
            <w:r w:rsidRPr="00752CF2">
              <w:rPr>
                <w:rFonts w:ascii="Times New Roman" w:hAnsi="Times New Roman"/>
                <w:szCs w:val="24"/>
                <w:lang w:val="lt-LT"/>
              </w:rPr>
              <w:t>SmofKabiven</w:t>
            </w:r>
            <w:proofErr w:type="spellEnd"/>
            <w:r w:rsidRPr="00752CF2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 w:rsidRPr="00DA4B79">
              <w:rPr>
                <w:rFonts w:ascii="Times New Roman" w:hAnsi="Times New Roman"/>
                <w:szCs w:val="24"/>
                <w:lang w:val="lt-LT"/>
              </w:rPr>
              <w:t>Electrolyte</w:t>
            </w:r>
            <w:proofErr w:type="spellEnd"/>
            <w:r w:rsidRPr="00DA4B79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 w:rsidRPr="00DA4B79">
              <w:rPr>
                <w:rFonts w:ascii="Times New Roman" w:hAnsi="Times New Roman"/>
                <w:szCs w:val="24"/>
                <w:lang w:val="lt-LT"/>
              </w:rPr>
              <w:t>Free</w:t>
            </w:r>
            <w:proofErr w:type="spellEnd"/>
            <w:r w:rsidRPr="00DA4B79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 w:rsidRPr="00DA4B79">
              <w:rPr>
                <w:rFonts w:ascii="Times New Roman" w:hAnsi="Times New Roman"/>
                <w:szCs w:val="24"/>
                <w:lang w:val="lt-LT"/>
              </w:rPr>
              <w:t>Central</w:t>
            </w:r>
            <w:proofErr w:type="spellEnd"/>
            <w:r w:rsidRPr="00752CF2">
              <w:rPr>
                <w:rFonts w:ascii="Times New Roman" w:hAnsi="Times New Roman"/>
                <w:szCs w:val="24"/>
                <w:lang w:val="lt-LT"/>
              </w:rPr>
              <w:t xml:space="preserve"> (aktyvuotas 986 ml, 1477 ml, 1970 ml arba 2463 ml maišelis)</w:t>
            </w:r>
            <w:r w:rsidRPr="00192C1F">
              <w:rPr>
                <w:rFonts w:ascii="Times New Roman" w:hAnsi="Times New Roman"/>
                <w:szCs w:val="24"/>
                <w:lang w:val="lt-LT"/>
              </w:rPr>
              <w:t xml:space="preserve"> su </w:t>
            </w:r>
            <w:r>
              <w:rPr>
                <w:rFonts w:ascii="Times New Roman" w:hAnsi="Times New Roman"/>
                <w:szCs w:val="24"/>
                <w:lang w:val="lt-LT"/>
              </w:rPr>
              <w:t>anksč</w:t>
            </w:r>
            <w:r w:rsidRPr="00752CF2">
              <w:rPr>
                <w:rFonts w:ascii="Times New Roman" w:hAnsi="Times New Roman"/>
                <w:szCs w:val="24"/>
                <w:lang w:val="lt-LT"/>
              </w:rPr>
              <w:t>iau išvardytais</w:t>
            </w:r>
            <w:r w:rsidRPr="00192C1F">
              <w:rPr>
                <w:rFonts w:ascii="Times New Roman" w:hAnsi="Times New Roman"/>
                <w:szCs w:val="24"/>
                <w:lang w:val="lt-LT"/>
              </w:rPr>
              <w:t xml:space="preserve"> elektrolitais ir vitaminais</w:t>
            </w:r>
          </w:p>
        </w:tc>
      </w:tr>
      <w:tr w:rsidR="006531A3" w:rsidRPr="00752CF2" w:rsidTr="00442D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/>
              </w:rPr>
            </w:pPr>
            <w:r w:rsidRPr="00752CF2">
              <w:rPr>
                <w:rFonts w:ascii="Times New Roman" w:hAnsi="Times New Roman"/>
                <w:szCs w:val="24"/>
                <w:lang w:val="lt-LT"/>
              </w:rPr>
              <w:t>0–5 ml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1A3" w:rsidRPr="00752CF2" w:rsidRDefault="006531A3" w:rsidP="00442DDE">
            <w:pPr>
              <w:spacing w:after="0" w:line="240" w:lineRule="auto"/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 w:rsidRPr="00752CF2">
              <w:rPr>
                <w:rFonts w:ascii="Times New Roman" w:hAnsi="Times New Roman"/>
                <w:szCs w:val="24"/>
                <w:lang w:val="lt-LT"/>
              </w:rPr>
              <w:t>SmofKabiven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Central</w:t>
            </w:r>
            <w:proofErr w:type="spellEnd"/>
            <w:r w:rsidRPr="00752CF2">
              <w:rPr>
                <w:rFonts w:ascii="Times New Roman" w:hAnsi="Times New Roman"/>
                <w:szCs w:val="24"/>
                <w:lang w:val="lt-LT"/>
              </w:rPr>
              <w:t xml:space="preserve"> ir </w:t>
            </w:r>
            <w:proofErr w:type="spellStart"/>
            <w:r w:rsidRPr="00752CF2">
              <w:rPr>
                <w:rFonts w:ascii="Times New Roman" w:hAnsi="Times New Roman"/>
                <w:szCs w:val="24"/>
                <w:lang w:val="lt-LT"/>
              </w:rPr>
              <w:t>SmofKabiven</w:t>
            </w:r>
            <w:proofErr w:type="spellEnd"/>
            <w:r w:rsidRPr="00752CF2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 w:rsidRPr="00DA4B79">
              <w:rPr>
                <w:rFonts w:ascii="Times New Roman" w:hAnsi="Times New Roman"/>
                <w:szCs w:val="24"/>
                <w:lang w:val="lt-LT"/>
              </w:rPr>
              <w:t>Electrolyte</w:t>
            </w:r>
            <w:proofErr w:type="spellEnd"/>
            <w:r w:rsidRPr="00DA4B79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 w:rsidRPr="00DA4B79">
              <w:rPr>
                <w:rFonts w:ascii="Times New Roman" w:hAnsi="Times New Roman"/>
                <w:szCs w:val="24"/>
                <w:lang w:val="lt-LT"/>
              </w:rPr>
              <w:t>Free</w:t>
            </w:r>
            <w:proofErr w:type="spellEnd"/>
            <w:r w:rsidRPr="00DA4B79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 w:rsidRPr="00DA4B79">
              <w:rPr>
                <w:rFonts w:ascii="Times New Roman" w:hAnsi="Times New Roman"/>
                <w:szCs w:val="24"/>
                <w:lang w:val="lt-LT"/>
              </w:rPr>
              <w:t>Central</w:t>
            </w:r>
            <w:proofErr w:type="spellEnd"/>
            <w:r w:rsidRPr="00752CF2">
              <w:rPr>
                <w:rFonts w:ascii="Times New Roman" w:hAnsi="Times New Roman"/>
                <w:szCs w:val="24"/>
                <w:lang w:val="lt-LT"/>
              </w:rPr>
              <w:t xml:space="preserve"> (aktyvuotas 493 ml maišelis)</w:t>
            </w:r>
            <w:r w:rsidRPr="00192C1F">
              <w:rPr>
                <w:rFonts w:ascii="Times New Roman" w:hAnsi="Times New Roman"/>
                <w:szCs w:val="24"/>
                <w:lang w:val="lt-LT"/>
              </w:rPr>
              <w:t xml:space="preserve"> su </w:t>
            </w:r>
            <w:r>
              <w:rPr>
                <w:rFonts w:ascii="Times New Roman" w:hAnsi="Times New Roman"/>
                <w:szCs w:val="24"/>
                <w:lang w:val="lt-LT"/>
              </w:rPr>
              <w:t>anksč</w:t>
            </w:r>
            <w:r w:rsidRPr="00752CF2">
              <w:rPr>
                <w:rFonts w:ascii="Times New Roman" w:hAnsi="Times New Roman"/>
                <w:szCs w:val="24"/>
                <w:lang w:val="lt-LT"/>
              </w:rPr>
              <w:t>iau išvardytais</w:t>
            </w:r>
            <w:r w:rsidRPr="00192C1F">
              <w:rPr>
                <w:rFonts w:ascii="Times New Roman" w:hAnsi="Times New Roman"/>
                <w:szCs w:val="24"/>
                <w:lang w:val="lt-LT"/>
              </w:rPr>
              <w:t xml:space="preserve"> elektrolitais ir vitaminais</w:t>
            </w:r>
          </w:p>
        </w:tc>
      </w:tr>
    </w:tbl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752CF2">
        <w:rPr>
          <w:rFonts w:ascii="Times New Roman" w:eastAsia="Times New Roman" w:hAnsi="Times New Roman"/>
          <w:lang w:val="lt-LT" w:eastAsia="lt-LT"/>
        </w:rPr>
        <w:t xml:space="preserve">Dėl destabilizuojančio poveikio </w:t>
      </w:r>
      <w:proofErr w:type="spellStart"/>
      <w:r w:rsidRPr="00610115">
        <w:rPr>
          <w:rFonts w:ascii="Times New Roman" w:eastAsia="Times New Roman" w:hAnsi="Times New Roman"/>
          <w:lang w:val="lt-LT" w:eastAsia="lt-LT"/>
        </w:rPr>
        <w:t>Infutraze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niekada negalima tiesiogiai maišyti su lipidų emulsija. Rekomenduojama pirmiausia sumaišyti </w:t>
      </w:r>
      <w:proofErr w:type="spellStart"/>
      <w:r w:rsidRPr="00752CF2">
        <w:rPr>
          <w:rFonts w:ascii="Times New Roman" w:eastAsia="Times New Roman" w:hAnsi="Times New Roman"/>
          <w:lang w:val="lt-LT" w:eastAsia="lt-LT"/>
        </w:rPr>
        <w:t>makroelementus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(aminorūgščių tirpalu ir gliukoze su lipidų emulsija arba be jos) ir tik tada pridėti mikroelementus. Pridėjimas turi būti atliekamas </w:t>
      </w:r>
      <w:proofErr w:type="spellStart"/>
      <w:r w:rsidRPr="00752CF2">
        <w:rPr>
          <w:rFonts w:ascii="Times New Roman" w:eastAsia="Times New Roman" w:hAnsi="Times New Roman"/>
          <w:lang w:val="lt-LT" w:eastAsia="lt-LT"/>
        </w:rPr>
        <w:t>aseptinėmis</w:t>
      </w:r>
      <w:proofErr w:type="spellEnd"/>
      <w:r w:rsidRPr="00752CF2">
        <w:rPr>
          <w:rFonts w:ascii="Times New Roman" w:eastAsia="Times New Roman" w:hAnsi="Times New Roman"/>
          <w:lang w:val="lt-LT" w:eastAsia="lt-LT"/>
        </w:rPr>
        <w:t xml:space="preserve"> sąlygomis.</w:t>
      </w:r>
    </w:p>
    <w:p w:rsidR="006531A3" w:rsidRPr="00752CF2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7256F4">
        <w:rPr>
          <w:rFonts w:ascii="Times New Roman" w:eastAsia="Times New Roman" w:hAnsi="Times New Roman"/>
          <w:lang w:val="lt-LT" w:eastAsia="lt-LT"/>
        </w:rPr>
        <w:t>Nesuvartotą vaistinį preparatą ar atliekas reikia tvarkyti laikantis vietinių reikalavimų.</w:t>
      </w:r>
    </w:p>
    <w:p w:rsidR="006531A3" w:rsidRPr="007256F4" w:rsidRDefault="006531A3" w:rsidP="006531A3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snapToGrid w:val="0"/>
          <w:szCs w:val="24"/>
          <w:lang w:val="lt-LT"/>
        </w:rPr>
      </w:pP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iCs/>
          <w:lang w:val="lt-LT"/>
        </w:rPr>
      </w:pPr>
      <w:r w:rsidRPr="007256F4">
        <w:rPr>
          <w:rFonts w:ascii="Times New Roman" w:eastAsia="Times New Roman" w:hAnsi="Times New Roman"/>
          <w:b/>
          <w:bCs/>
          <w:iCs/>
          <w:lang w:val="lt-LT"/>
        </w:rPr>
        <w:t>Tinkamumo laikas po sumaišymo</w:t>
      </w:r>
    </w:p>
    <w:p w:rsidR="006531A3" w:rsidRPr="007256F4" w:rsidRDefault="006531A3" w:rsidP="006531A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  <w:lang w:val="lt-LT"/>
        </w:rPr>
      </w:pPr>
      <w:r w:rsidRPr="007256F4">
        <w:rPr>
          <w:rFonts w:ascii="Times New Roman" w:eastAsia="Times New Roman" w:hAnsi="Times New Roman"/>
          <w:iCs/>
          <w:lang w:val="lt-LT"/>
        </w:rPr>
        <w:t xml:space="preserve">Įrodyta, kad po sumaišymo (žr. skyrių „Suderinamumas“) vaistinis preparatas 2–8 °C temperatūroje išlieka stabilus </w:t>
      </w:r>
      <w:r>
        <w:rPr>
          <w:rFonts w:ascii="Times New Roman" w:eastAsia="Times New Roman" w:hAnsi="Times New Roman"/>
          <w:iCs/>
          <w:lang w:val="lt-LT"/>
        </w:rPr>
        <w:t xml:space="preserve">iki </w:t>
      </w:r>
      <w:r w:rsidRPr="007256F4">
        <w:rPr>
          <w:rFonts w:ascii="Times New Roman" w:eastAsia="Times New Roman" w:hAnsi="Times New Roman"/>
          <w:iCs/>
          <w:lang w:val="lt-LT"/>
        </w:rPr>
        <w:t>7 dien</w:t>
      </w:r>
      <w:r>
        <w:rPr>
          <w:rFonts w:ascii="Times New Roman" w:eastAsia="Times New Roman" w:hAnsi="Times New Roman"/>
          <w:iCs/>
          <w:lang w:val="lt-LT"/>
        </w:rPr>
        <w:t>ų</w:t>
      </w:r>
      <w:r w:rsidRPr="007256F4">
        <w:rPr>
          <w:rFonts w:ascii="Times New Roman" w:eastAsia="Times New Roman" w:hAnsi="Times New Roman"/>
          <w:iCs/>
          <w:lang w:val="lt-LT"/>
        </w:rPr>
        <w:t>, po to dar 48 valandas jį laikant 20–25 °C temperatūroje, įskaitant vartojimo trukmę. Mikrobiologiniu požiūriu vaistinį preparatą reikia suvartoti nedelsiant. Nesuvartojus nedelsiant, už laikymo iki vartojimo trukmę ir sąlygas atsako vartotojas. Paprastai laikymo trukmė neturėtų viršyti 24 valandų 2–8 °C temperatūroje.</w:t>
      </w:r>
    </w:p>
    <w:p w:rsidR="00BA6577" w:rsidRDefault="00BA6577">
      <w:bookmarkStart w:id="0" w:name="_GoBack"/>
      <w:bookmarkEnd w:id="0"/>
    </w:p>
    <w:sectPr w:rsidR="00BA6577" w:rsidSect="00D358F2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44258"/>
    <w:multiLevelType w:val="hybridMultilevel"/>
    <w:tmpl w:val="7F36A8C4"/>
    <w:lvl w:ilvl="0" w:tplc="5E94AD30">
      <w:start w:val="6"/>
      <w:numFmt w:val="bullet"/>
      <w:lvlText w:val="-"/>
      <w:lvlJc w:val="left"/>
      <w:pPr>
        <w:tabs>
          <w:tab w:val="num" w:pos="567"/>
        </w:tabs>
        <w:ind w:left="567" w:hanging="507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A4EFA"/>
    <w:multiLevelType w:val="hybridMultilevel"/>
    <w:tmpl w:val="32848330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A3"/>
    <w:rsid w:val="00072F85"/>
    <w:rsid w:val="00181364"/>
    <w:rsid w:val="00305C48"/>
    <w:rsid w:val="003362C6"/>
    <w:rsid w:val="006531A3"/>
    <w:rsid w:val="00BA6577"/>
    <w:rsid w:val="00C30905"/>
    <w:rsid w:val="00D358F2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55744-0DB9-4880-90A0-D2A9388E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1A3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531A3"/>
    <w:pPr>
      <w:ind w:left="720"/>
      <w:contextualSpacing/>
    </w:pPr>
  </w:style>
  <w:style w:type="character" w:styleId="Hipersaitas">
    <w:name w:val="Hyperlink"/>
    <w:uiPriority w:val="99"/>
    <w:unhideWhenUsed/>
    <w:rsid w:val="006531A3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6531A3"/>
    <w:pPr>
      <w:spacing w:after="0" w:line="360" w:lineRule="auto"/>
    </w:pPr>
    <w:rPr>
      <w:rFonts w:ascii="Times New Roman" w:eastAsia="Times New Roman" w:hAnsi="Times New Roman"/>
      <w:sz w:val="24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531A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9463</Words>
  <Characters>5395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8</vt:i4>
      </vt:variant>
    </vt:vector>
  </HeadingPairs>
  <TitlesOfParts>
    <vt:vector size="9" baseType="lpstr">
      <vt:lpstr/>
      <vt:lpstr>    Pakuotės lapelis: informacija pacientui</vt:lpstr>
      <vt:lpstr>    </vt:lpstr>
      <vt:lpstr>        Nėštumas ir žindymo laikotarpis</vt:lpstr>
      <vt:lpstr>Ką daryti pavartojus per didelę Infutraze dozę</vt:lpstr>
      <vt:lpstr>        4.	Galimas šalutinis poveikis</vt:lpstr>
      <vt:lpstr>        5.	Kaip laikyti Infutraze</vt:lpstr>
      <vt:lpstr>        6.	Pakuotės turinys ir kita informacija</vt:lpstr>
      <vt:lpstr>HP Halden Pharma AS</vt:lpstr>
    </vt:vector>
  </TitlesOfParts>
  <Company/>
  <LinksUpToDate>false</LinksUpToDate>
  <CharactersWithSpaces>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2024-04-26T06:00:00Z</dcterms:created>
  <dcterms:modified xsi:type="dcterms:W3CDTF">2024-04-26T06:01:00Z</dcterms:modified>
</cp:coreProperties>
</file>