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jc w:val="center"/>
        <w:outlineLvl w:val="1"/>
        <w:rPr>
          <w:rFonts w:ascii="Times New Roman" w:eastAsia="Times New Roman" w:hAnsi="Times New Roman"/>
          <w:b/>
          <w:snapToGrid w:val="0"/>
          <w:szCs w:val="24"/>
          <w:lang w:val="lt-LT" w:eastAsia="x-none"/>
        </w:rPr>
      </w:pPr>
      <w:r w:rsidRPr="007256F4">
        <w:rPr>
          <w:rFonts w:ascii="Times New Roman" w:eastAsia="Times New Roman" w:hAnsi="Times New Roman"/>
          <w:b/>
          <w:bCs/>
          <w:iCs/>
          <w:snapToGrid w:val="0"/>
          <w:szCs w:val="28"/>
          <w:lang w:val="lt-LT" w:eastAsia="x-none"/>
        </w:rPr>
        <w:t>Pakuotės lapelis:</w:t>
      </w:r>
      <w:r w:rsidRPr="007256F4">
        <w:rPr>
          <w:rFonts w:ascii="Times New Roman" w:eastAsia="Times New Roman" w:hAnsi="Times New Roman"/>
          <w:b/>
          <w:snapToGrid w:val="0"/>
          <w:szCs w:val="24"/>
          <w:lang w:val="lt-LT" w:eastAsia="x-none"/>
        </w:rPr>
        <w:t xml:space="preserve"> </w:t>
      </w:r>
      <w:r w:rsidRPr="007256F4">
        <w:rPr>
          <w:rFonts w:ascii="Times New Roman" w:eastAsia="Times New Roman" w:hAnsi="Times New Roman"/>
          <w:b/>
          <w:bCs/>
          <w:iCs/>
          <w:snapToGrid w:val="0"/>
          <w:szCs w:val="28"/>
          <w:lang w:val="lt-LT" w:eastAsia="x-none"/>
        </w:rPr>
        <w:t>informacija pacientui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610115">
        <w:rPr>
          <w:rFonts w:ascii="Times New Roman" w:eastAsia="Times New Roman" w:hAnsi="Times New Roman"/>
          <w:b/>
          <w:bCs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b/>
          <w:bCs/>
          <w:lang w:val="lt-LT"/>
        </w:rPr>
        <w:t xml:space="preserve"> koncentratas infuziniam tirpalui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>m</w:t>
      </w:r>
      <w:r w:rsidRPr="007256F4">
        <w:rPr>
          <w:rFonts w:ascii="Times New Roman" w:eastAsia="Times New Roman" w:hAnsi="Times New Roman"/>
          <w:lang w:val="lt-LT"/>
        </w:rPr>
        <w:t>ikroelementai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jc w:val="center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suppressAutoHyphens/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  <w:r w:rsidRPr="007256F4"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>Atidžiai perskaitykite visą šį lapelį, prieš pradėdami vartoti vaistą, nes jame pateikiama Jums svarbi informacija.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-</w:t>
      </w:r>
      <w:r w:rsidRPr="007256F4">
        <w:rPr>
          <w:rFonts w:ascii="Times New Roman" w:eastAsia="Times New Roman" w:hAnsi="Times New Roman"/>
          <w:lang w:val="lt-LT"/>
        </w:rPr>
        <w:tab/>
        <w:t>Neišmeskite šio lapelio, nes vėl gali prireikti jį perskaityti.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jc w:val="both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-</w:t>
      </w:r>
      <w:r w:rsidRPr="007256F4">
        <w:rPr>
          <w:rFonts w:ascii="Times New Roman" w:eastAsia="Times New Roman" w:hAnsi="Times New Roman"/>
          <w:lang w:val="lt-LT"/>
        </w:rPr>
        <w:tab/>
        <w:t>Jeigu kiltų daugiau klausimų, kreipkitės į gydytoją arba slaugytoją.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-</w:t>
      </w:r>
      <w:r w:rsidRPr="007256F4">
        <w:rPr>
          <w:rFonts w:ascii="Times New Roman" w:eastAsia="Times New Roman" w:hAnsi="Times New Roman"/>
          <w:lang w:val="lt-LT"/>
        </w:rPr>
        <w:tab/>
        <w:t>Jeigu Jūsų vaikui pasireiškė šalutinis poveikis (net jeigu jis šiame lapelyje nenurodytas), kreipkitės į gydytoją arba slaugytoją. Žr. 4</w:t>
      </w:r>
      <w:r w:rsidRPr="007256F4">
        <w:rPr>
          <w:rFonts w:ascii="Times New Roman" w:eastAsia="Times New Roman" w:hAnsi="Times New Roman"/>
          <w:b/>
          <w:lang w:val="lt-LT"/>
        </w:rPr>
        <w:t> </w:t>
      </w:r>
      <w:r w:rsidRPr="007256F4">
        <w:rPr>
          <w:rFonts w:ascii="Times New Roman" w:eastAsia="Times New Roman" w:hAnsi="Times New Roman"/>
          <w:lang w:val="lt-LT"/>
        </w:rPr>
        <w:t>skyrių.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  <w:r w:rsidRPr="007256F4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>Apie ką rašoma šiame lapelyje?</w:t>
      </w:r>
    </w:p>
    <w:p w:rsidR="006531A3" w:rsidRPr="007256F4" w:rsidRDefault="006531A3" w:rsidP="006531A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1.</w:t>
      </w:r>
      <w:r w:rsidRPr="007256F4">
        <w:rPr>
          <w:rFonts w:ascii="Times New Roman" w:eastAsia="Times New Roman" w:hAnsi="Times New Roman"/>
          <w:lang w:val="lt-LT"/>
        </w:rPr>
        <w:tab/>
        <w:t xml:space="preserve">Kas yra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ir kam jis vartojamas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2.</w:t>
      </w:r>
      <w:r w:rsidRPr="007256F4">
        <w:rPr>
          <w:rFonts w:ascii="Times New Roman" w:eastAsia="Times New Roman" w:hAnsi="Times New Roman"/>
          <w:lang w:val="lt-LT"/>
        </w:rPr>
        <w:tab/>
        <w:t xml:space="preserve">Kas žinotina prieš vartojant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3.</w:t>
      </w:r>
      <w:r w:rsidRPr="007256F4">
        <w:rPr>
          <w:rFonts w:ascii="Times New Roman" w:eastAsia="Times New Roman" w:hAnsi="Times New Roman"/>
          <w:lang w:val="lt-LT"/>
        </w:rPr>
        <w:tab/>
        <w:t xml:space="preserve">Kaip vartoti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4.</w:t>
      </w:r>
      <w:r w:rsidRPr="007256F4">
        <w:rPr>
          <w:rFonts w:ascii="Times New Roman" w:eastAsia="Times New Roman" w:hAnsi="Times New Roman"/>
          <w:lang w:val="lt-LT"/>
        </w:rPr>
        <w:tab/>
        <w:t>Galimas šalutinis poveikis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5.</w:t>
      </w:r>
      <w:r w:rsidRPr="007256F4">
        <w:rPr>
          <w:rFonts w:ascii="Times New Roman" w:eastAsia="Times New Roman" w:hAnsi="Times New Roman"/>
          <w:lang w:val="lt-LT"/>
        </w:rPr>
        <w:tab/>
        <w:t xml:space="preserve">Kaip laikyti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</w:p>
    <w:p w:rsidR="006531A3" w:rsidRPr="007256F4" w:rsidRDefault="006531A3" w:rsidP="006531A3">
      <w:pPr>
        <w:numPr>
          <w:ilvl w:val="12"/>
          <w:numId w:val="0"/>
        </w:numPr>
        <w:spacing w:after="0" w:line="240" w:lineRule="auto"/>
        <w:ind w:left="567" w:right="-2" w:hanging="567"/>
        <w:rPr>
          <w:rFonts w:ascii="Times New Roman" w:eastAsia="Times New Roman" w:hAnsi="Times New Roman"/>
          <w:snapToGrid w:val="0"/>
          <w:szCs w:val="24"/>
          <w:lang w:val="lt-LT"/>
        </w:rPr>
      </w:pPr>
      <w:r w:rsidRPr="007256F4">
        <w:rPr>
          <w:rFonts w:ascii="Times New Roman" w:eastAsia="Times New Roman" w:hAnsi="Times New Roman"/>
          <w:snapToGrid w:val="0"/>
          <w:szCs w:val="24"/>
          <w:lang w:val="lt-LT"/>
        </w:rPr>
        <w:t>6.</w:t>
      </w:r>
      <w:r w:rsidRPr="007256F4">
        <w:rPr>
          <w:rFonts w:ascii="Times New Roman" w:eastAsia="Times New Roman" w:hAnsi="Times New Roman"/>
          <w:snapToGrid w:val="0"/>
          <w:szCs w:val="24"/>
          <w:lang w:val="lt-LT"/>
        </w:rPr>
        <w:tab/>
      </w:r>
      <w:r w:rsidRPr="007256F4">
        <w:rPr>
          <w:rFonts w:ascii="Times New Roman" w:eastAsia="Times New Roman" w:hAnsi="Times New Roman"/>
          <w:noProof/>
          <w:snapToGrid w:val="0"/>
          <w:szCs w:val="24"/>
          <w:lang w:val="lt-LT"/>
        </w:rPr>
        <w:t>Pakuotės turinys ir kita informacija</w:t>
      </w:r>
    </w:p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outlineLvl w:val="1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  <w:r w:rsidRPr="007256F4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>1.</w:t>
      </w:r>
      <w:r w:rsidRPr="007256F4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ab/>
        <w:t xml:space="preserve">Kas yra </w:t>
      </w:r>
      <w:proofErr w:type="spellStart"/>
      <w:r w:rsidRPr="00610115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>Infutraze</w:t>
      </w:r>
      <w:proofErr w:type="spellEnd"/>
      <w:r w:rsidRPr="007256F4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 xml:space="preserve"> ir kam jis vartojamas</w:t>
      </w:r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yra mikroelementų mišinys, lašinamas į kraują (intraveninės infuzijos būdu).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sudėtyje yra penki mikroelementai (cinkas, varis, manganas, selenas ir jodas) labai mažais kiekiais, kurie paprastai pasisavinami su maistu. Šie mikroelementai yra būtini normaliai organizmo veiklai.</w:t>
      </w:r>
    </w:p>
    <w:p w:rsidR="006531A3" w:rsidRPr="00752CF2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yra vartojamas baziniam mikroelementų poreikiui patenkinti neišnešiotiems ir išnešiotiems naujagimiams, kūdikiams, vaikams ir paaugliams, kurie negali valgyti ar pakankamai pasisavinti per zondą tiekiamo maisto, todėl jiems reikalingas į veną </w:t>
      </w:r>
      <w:proofErr w:type="spellStart"/>
      <w:r w:rsidRPr="00752CF2">
        <w:rPr>
          <w:rFonts w:ascii="Times New Roman" w:eastAsia="Times New Roman" w:hAnsi="Times New Roman"/>
          <w:lang w:val="lt-LT"/>
        </w:rPr>
        <w:t>infuzuojamas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maistas (tai vadinama intraveniniu maitinimu arba </w:t>
      </w:r>
      <w:proofErr w:type="spellStart"/>
      <w:r w:rsidRPr="00752CF2">
        <w:rPr>
          <w:rFonts w:ascii="Times New Roman" w:eastAsia="Times New Roman" w:hAnsi="Times New Roman"/>
          <w:lang w:val="lt-LT"/>
        </w:rPr>
        <w:t>parenteriniu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maitinimu).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yra papildomas </w:t>
      </w:r>
      <w:proofErr w:type="spellStart"/>
      <w:r w:rsidRPr="00752CF2">
        <w:rPr>
          <w:rFonts w:ascii="Times New Roman" w:eastAsia="Times New Roman" w:hAnsi="Times New Roman"/>
          <w:lang w:val="lt-LT"/>
        </w:rPr>
        <w:t>parenterinis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maitinimas, su kuriuo organizmas gauna visas reikalingas maistines medžiagas.</w:t>
      </w:r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keepNext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  <w:r w:rsidRPr="007256F4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>2.</w:t>
      </w:r>
      <w:r w:rsidRPr="007256F4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ab/>
        <w:t xml:space="preserve">Kas žinotina prieš vartojant </w:t>
      </w:r>
      <w:proofErr w:type="spellStart"/>
      <w:r w:rsidRPr="00610115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>Infutraze</w:t>
      </w:r>
      <w:proofErr w:type="spellEnd"/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proofErr w:type="spellStart"/>
      <w:r w:rsidRPr="00610115">
        <w:rPr>
          <w:rFonts w:ascii="Times New Roman" w:eastAsia="Times New Roman" w:hAnsi="Times New Roman"/>
          <w:b/>
          <w:bCs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b/>
          <w:bCs/>
          <w:lang w:val="lt-LT"/>
        </w:rPr>
        <w:t xml:space="preserve"> vartoti draudžiama</w:t>
      </w:r>
      <w:r>
        <w:rPr>
          <w:rFonts w:ascii="Times New Roman" w:eastAsia="Times New Roman" w:hAnsi="Times New Roman"/>
          <w:b/>
          <w:bCs/>
          <w:lang w:val="lt-LT"/>
        </w:rPr>
        <w:t>:</w:t>
      </w:r>
    </w:p>
    <w:p w:rsidR="006531A3" w:rsidRPr="007256F4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ind w:left="567" w:hanging="567"/>
        <w:rPr>
          <w:rFonts w:ascii="Times New Roman" w:eastAsia="Times New Roman" w:hAnsi="Times New Roman"/>
          <w:snapToGrid w:val="0"/>
          <w:szCs w:val="24"/>
          <w:lang w:val="lt-LT"/>
        </w:rPr>
      </w:pPr>
      <w:r w:rsidRPr="007256F4">
        <w:rPr>
          <w:rFonts w:ascii="Times New Roman" w:eastAsia="Times New Roman" w:hAnsi="Times New Roman"/>
          <w:snapToGrid w:val="0"/>
          <w:szCs w:val="24"/>
          <w:lang w:val="lt-LT"/>
        </w:rPr>
        <w:t>-</w:t>
      </w:r>
      <w:r w:rsidRPr="007256F4">
        <w:rPr>
          <w:rFonts w:ascii="Times New Roman" w:eastAsia="Times New Roman" w:hAnsi="Times New Roman"/>
          <w:snapToGrid w:val="0"/>
          <w:szCs w:val="24"/>
          <w:lang w:val="lt-LT"/>
        </w:rPr>
        <w:tab/>
      </w:r>
      <w:r>
        <w:rPr>
          <w:rFonts w:ascii="Times New Roman" w:eastAsia="Times New Roman" w:hAnsi="Times New Roman"/>
          <w:snapToGrid w:val="0"/>
          <w:szCs w:val="24"/>
          <w:lang w:val="lt-LT"/>
        </w:rPr>
        <w:t xml:space="preserve">jeigu Jūsų vaikui </w:t>
      </w:r>
      <w:r w:rsidRPr="007256F4">
        <w:rPr>
          <w:rFonts w:ascii="Times New Roman" w:eastAsia="Times New Roman" w:hAnsi="Times New Roman"/>
          <w:noProof/>
          <w:snapToGrid w:val="0"/>
          <w:szCs w:val="24"/>
          <w:lang w:val="lt-LT"/>
        </w:rPr>
        <w:t>yra alergija (padidėjęs jautrumas) veikliosioms medžiagoms arba bet kuriai pagalbinei šio vaisto medžiagai (jos išvardytos 6 skyriuje);</w:t>
      </w:r>
    </w:p>
    <w:p w:rsidR="006531A3" w:rsidRPr="007256F4" w:rsidRDefault="006531A3" w:rsidP="006531A3">
      <w:pPr>
        <w:numPr>
          <w:ilvl w:val="0"/>
          <w:numId w:val="1"/>
        </w:numPr>
        <w:tabs>
          <w:tab w:val="left" w:pos="567"/>
        </w:tabs>
        <w:spacing w:after="0" w:line="240" w:lineRule="auto"/>
        <w:ind w:hanging="567"/>
        <w:rPr>
          <w:rFonts w:ascii="Times New Roman" w:eastAsia="Times New Roman" w:hAnsi="Times New Roman"/>
          <w:lang w:val="lt-LT"/>
        </w:rPr>
      </w:pPr>
      <w:r>
        <w:rPr>
          <w:rFonts w:ascii="Times New Roman" w:eastAsia="Times New Roman" w:hAnsi="Times New Roman"/>
          <w:lang w:val="lt-LT"/>
        </w:rPr>
        <w:t xml:space="preserve">jeigu Jūsų vaikui </w:t>
      </w:r>
      <w:r w:rsidRPr="007256F4">
        <w:rPr>
          <w:rFonts w:ascii="Times New Roman" w:eastAsia="Times New Roman" w:hAnsi="Times New Roman"/>
          <w:lang w:val="lt-LT"/>
        </w:rPr>
        <w:t>yra Vilsono liga.</w:t>
      </w:r>
    </w:p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b/>
          <w:bCs/>
          <w:lang w:val="lt-LT" w:eastAsia="lt-LT"/>
        </w:rPr>
      </w:pPr>
      <w:r w:rsidRPr="007256F4">
        <w:rPr>
          <w:rFonts w:ascii="Times New Roman" w:eastAsia="Times New Roman" w:hAnsi="Times New Roman"/>
          <w:b/>
          <w:bCs/>
          <w:lang w:val="lt-LT" w:eastAsia="lt-LT"/>
        </w:rPr>
        <w:t>Įspėjimai ir atsargumo priemonės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 xml:space="preserve">Pasitarkite su gydytoju, prieš pradėdami vartoti </w:t>
      </w: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256F4">
        <w:rPr>
          <w:rFonts w:ascii="Times New Roman" w:eastAsia="Times New Roman" w:hAnsi="Times New Roman"/>
          <w:lang w:val="lt-LT" w:eastAsia="lt-LT"/>
        </w:rPr>
        <w:t>, jeigu Jūsų vaikui:</w:t>
      </w:r>
    </w:p>
    <w:p w:rsidR="006531A3" w:rsidRPr="007256F4" w:rsidRDefault="006531A3" w:rsidP="006531A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outlineLvl w:val="3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yra inkstų sutrikimų;</w:t>
      </w:r>
    </w:p>
    <w:p w:rsidR="006531A3" w:rsidRPr="007256F4" w:rsidRDefault="006531A3" w:rsidP="006531A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outlineLvl w:val="3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yra kepenų sutrikimų;</w:t>
      </w:r>
    </w:p>
    <w:p w:rsidR="006531A3" w:rsidRPr="007256F4" w:rsidRDefault="006531A3" w:rsidP="006531A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outlineLvl w:val="3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sulėtėjęs tulžies išsiskyrimas;</w:t>
      </w:r>
    </w:p>
    <w:p w:rsidR="006531A3" w:rsidRPr="007256F4" w:rsidRDefault="006531A3" w:rsidP="006531A3">
      <w:pPr>
        <w:numPr>
          <w:ilvl w:val="0"/>
          <w:numId w:val="2"/>
        </w:numPr>
        <w:tabs>
          <w:tab w:val="left" w:pos="567"/>
        </w:tabs>
        <w:spacing w:after="0" w:line="240" w:lineRule="auto"/>
        <w:ind w:left="567" w:hanging="567"/>
        <w:outlineLvl w:val="3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yra skydliaukės sutrikimų (</w:t>
      </w:r>
      <w:proofErr w:type="spellStart"/>
      <w:r w:rsidRPr="007256F4">
        <w:rPr>
          <w:rFonts w:ascii="Times New Roman" w:eastAsia="Times New Roman" w:hAnsi="Times New Roman"/>
          <w:lang w:val="lt-LT" w:eastAsia="lt-LT"/>
        </w:rPr>
        <w:t>hipertirozė</w:t>
      </w:r>
      <w:proofErr w:type="spellEnd"/>
      <w:r w:rsidRPr="007256F4">
        <w:rPr>
          <w:rFonts w:ascii="Times New Roman" w:eastAsia="Times New Roman" w:hAnsi="Times New Roman"/>
          <w:lang w:val="lt-LT" w:eastAsia="lt-LT"/>
        </w:rPr>
        <w:t>).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 xml:space="preserve">Gydymo laikotarpiu gydytojas reguliariai tikrins mikroelementų kiekį kraujyje ir atitinkamai pritaikys </w:t>
      </w: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256F4">
        <w:rPr>
          <w:rFonts w:ascii="Times New Roman" w:eastAsia="Times New Roman" w:hAnsi="Times New Roman"/>
          <w:lang w:val="lt-LT" w:eastAsia="lt-LT"/>
        </w:rPr>
        <w:t xml:space="preserve"> dozę.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b/>
          <w:bCs/>
          <w:lang w:val="lt-LT" w:eastAsia="lt-LT"/>
        </w:rPr>
      </w:pPr>
      <w:r w:rsidRPr="007256F4">
        <w:rPr>
          <w:rFonts w:ascii="Times New Roman" w:eastAsia="Times New Roman" w:hAnsi="Times New Roman"/>
          <w:b/>
          <w:bCs/>
          <w:lang w:val="lt-LT" w:eastAsia="lt-LT"/>
        </w:rPr>
        <w:t>Vaikams ir paaugliams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lang w:val="lt-LT" w:eastAsia="lt-LT"/>
        </w:rPr>
      </w:pPr>
      <w:proofErr w:type="spellStart"/>
      <w:r w:rsidRPr="00610115">
        <w:rPr>
          <w:rFonts w:ascii="Times New Roman" w:eastAsia="Times New Roman" w:hAnsi="Times New Roman"/>
          <w:lang w:val="lt-LT"/>
        </w:rPr>
        <w:lastRenderedPageBreak/>
        <w:t>Infutraze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skirtas prieš laiką gimusiems ir išnešiotiems naujagimiams, kūdikiams, vaikams ir paaugliams.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outlineLvl w:val="3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 w:eastAsia="lt-LT"/>
        </w:rPr>
      </w:pPr>
      <w:r w:rsidRPr="007256F4">
        <w:rPr>
          <w:rFonts w:ascii="Times New Roman" w:eastAsia="Times New Roman" w:hAnsi="Times New Roman"/>
          <w:b/>
          <w:bCs/>
          <w:lang w:val="lt-LT" w:eastAsia="lt-LT"/>
        </w:rPr>
        <w:t xml:space="preserve">Kiti vaistai ir </w:t>
      </w:r>
      <w:proofErr w:type="spellStart"/>
      <w:r w:rsidRPr="00610115">
        <w:rPr>
          <w:rFonts w:ascii="Times New Roman" w:eastAsia="Times New Roman" w:hAnsi="Times New Roman"/>
          <w:b/>
          <w:bCs/>
          <w:lang w:val="lt-LT" w:eastAsia="lt-LT"/>
        </w:rPr>
        <w:t>Infutraze</w:t>
      </w:r>
      <w:proofErr w:type="spellEnd"/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Jeigu Jūsų vaikas vartoja ar neseniai vartojo kitų vaistų arba dėl to nesate tikri, apie tai pasakykite gydytojui.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709" w:hanging="709"/>
        <w:outlineLvl w:val="2"/>
        <w:rPr>
          <w:rFonts w:ascii="Times New Roman" w:eastAsia="Times New Roman" w:hAnsi="Times New Roman"/>
          <w:b/>
          <w:lang w:val="lt-LT" w:eastAsia="lt-LT"/>
        </w:rPr>
      </w:pPr>
      <w:r w:rsidRPr="007256F4">
        <w:rPr>
          <w:rFonts w:ascii="Times New Roman" w:eastAsia="Times New Roman" w:hAnsi="Times New Roman"/>
          <w:b/>
          <w:lang w:val="lt-LT" w:eastAsia="lt-LT"/>
        </w:rPr>
        <w:t>Nėštumas ir žindymo laikotarpis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Jeigu Jūsų dukra yra nėščia arba žindo kūdikį, tai prieš jai vartojant šį vaistą pasitarkite su gydytoju.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  <w:proofErr w:type="spellStart"/>
      <w:r w:rsidRPr="00610115">
        <w:rPr>
          <w:rFonts w:ascii="Times New Roman" w:eastAsia="Times New Roman" w:hAnsi="Times New Roman"/>
          <w:b/>
          <w:lang w:val="lt-LT" w:eastAsia="lt-LT"/>
        </w:rPr>
        <w:t>Infutraze</w:t>
      </w:r>
      <w:proofErr w:type="spellEnd"/>
      <w:r w:rsidRPr="007256F4">
        <w:rPr>
          <w:rFonts w:ascii="Times New Roman" w:eastAsia="Times New Roman" w:hAnsi="Times New Roman"/>
          <w:b/>
          <w:lang w:val="lt-LT" w:eastAsia="lt-LT"/>
        </w:rPr>
        <w:t xml:space="preserve"> sudėtyje yra natrio ir kalio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10 ml ampulėje yra mažiau kaip 1 </w:t>
      </w:r>
      <w:proofErr w:type="spellStart"/>
      <w:r w:rsidRPr="007256F4">
        <w:rPr>
          <w:rFonts w:ascii="Times New Roman" w:eastAsia="Times New Roman" w:hAnsi="Times New Roman"/>
          <w:lang w:val="lt-LT"/>
        </w:rPr>
        <w:t>mmol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(23 mg) natrio, t.</w:t>
      </w:r>
      <w:r>
        <w:rPr>
          <w:rFonts w:ascii="Times New Roman" w:eastAsia="Times New Roman" w:hAnsi="Times New Roman"/>
          <w:lang w:val="lt-LT"/>
        </w:rPr>
        <w:t> </w:t>
      </w:r>
      <w:r w:rsidRPr="007256F4">
        <w:rPr>
          <w:rFonts w:ascii="Times New Roman" w:eastAsia="Times New Roman" w:hAnsi="Times New Roman"/>
          <w:lang w:val="lt-LT"/>
        </w:rPr>
        <w:t>y. jis beveik neturi reikšmės.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10 ml ampulėje yra mažiau kaip 1 </w:t>
      </w:r>
      <w:proofErr w:type="spellStart"/>
      <w:r w:rsidRPr="007256F4">
        <w:rPr>
          <w:rFonts w:ascii="Times New Roman" w:eastAsia="Times New Roman" w:hAnsi="Times New Roman"/>
          <w:lang w:val="lt-LT"/>
        </w:rPr>
        <w:t>mmol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(39 mg) kalio, t.</w:t>
      </w:r>
      <w:r>
        <w:rPr>
          <w:rFonts w:ascii="Times New Roman" w:eastAsia="Times New Roman" w:hAnsi="Times New Roman"/>
          <w:lang w:val="lt-LT"/>
        </w:rPr>
        <w:t> </w:t>
      </w:r>
      <w:r w:rsidRPr="007256F4">
        <w:rPr>
          <w:rFonts w:ascii="Times New Roman" w:eastAsia="Times New Roman" w:hAnsi="Times New Roman"/>
          <w:lang w:val="lt-LT"/>
        </w:rPr>
        <w:t>y. jis beveik neturi reikšmės.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b/>
          <w:bCs/>
          <w:lang w:val="lt-LT" w:eastAsia="lt-LT"/>
        </w:rPr>
      </w:pPr>
      <w:r w:rsidRPr="007256F4">
        <w:rPr>
          <w:rFonts w:ascii="Times New Roman" w:eastAsia="Times New Roman" w:hAnsi="Times New Roman"/>
          <w:b/>
          <w:bCs/>
          <w:lang w:val="lt-LT" w:eastAsia="lt-LT"/>
        </w:rPr>
        <w:t>3.</w:t>
      </w:r>
      <w:r w:rsidRPr="007256F4">
        <w:rPr>
          <w:rFonts w:ascii="Times New Roman" w:eastAsia="Times New Roman" w:hAnsi="Times New Roman"/>
          <w:b/>
          <w:bCs/>
          <w:lang w:val="lt-LT" w:eastAsia="lt-LT"/>
        </w:rPr>
        <w:tab/>
        <w:t xml:space="preserve">Kaip vartoti </w:t>
      </w:r>
      <w:proofErr w:type="spellStart"/>
      <w:r w:rsidRPr="00610115">
        <w:rPr>
          <w:rFonts w:ascii="Times New Roman" w:eastAsia="Times New Roman" w:hAnsi="Times New Roman"/>
          <w:b/>
          <w:bCs/>
          <w:lang w:val="lt-LT" w:eastAsia="lt-LT"/>
        </w:rPr>
        <w:t>Infutraze</w:t>
      </w:r>
      <w:proofErr w:type="spellEnd"/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52CF2" w:rsidRDefault="006531A3" w:rsidP="006531A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noProof/>
          <w:lang w:val="lt-LT"/>
        </w:rPr>
      </w:pPr>
      <w:r w:rsidRPr="00610115">
        <w:rPr>
          <w:rFonts w:ascii="Times New Roman" w:hAnsi="Times New Roman"/>
          <w:noProof/>
          <w:lang w:val="lt-LT"/>
        </w:rPr>
        <w:t>Infutraze</w:t>
      </w:r>
      <w:r w:rsidRPr="007256F4">
        <w:rPr>
          <w:rFonts w:ascii="Times New Roman" w:hAnsi="Times New Roman"/>
          <w:noProof/>
          <w:lang w:val="lt-LT"/>
        </w:rPr>
        <w:t xml:space="preserve"> Jūsų vaikui bus skiriamas intraveninės infuzijos būdu (lašinant į kraują)</w:t>
      </w:r>
      <w:r>
        <w:rPr>
          <w:rFonts w:ascii="Times New Roman" w:hAnsi="Times New Roman"/>
          <w:noProof/>
          <w:lang w:val="lt-LT"/>
        </w:rPr>
        <w:t xml:space="preserve">, kurią atliks </w:t>
      </w:r>
      <w:r w:rsidRPr="007256F4">
        <w:rPr>
          <w:rFonts w:ascii="Times New Roman" w:hAnsi="Times New Roman"/>
          <w:noProof/>
          <w:lang w:val="lt-LT"/>
        </w:rPr>
        <w:t>sveikatos priežiūros specialist</w:t>
      </w:r>
      <w:r>
        <w:rPr>
          <w:rFonts w:ascii="Times New Roman" w:hAnsi="Times New Roman"/>
          <w:noProof/>
          <w:lang w:val="lt-LT"/>
        </w:rPr>
        <w:t xml:space="preserve">as. </w:t>
      </w:r>
      <w:r w:rsidRPr="00610115">
        <w:rPr>
          <w:rFonts w:ascii="Times New Roman" w:hAnsi="Times New Roman"/>
          <w:noProof/>
          <w:lang w:val="lt-LT"/>
        </w:rPr>
        <w:t>Infutraze</w:t>
      </w:r>
      <w:r w:rsidRPr="00752CF2">
        <w:rPr>
          <w:rFonts w:ascii="Times New Roman" w:hAnsi="Times New Roman"/>
          <w:noProof/>
          <w:lang w:val="lt-LT"/>
        </w:rPr>
        <w:t xml:space="preserve"> visada bus skiriamas praskiestas kitu parenterinio maitinimo tirpalu.</w:t>
      </w:r>
    </w:p>
    <w:p w:rsidR="006531A3" w:rsidRPr="00752CF2" w:rsidRDefault="006531A3" w:rsidP="006531A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noProof/>
          <w:lang w:val="lt-LT"/>
        </w:rPr>
      </w:pPr>
    </w:p>
    <w:p w:rsidR="006531A3" w:rsidRPr="00752CF2" w:rsidRDefault="006531A3" w:rsidP="006531A3">
      <w:pPr>
        <w:numPr>
          <w:ilvl w:val="12"/>
          <w:numId w:val="0"/>
        </w:numPr>
        <w:spacing w:after="0" w:line="240" w:lineRule="auto"/>
        <w:rPr>
          <w:rFonts w:ascii="Times New Roman" w:hAnsi="Times New Roman"/>
          <w:noProof/>
          <w:lang w:val="lt-LT"/>
        </w:rPr>
      </w:pPr>
      <w:r w:rsidRPr="00752CF2">
        <w:rPr>
          <w:rFonts w:ascii="Times New Roman" w:hAnsi="Times New Roman"/>
          <w:noProof/>
          <w:lang w:val="lt-LT"/>
        </w:rPr>
        <w:t>Gydytojas dozę Jūsų vaikui parinks individualiai, atsižvelgdamas į jo kūno svorį ir būklę.</w:t>
      </w:r>
    </w:p>
    <w:p w:rsidR="006531A3" w:rsidRPr="00752CF2" w:rsidRDefault="006531A3" w:rsidP="006531A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val="lt-LT"/>
        </w:rPr>
      </w:pPr>
    </w:p>
    <w:p w:rsidR="006531A3" w:rsidRPr="00752CF2" w:rsidRDefault="006531A3" w:rsidP="006531A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val="lt-LT"/>
        </w:rPr>
      </w:pPr>
      <w:r w:rsidRPr="00752CF2">
        <w:rPr>
          <w:rFonts w:ascii="Times New Roman" w:hAnsi="Times New Roman"/>
          <w:noProof/>
          <w:lang w:val="lt-LT"/>
        </w:rPr>
        <w:t>Jei parenterinis maitinimas skiriamas ilgiau nei 3 savaites, rekomenduojama kasdien infuzuoti ir geležies, o kai parenterinis maitinimas skiriamas ilgiau nei 4 savaites, papildomai reikia infuzuoti molibdeno.</w:t>
      </w:r>
    </w:p>
    <w:p w:rsidR="006531A3" w:rsidRPr="00752CF2" w:rsidRDefault="006531A3" w:rsidP="006531A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val="lt-LT"/>
        </w:rPr>
      </w:pPr>
    </w:p>
    <w:p w:rsidR="006531A3" w:rsidRPr="00752CF2" w:rsidRDefault="006531A3" w:rsidP="006531A3">
      <w:pPr>
        <w:numPr>
          <w:ilvl w:val="12"/>
          <w:numId w:val="0"/>
        </w:numPr>
        <w:spacing w:after="0" w:line="240" w:lineRule="auto"/>
        <w:ind w:right="-2"/>
        <w:outlineLvl w:val="0"/>
        <w:rPr>
          <w:rFonts w:ascii="Times New Roman" w:hAnsi="Times New Roman"/>
          <w:b/>
          <w:noProof/>
          <w:lang w:val="lt-LT"/>
        </w:rPr>
      </w:pPr>
      <w:r w:rsidRPr="00752CF2">
        <w:rPr>
          <w:rFonts w:ascii="Times New Roman" w:hAnsi="Times New Roman"/>
          <w:b/>
          <w:noProof/>
          <w:lang w:val="lt-LT"/>
        </w:rPr>
        <w:t xml:space="preserve">Ką daryti pavartojus per didelę </w:t>
      </w:r>
      <w:r w:rsidRPr="00610115">
        <w:rPr>
          <w:rFonts w:ascii="Times New Roman" w:hAnsi="Times New Roman"/>
          <w:b/>
          <w:noProof/>
          <w:lang w:val="lt-LT"/>
        </w:rPr>
        <w:t>Infutraze</w:t>
      </w:r>
      <w:r w:rsidRPr="00752CF2">
        <w:rPr>
          <w:rFonts w:ascii="Times New Roman" w:hAnsi="Times New Roman"/>
          <w:b/>
          <w:noProof/>
          <w:lang w:val="lt-LT"/>
        </w:rPr>
        <w:t xml:space="preserve"> dozę</w:t>
      </w:r>
    </w:p>
    <w:p w:rsidR="006531A3" w:rsidRPr="007256F4" w:rsidRDefault="006531A3" w:rsidP="006531A3">
      <w:pPr>
        <w:pStyle w:val="Pagrindinistekstas"/>
        <w:tabs>
          <w:tab w:val="left" w:pos="567"/>
        </w:tabs>
        <w:spacing w:line="240" w:lineRule="auto"/>
        <w:rPr>
          <w:noProof/>
          <w:sz w:val="22"/>
          <w:szCs w:val="22"/>
        </w:rPr>
      </w:pPr>
      <w:r w:rsidRPr="007256F4">
        <w:rPr>
          <w:noProof/>
          <w:sz w:val="22"/>
          <w:szCs w:val="22"/>
        </w:rPr>
        <w:t xml:space="preserve">Nesitikima, kad Jūsų vaikui bus sulašinta per didelė </w:t>
      </w:r>
      <w:r w:rsidRPr="00610115">
        <w:rPr>
          <w:noProof/>
          <w:sz w:val="22"/>
          <w:szCs w:val="22"/>
        </w:rPr>
        <w:t>Infutraze</w:t>
      </w:r>
      <w:r w:rsidRPr="007256F4">
        <w:rPr>
          <w:noProof/>
          <w:sz w:val="22"/>
          <w:szCs w:val="22"/>
        </w:rPr>
        <w:t xml:space="preserve"> dozė, nes infuziją stebės sveikatos priežiūros specialistas. Jei manote, kad Jūsų vaikui buvo sulašinta per daug </w:t>
      </w:r>
      <w:r w:rsidRPr="00610115">
        <w:rPr>
          <w:noProof/>
          <w:sz w:val="22"/>
          <w:szCs w:val="22"/>
        </w:rPr>
        <w:t>Infutraze</w:t>
      </w:r>
      <w:r w:rsidRPr="007256F4">
        <w:rPr>
          <w:noProof/>
          <w:sz w:val="22"/>
          <w:szCs w:val="22"/>
        </w:rPr>
        <w:t>, pasakykite gydytojui.</w:t>
      </w:r>
    </w:p>
    <w:p w:rsidR="006531A3" w:rsidRPr="007256F4" w:rsidRDefault="006531A3" w:rsidP="006531A3">
      <w:pPr>
        <w:pStyle w:val="Pagrindinistekstas"/>
        <w:tabs>
          <w:tab w:val="left" w:pos="567"/>
        </w:tabs>
        <w:spacing w:line="240" w:lineRule="auto"/>
        <w:rPr>
          <w:noProof/>
        </w:rPr>
      </w:pPr>
    </w:p>
    <w:p w:rsidR="006531A3" w:rsidRPr="007256F4" w:rsidRDefault="006531A3" w:rsidP="006531A3">
      <w:pPr>
        <w:numPr>
          <w:ilvl w:val="12"/>
          <w:numId w:val="0"/>
        </w:numPr>
        <w:spacing w:after="0" w:line="240" w:lineRule="auto"/>
        <w:ind w:right="-2"/>
        <w:rPr>
          <w:rFonts w:ascii="Times New Roman" w:hAnsi="Times New Roman"/>
          <w:noProof/>
          <w:lang w:val="lt-LT"/>
        </w:rPr>
      </w:pPr>
      <w:r w:rsidRPr="007256F4">
        <w:rPr>
          <w:rFonts w:ascii="Times New Roman" w:hAnsi="Times New Roman"/>
          <w:noProof/>
          <w:lang w:val="lt-LT"/>
        </w:rPr>
        <w:t>Jeigu kiltų daugiau klausimų dėl šio vaisto vartojimo, kreipkitės į gydytoją arba slaugytoją.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</w:pPr>
      <w:r w:rsidRPr="007256F4"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  <w:t>4.</w:t>
      </w:r>
      <w:r w:rsidRPr="007256F4"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  <w:tab/>
        <w:t>Galimas šalutinis poveikis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Apie šalutinį poveikį nebuvo pranešta.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snapToGrid w:val="0"/>
          <w:szCs w:val="24"/>
          <w:lang w:val="lt-LT"/>
        </w:rPr>
      </w:pPr>
      <w:r w:rsidRPr="007256F4">
        <w:rPr>
          <w:rFonts w:ascii="Times New Roman" w:eastAsia="Times New Roman" w:hAnsi="Times New Roman"/>
          <w:b/>
          <w:noProof/>
          <w:snapToGrid w:val="0"/>
          <w:szCs w:val="24"/>
          <w:lang w:val="lt-LT"/>
        </w:rPr>
        <w:t>Pranešimas apie šalutinį poveikį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right="-449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7256F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Jeigu Jūsų vaikui pasireiškė šalutinis poveikis, pasakykite gydytojui, vaistininkui arba slaugytojui. Pranešimą apie šalutinį poveikį galite pateikti šiais būdais: tiesiogiai užpildant formą internetu Valstybinės vaistų kontrolės tarnybos prie Lietuvos Respublikos sveikatos apsaugos ministerijos Vaistinių preparatų informacinėje sistemoje </w:t>
      </w:r>
      <w:hyperlink r:id="rId5" w:history="1">
        <w:r w:rsidRPr="00EC1F91">
          <w:rPr>
            <w:rStyle w:val="Hipersaitas"/>
            <w:rFonts w:ascii="Times New Roman" w:eastAsia="Times New Roman" w:hAnsi="Times New Roman"/>
            <w:noProof/>
            <w:snapToGrid w:val="0"/>
            <w:szCs w:val="24"/>
            <w:lang w:val="lt-LT"/>
          </w:rPr>
          <w:t>https://vapris.vvkt.lt/vvkt-web/public/nrv</w:t>
        </w:r>
      </w:hyperlink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</w:t>
      </w:r>
      <w:r w:rsidRPr="007256F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arba užpildant Paciento pranešimo apie įtariamą nepageidaujamą reakciją (ĮNR) formą, kuri skelbiama </w:t>
      </w:r>
      <w:hyperlink r:id="rId6" w:history="1">
        <w:r w:rsidRPr="00EC1F91">
          <w:rPr>
            <w:rStyle w:val="Hipersaitas"/>
            <w:rFonts w:ascii="Times New Roman" w:eastAsia="Times New Roman" w:hAnsi="Times New Roman"/>
            <w:noProof/>
            <w:snapToGrid w:val="0"/>
            <w:szCs w:val="24"/>
            <w:lang w:val="lt-LT"/>
          </w:rPr>
          <w:t>https://www.vvkt.lt/index.php?4004286486</w:t>
        </w:r>
      </w:hyperlink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,</w:t>
      </w:r>
      <w:r w:rsidRPr="007256F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ir atsiunčiant elektroniniu paštu (adresu </w:t>
      </w:r>
      <w:hyperlink r:id="rId7" w:history="1">
        <w:r w:rsidRPr="00EC1F91">
          <w:rPr>
            <w:rStyle w:val="Hipersaitas"/>
            <w:rFonts w:ascii="Times New Roman" w:eastAsia="Times New Roman" w:hAnsi="Times New Roman"/>
            <w:noProof/>
            <w:snapToGrid w:val="0"/>
            <w:szCs w:val="24"/>
            <w:lang w:val="lt-LT"/>
          </w:rPr>
          <w:t>NepageidaujamaR@vvkt.lt</w:t>
        </w:r>
      </w:hyperlink>
      <w:r>
        <w:rPr>
          <w:rFonts w:ascii="Times New Roman" w:eastAsia="Times New Roman" w:hAnsi="Times New Roman"/>
          <w:noProof/>
          <w:snapToGrid w:val="0"/>
          <w:szCs w:val="24"/>
          <w:lang w:val="lt-LT"/>
        </w:rPr>
        <w:t>)</w:t>
      </w:r>
      <w:r w:rsidRPr="007256F4">
        <w:rPr>
          <w:rFonts w:ascii="Times New Roman" w:eastAsia="Times New Roman" w:hAnsi="Times New Roman"/>
          <w:noProof/>
          <w:snapToGrid w:val="0"/>
          <w:szCs w:val="24"/>
          <w:lang w:val="lt-LT"/>
        </w:rPr>
        <w:t xml:space="preserve"> arba nemokamu telefonu 8 800 73 568. Pranešdami apie šalutinį poveikį galite mums padėti gauti daugiau informacijos apie šio vaisto saugumą.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right="-449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</w:pPr>
      <w:r w:rsidRPr="007256F4"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  <w:t>5.</w:t>
      </w:r>
      <w:r w:rsidRPr="007256F4"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  <w:tab/>
        <w:t xml:space="preserve">Kaip laikyti </w:t>
      </w:r>
      <w:proofErr w:type="spellStart"/>
      <w:r w:rsidRPr="00610115"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  <w:t>Infutraze</w:t>
      </w:r>
      <w:proofErr w:type="spellEnd"/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numPr>
          <w:ilvl w:val="12"/>
          <w:numId w:val="0"/>
        </w:numPr>
        <w:spacing w:after="0" w:line="240" w:lineRule="auto"/>
        <w:ind w:right="-2"/>
        <w:rPr>
          <w:rFonts w:ascii="Times New Roman" w:eastAsia="Times New Roman" w:hAnsi="Times New Roman"/>
          <w:snapToGrid w:val="0"/>
          <w:szCs w:val="24"/>
          <w:lang w:val="lt-LT"/>
        </w:rPr>
      </w:pPr>
      <w:r w:rsidRPr="007256F4">
        <w:rPr>
          <w:rFonts w:ascii="Times New Roman" w:eastAsia="Times New Roman" w:hAnsi="Times New Roman"/>
          <w:noProof/>
          <w:snapToGrid w:val="0"/>
          <w:szCs w:val="24"/>
          <w:lang w:val="lt-LT"/>
        </w:rPr>
        <w:t>Šį vaistą laikykite vaikams nepastebimoje ir nepasiekiamoje vietoje.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Laikyti ne aukštesnėje kaip 25 ºC temperatūroje. Negalima užšaldyti.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hAnsi="Times New Roman"/>
          <w:noProof/>
          <w:lang w:val="lt-LT"/>
        </w:rPr>
      </w:pPr>
      <w:r w:rsidRPr="007256F4">
        <w:rPr>
          <w:rFonts w:ascii="Times New Roman" w:hAnsi="Times New Roman"/>
          <w:noProof/>
          <w:lang w:val="lt-LT"/>
        </w:rPr>
        <w:t>Pastebėjus matomų gedimo požymių, šio vaisto vartoti negalima.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 xml:space="preserve">Ant dėžutės ir ampulės etiketės po „EXP“ nurodytam tinkamumo laikui pasibaigus, šio vaisto vartoti negalima. </w:t>
      </w:r>
      <w:r w:rsidRPr="007256F4">
        <w:rPr>
          <w:rFonts w:ascii="Times New Roman" w:hAnsi="Times New Roman"/>
          <w:lang w:val="lt-LT"/>
        </w:rPr>
        <w:t>Vaistas tinkamas vartoti iki paskutinės nurodyto mėnesio dienos.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7256F4">
        <w:rPr>
          <w:rFonts w:ascii="Times New Roman" w:eastAsia="Times New Roman" w:hAnsi="Times New Roman"/>
          <w:i/>
          <w:lang w:val="lt-LT"/>
        </w:rPr>
        <w:t>Tinkamumo laikas po sumaišymo</w:t>
      </w:r>
    </w:p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iCs/>
          <w:lang w:val="lt-LT"/>
        </w:rPr>
      </w:pPr>
      <w:r w:rsidRPr="007256F4">
        <w:rPr>
          <w:rFonts w:ascii="Times New Roman" w:eastAsia="Times New Roman" w:hAnsi="Times New Roman"/>
          <w:iCs/>
          <w:lang w:val="lt-LT"/>
        </w:rPr>
        <w:t xml:space="preserve">Įrodyta, kad po sumaišymo vaistas 2–8 °C temperatūroje išlieka stabilus </w:t>
      </w:r>
      <w:r>
        <w:rPr>
          <w:rFonts w:ascii="Times New Roman" w:eastAsia="Times New Roman" w:hAnsi="Times New Roman"/>
          <w:iCs/>
          <w:lang w:val="lt-LT"/>
        </w:rPr>
        <w:t xml:space="preserve">iki </w:t>
      </w:r>
      <w:r w:rsidRPr="007256F4">
        <w:rPr>
          <w:rFonts w:ascii="Times New Roman" w:eastAsia="Times New Roman" w:hAnsi="Times New Roman"/>
          <w:iCs/>
          <w:lang w:val="lt-LT"/>
        </w:rPr>
        <w:t>7 dien</w:t>
      </w:r>
      <w:r>
        <w:rPr>
          <w:rFonts w:ascii="Times New Roman" w:eastAsia="Times New Roman" w:hAnsi="Times New Roman"/>
          <w:iCs/>
          <w:lang w:val="lt-LT"/>
        </w:rPr>
        <w:t>ų</w:t>
      </w:r>
      <w:r w:rsidRPr="007256F4">
        <w:rPr>
          <w:rFonts w:ascii="Times New Roman" w:eastAsia="Times New Roman" w:hAnsi="Times New Roman"/>
          <w:iCs/>
          <w:lang w:val="lt-LT"/>
        </w:rPr>
        <w:t>, po to dar 48 valandas jį laikant 20–25 °C temperatūroje, įskaitant vartojimo trukmę. Mikrobiologiniu požiūriu vaistą reikia suvartoti nedelsiant. Nesuvartojus nedelsiant, už laikymo iki vartojimo trukmę ir sąlygas atsako vartotojas. Paprastai laikymo trukmė neturėtų viršyti 24 valandų 2–8 °C temperatūroje.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40" w:lineRule="auto"/>
        <w:outlineLvl w:val="2"/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</w:pPr>
      <w:r w:rsidRPr="007256F4"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  <w:t>6.</w:t>
      </w:r>
      <w:r w:rsidRPr="007256F4">
        <w:rPr>
          <w:rFonts w:ascii="Times New Roman" w:eastAsia="Times New Roman" w:hAnsi="Times New Roman"/>
          <w:bCs/>
          <w:snapToGrid w:val="0"/>
          <w:szCs w:val="26"/>
          <w:lang w:val="lt-LT" w:eastAsia="x-none"/>
        </w:rPr>
        <w:tab/>
      </w:r>
      <w:r w:rsidRPr="007256F4">
        <w:rPr>
          <w:rFonts w:ascii="Times New Roman" w:eastAsia="Times New Roman" w:hAnsi="Times New Roman"/>
          <w:b/>
          <w:bCs/>
          <w:snapToGrid w:val="0"/>
          <w:szCs w:val="26"/>
          <w:lang w:val="lt-LT" w:eastAsia="x-none"/>
        </w:rPr>
        <w:t>Pakuotės turinys ir kita informacija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  <w:proofErr w:type="spellStart"/>
      <w:r w:rsidRPr="00610115">
        <w:rPr>
          <w:rFonts w:ascii="Times New Roman" w:eastAsia="Times New Roman" w:hAnsi="Times New Roman"/>
          <w:b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b/>
          <w:lang w:val="lt-LT"/>
        </w:rPr>
        <w:t xml:space="preserve"> sudėtis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FE7835" w:rsidRDefault="006531A3" w:rsidP="006531A3">
      <w:pPr>
        <w:pStyle w:val="Sraopastraipa"/>
        <w:numPr>
          <w:ilvl w:val="0"/>
          <w:numId w:val="1"/>
        </w:numPr>
        <w:spacing w:after="0" w:line="240" w:lineRule="auto"/>
        <w:ind w:hanging="567"/>
        <w:rPr>
          <w:rFonts w:ascii="Times New Roman" w:eastAsia="Times New Roman" w:hAnsi="Times New Roman"/>
          <w:i/>
          <w:iCs/>
          <w:lang w:val="lt-LT"/>
        </w:rPr>
      </w:pPr>
      <w:r w:rsidRPr="007256F4">
        <w:rPr>
          <w:rFonts w:ascii="Times New Roman" w:eastAsia="Times New Roman" w:hAnsi="Times New Roman"/>
          <w:i/>
          <w:iCs/>
          <w:lang w:val="lt-LT"/>
        </w:rPr>
        <w:t>Veikliosios medžiagos yra:</w:t>
      </w:r>
    </w:p>
    <w:tbl>
      <w:tblPr>
        <w:tblpPr w:leftFromText="180" w:rightFromText="180" w:vertAnchor="text" w:tblpX="70" w:tblpY="131"/>
        <w:tblW w:w="78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3"/>
        <w:gridCol w:w="2060"/>
        <w:gridCol w:w="2361"/>
      </w:tblGrid>
      <w:tr w:rsidR="006531A3" w:rsidRPr="00752CF2" w:rsidTr="00442DDE">
        <w:trPr>
          <w:trHeight w:val="274"/>
        </w:trPr>
        <w:tc>
          <w:tcPr>
            <w:tcW w:w="3473" w:type="dxa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b/>
                <w:bCs/>
                <w:lang w:val="lt-LT"/>
              </w:rPr>
            </w:pPr>
            <w:proofErr w:type="spellStart"/>
            <w:r w:rsidRPr="00610115">
              <w:rPr>
                <w:rFonts w:ascii="Times New Roman" w:hAnsi="Times New Roman"/>
                <w:b/>
                <w:bCs/>
                <w:lang w:val="lt-LT"/>
              </w:rPr>
              <w:t>Infutraze</w:t>
            </w:r>
            <w:proofErr w:type="spellEnd"/>
          </w:p>
        </w:tc>
        <w:tc>
          <w:tcPr>
            <w:tcW w:w="2060" w:type="dxa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1 ml</w:t>
            </w:r>
          </w:p>
        </w:tc>
        <w:tc>
          <w:tcPr>
            <w:tcW w:w="2361" w:type="dxa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1 ampulė (10 ml)</w:t>
            </w:r>
          </w:p>
        </w:tc>
      </w:tr>
      <w:tr w:rsidR="006531A3" w:rsidRPr="00752CF2" w:rsidTr="00442DDE">
        <w:trPr>
          <w:trHeight w:val="272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Cinko chloridas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1042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mikrogramai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10420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mikrogramų</w:t>
            </w:r>
            <w:proofErr w:type="spellEnd"/>
          </w:p>
        </w:tc>
      </w:tr>
      <w:tr w:rsidR="006531A3" w:rsidRPr="00752CF2" w:rsidTr="00442DDE">
        <w:trPr>
          <w:trHeight w:val="287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 xml:space="preserve">Vario chloridas </w:t>
            </w:r>
            <w:proofErr w:type="spellStart"/>
            <w:r w:rsidRPr="00752CF2">
              <w:rPr>
                <w:rFonts w:ascii="Times New Roman" w:hAnsi="Times New Roman"/>
                <w:lang w:val="lt-LT"/>
              </w:rPr>
              <w:t>dihidratas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107,4 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mikrogramo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1074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mikrogramai</w:t>
            </w:r>
            <w:proofErr w:type="spellEnd"/>
          </w:p>
        </w:tc>
      </w:tr>
      <w:tr w:rsidR="006531A3" w:rsidRPr="00752CF2" w:rsidTr="00442DDE">
        <w:trPr>
          <w:trHeight w:val="272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 xml:space="preserve">Mangano chloridas </w:t>
            </w:r>
            <w:proofErr w:type="spellStart"/>
            <w:r w:rsidRPr="00752CF2">
              <w:rPr>
                <w:rFonts w:ascii="Times New Roman" w:hAnsi="Times New Roman"/>
                <w:lang w:val="lt-LT"/>
              </w:rPr>
              <w:t>tetrahidratas</w:t>
            </w:r>
            <w:proofErr w:type="spellEnd"/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3,600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mikrogramo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36,00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mikrogramai</w:t>
            </w:r>
            <w:proofErr w:type="spellEnd"/>
          </w:p>
        </w:tc>
      </w:tr>
      <w:tr w:rsidR="006531A3" w:rsidRPr="00752CF2" w:rsidTr="00442DDE">
        <w:trPr>
          <w:trHeight w:val="272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Natrio selenitas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15,33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mikrogramo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153,3 </w:t>
            </w:r>
            <w:proofErr w:type="spellStart"/>
            <w:r w:rsidRPr="00752CF2">
              <w:rPr>
                <w:rFonts w:ascii="Times New Roman" w:hAnsi="Times New Roman"/>
                <w:lang w:val="lt-LT"/>
              </w:rPr>
              <w:t>mikrogramo</w:t>
            </w:r>
            <w:proofErr w:type="spellEnd"/>
          </w:p>
        </w:tc>
      </w:tr>
      <w:tr w:rsidR="006531A3" w:rsidRPr="00752CF2" w:rsidTr="00442DDE">
        <w:trPr>
          <w:trHeight w:val="257"/>
        </w:trPr>
        <w:tc>
          <w:tcPr>
            <w:tcW w:w="34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Kalio jodidas</w:t>
            </w:r>
          </w:p>
        </w:tc>
        <w:tc>
          <w:tcPr>
            <w:tcW w:w="20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2,567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mikrogramo</w:t>
            </w:r>
            <w:proofErr w:type="spellEnd"/>
          </w:p>
        </w:tc>
        <w:tc>
          <w:tcPr>
            <w:tcW w:w="2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lang w:val="lt-LT"/>
              </w:rPr>
            </w:pPr>
            <w:r w:rsidRPr="00752CF2">
              <w:rPr>
                <w:rFonts w:ascii="Times New Roman" w:hAnsi="Times New Roman"/>
                <w:lang w:val="lt-LT"/>
              </w:rPr>
              <w:t>25,67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mikrogramo</w:t>
            </w:r>
            <w:proofErr w:type="spellEnd"/>
          </w:p>
        </w:tc>
      </w:tr>
    </w:tbl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  <w:r w:rsidRPr="007256F4">
        <w:rPr>
          <w:rFonts w:ascii="Times New Roman" w:eastAsia="Times New Roman" w:hAnsi="Times New Roman"/>
          <w:bCs/>
          <w:lang w:val="lt-LT"/>
        </w:rPr>
        <w:t xml:space="preserve">1 ml </w:t>
      </w:r>
      <w:proofErr w:type="spellStart"/>
      <w:r w:rsidRPr="00610115">
        <w:rPr>
          <w:rFonts w:ascii="Times New Roman" w:eastAsia="Times New Roman" w:hAnsi="Times New Roman"/>
          <w:bCs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bCs/>
          <w:lang w:val="lt-LT"/>
        </w:rPr>
        <w:t xml:space="preserve"> esančios veikliosios medžiagos atitinka: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tbl>
      <w:tblPr>
        <w:tblW w:w="0" w:type="auto"/>
        <w:tblInd w:w="108" w:type="dxa"/>
        <w:tblLook w:val="04A0" w:firstRow="1" w:lastRow="0" w:firstColumn="1" w:lastColumn="0" w:noHBand="0" w:noVBand="1"/>
      </w:tblPr>
      <w:tblGrid>
        <w:gridCol w:w="2040"/>
        <w:gridCol w:w="2552"/>
        <w:gridCol w:w="3080"/>
      </w:tblGrid>
      <w:tr w:rsidR="006531A3" w:rsidRPr="00752CF2" w:rsidTr="00442DDE">
        <w:trPr>
          <w:trHeight w:val="149"/>
        </w:trPr>
        <w:tc>
          <w:tcPr>
            <w:tcW w:w="204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Cinko (</w:t>
            </w:r>
            <w:proofErr w:type="spellStart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Zn</w:t>
            </w:r>
            <w:proofErr w:type="spellEnd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7,64 </w:t>
            </w:r>
            <w:proofErr w:type="spellStart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mikromolio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500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mikrogramų</w:t>
            </w:r>
            <w:proofErr w:type="spellEnd"/>
          </w:p>
        </w:tc>
      </w:tr>
      <w:tr w:rsidR="006531A3" w:rsidRPr="00752CF2" w:rsidTr="00442DDE">
        <w:tc>
          <w:tcPr>
            <w:tcW w:w="204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Vario (</w:t>
            </w:r>
            <w:proofErr w:type="spellStart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Cu</w:t>
            </w:r>
            <w:proofErr w:type="spellEnd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0,630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mikromolio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40,0 </w:t>
            </w:r>
            <w:proofErr w:type="spellStart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mikrogramų</w:t>
            </w:r>
            <w:proofErr w:type="spellEnd"/>
          </w:p>
        </w:tc>
      </w:tr>
      <w:tr w:rsidR="006531A3" w:rsidRPr="00752CF2" w:rsidTr="00442DDE">
        <w:tc>
          <w:tcPr>
            <w:tcW w:w="204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Mangano (</w:t>
            </w:r>
            <w:proofErr w:type="spellStart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Mn</w:t>
            </w:r>
            <w:proofErr w:type="spellEnd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0,0182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mikromolio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1,00 </w:t>
            </w:r>
            <w:proofErr w:type="spellStart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mikrogramą</w:t>
            </w:r>
            <w:proofErr w:type="spellEnd"/>
          </w:p>
        </w:tc>
      </w:tr>
      <w:tr w:rsidR="006531A3" w:rsidRPr="00752CF2" w:rsidTr="00442DDE">
        <w:tc>
          <w:tcPr>
            <w:tcW w:w="204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Seleno (</w:t>
            </w:r>
            <w:proofErr w:type="spellStart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Se</w:t>
            </w:r>
            <w:proofErr w:type="spellEnd"/>
            <w:r w:rsidRPr="007256F4">
              <w:rPr>
                <w:rFonts w:ascii="Times New Roman" w:eastAsia="Times New Roman" w:hAnsi="Times New Roman"/>
                <w:bCs/>
                <w:lang w:val="lt-LT"/>
              </w:rPr>
              <w:t>)</w:t>
            </w:r>
          </w:p>
        </w:tc>
        <w:tc>
          <w:tcPr>
            <w:tcW w:w="2552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0,0887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mikromolio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7,00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mikrogramus</w:t>
            </w:r>
            <w:proofErr w:type="spellEnd"/>
          </w:p>
        </w:tc>
      </w:tr>
      <w:tr w:rsidR="006531A3" w:rsidRPr="00752CF2" w:rsidTr="00442DDE">
        <w:tc>
          <w:tcPr>
            <w:tcW w:w="204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Jodo (I)</w:t>
            </w:r>
          </w:p>
        </w:tc>
        <w:tc>
          <w:tcPr>
            <w:tcW w:w="2552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0,0155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mikromolio</w:t>
            </w:r>
            <w:proofErr w:type="spellEnd"/>
          </w:p>
        </w:tc>
        <w:tc>
          <w:tcPr>
            <w:tcW w:w="3080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ind w:left="-227" w:firstLine="142"/>
              <w:rPr>
                <w:rFonts w:ascii="Times New Roman" w:hAnsi="Times New Roman"/>
                <w:lang w:val="lt-LT"/>
              </w:rPr>
            </w:pPr>
            <w:r w:rsidRPr="007256F4">
              <w:rPr>
                <w:rFonts w:ascii="Times New Roman" w:eastAsia="Times New Roman" w:hAnsi="Times New Roman"/>
                <w:bCs/>
                <w:lang w:val="lt-LT"/>
              </w:rPr>
              <w:t>1,96</w:t>
            </w:r>
            <w:r w:rsidRPr="007256F4">
              <w:rPr>
                <w:rFonts w:ascii="Times New Roman" w:eastAsia="Times New Roman" w:hAnsi="Times New Roman"/>
                <w:lang w:val="lt-LT"/>
              </w:rPr>
              <w:t> </w:t>
            </w:r>
            <w:proofErr w:type="spellStart"/>
            <w:r w:rsidRPr="007256F4">
              <w:rPr>
                <w:rFonts w:ascii="Times New Roman" w:eastAsia="Times New Roman" w:hAnsi="Times New Roman"/>
                <w:lang w:val="lt-LT"/>
              </w:rPr>
              <w:t>mikrogramo</w:t>
            </w:r>
            <w:proofErr w:type="spellEnd"/>
          </w:p>
        </w:tc>
      </w:tr>
    </w:tbl>
    <w:p w:rsidR="006531A3" w:rsidRPr="007256F4" w:rsidRDefault="006531A3" w:rsidP="006531A3">
      <w:pPr>
        <w:tabs>
          <w:tab w:val="left" w:pos="567"/>
        </w:tabs>
        <w:spacing w:after="0" w:line="240" w:lineRule="auto"/>
        <w:ind w:left="60"/>
        <w:rPr>
          <w:rFonts w:ascii="Times New Roman" w:eastAsia="Times New Roman" w:hAnsi="Times New Roman"/>
          <w:bCs/>
          <w:lang w:val="lt-LT"/>
        </w:rPr>
      </w:pPr>
    </w:p>
    <w:p w:rsidR="006531A3" w:rsidRPr="007256F4" w:rsidRDefault="006531A3" w:rsidP="006531A3">
      <w:pPr>
        <w:pStyle w:val="Sraopastraipa"/>
        <w:numPr>
          <w:ilvl w:val="0"/>
          <w:numId w:val="1"/>
        </w:numPr>
        <w:spacing w:after="0" w:line="240" w:lineRule="auto"/>
        <w:ind w:hanging="567"/>
        <w:rPr>
          <w:rFonts w:ascii="Times New Roman" w:eastAsia="Times New Roman" w:hAnsi="Times New Roman"/>
          <w:i/>
          <w:iCs/>
          <w:lang w:val="lt-LT"/>
        </w:rPr>
      </w:pPr>
      <w:r w:rsidRPr="007256F4">
        <w:rPr>
          <w:rFonts w:ascii="Times New Roman" w:eastAsia="Times New Roman" w:hAnsi="Times New Roman"/>
          <w:i/>
          <w:iCs/>
          <w:lang w:val="lt-LT"/>
        </w:rPr>
        <w:t>Pagalbinės medžiagos yra:</w:t>
      </w:r>
    </w:p>
    <w:p w:rsidR="006531A3" w:rsidRPr="007256F4" w:rsidRDefault="006531A3" w:rsidP="006531A3">
      <w:pPr>
        <w:pStyle w:val="Sraopastraipa"/>
        <w:spacing w:after="0" w:line="240" w:lineRule="auto"/>
        <w:ind w:left="0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vandenilio chlorido rūgštis (pH koreguoti), injekcinis vanduo.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  <w:proofErr w:type="spellStart"/>
      <w:r w:rsidRPr="00610115">
        <w:rPr>
          <w:rFonts w:ascii="Times New Roman" w:eastAsia="Times New Roman" w:hAnsi="Times New Roman"/>
          <w:b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b/>
          <w:lang w:val="lt-LT"/>
        </w:rPr>
        <w:t xml:space="preserve"> išvaizda ir kiekis pakuotėje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koncentratas infuziniam tirpalui yra </w:t>
      </w:r>
      <w:r w:rsidRPr="007256F4">
        <w:rPr>
          <w:rFonts w:ascii="Times New Roman" w:eastAsia="Times New Roman" w:hAnsi="Times New Roman"/>
          <w:lang w:val="lt-LT" w:eastAsia="lt-LT"/>
        </w:rPr>
        <w:t>skaidrus ir beveik bespalvis</w:t>
      </w:r>
      <w:r w:rsidRPr="007256F4">
        <w:rPr>
          <w:rFonts w:ascii="Times New Roman" w:eastAsia="Times New Roman" w:hAnsi="Times New Roman"/>
          <w:lang w:val="lt-LT"/>
        </w:rPr>
        <w:t>. Jis tiekiamas 10 ml skaidriose polipropileno ampulėse</w:t>
      </w:r>
      <w:r w:rsidRPr="007256F4">
        <w:rPr>
          <w:rFonts w:ascii="Times New Roman" w:eastAsia="Times New Roman" w:hAnsi="Times New Roman"/>
          <w:lang w:val="lt-LT" w:eastAsia="lt-LT"/>
        </w:rPr>
        <w:t>.</w:t>
      </w:r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keepNext/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i/>
          <w:iCs/>
          <w:lang w:val="lt-LT" w:eastAsia="lt-LT"/>
        </w:rPr>
      </w:pPr>
      <w:r w:rsidRPr="007256F4">
        <w:rPr>
          <w:rFonts w:ascii="Times New Roman" w:eastAsia="Times New Roman" w:hAnsi="Times New Roman"/>
          <w:i/>
          <w:iCs/>
          <w:lang w:val="lt-LT" w:eastAsia="lt-LT"/>
        </w:rPr>
        <w:t>Pakuotės dydžiai:</w:t>
      </w:r>
    </w:p>
    <w:p w:rsidR="006531A3" w:rsidRPr="007256F4" w:rsidRDefault="006531A3" w:rsidP="006531A3">
      <w:pPr>
        <w:keepNext/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20 x 10 ml ampulių kartono dėžutėje</w:t>
      </w:r>
    </w:p>
    <w:p w:rsidR="006531A3" w:rsidRPr="007256F4" w:rsidRDefault="006531A3" w:rsidP="006531A3">
      <w:pPr>
        <w:tabs>
          <w:tab w:val="left" w:pos="567"/>
          <w:tab w:val="center" w:pos="4153"/>
          <w:tab w:val="right" w:pos="8306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</w:pPr>
      <w:r w:rsidRPr="007256F4">
        <w:rPr>
          <w:rFonts w:ascii="Times New Roman" w:eastAsia="Times New Roman" w:hAnsi="Times New Roman"/>
          <w:b/>
          <w:bCs/>
          <w:snapToGrid w:val="0"/>
          <w:szCs w:val="28"/>
          <w:lang w:val="lt-LT" w:eastAsia="x-none"/>
        </w:rPr>
        <w:t>Registruotojas ir gamintojas</w:t>
      </w: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60" w:lineRule="exact"/>
        <w:jc w:val="both"/>
        <w:outlineLvl w:val="3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i/>
          <w:lang w:val="lt-LT"/>
        </w:rPr>
      </w:pPr>
      <w:r w:rsidRPr="007256F4">
        <w:rPr>
          <w:rFonts w:ascii="Times New Roman" w:eastAsia="Times New Roman" w:hAnsi="Times New Roman"/>
          <w:bCs/>
          <w:i/>
          <w:lang w:val="lt-LT"/>
        </w:rPr>
        <w:t>Registruotojas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proofErr w:type="spellStart"/>
      <w:r w:rsidRPr="007256F4">
        <w:rPr>
          <w:rFonts w:ascii="Times New Roman" w:eastAsia="Times New Roman" w:hAnsi="Times New Roman"/>
          <w:bCs/>
          <w:lang w:val="lt-LT"/>
        </w:rPr>
        <w:t>Fresenius</w:t>
      </w:r>
      <w:proofErr w:type="spellEnd"/>
      <w:r w:rsidRPr="007256F4">
        <w:rPr>
          <w:rFonts w:ascii="Times New Roman" w:eastAsia="Times New Roman" w:hAnsi="Times New Roman"/>
          <w:bCs/>
          <w:lang w:val="lt-LT"/>
        </w:rPr>
        <w:t xml:space="preserve"> Kabi AB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7256F4">
        <w:rPr>
          <w:rFonts w:ascii="Times New Roman" w:eastAsia="Times New Roman" w:hAnsi="Times New Roman"/>
          <w:bCs/>
          <w:lang w:val="lt-LT"/>
        </w:rPr>
        <w:t xml:space="preserve">SE-751 74 </w:t>
      </w:r>
      <w:proofErr w:type="spellStart"/>
      <w:r w:rsidRPr="007256F4">
        <w:rPr>
          <w:rFonts w:ascii="Times New Roman" w:eastAsia="Times New Roman" w:hAnsi="Times New Roman"/>
          <w:bCs/>
          <w:lang w:val="lt-LT"/>
        </w:rPr>
        <w:t>Uppsala</w:t>
      </w:r>
      <w:proofErr w:type="spellEnd"/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Cs/>
          <w:lang w:val="lt-LT"/>
        </w:rPr>
      </w:pPr>
      <w:r w:rsidRPr="007256F4">
        <w:rPr>
          <w:rFonts w:ascii="Times New Roman" w:eastAsia="Times New Roman" w:hAnsi="Times New Roman"/>
          <w:bCs/>
          <w:lang w:val="lt-LT"/>
        </w:rPr>
        <w:t>Švedija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lang w:val="lt-LT"/>
        </w:rPr>
      </w:pPr>
      <w:r w:rsidRPr="007256F4">
        <w:rPr>
          <w:rFonts w:ascii="Times New Roman" w:eastAsia="Times New Roman" w:hAnsi="Times New Roman"/>
          <w:i/>
          <w:lang w:val="lt-LT"/>
        </w:rPr>
        <w:t>Gamintojas</w:t>
      </w:r>
    </w:p>
    <w:p w:rsidR="006531A3" w:rsidRPr="007256F4" w:rsidRDefault="006531A3" w:rsidP="006531A3">
      <w:pPr>
        <w:keepNext/>
        <w:tabs>
          <w:tab w:val="left" w:pos="567"/>
        </w:tabs>
        <w:overflowPunct w:val="0"/>
        <w:autoSpaceDE w:val="0"/>
        <w:autoSpaceDN w:val="0"/>
        <w:adjustRightInd w:val="0"/>
        <w:spacing w:after="0" w:line="240" w:lineRule="auto"/>
        <w:outlineLvl w:val="0"/>
        <w:rPr>
          <w:rFonts w:ascii="Times New Roman" w:eastAsia="Times New Roman" w:hAnsi="Times New Roman"/>
          <w:lang w:val="lt-LT" w:eastAsia="lt-LT"/>
        </w:rPr>
      </w:pPr>
      <w:r w:rsidRPr="001F0EAC">
        <w:rPr>
          <w:rFonts w:ascii="Times New Roman" w:eastAsia="Times New Roman" w:hAnsi="Times New Roman"/>
          <w:lang w:val="lt-LT" w:eastAsia="lt-LT"/>
        </w:rPr>
        <w:t xml:space="preserve">HP </w:t>
      </w:r>
      <w:proofErr w:type="spellStart"/>
      <w:r w:rsidRPr="001F0EAC">
        <w:rPr>
          <w:rFonts w:ascii="Times New Roman" w:eastAsia="Times New Roman" w:hAnsi="Times New Roman"/>
          <w:lang w:val="lt-LT" w:eastAsia="lt-LT"/>
        </w:rPr>
        <w:t>Halden</w:t>
      </w:r>
      <w:proofErr w:type="spellEnd"/>
      <w:r w:rsidRPr="001F0EAC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F0EAC">
        <w:rPr>
          <w:rFonts w:ascii="Times New Roman" w:eastAsia="Times New Roman" w:hAnsi="Times New Roman"/>
          <w:lang w:val="lt-LT" w:eastAsia="lt-LT"/>
        </w:rPr>
        <w:t>Pharma</w:t>
      </w:r>
      <w:proofErr w:type="spellEnd"/>
      <w:r w:rsidRPr="001F0EAC">
        <w:rPr>
          <w:rFonts w:ascii="Times New Roman" w:eastAsia="Times New Roman" w:hAnsi="Times New Roman"/>
          <w:lang w:val="lt-LT" w:eastAsia="lt-LT"/>
        </w:rPr>
        <w:t xml:space="preserve"> AS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7256F4">
        <w:rPr>
          <w:rFonts w:ascii="Times New Roman" w:eastAsia="Times New Roman" w:hAnsi="Times New Roman"/>
          <w:lang w:val="lt-LT"/>
        </w:rPr>
        <w:t>Svinesundsveien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80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 xml:space="preserve">NO-1788 </w:t>
      </w:r>
      <w:proofErr w:type="spellStart"/>
      <w:r w:rsidRPr="007256F4">
        <w:rPr>
          <w:rFonts w:ascii="Times New Roman" w:eastAsia="Times New Roman" w:hAnsi="Times New Roman"/>
          <w:lang w:val="lt-LT"/>
        </w:rPr>
        <w:t>Halden</w:t>
      </w:r>
      <w:proofErr w:type="spellEnd"/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>Norvegija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keepNext/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noProof/>
          <w:snapToGrid w:val="0"/>
          <w:szCs w:val="24"/>
          <w:lang w:val="lt-LT"/>
        </w:rPr>
      </w:pPr>
      <w:r w:rsidRPr="007256F4">
        <w:rPr>
          <w:rFonts w:ascii="Times New Roman" w:eastAsia="Times New Roman" w:hAnsi="Times New Roman"/>
          <w:noProof/>
          <w:snapToGrid w:val="0"/>
          <w:szCs w:val="24"/>
          <w:lang w:val="lt-LT"/>
        </w:rPr>
        <w:t>Jeigu apie šį vaistą norite sužinoti daugiau, kreipkitės į vietinį registruotojo atstovą:</w:t>
      </w:r>
    </w:p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highlight w:val="yellow"/>
          <w:lang w:val="lt-LT"/>
        </w:rPr>
      </w:pPr>
    </w:p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UAB „</w:t>
      </w:r>
      <w:proofErr w:type="spellStart"/>
      <w:r w:rsidRPr="007256F4">
        <w:rPr>
          <w:rFonts w:ascii="Times New Roman" w:eastAsia="Times New Roman" w:hAnsi="Times New Roman"/>
          <w:lang w:val="lt-LT" w:eastAsia="lt-LT"/>
        </w:rPr>
        <w:t>Fresenius</w:t>
      </w:r>
      <w:proofErr w:type="spellEnd"/>
      <w:r w:rsidRPr="007256F4">
        <w:rPr>
          <w:rFonts w:ascii="Times New Roman" w:eastAsia="Times New Roman" w:hAnsi="Times New Roman"/>
          <w:lang w:val="lt-LT" w:eastAsia="lt-LT"/>
        </w:rPr>
        <w:t xml:space="preserve"> Kabi </w:t>
      </w:r>
      <w:proofErr w:type="spellStart"/>
      <w:r w:rsidRPr="007256F4">
        <w:rPr>
          <w:rFonts w:ascii="Times New Roman" w:eastAsia="Times New Roman" w:hAnsi="Times New Roman"/>
          <w:lang w:val="lt-LT" w:eastAsia="lt-LT"/>
        </w:rPr>
        <w:t>Baltics</w:t>
      </w:r>
      <w:proofErr w:type="spellEnd"/>
      <w:r w:rsidRPr="007256F4">
        <w:rPr>
          <w:rFonts w:ascii="Times New Roman" w:eastAsia="Times New Roman" w:hAnsi="Times New Roman"/>
          <w:lang w:val="lt-LT" w:eastAsia="lt-LT"/>
        </w:rPr>
        <w:t>“</w:t>
      </w:r>
    </w:p>
    <w:p w:rsidR="006531A3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 xml:space="preserve">Tel. </w:t>
      </w:r>
      <w:r>
        <w:rPr>
          <w:rFonts w:ascii="Times New Roman" w:eastAsia="Times New Roman" w:hAnsi="Times New Roman"/>
          <w:lang w:val="lt-LT" w:eastAsia="lt-LT"/>
        </w:rPr>
        <w:t>+ 370</w:t>
      </w:r>
      <w:r w:rsidRPr="007256F4">
        <w:rPr>
          <w:rFonts w:ascii="Times New Roman" w:eastAsia="Times New Roman" w:hAnsi="Times New Roman"/>
          <w:lang w:val="lt-LT" w:eastAsia="lt-LT"/>
        </w:rPr>
        <w:t xml:space="preserve"> 5 </w:t>
      </w:r>
      <w:r>
        <w:rPr>
          <w:rFonts w:ascii="Times New Roman" w:eastAsia="Times New Roman" w:hAnsi="Times New Roman"/>
          <w:lang w:val="lt-LT" w:eastAsia="lt-LT"/>
        </w:rPr>
        <w:t xml:space="preserve"> </w:t>
      </w:r>
      <w:r w:rsidRPr="007256F4">
        <w:rPr>
          <w:rFonts w:ascii="Times New Roman" w:eastAsia="Times New Roman" w:hAnsi="Times New Roman"/>
          <w:lang w:val="lt-LT" w:eastAsia="lt-LT"/>
        </w:rPr>
        <w:t>252 3213</w:t>
      </w:r>
    </w:p>
    <w:p w:rsidR="006531A3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AF5CAE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  <w:r w:rsidRPr="00AF5CAE">
        <w:rPr>
          <w:rFonts w:ascii="Times New Roman" w:hAnsi="Times New Roman"/>
          <w:b/>
          <w:lang w:val="lt-LT"/>
        </w:rPr>
        <w:t>Šis vaistas Europos ekonominės erdvės valstybėse narėse ir Jungtinėje Karalystėje (Šiaurės Airijoje) registruotas tokiais pavadinimais: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tbl>
      <w:tblPr>
        <w:tblW w:w="9209" w:type="dxa"/>
        <w:tblInd w:w="1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4"/>
        <w:gridCol w:w="6095"/>
      </w:tblGrid>
      <w:tr w:rsidR="006531A3" w:rsidRPr="001F0EAC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Austri</w:t>
            </w:r>
            <w:r w:rsidRPr="00251D00">
              <w:rPr>
                <w:rFonts w:ascii="Times New Roman" w:hAnsi="Times New Roman"/>
                <w:noProof/>
              </w:rPr>
              <w:t>j</w:t>
            </w:r>
            <w:r w:rsidRPr="007A5946">
              <w:rPr>
                <w:rFonts w:ascii="Times New Roman" w:hAnsi="Times New Roman"/>
                <w:noProof/>
              </w:rPr>
              <w:t>a</w:t>
            </w:r>
          </w:p>
        </w:tc>
        <w:tc>
          <w:tcPr>
            <w:tcW w:w="6095" w:type="dxa"/>
            <w:shd w:val="clear" w:color="auto" w:fill="auto"/>
          </w:tcPr>
          <w:p w:rsidR="006531A3" w:rsidRPr="00DB3C07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lang w:val="de-DE"/>
              </w:rPr>
            </w:pPr>
            <w:proofErr w:type="spellStart"/>
            <w:r w:rsidRPr="00DB3C07">
              <w:rPr>
                <w:rFonts w:ascii="Times New Roman" w:hAnsi="Times New Roman"/>
                <w:lang w:val="de-DE"/>
              </w:rPr>
              <w:t>Kidtrayze</w:t>
            </w:r>
            <w:proofErr w:type="spellEnd"/>
            <w:r w:rsidRPr="00DB3C07">
              <w:rPr>
                <w:rFonts w:ascii="Times New Roman" w:hAnsi="Times New Roman"/>
                <w:lang w:val="de-DE"/>
              </w:rPr>
              <w:t xml:space="preserve"> </w:t>
            </w:r>
            <w:r w:rsidRPr="007A5946">
              <w:rPr>
                <w:rFonts w:ascii="Times New Roman" w:hAnsi="Times New Roman"/>
                <w:noProof/>
                <w:lang w:val="de-AT"/>
              </w:rPr>
              <w:t>Konzentrat zur Herstellung einer Infusionslösung</w:t>
            </w:r>
          </w:p>
        </w:tc>
      </w:tr>
      <w:tr w:rsidR="006531A3" w:rsidRPr="001F0EAC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Belgi</w:t>
            </w:r>
            <w:r w:rsidRPr="00251D00">
              <w:rPr>
                <w:rFonts w:ascii="Times New Roman" w:hAnsi="Times New Roman"/>
                <w:noProof/>
              </w:rPr>
              <w:t>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nl-NL"/>
              </w:rPr>
            </w:pPr>
            <w:r w:rsidRPr="007A5946">
              <w:rPr>
                <w:rFonts w:ascii="Times New Roman" w:hAnsi="Times New Roman"/>
                <w:noProof/>
                <w:lang w:val="en-US"/>
              </w:rPr>
              <w:t xml:space="preserve">Kidtrayze </w:t>
            </w:r>
            <w:r w:rsidRPr="007A5946">
              <w:rPr>
                <w:rFonts w:ascii="Times New Roman" w:hAnsi="Times New Roman"/>
                <w:noProof/>
                <w:lang w:val="nl-NL"/>
              </w:rPr>
              <w:t>concentraat voor oplossing voor infusie</w:t>
            </w:r>
          </w:p>
          <w:p w:rsidR="006531A3" w:rsidRPr="00DB3C07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lang w:val="de-DE"/>
              </w:rPr>
            </w:pPr>
            <w:proofErr w:type="spellStart"/>
            <w:r w:rsidRPr="00DB3C07">
              <w:rPr>
                <w:rFonts w:ascii="Times New Roman" w:hAnsi="Times New Roman"/>
                <w:lang w:val="de-DE"/>
              </w:rPr>
              <w:t>Kidtrayze</w:t>
            </w:r>
            <w:proofErr w:type="spellEnd"/>
            <w:r w:rsidRPr="00DB3C07">
              <w:rPr>
                <w:rFonts w:ascii="Times New Roman" w:hAnsi="Times New Roman"/>
                <w:lang w:val="de-DE"/>
              </w:rPr>
              <w:t xml:space="preserve"> </w:t>
            </w:r>
            <w:r w:rsidRPr="007A5946">
              <w:rPr>
                <w:rFonts w:ascii="Times New Roman" w:hAnsi="Times New Roman"/>
                <w:noProof/>
                <w:lang w:val="fr-FR"/>
              </w:rPr>
              <w:t>solution à diluer pour perfusion</w:t>
            </w:r>
          </w:p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nl-NL"/>
              </w:rPr>
            </w:pPr>
            <w:r w:rsidRPr="007A5946">
              <w:rPr>
                <w:rFonts w:ascii="Times New Roman" w:hAnsi="Times New Roman"/>
                <w:noProof/>
                <w:lang w:val="de-DE"/>
              </w:rPr>
              <w:t xml:space="preserve">Kidtrayze </w:t>
            </w:r>
            <w:r w:rsidRPr="007A5946">
              <w:rPr>
                <w:rFonts w:ascii="Times New Roman" w:hAnsi="Times New Roman"/>
                <w:noProof/>
                <w:lang w:val="nl-NL"/>
              </w:rPr>
              <w:t>Konzentrat zur Herstellung einer Infusionslösung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Bulgari</w:t>
            </w:r>
            <w:r w:rsidRPr="00251D00">
              <w:rPr>
                <w:rFonts w:ascii="Times New Roman" w:hAnsi="Times New Roman"/>
                <w:noProof/>
              </w:rPr>
              <w:t>j</w:t>
            </w:r>
            <w:r w:rsidRPr="007A5946">
              <w:rPr>
                <w:rFonts w:ascii="Times New Roman" w:hAnsi="Times New Roman"/>
                <w:noProof/>
              </w:rPr>
              <w:t>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bg-BG"/>
              </w:rPr>
            </w:pPr>
            <w:r w:rsidRPr="007A5946">
              <w:rPr>
                <w:rFonts w:ascii="Times New Roman" w:hAnsi="Times New Roman"/>
                <w:noProof/>
                <w:lang w:val="bg-BG"/>
              </w:rPr>
              <w:t>Педитрейс Новум концентрат за инфузионен разтвор</w:t>
            </w:r>
          </w:p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 xml:space="preserve">Peditrace Novum </w:t>
            </w:r>
            <w:r w:rsidRPr="007A5946">
              <w:rPr>
                <w:rFonts w:ascii="Times New Roman" w:hAnsi="Times New Roman"/>
                <w:noProof/>
                <w:lang w:val="en-US"/>
              </w:rPr>
              <w:t>c</w:t>
            </w:r>
            <w:r w:rsidRPr="007A5946">
              <w:rPr>
                <w:rFonts w:ascii="Times New Roman" w:hAnsi="Times New Roman"/>
                <w:noProof/>
              </w:rPr>
              <w:t>oncentrate for solution for infusion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Kroatija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pl-PL"/>
              </w:rPr>
            </w:pPr>
            <w:r w:rsidRPr="007A5946">
              <w:rPr>
                <w:rFonts w:ascii="Times New Roman" w:hAnsi="Times New Roman"/>
                <w:noProof/>
                <w:lang w:val="pl-PL"/>
              </w:rPr>
              <w:t>Peditrace Novum koncentrat za otopinu za infuziju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Kipras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el-GR"/>
              </w:rPr>
            </w:pPr>
            <w:r w:rsidRPr="007A5946">
              <w:rPr>
                <w:rFonts w:ascii="Times New Roman" w:hAnsi="Times New Roman"/>
                <w:noProof/>
              </w:rPr>
              <w:t>Kidtrayze</w:t>
            </w:r>
            <w:r w:rsidRPr="007A5946">
              <w:rPr>
                <w:rFonts w:ascii="Times New Roman" w:hAnsi="Times New Roman"/>
                <w:noProof/>
                <w:lang w:val="el-GR"/>
              </w:rPr>
              <w:t xml:space="preserve"> πυκνό διάλυμα για παρασκευή διαλύματος προς έγχυση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Čekija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proofErr w:type="spellStart"/>
            <w:r w:rsidRPr="007A5946">
              <w:rPr>
                <w:rFonts w:ascii="Times New Roman" w:hAnsi="Times New Roman"/>
                <w:lang w:val="en-US"/>
              </w:rPr>
              <w:t>Peditrace</w:t>
            </w:r>
            <w:proofErr w:type="spellEnd"/>
            <w:r w:rsidRPr="007A5946">
              <w:rPr>
                <w:rFonts w:ascii="Times New Roman" w:hAnsi="Times New Roman"/>
                <w:lang w:val="en-US"/>
              </w:rPr>
              <w:t xml:space="preserve"> </w:t>
            </w:r>
            <w:proofErr w:type="spellStart"/>
            <w:r w:rsidRPr="007A5946">
              <w:rPr>
                <w:rFonts w:ascii="Times New Roman" w:hAnsi="Times New Roman"/>
                <w:lang w:val="en-US"/>
              </w:rPr>
              <w:t>Novum</w:t>
            </w:r>
            <w:proofErr w:type="spellEnd"/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Danija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  <w:lang w:val="en-US"/>
              </w:rPr>
              <w:t>Peditrace Novum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Est</w:t>
            </w:r>
            <w:r w:rsidRPr="00251D00">
              <w:rPr>
                <w:rFonts w:ascii="Times New Roman" w:hAnsi="Times New Roman"/>
                <w:noProof/>
              </w:rPr>
              <w:t>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Infutraze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Suomija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Kidtrayze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Prancūzija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  <w:lang w:val="en-US"/>
              </w:rPr>
              <w:t>Peditrace solution à diluer pour perfusion</w:t>
            </w:r>
          </w:p>
        </w:tc>
      </w:tr>
      <w:tr w:rsidR="006531A3" w:rsidRPr="001F0EAC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Vokietija</w:t>
            </w:r>
          </w:p>
        </w:tc>
        <w:tc>
          <w:tcPr>
            <w:tcW w:w="6095" w:type="dxa"/>
            <w:shd w:val="clear" w:color="auto" w:fill="auto"/>
          </w:tcPr>
          <w:p w:rsidR="006531A3" w:rsidRPr="00DB3C07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lang w:val="de-DE"/>
              </w:rPr>
            </w:pPr>
            <w:proofErr w:type="spellStart"/>
            <w:r w:rsidRPr="00DB3C07">
              <w:rPr>
                <w:rFonts w:ascii="Times New Roman" w:hAnsi="Times New Roman"/>
                <w:lang w:val="de-DE"/>
              </w:rPr>
              <w:t>Kidtrayze</w:t>
            </w:r>
            <w:proofErr w:type="spellEnd"/>
            <w:r w:rsidRPr="00DB3C07">
              <w:rPr>
                <w:rFonts w:ascii="Times New Roman" w:hAnsi="Times New Roman"/>
                <w:lang w:val="de-DE"/>
              </w:rPr>
              <w:t xml:space="preserve"> </w:t>
            </w:r>
            <w:r w:rsidRPr="007A5946">
              <w:rPr>
                <w:rFonts w:ascii="Times New Roman" w:hAnsi="Times New Roman"/>
                <w:noProof/>
                <w:lang w:val="de-AT"/>
              </w:rPr>
              <w:t>Konzentrat zur Herstellung einer Infusionslösung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Graikija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el-GR"/>
              </w:rPr>
            </w:pPr>
            <w:r w:rsidRPr="007A5946">
              <w:rPr>
                <w:rFonts w:ascii="Times New Roman" w:hAnsi="Times New Roman"/>
                <w:noProof/>
              </w:rPr>
              <w:t>Kidtrayze</w:t>
            </w:r>
            <w:r w:rsidRPr="007A5946">
              <w:rPr>
                <w:rFonts w:ascii="Times New Roman" w:hAnsi="Times New Roman"/>
                <w:noProof/>
                <w:lang w:val="el-GR"/>
              </w:rPr>
              <w:t xml:space="preserve"> πυκνό διάλυμα για παρασκευή διαλύματος προς έγχυση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Vengrija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 xml:space="preserve">Infutraze </w:t>
            </w:r>
            <w:r w:rsidRPr="007A5946">
              <w:rPr>
                <w:rFonts w:ascii="Times New Roman" w:hAnsi="Times New Roman"/>
                <w:noProof/>
                <w:lang w:val="en-US"/>
              </w:rPr>
              <w:t>koncentrátum oldatos infúzióhoz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I</w:t>
            </w:r>
            <w:r w:rsidRPr="00251D00">
              <w:rPr>
                <w:rFonts w:ascii="Times New Roman" w:hAnsi="Times New Roman"/>
                <w:noProof/>
              </w:rPr>
              <w:t>slandija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Peditrace Novum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Ital</w:t>
            </w:r>
            <w:r w:rsidRPr="00251D00">
              <w:rPr>
                <w:rFonts w:ascii="Times New Roman" w:hAnsi="Times New Roman"/>
                <w:noProof/>
              </w:rPr>
              <w:t>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Kidtrayze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Airija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en-US"/>
              </w:rPr>
            </w:pPr>
            <w:r w:rsidRPr="007A5946">
              <w:rPr>
                <w:rFonts w:ascii="Times New Roman" w:hAnsi="Times New Roman"/>
                <w:noProof/>
                <w:lang w:val="en-US"/>
              </w:rPr>
              <w:t xml:space="preserve">Infutraze </w:t>
            </w:r>
            <w:r w:rsidRPr="007A5946">
              <w:rPr>
                <w:rFonts w:ascii="Times New Roman" w:hAnsi="Times New Roman"/>
                <w:noProof/>
                <w:lang w:val="en-IE"/>
              </w:rPr>
              <w:t>concentrate for solution for infusion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Latvi</w:t>
            </w:r>
            <w:r w:rsidRPr="00251D00">
              <w:rPr>
                <w:rFonts w:ascii="Times New Roman" w:hAnsi="Times New Roman"/>
                <w:noProof/>
              </w:rPr>
              <w:t>j</w:t>
            </w:r>
            <w:r w:rsidRPr="007A5946">
              <w:rPr>
                <w:rFonts w:ascii="Times New Roman" w:hAnsi="Times New Roman"/>
                <w:noProof/>
              </w:rPr>
              <w:t>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en-US"/>
              </w:rPr>
            </w:pPr>
            <w:r w:rsidRPr="007A5946">
              <w:rPr>
                <w:rFonts w:ascii="Times New Roman" w:hAnsi="Times New Roman"/>
                <w:noProof/>
                <w:lang w:val="en-US"/>
              </w:rPr>
              <w:t>Infutraze koncentrāts infūziju šķīduma pagatavošanai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Li</w:t>
            </w:r>
            <w:r w:rsidRPr="00251D00">
              <w:rPr>
                <w:rFonts w:ascii="Times New Roman" w:hAnsi="Times New Roman"/>
                <w:noProof/>
              </w:rPr>
              <w:t>etuva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en-US"/>
              </w:rPr>
            </w:pPr>
            <w:r w:rsidRPr="007A5946">
              <w:rPr>
                <w:rFonts w:ascii="Times New Roman" w:hAnsi="Times New Roman"/>
                <w:noProof/>
                <w:lang w:val="en-US"/>
              </w:rPr>
              <w:t>Infutraze koncentratas infuziniam tirpalui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L</w:t>
            </w:r>
            <w:r w:rsidRPr="00251D00">
              <w:rPr>
                <w:rFonts w:ascii="Times New Roman" w:hAnsi="Times New Roman"/>
                <w:noProof/>
              </w:rPr>
              <w:t>iuksemburgas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Kidtrayze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Malta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 xml:space="preserve">Kidtrayze </w:t>
            </w:r>
            <w:r w:rsidRPr="007A5946">
              <w:rPr>
                <w:rFonts w:ascii="Times New Roman" w:hAnsi="Times New Roman"/>
                <w:noProof/>
                <w:lang w:val="en-IE"/>
              </w:rPr>
              <w:t>concentrate for solution for infusion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N</w:t>
            </w:r>
            <w:r w:rsidRPr="00251D00">
              <w:rPr>
                <w:rFonts w:ascii="Times New Roman" w:hAnsi="Times New Roman"/>
                <w:noProof/>
              </w:rPr>
              <w:t>yderlandai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nl-NL"/>
              </w:rPr>
            </w:pPr>
            <w:r w:rsidRPr="007A5946">
              <w:rPr>
                <w:rFonts w:ascii="Times New Roman" w:hAnsi="Times New Roman"/>
                <w:noProof/>
                <w:lang w:val="en-US"/>
              </w:rPr>
              <w:t xml:space="preserve">Kidtrayze </w:t>
            </w:r>
            <w:r w:rsidRPr="007A5946">
              <w:rPr>
                <w:rFonts w:ascii="Times New Roman" w:hAnsi="Times New Roman"/>
                <w:noProof/>
                <w:lang w:val="nl-NL"/>
              </w:rPr>
              <w:t>concentraat voor oplossing voor infusie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Nor</w:t>
            </w:r>
            <w:r w:rsidRPr="00251D00">
              <w:rPr>
                <w:rFonts w:ascii="Times New Roman" w:hAnsi="Times New Roman"/>
                <w:noProof/>
              </w:rPr>
              <w:t>vegija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Kidtrayze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Lenkija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Peditrace Novum</w:t>
            </w:r>
          </w:p>
        </w:tc>
      </w:tr>
      <w:tr w:rsidR="006531A3" w:rsidRPr="007A5946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Portugal</w:t>
            </w:r>
            <w:r w:rsidRPr="00251D00">
              <w:rPr>
                <w:rFonts w:ascii="Times New Roman" w:hAnsi="Times New Roman"/>
                <w:noProof/>
              </w:rPr>
              <w:t>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Kidtrayze</w:t>
            </w:r>
          </w:p>
        </w:tc>
      </w:tr>
      <w:tr w:rsidR="006531A3" w:rsidRPr="007A5946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R</w:t>
            </w:r>
            <w:r w:rsidRPr="00251D00">
              <w:rPr>
                <w:rFonts w:ascii="Times New Roman" w:hAnsi="Times New Roman"/>
                <w:noProof/>
              </w:rPr>
              <w:t>umunija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en-US"/>
              </w:rPr>
            </w:pPr>
            <w:r w:rsidRPr="007A5946">
              <w:rPr>
                <w:rFonts w:ascii="Times New Roman" w:hAnsi="Times New Roman"/>
                <w:noProof/>
                <w:lang w:val="en-US"/>
              </w:rPr>
              <w:t xml:space="preserve">Kidtrayze </w:t>
            </w:r>
            <w:r w:rsidRPr="007A5946">
              <w:rPr>
                <w:rFonts w:ascii="Times New Roman" w:hAnsi="Times New Roman"/>
                <w:noProof/>
                <w:lang w:val="fr-FR"/>
              </w:rPr>
              <w:t>concentrat pentru solu</w:t>
            </w:r>
            <w:r w:rsidRPr="007A5946">
              <w:rPr>
                <w:rFonts w:ascii="Times New Roman" w:hAnsi="Times New Roman"/>
                <w:noProof/>
                <w:lang w:val="ro-RO"/>
              </w:rPr>
              <w:t>ţie</w:t>
            </w:r>
            <w:r w:rsidRPr="007A5946">
              <w:rPr>
                <w:rFonts w:ascii="Times New Roman" w:hAnsi="Times New Roman"/>
                <w:noProof/>
                <w:lang w:val="fr-FR"/>
              </w:rPr>
              <w:t xml:space="preserve"> perfuzabilă</w:t>
            </w:r>
          </w:p>
        </w:tc>
      </w:tr>
      <w:tr w:rsidR="006531A3" w:rsidRPr="007A5946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Slovaki</w:t>
            </w:r>
            <w:r w:rsidRPr="00251D00">
              <w:rPr>
                <w:rFonts w:ascii="Times New Roman" w:hAnsi="Times New Roman"/>
                <w:noProof/>
              </w:rPr>
              <w:t>j</w:t>
            </w:r>
            <w:r w:rsidRPr="007A5946">
              <w:rPr>
                <w:rFonts w:ascii="Times New Roman" w:hAnsi="Times New Roman"/>
                <w:noProof/>
              </w:rPr>
              <w:t>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Peditrace</w:t>
            </w:r>
          </w:p>
        </w:tc>
      </w:tr>
      <w:tr w:rsidR="006531A3" w:rsidRPr="00251D00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Slov</w:t>
            </w:r>
            <w:r w:rsidRPr="00251D00">
              <w:rPr>
                <w:rFonts w:ascii="Times New Roman" w:hAnsi="Times New Roman"/>
                <w:noProof/>
              </w:rPr>
              <w:t>ėnija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  <w:lang w:val="sv-SE"/>
              </w:rPr>
            </w:pPr>
            <w:r w:rsidRPr="007A5946">
              <w:rPr>
                <w:rFonts w:ascii="Times New Roman" w:hAnsi="Times New Roman"/>
                <w:noProof/>
                <w:lang w:val="sv-SE"/>
              </w:rPr>
              <w:t xml:space="preserve">Kidtrayze </w:t>
            </w:r>
            <w:r w:rsidRPr="007A5946">
              <w:rPr>
                <w:rFonts w:ascii="Times New Roman" w:hAnsi="Times New Roman"/>
                <w:noProof/>
                <w:lang w:val="sl-SI"/>
              </w:rPr>
              <w:t>koncentrat za raztopino za infundiranje</w:t>
            </w:r>
          </w:p>
        </w:tc>
      </w:tr>
      <w:tr w:rsidR="006531A3" w:rsidRPr="007A5946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Ispanija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Infutraze</w:t>
            </w:r>
          </w:p>
        </w:tc>
      </w:tr>
      <w:tr w:rsidR="006531A3" w:rsidRPr="007A5946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Švedija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>Peditrace Novum</w:t>
            </w:r>
          </w:p>
        </w:tc>
      </w:tr>
      <w:tr w:rsidR="006531A3" w:rsidRPr="007A5946" w:rsidTr="00442DDE">
        <w:tc>
          <w:tcPr>
            <w:tcW w:w="3114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251D00">
              <w:rPr>
                <w:rFonts w:ascii="Times New Roman" w:hAnsi="Times New Roman"/>
                <w:noProof/>
              </w:rPr>
              <w:t>Jungtinė Karalystė</w:t>
            </w:r>
            <w:r w:rsidRPr="007A5946">
              <w:rPr>
                <w:rFonts w:ascii="Times New Roman" w:hAnsi="Times New Roman"/>
                <w:noProof/>
              </w:rPr>
              <w:t xml:space="preserve"> (</w:t>
            </w:r>
            <w:r w:rsidRPr="00251D00">
              <w:rPr>
                <w:rFonts w:ascii="Times New Roman" w:hAnsi="Times New Roman"/>
                <w:noProof/>
              </w:rPr>
              <w:t>Šiaurės Airija</w:t>
            </w:r>
            <w:r w:rsidRPr="007A5946">
              <w:rPr>
                <w:rFonts w:ascii="Times New Roman" w:hAnsi="Times New Roman"/>
                <w:noProof/>
              </w:rPr>
              <w:t>)</w:t>
            </w:r>
          </w:p>
        </w:tc>
        <w:tc>
          <w:tcPr>
            <w:tcW w:w="6095" w:type="dxa"/>
            <w:shd w:val="clear" w:color="auto" w:fill="auto"/>
          </w:tcPr>
          <w:p w:rsidR="006531A3" w:rsidRPr="007A5946" w:rsidRDefault="006531A3" w:rsidP="00442DDE">
            <w:pPr>
              <w:numPr>
                <w:ilvl w:val="12"/>
                <w:numId w:val="0"/>
              </w:numPr>
              <w:spacing w:after="0" w:line="240" w:lineRule="auto"/>
              <w:ind w:right="-2"/>
              <w:rPr>
                <w:rFonts w:ascii="Times New Roman" w:hAnsi="Times New Roman"/>
                <w:noProof/>
              </w:rPr>
            </w:pPr>
            <w:r w:rsidRPr="007A5946">
              <w:rPr>
                <w:rFonts w:ascii="Times New Roman" w:hAnsi="Times New Roman"/>
                <w:noProof/>
              </w:rPr>
              <w:t xml:space="preserve">Infutraze </w:t>
            </w:r>
            <w:r w:rsidRPr="007A5946">
              <w:rPr>
                <w:rFonts w:ascii="Times New Roman" w:hAnsi="Times New Roman"/>
                <w:noProof/>
                <w:lang w:val="en-IE"/>
              </w:rPr>
              <w:t>concentrate for solution for infusion</w:t>
            </w:r>
          </w:p>
        </w:tc>
      </w:tr>
    </w:tbl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hAnsi="Times New Roman"/>
          <w:lang w:val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hAnsi="Times New Roman"/>
          <w:b/>
          <w:lang w:val="lt-LT"/>
        </w:rPr>
      </w:pPr>
      <w:r w:rsidRPr="00752CF2">
        <w:rPr>
          <w:rFonts w:ascii="Times New Roman" w:hAnsi="Times New Roman"/>
          <w:b/>
          <w:lang w:val="lt-LT"/>
        </w:rPr>
        <w:t>Šis pakuotės lapelis paskutinį kartą peržiūrėtas</w:t>
      </w:r>
      <w:r>
        <w:rPr>
          <w:rFonts w:ascii="Times New Roman" w:hAnsi="Times New Roman"/>
          <w:b/>
          <w:lang w:val="lt-LT"/>
        </w:rPr>
        <w:t xml:space="preserve"> 2024-03-01.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 w:eastAsia="lt-LT"/>
        </w:rPr>
      </w:pPr>
    </w:p>
    <w:p w:rsidR="006531A3" w:rsidRPr="007256F4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  <w:lang w:val="lt-LT"/>
        </w:rPr>
      </w:pPr>
      <w:r w:rsidRPr="007256F4">
        <w:rPr>
          <w:rFonts w:ascii="Times New Roman" w:eastAsia="Times New Roman" w:hAnsi="Times New Roman"/>
          <w:snapToGrid w:val="0"/>
          <w:szCs w:val="20"/>
          <w:lang w:val="lt-LT"/>
        </w:rPr>
        <w:t xml:space="preserve">Išsami informacija apie šį </w:t>
      </w:r>
      <w:r w:rsidRPr="007256F4">
        <w:rPr>
          <w:rFonts w:ascii="Times New Roman" w:eastAsia="Times New Roman" w:hAnsi="Times New Roman"/>
          <w:snapToGrid w:val="0"/>
          <w:szCs w:val="24"/>
          <w:lang w:val="lt-LT"/>
        </w:rPr>
        <w:t>vaistą</w:t>
      </w:r>
      <w:r w:rsidRPr="007256F4">
        <w:rPr>
          <w:rFonts w:ascii="Times New Roman" w:eastAsia="Times New Roman" w:hAnsi="Times New Roman"/>
          <w:snapToGrid w:val="0"/>
          <w:szCs w:val="20"/>
          <w:lang w:val="lt-LT"/>
        </w:rPr>
        <w:t xml:space="preserve"> pateikiama Valstybinės vaistų kontrolės tarnybos prie Lietuvos Respublikos sveikatos apsaugos ministerijos tinklalapyje</w:t>
      </w:r>
      <w:r w:rsidRPr="007256F4">
        <w:rPr>
          <w:rFonts w:ascii="Times New Roman" w:eastAsia="Times New Roman" w:hAnsi="Times New Roman"/>
          <w:i/>
          <w:snapToGrid w:val="0"/>
          <w:szCs w:val="24"/>
          <w:lang w:val="lt-LT"/>
        </w:rPr>
        <w:t xml:space="preserve"> </w:t>
      </w:r>
      <w:hyperlink r:id="rId8" w:history="1">
        <w:r w:rsidRPr="007256F4">
          <w:rPr>
            <w:rFonts w:ascii="Times New Roman" w:eastAsia="SimSun" w:hAnsi="Times New Roman"/>
            <w:snapToGrid w:val="0"/>
            <w:color w:val="0000FF"/>
            <w:szCs w:val="20"/>
            <w:u w:val="single"/>
            <w:lang w:val="lt-LT"/>
          </w:rPr>
          <w:t>http://www.vvkt.lt/</w:t>
        </w:r>
      </w:hyperlink>
      <w:r w:rsidRPr="007256F4">
        <w:rPr>
          <w:rFonts w:ascii="Times New Roman" w:eastAsia="Times New Roman" w:hAnsi="Times New Roman"/>
          <w:snapToGrid w:val="0"/>
          <w:szCs w:val="20"/>
          <w:lang w:val="lt-LT"/>
        </w:rPr>
        <w:t>.</w:t>
      </w:r>
    </w:p>
    <w:p w:rsidR="006531A3" w:rsidRPr="007256F4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ind w:right="-2"/>
        <w:rPr>
          <w:rFonts w:ascii="Times New Roman" w:eastAsia="Times New Roman" w:hAnsi="Times New Roman"/>
          <w:snapToGrid w:val="0"/>
          <w:szCs w:val="20"/>
          <w:lang w:val="lt-LT"/>
        </w:rPr>
      </w:pPr>
    </w:p>
    <w:p w:rsidR="006531A3" w:rsidRPr="00752CF2" w:rsidRDefault="006531A3" w:rsidP="006531A3">
      <w:pPr>
        <w:numPr>
          <w:ilvl w:val="12"/>
          <w:numId w:val="0"/>
        </w:numPr>
        <w:spacing w:after="0" w:line="240" w:lineRule="auto"/>
        <w:rPr>
          <w:noProof/>
          <w:lang w:val="lt-LT"/>
        </w:rPr>
      </w:pPr>
      <w:r w:rsidRPr="00752CF2">
        <w:rPr>
          <w:noProof/>
          <w:lang w:val="lt-LT"/>
        </w:rPr>
        <w:t>-----------------------------------------------------------------------------------------------------------------------------</w:t>
      </w:r>
    </w:p>
    <w:p w:rsidR="006531A3" w:rsidRPr="007256F4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</w:p>
    <w:p w:rsidR="006531A3" w:rsidRPr="00752CF2" w:rsidRDefault="006531A3" w:rsidP="006531A3">
      <w:pPr>
        <w:spacing w:after="0" w:line="240" w:lineRule="auto"/>
        <w:rPr>
          <w:rFonts w:ascii="Times New Roman" w:hAnsi="Times New Roman"/>
          <w:lang w:val="lt-LT"/>
        </w:rPr>
      </w:pPr>
      <w:r w:rsidRPr="00752CF2">
        <w:rPr>
          <w:rFonts w:ascii="Times New Roman" w:hAnsi="Times New Roman"/>
          <w:lang w:val="lt-LT"/>
        </w:rPr>
        <w:t>Toliau pateikta informacija skirta tik sveikatos priežiūros specialistams.</w:t>
      </w:r>
    </w:p>
    <w:p w:rsidR="006531A3" w:rsidRPr="00752CF2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7256F4">
        <w:rPr>
          <w:rFonts w:ascii="Times New Roman" w:eastAsia="Times New Roman" w:hAnsi="Times New Roman"/>
          <w:b/>
          <w:lang w:val="lt-LT"/>
        </w:rPr>
        <w:t>Specialūs įspėjimai ir atsargumo priemonės</w:t>
      </w:r>
    </w:p>
    <w:p w:rsidR="006531A3" w:rsidRPr="007256F4" w:rsidRDefault="006531A3" w:rsidP="006531A3">
      <w:pPr>
        <w:keepNext/>
        <w:keepLines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reikia atsargiai vartoti pacientams, kurių inkstų funkcija sutrikusi, nes jiems gali labai sulėtėti seleno, cinko ir jodo šalinimas. Tokiems pacientams yra padidėjusi mikroelementų kaupimosi rizika.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reikia atsargiai vartoti pacientams, kurių kepenų funkcija sutrikusi (ypač jei yra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cholestazė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>), nes jiems gali labai sulėtėti vario ir mangano šalinimas.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 xml:space="preserve">Pacientams, kuriems yra sutrikęs tulžies šalinimas, gali sulėtėti mangano, vario ir cinko eliminacija. Jeigu atsiranda klinikinių mikroelementų kaupimosi požymių, tokiems pacientams gali prireikti sumažinti dozę arba sustabdyti </w:t>
      </w: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vartojimą.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 xml:space="preserve">Pacientams, kuriems yra inkstų funkcijos sutrikimas, kepenų funkcijos sutrikimas arba lengva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cholestazė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>, gali prireikti koreguoti dozę.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reikia atsargiai vartoti pacientams, sergantiems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hipertiroze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. Tokiems pacientams jodas gali sustiprinti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hipertirozės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simptomus (pvz., gūžį).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>Jeigu jodo į organizmą papildomai patenka su antiseptikais,</w:t>
      </w:r>
      <w:r>
        <w:rPr>
          <w:rFonts w:ascii="Times New Roman" w:eastAsia="Times New Roman" w:hAnsi="Times New Roman"/>
          <w:lang w:val="lt-LT" w:eastAsia="lt-LT"/>
        </w:rPr>
        <w:t xml:space="preserve"> kurių sudėtyje yra jodo,</w:t>
      </w:r>
      <w:r w:rsidRPr="00752CF2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vartojimo koreguoti nereikia.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 w:eastAsia="lt-LT"/>
        </w:rPr>
      </w:pPr>
      <w:r w:rsidRPr="00752CF2">
        <w:rPr>
          <w:rFonts w:ascii="Times New Roman" w:eastAsia="Times New Roman" w:hAnsi="Times New Roman"/>
          <w:i/>
          <w:iCs/>
          <w:lang w:val="lt-LT" w:eastAsia="lt-LT"/>
        </w:rPr>
        <w:t xml:space="preserve">Ilgalaikis </w:t>
      </w:r>
      <w:proofErr w:type="spellStart"/>
      <w:r w:rsidRPr="00752CF2">
        <w:rPr>
          <w:rFonts w:ascii="Times New Roman" w:eastAsia="Times New Roman" w:hAnsi="Times New Roman"/>
          <w:i/>
          <w:iCs/>
          <w:lang w:val="lt-LT" w:eastAsia="lt-LT"/>
        </w:rPr>
        <w:t>parenterinis</w:t>
      </w:r>
      <w:proofErr w:type="spellEnd"/>
      <w:r w:rsidRPr="00752CF2">
        <w:rPr>
          <w:rFonts w:ascii="Times New Roman" w:eastAsia="Times New Roman" w:hAnsi="Times New Roman"/>
          <w:i/>
          <w:iCs/>
          <w:lang w:val="lt-LT" w:eastAsia="lt-LT"/>
        </w:rPr>
        <w:t xml:space="preserve"> maitinimas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 xml:space="preserve">Pacientų, kuriems taikomas ilgalaikis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parenterinis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maitinimas, organizme gali kauptis mikroelementai, ypač manganas. Jei gydymas tęsiamas ilgiau nei 4 savaites, reikia stebėti mangano kiekį. Neurologinių požymių (pvz., nerimo, greitų akių judesių) atsiradimas gali rodyti galimą mangano perteklių organizme, kuris taip pat gali atsirasti dėl tam tikrų medicininių būklių ir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parenterinio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maitinimo. Dėl mangano pertekliaus organizme gali prireikti sumažinti </w:t>
      </w: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dozę arba sustabdyti jo vartojimą.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 xml:space="preserve">Pacientams, kuriems taikomas ilgalaikis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parenterinis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maitinimas, gali pasireikšti mikroelementų, ypač vario, cinko ir seleno, trūkumas. Esant trūkumui, šių atskirų mikroelementų būtina papildomai vartoti atskirai.</w:t>
      </w:r>
    </w:p>
    <w:p w:rsidR="006531A3" w:rsidRPr="00752CF2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snapToGrid w:val="0"/>
          <w:szCs w:val="24"/>
          <w:lang w:val="lt-LT"/>
        </w:rPr>
      </w:pPr>
    </w:p>
    <w:p w:rsidR="006531A3" w:rsidRPr="00325D8B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snapToGrid w:val="0"/>
          <w:szCs w:val="24"/>
          <w:lang w:val="lt-LT"/>
        </w:rPr>
      </w:pPr>
      <w:r w:rsidRPr="00325D8B">
        <w:rPr>
          <w:rFonts w:ascii="Times New Roman" w:eastAsia="Times New Roman" w:hAnsi="Times New Roman"/>
          <w:b/>
          <w:bCs/>
          <w:snapToGrid w:val="0"/>
          <w:szCs w:val="24"/>
          <w:lang w:val="lt-LT"/>
        </w:rPr>
        <w:t>Dozavimas</w:t>
      </w:r>
    </w:p>
    <w:p w:rsidR="006531A3" w:rsidRPr="00752CF2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snapToGrid w:val="0"/>
          <w:szCs w:val="24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/>
        </w:rPr>
      </w:pPr>
      <w:r w:rsidRPr="007256F4">
        <w:rPr>
          <w:rFonts w:ascii="Times New Roman" w:eastAsia="Times New Roman" w:hAnsi="Times New Roman"/>
          <w:i/>
          <w:iCs/>
          <w:lang w:val="lt-LT"/>
        </w:rPr>
        <w:t>Prieš laiką gimusiems naujagimiams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 xml:space="preserve">Rekomenduojama didžiausia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5F400C">
        <w:rPr>
          <w:rFonts w:ascii="Times New Roman" w:eastAsia="Times New Roman" w:hAnsi="Times New Roman"/>
          <w:lang w:val="lt-LT"/>
        </w:rPr>
        <w:t xml:space="preserve"> </w:t>
      </w:r>
      <w:r w:rsidRPr="007256F4">
        <w:rPr>
          <w:rFonts w:ascii="Times New Roman" w:eastAsia="Times New Roman" w:hAnsi="Times New Roman"/>
          <w:lang w:val="lt-LT"/>
        </w:rPr>
        <w:t>paros dozė</w:t>
      </w:r>
      <w:r>
        <w:rPr>
          <w:rFonts w:ascii="Times New Roman" w:eastAsia="Times New Roman" w:hAnsi="Times New Roman"/>
          <w:lang w:val="lt-LT"/>
        </w:rPr>
        <w:t xml:space="preserve">, kuri tenkina bazinius sudėtyje esančių mikroelementų poreikius, yra </w:t>
      </w:r>
      <w:r w:rsidRPr="007256F4">
        <w:rPr>
          <w:rFonts w:ascii="Times New Roman" w:eastAsia="Times New Roman" w:hAnsi="Times New Roman"/>
          <w:lang w:val="lt-LT"/>
        </w:rPr>
        <w:t>1,0 ml/kg kūno svorio</w:t>
      </w:r>
      <w:r>
        <w:rPr>
          <w:rFonts w:ascii="Times New Roman" w:eastAsia="Times New Roman" w:hAnsi="Times New Roman"/>
          <w:lang w:val="lt-LT"/>
        </w:rPr>
        <w:t>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/>
        </w:rPr>
      </w:pPr>
      <w:r w:rsidRPr="007256F4">
        <w:rPr>
          <w:rFonts w:ascii="Times New Roman" w:eastAsia="Times New Roman" w:hAnsi="Times New Roman"/>
          <w:i/>
          <w:iCs/>
          <w:lang w:val="lt-LT"/>
        </w:rPr>
        <w:t>Išnešiotiems naujagimiams, kūdikiams ir vaikams, sveriantiems mažiau kaip 20 kg</w:t>
      </w:r>
    </w:p>
    <w:p w:rsidR="006531A3" w:rsidRPr="007256F4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 xml:space="preserve">Rekomenduojama didžiausia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5F400C">
        <w:rPr>
          <w:rFonts w:ascii="Times New Roman" w:eastAsia="Times New Roman" w:hAnsi="Times New Roman"/>
          <w:lang w:val="lt-LT"/>
        </w:rPr>
        <w:t xml:space="preserve"> paros dozė, kuri tenkina bazinius sudėtyje esančių mikroelementų poreikius, yra</w:t>
      </w:r>
      <w:r w:rsidRPr="007256F4">
        <w:rPr>
          <w:rFonts w:ascii="Times New Roman" w:eastAsia="Times New Roman" w:hAnsi="Times New Roman"/>
          <w:lang w:val="lt-LT"/>
        </w:rPr>
        <w:t xml:space="preserve"> 0,5 ml/kg kūno svorio.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/>
        </w:rPr>
      </w:pPr>
      <w:r w:rsidRPr="007256F4">
        <w:rPr>
          <w:rFonts w:ascii="Times New Roman" w:eastAsia="Times New Roman" w:hAnsi="Times New Roman"/>
          <w:i/>
          <w:iCs/>
          <w:lang w:val="lt-LT"/>
        </w:rPr>
        <w:t>Daugiau kaip 20 kg sveriantiems vaikams ir paaugliams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 xml:space="preserve">Rekomenduojama didžiausia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5F400C">
        <w:rPr>
          <w:rFonts w:ascii="Times New Roman" w:eastAsia="Times New Roman" w:hAnsi="Times New Roman"/>
          <w:lang w:val="lt-LT"/>
        </w:rPr>
        <w:t xml:space="preserve"> paros dozė, kuri tenkina bazinius sudėtyje esančių mikroelementų poreikius, </w:t>
      </w:r>
      <w:r w:rsidRPr="007256F4">
        <w:rPr>
          <w:rFonts w:ascii="Times New Roman" w:eastAsia="Times New Roman" w:hAnsi="Times New Roman"/>
          <w:lang w:val="lt-LT"/>
        </w:rPr>
        <w:t>yra 10 ml.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7256F4">
        <w:rPr>
          <w:rFonts w:ascii="Times New Roman" w:eastAsia="Times New Roman" w:hAnsi="Times New Roman"/>
          <w:lang w:val="lt-LT"/>
        </w:rPr>
        <w:t xml:space="preserve">0,5 ml, 1,0 ml ir 10 ml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256F4">
        <w:rPr>
          <w:rFonts w:ascii="Times New Roman" w:eastAsia="Times New Roman" w:hAnsi="Times New Roman"/>
          <w:lang w:val="lt-LT"/>
        </w:rPr>
        <w:t xml:space="preserve"> sudėtyje yra toliau nurodyti mikroelementų kiekiai: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38"/>
        <w:gridCol w:w="2126"/>
        <w:gridCol w:w="1985"/>
        <w:gridCol w:w="1984"/>
      </w:tblGrid>
      <w:tr w:rsidR="006531A3" w:rsidRPr="00752CF2" w:rsidTr="00442DDE">
        <w:tc>
          <w:tcPr>
            <w:tcW w:w="738" w:type="dxa"/>
            <w:shd w:val="clear" w:color="auto" w:fill="auto"/>
          </w:tcPr>
          <w:p w:rsidR="006531A3" w:rsidRPr="007256F4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</w:p>
        </w:tc>
        <w:tc>
          <w:tcPr>
            <w:tcW w:w="2126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0,5 ml</w:t>
            </w:r>
          </w:p>
        </w:tc>
        <w:tc>
          <w:tcPr>
            <w:tcW w:w="1985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1,0 ml</w:t>
            </w:r>
          </w:p>
        </w:tc>
        <w:tc>
          <w:tcPr>
            <w:tcW w:w="1984" w:type="dxa"/>
            <w:shd w:val="clear" w:color="auto" w:fill="auto"/>
          </w:tcPr>
          <w:p w:rsidR="006531A3" w:rsidRPr="00752CF2" w:rsidRDefault="006531A3" w:rsidP="00442DDE">
            <w:pPr>
              <w:tabs>
                <w:tab w:val="left" w:pos="1560"/>
                <w:tab w:val="left" w:pos="3402"/>
                <w:tab w:val="decimal" w:pos="4780"/>
              </w:tabs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r w:rsidRPr="00752CF2">
              <w:rPr>
                <w:rFonts w:ascii="Times New Roman" w:hAnsi="Times New Roman"/>
                <w:szCs w:val="24"/>
                <w:lang w:val="lt-LT"/>
              </w:rPr>
              <w:t>10 ml</w:t>
            </w:r>
          </w:p>
        </w:tc>
      </w:tr>
      <w:tr w:rsidR="006531A3" w:rsidRPr="00752CF2" w:rsidTr="00442DDE">
        <w:tc>
          <w:tcPr>
            <w:tcW w:w="738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Zn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250 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500 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mikrogramų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531A3" w:rsidRPr="00752CF2" w:rsidRDefault="006531A3" w:rsidP="00442DDE">
            <w:pPr>
              <w:tabs>
                <w:tab w:val="left" w:pos="1560"/>
                <w:tab w:val="left" w:pos="3402"/>
                <w:tab w:val="decimal" w:pos="4780"/>
              </w:tabs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5000 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mikrogramų</w:t>
            </w:r>
            <w:proofErr w:type="spellEnd"/>
          </w:p>
        </w:tc>
      </w:tr>
      <w:tr w:rsidR="006531A3" w:rsidRPr="00752CF2" w:rsidTr="00442DDE">
        <w:tc>
          <w:tcPr>
            <w:tcW w:w="738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Cu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20,0 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mikrogramų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40,0 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mikrogramų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400 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mikrogramų</w:t>
            </w:r>
            <w:proofErr w:type="spellEnd"/>
          </w:p>
        </w:tc>
      </w:tr>
      <w:tr w:rsidR="006531A3" w:rsidRPr="00752CF2" w:rsidTr="00442DDE">
        <w:tc>
          <w:tcPr>
            <w:tcW w:w="738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Mn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0,50 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mikrogramo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1,00 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mikrogramas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10,0 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mikrogramų</w:t>
            </w:r>
            <w:proofErr w:type="spellEnd"/>
          </w:p>
        </w:tc>
      </w:tr>
      <w:tr w:rsidR="006531A3" w:rsidRPr="00752CF2" w:rsidTr="00442DDE">
        <w:tc>
          <w:tcPr>
            <w:tcW w:w="738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Se</w:t>
            </w:r>
            <w:proofErr w:type="spellEnd"/>
          </w:p>
        </w:tc>
        <w:tc>
          <w:tcPr>
            <w:tcW w:w="2126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3,50 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mikrogramo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7,00 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mikrogramai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70,0 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mikrogramų</w:t>
            </w:r>
            <w:proofErr w:type="spellEnd"/>
          </w:p>
        </w:tc>
      </w:tr>
      <w:tr w:rsidR="006531A3" w:rsidRPr="00752CF2" w:rsidTr="00442DDE">
        <w:tc>
          <w:tcPr>
            <w:tcW w:w="738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I</w:t>
            </w:r>
          </w:p>
        </w:tc>
        <w:tc>
          <w:tcPr>
            <w:tcW w:w="2126" w:type="dxa"/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0,98 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mikrogramo</w:t>
            </w:r>
            <w:proofErr w:type="spellEnd"/>
          </w:p>
        </w:tc>
        <w:tc>
          <w:tcPr>
            <w:tcW w:w="1985" w:type="dxa"/>
            <w:shd w:val="clear" w:color="auto" w:fill="auto"/>
          </w:tcPr>
          <w:p w:rsidR="006531A3" w:rsidRPr="00752CF2" w:rsidRDefault="006531A3" w:rsidP="00442DDE">
            <w:pPr>
              <w:tabs>
                <w:tab w:val="left" w:pos="1560"/>
                <w:tab w:val="left" w:pos="3402"/>
                <w:tab w:val="decimal" w:pos="4780"/>
              </w:tabs>
              <w:spacing w:after="0" w:line="240" w:lineRule="auto"/>
              <w:rPr>
                <w:rFonts w:ascii="Times New Roman" w:hAnsi="Times New Roman"/>
                <w:szCs w:val="24"/>
                <w:lang w:val="lt-LT" w:eastAsia="de-DE"/>
              </w:rPr>
            </w:pPr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1,96 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 w:eastAsia="de-DE"/>
              </w:rPr>
              <w:t>mikrogramo</w:t>
            </w:r>
            <w:proofErr w:type="spellEnd"/>
          </w:p>
        </w:tc>
        <w:tc>
          <w:tcPr>
            <w:tcW w:w="1984" w:type="dxa"/>
            <w:shd w:val="clear" w:color="auto" w:fill="auto"/>
          </w:tcPr>
          <w:p w:rsidR="006531A3" w:rsidRPr="00752CF2" w:rsidRDefault="006531A3" w:rsidP="00442DDE">
            <w:pPr>
              <w:tabs>
                <w:tab w:val="left" w:pos="1560"/>
                <w:tab w:val="left" w:pos="3402"/>
                <w:tab w:val="decimal" w:pos="4780"/>
              </w:tabs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r w:rsidRPr="00752CF2">
              <w:rPr>
                <w:rFonts w:ascii="Times New Roman" w:hAnsi="Times New Roman"/>
                <w:szCs w:val="24"/>
                <w:lang w:val="lt-LT"/>
              </w:rPr>
              <w:t>19,6 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/>
              </w:rPr>
              <w:t>mikrogramo</w:t>
            </w:r>
            <w:proofErr w:type="spellEnd"/>
          </w:p>
        </w:tc>
      </w:tr>
    </w:tbl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r w:rsidRPr="00752CF2">
        <w:rPr>
          <w:rFonts w:ascii="Times New Roman" w:eastAsia="Times New Roman" w:hAnsi="Times New Roman"/>
          <w:lang w:val="lt-LT"/>
        </w:rPr>
        <w:t xml:space="preserve">Jei pacientams </w:t>
      </w:r>
      <w:proofErr w:type="spellStart"/>
      <w:r w:rsidRPr="00752CF2">
        <w:rPr>
          <w:rFonts w:ascii="Times New Roman" w:eastAsia="Times New Roman" w:hAnsi="Times New Roman"/>
          <w:lang w:val="lt-LT"/>
        </w:rPr>
        <w:t>parenterinis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maitinimas skiriamas ilgiau nei 3 savaites, be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sudėtyje esančių mikroelementų, rekomenduojama kasdien </w:t>
      </w:r>
      <w:proofErr w:type="spellStart"/>
      <w:r w:rsidRPr="00752CF2">
        <w:rPr>
          <w:rFonts w:ascii="Times New Roman" w:eastAsia="Times New Roman" w:hAnsi="Times New Roman"/>
          <w:lang w:val="lt-LT"/>
        </w:rPr>
        <w:t>infuzuoti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ir geležies. </w:t>
      </w:r>
      <w:proofErr w:type="spellStart"/>
      <w:r w:rsidRPr="00752CF2">
        <w:rPr>
          <w:rFonts w:ascii="Times New Roman" w:eastAsia="Times New Roman" w:hAnsi="Times New Roman"/>
          <w:lang w:val="lt-LT"/>
        </w:rPr>
        <w:t>Parenterinį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maitinimą rekomenduojama papildyti molibdenu, jei pacientams </w:t>
      </w:r>
      <w:proofErr w:type="spellStart"/>
      <w:r w:rsidRPr="00752CF2">
        <w:rPr>
          <w:rFonts w:ascii="Times New Roman" w:eastAsia="Times New Roman" w:hAnsi="Times New Roman"/>
          <w:lang w:val="lt-LT"/>
        </w:rPr>
        <w:t>parenterinis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maitinimas skiriamas ilgiau nei 4 savaites.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</w:p>
    <w:p w:rsidR="006531A3" w:rsidRPr="00325D8B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lang w:val="lt-LT"/>
        </w:rPr>
      </w:pPr>
      <w:r w:rsidRPr="00325D8B">
        <w:rPr>
          <w:rFonts w:ascii="Times New Roman" w:eastAsia="Times New Roman" w:hAnsi="Times New Roman"/>
          <w:b/>
          <w:bCs/>
          <w:lang w:val="lt-LT"/>
        </w:rPr>
        <w:t>Vartojimo metodas</w:t>
      </w:r>
    </w:p>
    <w:p w:rsidR="006531A3" w:rsidRPr="00752CF2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u w:val="single"/>
          <w:lang w:val="lt-LT"/>
        </w:rPr>
      </w:pPr>
    </w:p>
    <w:p w:rsidR="006531A3" w:rsidRPr="00752CF2" w:rsidRDefault="006531A3" w:rsidP="006531A3">
      <w:pPr>
        <w:keepNext/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negalima skirti neskiesto. </w:t>
      </w: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turi būti skiriamas intraveninės infuzijos būdu, praskiestas </w:t>
      </w:r>
      <w:proofErr w:type="spellStart"/>
      <w:r w:rsidRPr="00752CF2">
        <w:rPr>
          <w:rFonts w:ascii="Times New Roman" w:eastAsia="Times New Roman" w:hAnsi="Times New Roman"/>
          <w:lang w:val="lt-LT"/>
        </w:rPr>
        <w:t>parenterinio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maitinimo tirpalu / emulsija. Infuzijos greitį ir trukmę lemia </w:t>
      </w:r>
      <w:proofErr w:type="spellStart"/>
      <w:r w:rsidRPr="00752CF2">
        <w:rPr>
          <w:rFonts w:ascii="Times New Roman" w:eastAsia="Times New Roman" w:hAnsi="Times New Roman"/>
          <w:lang w:val="lt-LT"/>
        </w:rPr>
        <w:t>parenterinio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maitinimo tirpalo infuzijos greitis ir trukmė.</w:t>
      </w:r>
    </w:p>
    <w:p w:rsidR="006531A3" w:rsidRPr="00752CF2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snapToGrid w:val="0"/>
          <w:szCs w:val="24"/>
          <w:lang w:val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/>
        </w:rPr>
      </w:pPr>
      <w:proofErr w:type="spellStart"/>
      <w:r w:rsidRPr="00610115">
        <w:rPr>
          <w:rFonts w:ascii="Times New Roman" w:eastAsia="Times New Roman" w:hAnsi="Times New Roman"/>
          <w:lang w:val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/>
        </w:rPr>
        <w:t xml:space="preserve"> maišyti galima tik su tais </w:t>
      </w:r>
      <w:proofErr w:type="spellStart"/>
      <w:r>
        <w:rPr>
          <w:rFonts w:ascii="Times New Roman" w:eastAsia="Times New Roman" w:hAnsi="Times New Roman"/>
          <w:lang w:val="lt-LT"/>
        </w:rPr>
        <w:t>parenterinio</w:t>
      </w:r>
      <w:proofErr w:type="spellEnd"/>
      <w:r>
        <w:rPr>
          <w:rFonts w:ascii="Times New Roman" w:eastAsia="Times New Roman" w:hAnsi="Times New Roman"/>
          <w:lang w:val="lt-LT"/>
        </w:rPr>
        <w:t xml:space="preserve"> maitinimo </w:t>
      </w:r>
      <w:r w:rsidRPr="00752CF2">
        <w:rPr>
          <w:rFonts w:ascii="Times New Roman" w:eastAsia="Times New Roman" w:hAnsi="Times New Roman"/>
          <w:lang w:val="lt-LT"/>
        </w:rPr>
        <w:t>produktais, kurių suderinamumas patvirtintas dokumentais (žr. tolesnį skyrių „Suderinamumas“).</w:t>
      </w:r>
    </w:p>
    <w:p w:rsidR="006531A3" w:rsidRPr="00752CF2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snapToGrid w:val="0"/>
          <w:szCs w:val="24"/>
          <w:lang w:val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  <w:r w:rsidRPr="00752CF2">
        <w:rPr>
          <w:rFonts w:ascii="Times New Roman" w:eastAsia="Times New Roman" w:hAnsi="Times New Roman"/>
          <w:b/>
          <w:lang w:val="lt-LT"/>
        </w:rPr>
        <w:t>Specialūs reikalavimai atliekoms tvarkyti ir vaistiniam preparatui ruošti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lang w:val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>Prieš vartojimą vizualiai patikrinkite, ar koncentratas infuziniam tirpalui yra skaidrus ir be dalelių.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/>
          <w:iCs/>
          <w:lang w:val="lt-LT" w:eastAsia="lt-LT"/>
        </w:rPr>
      </w:pPr>
      <w:r w:rsidRPr="00752CF2">
        <w:rPr>
          <w:rFonts w:ascii="Times New Roman" w:eastAsia="Times New Roman" w:hAnsi="Times New Roman"/>
          <w:i/>
          <w:iCs/>
          <w:lang w:val="lt-LT" w:eastAsia="lt-LT"/>
        </w:rPr>
        <w:t>Suderinamumas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>Prieš vartojimą praskieskite.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vartojamas kaip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parenterinio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maitinimo mišinių priedas, jei yra suderinamumo duomenų.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 xml:space="preserve">Turima suderinamumo duomenų su šių prekių ženklų produktais: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Aminoven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Infant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,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Vaminolact</w:t>
      </w:r>
      <w:proofErr w:type="spellEnd"/>
      <w:r>
        <w:rPr>
          <w:rFonts w:ascii="Times New Roman" w:eastAsia="Times New Roman" w:hAnsi="Times New Roman"/>
          <w:lang w:val="lt-LT" w:eastAsia="lt-LT"/>
        </w:rPr>
        <w:t xml:space="preserve">, </w:t>
      </w:r>
      <w:proofErr w:type="spellStart"/>
      <w:r w:rsidRPr="00AF5CAE">
        <w:rPr>
          <w:rFonts w:ascii="Times New Roman" w:hAnsi="Times New Roman"/>
          <w:szCs w:val="24"/>
          <w:lang w:val="lt-LT"/>
        </w:rPr>
        <w:t>Vamin</w:t>
      </w:r>
      <w:proofErr w:type="spellEnd"/>
      <w:r w:rsidRPr="00AF5CAE">
        <w:rPr>
          <w:rFonts w:ascii="Times New Roman" w:hAnsi="Times New Roman"/>
          <w:szCs w:val="24"/>
          <w:lang w:val="lt-LT"/>
        </w:rPr>
        <w:t xml:space="preserve"> 14 EF, </w:t>
      </w:r>
      <w:proofErr w:type="spellStart"/>
      <w:r w:rsidRPr="00AF5CAE">
        <w:rPr>
          <w:rFonts w:ascii="Times New Roman" w:hAnsi="Times New Roman"/>
          <w:szCs w:val="24"/>
          <w:lang w:val="lt-LT"/>
        </w:rPr>
        <w:t>Vamin</w:t>
      </w:r>
      <w:proofErr w:type="spellEnd"/>
      <w:r w:rsidRPr="00AF5CAE">
        <w:rPr>
          <w:rFonts w:ascii="Times New Roman" w:hAnsi="Times New Roman"/>
          <w:szCs w:val="24"/>
          <w:lang w:val="lt-LT"/>
        </w:rPr>
        <w:t xml:space="preserve"> 18 EF, </w:t>
      </w:r>
      <w:proofErr w:type="spellStart"/>
      <w:r w:rsidRPr="00AF5CAE">
        <w:rPr>
          <w:rFonts w:ascii="Times New Roman" w:hAnsi="Times New Roman"/>
          <w:szCs w:val="24"/>
          <w:lang w:val="lt-LT"/>
        </w:rPr>
        <w:t>SMOFlipid</w:t>
      </w:r>
      <w:proofErr w:type="spellEnd"/>
      <w:r w:rsidRPr="00AF5CAE">
        <w:rPr>
          <w:rFonts w:ascii="Times New Roman" w:hAnsi="Times New Roman"/>
          <w:szCs w:val="24"/>
          <w:lang w:val="lt-LT"/>
        </w:rPr>
        <w:t xml:space="preserve">, </w:t>
      </w:r>
      <w:proofErr w:type="spellStart"/>
      <w:r w:rsidRPr="00AF5CAE">
        <w:rPr>
          <w:rFonts w:ascii="Times New Roman" w:hAnsi="Times New Roman"/>
          <w:szCs w:val="24"/>
          <w:lang w:val="lt-LT"/>
        </w:rPr>
        <w:t>Intralipid</w:t>
      </w:r>
      <w:proofErr w:type="spellEnd"/>
      <w:r w:rsidRPr="00AF5CAE">
        <w:rPr>
          <w:rFonts w:ascii="Times New Roman" w:hAnsi="Times New Roman"/>
          <w:szCs w:val="24"/>
          <w:lang w:val="lt-LT"/>
        </w:rPr>
        <w:t xml:space="preserve">, </w:t>
      </w:r>
      <w:proofErr w:type="spellStart"/>
      <w:r w:rsidRPr="00AF5CAE">
        <w:rPr>
          <w:rFonts w:ascii="Times New Roman" w:hAnsi="Times New Roman"/>
          <w:szCs w:val="24"/>
          <w:lang w:val="lt-LT"/>
        </w:rPr>
        <w:t>Vitalipid</w:t>
      </w:r>
      <w:proofErr w:type="spellEnd"/>
      <w:r>
        <w:rPr>
          <w:rFonts w:ascii="Times New Roman" w:hAnsi="Times New Roman"/>
          <w:szCs w:val="24"/>
          <w:lang w:val="lt-LT"/>
        </w:rPr>
        <w:t> </w:t>
      </w:r>
      <w:r w:rsidRPr="00AF5CAE">
        <w:rPr>
          <w:rFonts w:ascii="Times New Roman" w:hAnsi="Times New Roman"/>
          <w:szCs w:val="24"/>
          <w:lang w:val="lt-LT"/>
        </w:rPr>
        <w:t xml:space="preserve">N </w:t>
      </w:r>
      <w:r>
        <w:rPr>
          <w:rFonts w:ascii="Times New Roman" w:hAnsi="Times New Roman"/>
          <w:szCs w:val="24"/>
          <w:lang w:val="lt-LT"/>
        </w:rPr>
        <w:t>suaugusiems</w:t>
      </w:r>
      <w:r w:rsidRPr="00AF5CAE">
        <w:rPr>
          <w:rFonts w:ascii="Times New Roman" w:hAnsi="Times New Roman"/>
          <w:szCs w:val="24"/>
          <w:lang w:val="lt-LT"/>
        </w:rPr>
        <w:t xml:space="preserve">, </w:t>
      </w:r>
      <w:proofErr w:type="spellStart"/>
      <w:r w:rsidRPr="00AF5CAE">
        <w:rPr>
          <w:rFonts w:ascii="Times New Roman" w:hAnsi="Times New Roman"/>
          <w:szCs w:val="24"/>
          <w:lang w:val="lt-LT"/>
        </w:rPr>
        <w:t>Vitalipid</w:t>
      </w:r>
      <w:proofErr w:type="spellEnd"/>
      <w:r>
        <w:rPr>
          <w:rFonts w:ascii="Times New Roman" w:hAnsi="Times New Roman"/>
          <w:szCs w:val="24"/>
          <w:lang w:val="lt-LT"/>
        </w:rPr>
        <w:t> </w:t>
      </w:r>
      <w:r w:rsidRPr="00AF5CAE">
        <w:rPr>
          <w:rFonts w:ascii="Times New Roman" w:hAnsi="Times New Roman"/>
          <w:szCs w:val="24"/>
          <w:lang w:val="lt-LT"/>
        </w:rPr>
        <w:t xml:space="preserve">N </w:t>
      </w:r>
      <w:r>
        <w:rPr>
          <w:rFonts w:ascii="Times New Roman" w:hAnsi="Times New Roman"/>
          <w:szCs w:val="24"/>
          <w:lang w:val="lt-LT"/>
        </w:rPr>
        <w:t>kūdikiams</w:t>
      </w:r>
      <w:r w:rsidRPr="00AF5CAE">
        <w:rPr>
          <w:rFonts w:ascii="Times New Roman" w:hAnsi="Times New Roman"/>
          <w:szCs w:val="24"/>
          <w:lang w:val="lt-LT"/>
        </w:rPr>
        <w:t>,</w:t>
      </w:r>
      <w:r w:rsidRPr="00752CF2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Soluvit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N</w:t>
      </w:r>
      <w:r>
        <w:rPr>
          <w:rFonts w:ascii="Times New Roman" w:eastAsia="Times New Roman" w:hAnsi="Times New Roman"/>
          <w:lang w:val="lt-LT" w:eastAsia="lt-LT"/>
        </w:rPr>
        <w:t xml:space="preserve">, </w:t>
      </w:r>
      <w:proofErr w:type="spellStart"/>
      <w:r w:rsidRPr="00192C1F">
        <w:rPr>
          <w:rFonts w:ascii="Times New Roman" w:eastAsia="Times New Roman" w:hAnsi="Times New Roman"/>
          <w:lang w:val="lt-LT" w:eastAsia="lt-LT"/>
        </w:rPr>
        <w:t>Addiphos</w:t>
      </w:r>
      <w:proofErr w:type="spellEnd"/>
      <w:r w:rsidRPr="00192C1F">
        <w:rPr>
          <w:rFonts w:ascii="Times New Roman" w:eastAsia="Times New Roman" w:hAnsi="Times New Roman"/>
          <w:lang w:val="lt-LT" w:eastAsia="lt-LT"/>
        </w:rPr>
        <w:t xml:space="preserve"> </w:t>
      </w:r>
      <w:r>
        <w:rPr>
          <w:rFonts w:ascii="Times New Roman" w:eastAsia="Times New Roman" w:hAnsi="Times New Roman"/>
          <w:lang w:val="lt-LT" w:eastAsia="lt-LT"/>
        </w:rPr>
        <w:t>ir</w:t>
      </w:r>
      <w:r w:rsidRPr="00192C1F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192C1F">
        <w:rPr>
          <w:rFonts w:ascii="Times New Roman" w:eastAsia="Times New Roman" w:hAnsi="Times New Roman"/>
          <w:lang w:val="lt-LT" w:eastAsia="lt-LT"/>
        </w:rPr>
        <w:t>Glycophos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</w:t>
      </w:r>
      <w:r>
        <w:rPr>
          <w:rFonts w:ascii="Times New Roman" w:eastAsia="Times New Roman" w:hAnsi="Times New Roman"/>
          <w:lang w:val="lt-LT" w:eastAsia="lt-LT"/>
        </w:rPr>
        <w:t>(nurodytais kiekiais)</w:t>
      </w:r>
      <w:r w:rsidRPr="00752CF2">
        <w:rPr>
          <w:rFonts w:ascii="Times New Roman" w:eastAsia="Times New Roman" w:hAnsi="Times New Roman"/>
          <w:lang w:val="lt-LT" w:eastAsia="lt-LT"/>
        </w:rPr>
        <w:t xml:space="preserve"> kartu su </w:t>
      </w:r>
      <w:proofErr w:type="spellStart"/>
      <w:r>
        <w:rPr>
          <w:rFonts w:ascii="Times New Roman" w:eastAsia="Times New Roman" w:hAnsi="Times New Roman"/>
          <w:lang w:val="lt-LT" w:eastAsia="lt-LT"/>
        </w:rPr>
        <w:t>generiniais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</w:t>
      </w:r>
      <w:r w:rsidRPr="00BB5360">
        <w:rPr>
          <w:rFonts w:ascii="Times New Roman" w:eastAsia="Times New Roman" w:hAnsi="Times New Roman"/>
          <w:lang w:val="lt-LT" w:eastAsia="lt-LT"/>
        </w:rPr>
        <w:t>preparatais, kurių sudėtyje yra</w:t>
      </w:r>
      <w:r w:rsidRPr="00BB5360" w:rsidDel="00C13C16">
        <w:rPr>
          <w:rFonts w:ascii="Times New Roman" w:eastAsia="Times New Roman" w:hAnsi="Times New Roman"/>
          <w:lang w:val="lt-LT" w:eastAsia="lt-LT"/>
        </w:rPr>
        <w:t xml:space="preserve"> </w:t>
      </w:r>
      <w:r w:rsidRPr="00752CF2">
        <w:rPr>
          <w:rFonts w:ascii="Times New Roman" w:eastAsia="Times New Roman" w:hAnsi="Times New Roman"/>
          <w:lang w:val="lt-LT" w:eastAsia="lt-LT"/>
        </w:rPr>
        <w:t xml:space="preserve">gliukozės </w:t>
      </w:r>
      <w:r>
        <w:rPr>
          <w:rFonts w:ascii="Times New Roman" w:eastAsia="Times New Roman" w:hAnsi="Times New Roman"/>
          <w:lang w:val="lt-LT" w:eastAsia="lt-LT"/>
        </w:rPr>
        <w:t>ir elektrolitų</w:t>
      </w:r>
      <w:r w:rsidRPr="004B2F8E">
        <w:rPr>
          <w:rFonts w:ascii="Times New Roman" w:eastAsia="Times New Roman" w:hAnsi="Times New Roman"/>
          <w:lang w:val="lt-LT" w:eastAsia="lt-LT"/>
        </w:rPr>
        <w:t xml:space="preserve"> </w:t>
      </w:r>
      <w:r>
        <w:rPr>
          <w:rFonts w:ascii="Times New Roman" w:eastAsia="Times New Roman" w:hAnsi="Times New Roman"/>
          <w:lang w:val="lt-LT" w:eastAsia="lt-LT"/>
        </w:rPr>
        <w:t>(nurodytomis koncentracijomis)</w:t>
      </w:r>
      <w:r w:rsidRPr="00752CF2">
        <w:rPr>
          <w:rFonts w:ascii="Times New Roman" w:eastAsia="Times New Roman" w:hAnsi="Times New Roman"/>
          <w:lang w:val="lt-LT" w:eastAsia="lt-LT"/>
        </w:rPr>
        <w:t xml:space="preserve">. </w:t>
      </w: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taip pat galima dėti į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SmofKabiven</w:t>
      </w:r>
      <w:proofErr w:type="spellEnd"/>
      <w:r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>
        <w:rPr>
          <w:rFonts w:ascii="Times New Roman" w:eastAsia="Times New Roman" w:hAnsi="Times New Roman"/>
          <w:lang w:val="lt-LT" w:eastAsia="lt-LT"/>
        </w:rPr>
        <w:t>Central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ir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SmofKabiven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DA4B79">
        <w:rPr>
          <w:rFonts w:ascii="Times New Roman" w:eastAsia="Times New Roman" w:hAnsi="Times New Roman"/>
          <w:lang w:val="lt-LT" w:eastAsia="lt-LT"/>
        </w:rPr>
        <w:t>Electrolyte</w:t>
      </w:r>
      <w:proofErr w:type="spellEnd"/>
      <w:r w:rsidRPr="00DA4B79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DA4B79">
        <w:rPr>
          <w:rFonts w:ascii="Times New Roman" w:eastAsia="Times New Roman" w:hAnsi="Times New Roman"/>
          <w:lang w:val="lt-LT" w:eastAsia="lt-LT"/>
        </w:rPr>
        <w:t>Free</w:t>
      </w:r>
      <w:proofErr w:type="spellEnd"/>
      <w:r w:rsidRPr="00DA4B79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DA4B79">
        <w:rPr>
          <w:rFonts w:ascii="Times New Roman" w:eastAsia="Times New Roman" w:hAnsi="Times New Roman"/>
          <w:lang w:val="lt-LT" w:eastAsia="lt-LT"/>
        </w:rPr>
        <w:t>Central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su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Vitalipid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N </w:t>
      </w:r>
      <w:r>
        <w:rPr>
          <w:rFonts w:ascii="Times New Roman" w:eastAsia="Times New Roman" w:hAnsi="Times New Roman"/>
          <w:lang w:val="lt-LT" w:eastAsia="lt-LT"/>
        </w:rPr>
        <w:t>kūdikiams / suaugusiems,</w:t>
      </w:r>
      <w:r w:rsidRPr="00752CF2">
        <w:rPr>
          <w:rFonts w:ascii="Times New Roman" w:eastAsia="Times New Roman" w:hAnsi="Times New Roman"/>
          <w:lang w:val="lt-LT" w:eastAsia="lt-LT"/>
        </w:rPr>
        <w:t xml:space="preserve">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Soluvit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N </w:t>
      </w:r>
      <w:r>
        <w:rPr>
          <w:rFonts w:ascii="Times New Roman" w:eastAsia="Times New Roman" w:hAnsi="Times New Roman"/>
          <w:lang w:val="lt-LT" w:eastAsia="lt-LT"/>
        </w:rPr>
        <w:t>ir elektrolitais</w:t>
      </w:r>
      <w:r w:rsidRPr="00752CF2">
        <w:rPr>
          <w:rFonts w:ascii="Times New Roman" w:eastAsia="Times New Roman" w:hAnsi="Times New Roman"/>
          <w:lang w:val="lt-LT" w:eastAsia="lt-LT"/>
        </w:rPr>
        <w:t xml:space="preserve"> arba be jų.</w:t>
      </w:r>
    </w:p>
    <w:p w:rsidR="006531A3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>Pridėjimas patvirtintas gautais duomenimis, kaip nurodyta toliau pateiktoje suvestinėje lentelėje.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7"/>
        <w:gridCol w:w="6688"/>
      </w:tblGrid>
      <w:tr w:rsidR="006531A3" w:rsidRPr="00752CF2" w:rsidTr="00442DD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  <w:lang w:val="lt-LT"/>
              </w:rPr>
            </w:pPr>
            <w:proofErr w:type="spellStart"/>
            <w:r w:rsidRPr="00610115">
              <w:rPr>
                <w:rFonts w:ascii="Times New Roman" w:hAnsi="Times New Roman"/>
                <w:b/>
                <w:bCs/>
                <w:szCs w:val="24"/>
                <w:lang w:val="lt-LT"/>
              </w:rPr>
              <w:t>Infutraze</w:t>
            </w:r>
            <w:proofErr w:type="spellEnd"/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b/>
                <w:bCs/>
                <w:szCs w:val="24"/>
                <w:lang w:val="lt-LT"/>
              </w:rPr>
            </w:pPr>
            <w:r w:rsidRPr="00752CF2">
              <w:rPr>
                <w:rFonts w:ascii="Times New Roman" w:hAnsi="Times New Roman"/>
                <w:b/>
                <w:bCs/>
                <w:szCs w:val="24"/>
                <w:lang w:val="lt-LT"/>
              </w:rPr>
              <w:t>Mišinys</w:t>
            </w:r>
          </w:p>
        </w:tc>
      </w:tr>
      <w:tr w:rsidR="006531A3" w:rsidRPr="001F0EAC" w:rsidTr="00442DD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r w:rsidRPr="00752CF2">
              <w:rPr>
                <w:rFonts w:ascii="Times New Roman" w:hAnsi="Times New Roman"/>
                <w:szCs w:val="24"/>
                <w:lang w:val="lt-LT"/>
              </w:rPr>
              <w:t>0–10 ml/l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Vandeniniai 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/>
              </w:rPr>
              <w:t>parenterinio</w:t>
            </w:r>
            <w:proofErr w:type="spellEnd"/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maitinimo mišiniai su </w:t>
            </w:r>
            <w:r>
              <w:rPr>
                <w:rFonts w:ascii="Times New Roman" w:hAnsi="Times New Roman"/>
                <w:szCs w:val="24"/>
                <w:lang w:val="lt-LT"/>
              </w:rPr>
              <w:t>anksč</w:t>
            </w:r>
            <w:r w:rsidRPr="00752CF2">
              <w:rPr>
                <w:rFonts w:ascii="Times New Roman" w:hAnsi="Times New Roman"/>
                <w:szCs w:val="24"/>
                <w:lang w:val="lt-LT"/>
              </w:rPr>
              <w:t>iau išvardytais komponentais</w:t>
            </w:r>
          </w:p>
        </w:tc>
      </w:tr>
      <w:tr w:rsidR="006531A3" w:rsidRPr="001F0EAC" w:rsidTr="00442DD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r w:rsidRPr="00752CF2">
              <w:rPr>
                <w:rFonts w:ascii="Times New Roman" w:hAnsi="Times New Roman"/>
                <w:szCs w:val="24"/>
                <w:lang w:val="lt-LT"/>
              </w:rPr>
              <w:t>0–10 ml/l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>
              <w:rPr>
                <w:rFonts w:ascii="Times New Roman" w:hAnsi="Times New Roman"/>
                <w:szCs w:val="24"/>
                <w:lang w:val="lt-LT"/>
              </w:rPr>
              <w:t>P</w:t>
            </w:r>
            <w:r w:rsidRPr="00752CF2">
              <w:rPr>
                <w:rFonts w:ascii="Times New Roman" w:hAnsi="Times New Roman"/>
                <w:szCs w:val="24"/>
                <w:lang w:val="lt-LT"/>
              </w:rPr>
              <w:t>arenterinio</w:t>
            </w:r>
            <w:proofErr w:type="spellEnd"/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maitinimo mišiniai</w:t>
            </w:r>
            <w:r>
              <w:rPr>
                <w:rFonts w:ascii="Times New Roman" w:hAnsi="Times New Roman"/>
                <w:szCs w:val="24"/>
                <w:lang w:val="lt-LT"/>
              </w:rPr>
              <w:t>, kurių sudėtyje yra lipidų,</w:t>
            </w:r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su </w:t>
            </w:r>
            <w:r>
              <w:rPr>
                <w:rFonts w:ascii="Times New Roman" w:hAnsi="Times New Roman"/>
                <w:szCs w:val="24"/>
                <w:lang w:val="lt-LT"/>
              </w:rPr>
              <w:t>anksč</w:t>
            </w:r>
            <w:r w:rsidRPr="00752CF2">
              <w:rPr>
                <w:rFonts w:ascii="Times New Roman" w:hAnsi="Times New Roman"/>
                <w:szCs w:val="24"/>
                <w:lang w:val="lt-LT"/>
              </w:rPr>
              <w:t>iau išvardytais komponentais</w:t>
            </w:r>
          </w:p>
        </w:tc>
      </w:tr>
      <w:tr w:rsidR="006531A3" w:rsidRPr="00AF5CAE" w:rsidTr="00442DD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r w:rsidRPr="00752CF2">
              <w:rPr>
                <w:rFonts w:ascii="Times New Roman" w:hAnsi="Times New Roman"/>
                <w:szCs w:val="24"/>
                <w:lang w:val="lt-LT"/>
              </w:rPr>
              <w:t>0–10 ml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752CF2">
              <w:rPr>
                <w:rFonts w:ascii="Times New Roman" w:hAnsi="Times New Roman"/>
                <w:szCs w:val="24"/>
                <w:lang w:val="lt-LT"/>
              </w:rPr>
              <w:t>SmofKabiven</w:t>
            </w:r>
            <w:proofErr w:type="spellEnd"/>
            <w:r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lt-LT"/>
              </w:rPr>
              <w:t>Central</w:t>
            </w:r>
            <w:proofErr w:type="spellEnd"/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ir 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/>
              </w:rPr>
              <w:t>SmofKabiven</w:t>
            </w:r>
            <w:proofErr w:type="spellEnd"/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 w:rsidRPr="00DA4B79">
              <w:rPr>
                <w:rFonts w:ascii="Times New Roman" w:hAnsi="Times New Roman"/>
                <w:szCs w:val="24"/>
                <w:lang w:val="lt-LT"/>
              </w:rPr>
              <w:t>Electrolyte</w:t>
            </w:r>
            <w:proofErr w:type="spellEnd"/>
            <w:r w:rsidRPr="00DA4B79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 w:rsidRPr="00DA4B79">
              <w:rPr>
                <w:rFonts w:ascii="Times New Roman" w:hAnsi="Times New Roman"/>
                <w:szCs w:val="24"/>
                <w:lang w:val="lt-LT"/>
              </w:rPr>
              <w:t>Free</w:t>
            </w:r>
            <w:proofErr w:type="spellEnd"/>
            <w:r w:rsidRPr="00DA4B79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 w:rsidRPr="00DA4B79">
              <w:rPr>
                <w:rFonts w:ascii="Times New Roman" w:hAnsi="Times New Roman"/>
                <w:szCs w:val="24"/>
                <w:lang w:val="lt-LT"/>
              </w:rPr>
              <w:t>Central</w:t>
            </w:r>
            <w:proofErr w:type="spellEnd"/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(aktyvuotas 986 ml, 1477 ml, 1970 ml arba 2463 ml maišelis)</w:t>
            </w:r>
            <w:r w:rsidRPr="00192C1F">
              <w:rPr>
                <w:rFonts w:ascii="Times New Roman" w:hAnsi="Times New Roman"/>
                <w:szCs w:val="24"/>
                <w:lang w:val="lt-LT"/>
              </w:rPr>
              <w:t xml:space="preserve"> su </w:t>
            </w:r>
            <w:r>
              <w:rPr>
                <w:rFonts w:ascii="Times New Roman" w:hAnsi="Times New Roman"/>
                <w:szCs w:val="24"/>
                <w:lang w:val="lt-LT"/>
              </w:rPr>
              <w:t>anksč</w:t>
            </w:r>
            <w:r w:rsidRPr="00752CF2">
              <w:rPr>
                <w:rFonts w:ascii="Times New Roman" w:hAnsi="Times New Roman"/>
                <w:szCs w:val="24"/>
                <w:lang w:val="lt-LT"/>
              </w:rPr>
              <w:t>iau išvardytais</w:t>
            </w:r>
            <w:r w:rsidRPr="00192C1F">
              <w:rPr>
                <w:rFonts w:ascii="Times New Roman" w:hAnsi="Times New Roman"/>
                <w:szCs w:val="24"/>
                <w:lang w:val="lt-LT"/>
              </w:rPr>
              <w:t xml:space="preserve"> elektrolitais ir vitaminais</w:t>
            </w:r>
          </w:p>
        </w:tc>
      </w:tr>
      <w:tr w:rsidR="006531A3" w:rsidRPr="00752CF2" w:rsidTr="00442DDE"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r w:rsidRPr="00752CF2">
              <w:rPr>
                <w:rFonts w:ascii="Times New Roman" w:hAnsi="Times New Roman"/>
                <w:szCs w:val="24"/>
                <w:lang w:val="lt-LT"/>
              </w:rPr>
              <w:t>0–5 ml</w:t>
            </w:r>
          </w:p>
        </w:tc>
        <w:tc>
          <w:tcPr>
            <w:tcW w:w="6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6531A3" w:rsidRPr="00752CF2" w:rsidRDefault="006531A3" w:rsidP="00442DDE">
            <w:pPr>
              <w:spacing w:after="0" w:line="240" w:lineRule="auto"/>
              <w:rPr>
                <w:rFonts w:ascii="Times New Roman" w:hAnsi="Times New Roman"/>
                <w:szCs w:val="24"/>
                <w:lang w:val="lt-LT"/>
              </w:rPr>
            </w:pPr>
            <w:proofErr w:type="spellStart"/>
            <w:r w:rsidRPr="00752CF2">
              <w:rPr>
                <w:rFonts w:ascii="Times New Roman" w:hAnsi="Times New Roman"/>
                <w:szCs w:val="24"/>
                <w:lang w:val="lt-LT"/>
              </w:rPr>
              <w:t>SmofKabiven</w:t>
            </w:r>
            <w:proofErr w:type="spellEnd"/>
            <w:r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Cs w:val="24"/>
                <w:lang w:val="lt-LT"/>
              </w:rPr>
              <w:t>Central</w:t>
            </w:r>
            <w:proofErr w:type="spellEnd"/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ir </w:t>
            </w:r>
            <w:proofErr w:type="spellStart"/>
            <w:r w:rsidRPr="00752CF2">
              <w:rPr>
                <w:rFonts w:ascii="Times New Roman" w:hAnsi="Times New Roman"/>
                <w:szCs w:val="24"/>
                <w:lang w:val="lt-LT"/>
              </w:rPr>
              <w:t>SmofKabiven</w:t>
            </w:r>
            <w:proofErr w:type="spellEnd"/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 w:rsidRPr="00DA4B79">
              <w:rPr>
                <w:rFonts w:ascii="Times New Roman" w:hAnsi="Times New Roman"/>
                <w:szCs w:val="24"/>
                <w:lang w:val="lt-LT"/>
              </w:rPr>
              <w:t>Electrolyte</w:t>
            </w:r>
            <w:proofErr w:type="spellEnd"/>
            <w:r w:rsidRPr="00DA4B79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 w:rsidRPr="00DA4B79">
              <w:rPr>
                <w:rFonts w:ascii="Times New Roman" w:hAnsi="Times New Roman"/>
                <w:szCs w:val="24"/>
                <w:lang w:val="lt-LT"/>
              </w:rPr>
              <w:t>Free</w:t>
            </w:r>
            <w:proofErr w:type="spellEnd"/>
            <w:r w:rsidRPr="00DA4B79">
              <w:rPr>
                <w:rFonts w:ascii="Times New Roman" w:hAnsi="Times New Roman"/>
                <w:szCs w:val="24"/>
                <w:lang w:val="lt-LT"/>
              </w:rPr>
              <w:t xml:space="preserve"> </w:t>
            </w:r>
            <w:proofErr w:type="spellStart"/>
            <w:r w:rsidRPr="00DA4B79">
              <w:rPr>
                <w:rFonts w:ascii="Times New Roman" w:hAnsi="Times New Roman"/>
                <w:szCs w:val="24"/>
                <w:lang w:val="lt-LT"/>
              </w:rPr>
              <w:t>Central</w:t>
            </w:r>
            <w:proofErr w:type="spellEnd"/>
            <w:r w:rsidRPr="00752CF2">
              <w:rPr>
                <w:rFonts w:ascii="Times New Roman" w:hAnsi="Times New Roman"/>
                <w:szCs w:val="24"/>
                <w:lang w:val="lt-LT"/>
              </w:rPr>
              <w:t xml:space="preserve"> (aktyvuotas 493 ml maišelis)</w:t>
            </w:r>
            <w:r w:rsidRPr="00192C1F">
              <w:rPr>
                <w:rFonts w:ascii="Times New Roman" w:hAnsi="Times New Roman"/>
                <w:szCs w:val="24"/>
                <w:lang w:val="lt-LT"/>
              </w:rPr>
              <w:t xml:space="preserve"> su </w:t>
            </w:r>
            <w:r>
              <w:rPr>
                <w:rFonts w:ascii="Times New Roman" w:hAnsi="Times New Roman"/>
                <w:szCs w:val="24"/>
                <w:lang w:val="lt-LT"/>
              </w:rPr>
              <w:t>anksč</w:t>
            </w:r>
            <w:r w:rsidRPr="00752CF2">
              <w:rPr>
                <w:rFonts w:ascii="Times New Roman" w:hAnsi="Times New Roman"/>
                <w:szCs w:val="24"/>
                <w:lang w:val="lt-LT"/>
              </w:rPr>
              <w:t>iau išvardytais</w:t>
            </w:r>
            <w:r w:rsidRPr="00192C1F">
              <w:rPr>
                <w:rFonts w:ascii="Times New Roman" w:hAnsi="Times New Roman"/>
                <w:szCs w:val="24"/>
                <w:lang w:val="lt-LT"/>
              </w:rPr>
              <w:t xml:space="preserve"> elektrolitais ir vitaminais</w:t>
            </w:r>
          </w:p>
        </w:tc>
      </w:tr>
    </w:tbl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52CF2">
        <w:rPr>
          <w:rFonts w:ascii="Times New Roman" w:eastAsia="Times New Roman" w:hAnsi="Times New Roman"/>
          <w:lang w:val="lt-LT" w:eastAsia="lt-LT"/>
        </w:rPr>
        <w:t xml:space="preserve">Dėl destabilizuojančio poveikio </w:t>
      </w:r>
      <w:proofErr w:type="spellStart"/>
      <w:r w:rsidRPr="00610115">
        <w:rPr>
          <w:rFonts w:ascii="Times New Roman" w:eastAsia="Times New Roman" w:hAnsi="Times New Roman"/>
          <w:lang w:val="lt-LT" w:eastAsia="lt-LT"/>
        </w:rPr>
        <w:t>Infutraze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niekada negalima tiesiogiai maišyti su lipidų emulsija. Rekomenduojama pirmiausia sumaišyti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makroelementus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(aminorūgščių tirpalu ir gliukoze su lipidų emulsija arba be jos) ir tik tada pridėti mikroelementus. Pridėjimas turi būti atliekamas </w:t>
      </w:r>
      <w:proofErr w:type="spellStart"/>
      <w:r w:rsidRPr="00752CF2">
        <w:rPr>
          <w:rFonts w:ascii="Times New Roman" w:eastAsia="Times New Roman" w:hAnsi="Times New Roman"/>
          <w:lang w:val="lt-LT" w:eastAsia="lt-LT"/>
        </w:rPr>
        <w:t>aseptinėmis</w:t>
      </w:r>
      <w:proofErr w:type="spellEnd"/>
      <w:r w:rsidRPr="00752CF2">
        <w:rPr>
          <w:rFonts w:ascii="Times New Roman" w:eastAsia="Times New Roman" w:hAnsi="Times New Roman"/>
          <w:lang w:val="lt-LT" w:eastAsia="lt-LT"/>
        </w:rPr>
        <w:t xml:space="preserve"> sąlygomis.</w:t>
      </w:r>
    </w:p>
    <w:p w:rsidR="006531A3" w:rsidRPr="00752CF2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lang w:val="lt-LT" w:eastAsia="lt-LT"/>
        </w:rPr>
      </w:pPr>
      <w:r w:rsidRPr="007256F4">
        <w:rPr>
          <w:rFonts w:ascii="Times New Roman" w:eastAsia="Times New Roman" w:hAnsi="Times New Roman"/>
          <w:lang w:val="lt-LT" w:eastAsia="lt-LT"/>
        </w:rPr>
        <w:t>Nesuvartotą vaistinį preparatą ar atliekas reikia tvarkyti laikantis vietinių reikalavimų.</w:t>
      </w:r>
    </w:p>
    <w:p w:rsidR="006531A3" w:rsidRPr="007256F4" w:rsidRDefault="006531A3" w:rsidP="006531A3">
      <w:pPr>
        <w:numPr>
          <w:ilvl w:val="12"/>
          <w:numId w:val="0"/>
        </w:num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snapToGrid w:val="0"/>
          <w:szCs w:val="24"/>
          <w:lang w:val="lt-LT"/>
        </w:rPr>
      </w:pP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b/>
          <w:bCs/>
          <w:iCs/>
          <w:lang w:val="lt-LT"/>
        </w:rPr>
      </w:pPr>
      <w:r w:rsidRPr="007256F4">
        <w:rPr>
          <w:rFonts w:ascii="Times New Roman" w:eastAsia="Times New Roman" w:hAnsi="Times New Roman"/>
          <w:b/>
          <w:bCs/>
          <w:iCs/>
          <w:lang w:val="lt-LT"/>
        </w:rPr>
        <w:t>Tinkamumo laikas po sumaišymo</w:t>
      </w:r>
    </w:p>
    <w:p w:rsidR="006531A3" w:rsidRPr="007256F4" w:rsidRDefault="006531A3" w:rsidP="006531A3">
      <w:pPr>
        <w:tabs>
          <w:tab w:val="left" w:pos="567"/>
        </w:tabs>
        <w:spacing w:after="0" w:line="240" w:lineRule="auto"/>
        <w:rPr>
          <w:rFonts w:ascii="Times New Roman" w:eastAsia="Times New Roman" w:hAnsi="Times New Roman"/>
          <w:iCs/>
          <w:lang w:val="lt-LT"/>
        </w:rPr>
      </w:pPr>
      <w:r w:rsidRPr="007256F4">
        <w:rPr>
          <w:rFonts w:ascii="Times New Roman" w:eastAsia="Times New Roman" w:hAnsi="Times New Roman"/>
          <w:iCs/>
          <w:lang w:val="lt-LT"/>
        </w:rPr>
        <w:t xml:space="preserve">Įrodyta, kad po sumaišymo (žr. skyrių „Suderinamumas“) vaistinis preparatas 2–8 °C temperatūroje išlieka stabilus </w:t>
      </w:r>
      <w:r>
        <w:rPr>
          <w:rFonts w:ascii="Times New Roman" w:eastAsia="Times New Roman" w:hAnsi="Times New Roman"/>
          <w:iCs/>
          <w:lang w:val="lt-LT"/>
        </w:rPr>
        <w:t xml:space="preserve">iki </w:t>
      </w:r>
      <w:r w:rsidRPr="007256F4">
        <w:rPr>
          <w:rFonts w:ascii="Times New Roman" w:eastAsia="Times New Roman" w:hAnsi="Times New Roman"/>
          <w:iCs/>
          <w:lang w:val="lt-LT"/>
        </w:rPr>
        <w:t>7 dien</w:t>
      </w:r>
      <w:r>
        <w:rPr>
          <w:rFonts w:ascii="Times New Roman" w:eastAsia="Times New Roman" w:hAnsi="Times New Roman"/>
          <w:iCs/>
          <w:lang w:val="lt-LT"/>
        </w:rPr>
        <w:t>ų</w:t>
      </w:r>
      <w:r w:rsidRPr="007256F4">
        <w:rPr>
          <w:rFonts w:ascii="Times New Roman" w:eastAsia="Times New Roman" w:hAnsi="Times New Roman"/>
          <w:iCs/>
          <w:lang w:val="lt-LT"/>
        </w:rPr>
        <w:t>, po to dar 48 valandas jį laikant 20–25 °C temperatūroje, įskaitant vartojimo trukmę. Mikrobiologiniu požiūriu vaistinį preparatą reikia suvartoti nedelsiant. Nesuvartojus nedelsiant, už laikymo iki vartojimo trukmę ir sąlygas atsako vartotojas. Paprastai laikymo trukmė neturėtų viršyti 24 valandų 2–8 °C temperatūroje.</w:t>
      </w:r>
    </w:p>
    <w:p w:rsidR="00BA6577" w:rsidRDefault="00BA6577">
      <w:bookmarkStart w:id="0" w:name="_GoBack"/>
      <w:bookmarkEnd w:id="0"/>
    </w:p>
    <w:sectPr w:rsidR="00BA6577" w:rsidSect="00D358F2">
      <w:pgSz w:w="12240" w:h="15840"/>
      <w:pgMar w:top="1134" w:right="1418" w:bottom="1134" w:left="1418" w:header="709" w:footer="709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C44258"/>
    <w:multiLevelType w:val="hybridMultilevel"/>
    <w:tmpl w:val="7F36A8C4"/>
    <w:lvl w:ilvl="0" w:tplc="5E94AD30">
      <w:start w:val="6"/>
      <w:numFmt w:val="bullet"/>
      <w:lvlText w:val="-"/>
      <w:lvlJc w:val="left"/>
      <w:pPr>
        <w:tabs>
          <w:tab w:val="num" w:pos="567"/>
        </w:tabs>
        <w:ind w:left="567" w:hanging="507"/>
      </w:pPr>
      <w:rPr>
        <w:rFonts w:ascii="Times New Roman" w:eastAsia="Times New Roman" w:hAnsi="Times New Roman" w:cs="Times New Roman" w:hint="default"/>
      </w:rPr>
    </w:lvl>
    <w:lvl w:ilvl="1" w:tplc="042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2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2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2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61A4EFA"/>
    <w:multiLevelType w:val="hybridMultilevel"/>
    <w:tmpl w:val="32848330"/>
    <w:lvl w:ilvl="0" w:tplc="29ECAFF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aps w:val="0"/>
        <w:strike w:val="0"/>
        <w:dstrike w:val="0"/>
        <w:vanish w:val="0"/>
        <w:color w:val="auto"/>
        <w:sz w:val="24"/>
        <w:vertAlign w:val="baseline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296"/>
  <w:hyphenationZone w:val="396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531A3"/>
    <w:rsid w:val="00072F85"/>
    <w:rsid w:val="00181364"/>
    <w:rsid w:val="00305C48"/>
    <w:rsid w:val="003362C6"/>
    <w:rsid w:val="006531A3"/>
    <w:rsid w:val="00BA6577"/>
    <w:rsid w:val="00C30905"/>
    <w:rsid w:val="00D358F2"/>
    <w:rsid w:val="00EF4A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B555744-0DB9-4880-90A0-D2A9388E22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6531A3"/>
    <w:pPr>
      <w:spacing w:after="200" w:line="276" w:lineRule="auto"/>
    </w:pPr>
    <w:rPr>
      <w:rFonts w:ascii="Calibri" w:eastAsia="Calibri" w:hAnsi="Calibri" w:cs="Times New Roman"/>
      <w:lang w:val="en-GB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Sraopastraipa">
    <w:name w:val="List Paragraph"/>
    <w:basedOn w:val="prastasis"/>
    <w:uiPriority w:val="34"/>
    <w:qFormat/>
    <w:rsid w:val="006531A3"/>
    <w:pPr>
      <w:ind w:left="720"/>
      <w:contextualSpacing/>
    </w:pPr>
  </w:style>
  <w:style w:type="character" w:styleId="Hipersaitas">
    <w:name w:val="Hyperlink"/>
    <w:uiPriority w:val="99"/>
    <w:unhideWhenUsed/>
    <w:rsid w:val="006531A3"/>
    <w:rPr>
      <w:color w:val="0000FF"/>
      <w:u w:val="single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6531A3"/>
    <w:pPr>
      <w:spacing w:after="0" w:line="360" w:lineRule="auto"/>
    </w:pPr>
    <w:rPr>
      <w:rFonts w:ascii="Times New Roman" w:eastAsia="Times New Roman" w:hAnsi="Times New Roman"/>
      <w:sz w:val="24"/>
      <w:szCs w:val="20"/>
      <w:lang w:val="lt-LT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6531A3"/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ema.europa.eu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NepageidaujamaR@vvkt.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vvkt.lt/index.php?4004286486" TargetMode="External"/><Relationship Id="rId5" Type="http://schemas.openxmlformats.org/officeDocument/2006/relationships/hyperlink" Target="https://vapris.vvkt.lt/vvkt-web/public/nrv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9463</Words>
  <Characters>5395</Characters>
  <Application>Microsoft Office Word</Application>
  <DocSecurity>0</DocSecurity>
  <Lines>44</Lines>
  <Paragraphs>29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8</vt:i4>
      </vt:variant>
    </vt:vector>
  </HeadingPairs>
  <TitlesOfParts>
    <vt:vector size="9" baseType="lpstr">
      <vt:lpstr/>
      <vt:lpstr>    Pakuotės lapelis: informacija pacientui</vt:lpstr>
      <vt:lpstr>    </vt:lpstr>
      <vt:lpstr>        Nėštumas ir žindymo laikotarpis</vt:lpstr>
      <vt:lpstr>Ką daryti pavartojus per didelę Infutraze dozę</vt:lpstr>
      <vt:lpstr>        4.	Galimas šalutinis poveikis</vt:lpstr>
      <vt:lpstr>        5.	Kaip laikyti Infutraze</vt:lpstr>
      <vt:lpstr>        6.	Pakuotės turinys ir kita informacija</vt:lpstr>
      <vt:lpstr>HP Halden Pharma AS</vt:lpstr>
    </vt:vector>
  </TitlesOfParts>
  <Company/>
  <LinksUpToDate>false</LinksUpToDate>
  <CharactersWithSpaces>14829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Albina Burkauskaitė</dc:creator>
  <cp:keywords/>
  <dc:description/>
  <cp:lastModifiedBy>Albina Burkauskaitė</cp:lastModifiedBy>
  <cp:revision>1</cp:revision>
  <dcterms:created xsi:type="dcterms:W3CDTF">2024-04-26T06:00:00Z</dcterms:created>
  <dcterms:modified xsi:type="dcterms:W3CDTF">2024-04-26T06:01:00Z</dcterms:modified>
</cp:coreProperties>
</file>